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E2F" w:rsidRDefault="008A4E2F" w:rsidP="008A4E2F">
      <w:pPr>
        <w:rPr>
          <w:rFonts w:ascii="Arial" w:hAnsi="Arial" w:cs="Arial"/>
          <w:sz w:val="20"/>
          <w:szCs w:val="20"/>
        </w:rPr>
      </w:pPr>
      <w:r>
        <w:rPr>
          <w:rFonts w:ascii="Arial" w:hAnsi="Arial" w:cs="Arial"/>
          <w:sz w:val="20"/>
          <w:szCs w:val="20"/>
        </w:rPr>
        <w:t>Contacts:</w:t>
      </w:r>
      <w:r>
        <w:rPr>
          <w:rFonts w:ascii="Arial" w:hAnsi="Arial" w:cs="Arial"/>
          <w:sz w:val="16"/>
          <w:szCs w:val="16"/>
        </w:rPr>
        <w:t xml:space="preserve">               </w:t>
      </w:r>
      <w:r>
        <w:rPr>
          <w:rFonts w:ascii="Arial" w:hAnsi="Arial" w:cs="Arial"/>
          <w:sz w:val="20"/>
          <w:szCs w:val="20"/>
        </w:rPr>
        <w:t xml:space="preserve">Steve Gaut, Public Relations                                          </w:t>
      </w:r>
    </w:p>
    <w:p w:rsidR="008A4E2F" w:rsidRDefault="008A4E2F" w:rsidP="008A4E2F">
      <w:pPr>
        <w:ind w:left="720" w:firstLine="720"/>
        <w:rPr>
          <w:rFonts w:ascii="Arial" w:hAnsi="Arial" w:cs="Arial"/>
          <w:sz w:val="20"/>
          <w:szCs w:val="20"/>
        </w:rPr>
      </w:pPr>
      <w:r>
        <w:rPr>
          <w:rFonts w:ascii="Arial" w:hAnsi="Arial" w:cs="Arial"/>
          <w:sz w:val="20"/>
          <w:szCs w:val="20"/>
        </w:rPr>
        <w:t>+1 404-828-8787</w:t>
      </w:r>
    </w:p>
    <w:p w:rsidR="008A4E2F" w:rsidRDefault="008A4E2F" w:rsidP="008A4E2F">
      <w:pPr>
        <w:pStyle w:val="Heading4"/>
        <w:spacing w:before="0" w:after="0"/>
        <w:ind w:left="720" w:firstLine="720"/>
        <w:rPr>
          <w:rFonts w:ascii="Arial" w:eastAsia="Times New Roman" w:hAnsi="Arial" w:cs="Arial"/>
          <w:b w:val="0"/>
          <w:bCs w:val="0"/>
          <w:sz w:val="16"/>
          <w:szCs w:val="16"/>
        </w:rPr>
      </w:pPr>
    </w:p>
    <w:p w:rsidR="008A4E2F" w:rsidRDefault="008A4E2F" w:rsidP="008A4E2F">
      <w:pPr>
        <w:pStyle w:val="Heading4"/>
        <w:spacing w:before="0" w:after="0"/>
        <w:ind w:left="720" w:firstLine="720"/>
        <w:rPr>
          <w:rFonts w:ascii="Arial" w:eastAsia="Times New Roman" w:hAnsi="Arial" w:cs="Arial"/>
          <w:b w:val="0"/>
          <w:bCs w:val="0"/>
          <w:sz w:val="20"/>
          <w:szCs w:val="20"/>
        </w:rPr>
      </w:pPr>
      <w:r>
        <w:rPr>
          <w:rFonts w:ascii="Arial" w:eastAsia="Times New Roman" w:hAnsi="Arial" w:cs="Arial"/>
          <w:b w:val="0"/>
          <w:bCs w:val="0"/>
          <w:sz w:val="20"/>
          <w:szCs w:val="20"/>
        </w:rPr>
        <w:t>Scott Childress, Investor Relations</w:t>
      </w:r>
    </w:p>
    <w:p w:rsidR="008A4E2F" w:rsidRDefault="008A4E2F" w:rsidP="008A4E2F">
      <w:pPr>
        <w:rPr>
          <w:rFonts w:ascii="Arial" w:hAnsi="Arial" w:cs="Arial"/>
          <w:sz w:val="20"/>
          <w:szCs w:val="20"/>
        </w:rPr>
      </w:pPr>
      <w:r>
        <w:rPr>
          <w:rFonts w:ascii="Arial" w:hAnsi="Arial" w:cs="Arial"/>
          <w:sz w:val="20"/>
          <w:szCs w:val="20"/>
        </w:rPr>
        <w:t xml:space="preserve">                        </w:t>
      </w:r>
      <w:r>
        <w:rPr>
          <w:rFonts w:ascii="Arial" w:hAnsi="Arial" w:cs="Arial"/>
          <w:color w:val="1F497D"/>
          <w:sz w:val="20"/>
          <w:szCs w:val="20"/>
        </w:rPr>
        <w:tab/>
      </w:r>
      <w:r>
        <w:rPr>
          <w:rFonts w:ascii="Arial" w:hAnsi="Arial" w:cs="Arial"/>
          <w:sz w:val="20"/>
          <w:szCs w:val="20"/>
        </w:rPr>
        <w:t xml:space="preserve">+1 404-828-7957                                              </w:t>
      </w:r>
    </w:p>
    <w:p w:rsidR="008A4E2F" w:rsidRDefault="008A4E2F" w:rsidP="008A4E2F">
      <w:pPr>
        <w:rPr>
          <w:rFonts w:ascii="Arial" w:hAnsi="Arial" w:cs="Arial"/>
          <w:sz w:val="18"/>
          <w:szCs w:val="18"/>
        </w:rPr>
      </w:pPr>
      <w:r>
        <w:rPr>
          <w:rFonts w:ascii="Arial" w:hAnsi="Arial" w:cs="Arial"/>
          <w:sz w:val="20"/>
          <w:szCs w:val="20"/>
        </w:rPr>
        <w:t xml:space="preserve">            </w:t>
      </w:r>
    </w:p>
    <w:p w:rsidR="008A4E2F" w:rsidRDefault="008A4E2F" w:rsidP="008A4E2F">
      <w:pPr>
        <w:rPr>
          <w:rFonts w:ascii="Arial" w:hAnsi="Arial" w:cs="Arial"/>
          <w:sz w:val="18"/>
          <w:szCs w:val="18"/>
        </w:rPr>
      </w:pPr>
    </w:p>
    <w:p w:rsidR="008A4E2F" w:rsidRDefault="008A4E2F" w:rsidP="008A4E2F">
      <w:pPr>
        <w:jc w:val="center"/>
        <w:rPr>
          <w:rFonts w:ascii="Arial" w:hAnsi="Arial" w:cs="Arial"/>
          <w:b/>
          <w:bCs/>
          <w:sz w:val="32"/>
          <w:szCs w:val="32"/>
        </w:rPr>
      </w:pPr>
      <w:r>
        <w:rPr>
          <w:rFonts w:ascii="Arial" w:hAnsi="Arial" w:cs="Arial"/>
          <w:b/>
          <w:bCs/>
          <w:sz w:val="32"/>
          <w:szCs w:val="32"/>
        </w:rPr>
        <w:t>UPS RELEASES 2Q 2019 EARNINGS</w:t>
      </w:r>
    </w:p>
    <w:p w:rsidR="008A4E2F" w:rsidRDefault="008A4E2F" w:rsidP="008A4E2F">
      <w:pPr>
        <w:jc w:val="center"/>
        <w:rPr>
          <w:rFonts w:ascii="Arial" w:hAnsi="Arial" w:cs="Arial"/>
          <w:i/>
          <w:iCs/>
          <w:sz w:val="24"/>
          <w:szCs w:val="24"/>
        </w:rPr>
      </w:pPr>
      <w:r>
        <w:rPr>
          <w:rFonts w:ascii="Arial" w:hAnsi="Arial" w:cs="Arial"/>
          <w:i/>
          <w:iCs/>
        </w:rPr>
        <w:t>Operating Profit Up in All Segments</w:t>
      </w:r>
    </w:p>
    <w:p w:rsidR="008A4E2F" w:rsidRDefault="008A4E2F" w:rsidP="008A4E2F">
      <w:pPr>
        <w:jc w:val="center"/>
        <w:rPr>
          <w:rFonts w:ascii="Arial" w:hAnsi="Arial" w:cs="Arial"/>
          <w:b/>
          <w:bCs/>
          <w:sz w:val="28"/>
          <w:szCs w:val="28"/>
        </w:rPr>
      </w:pPr>
    </w:p>
    <w:p w:rsidR="008A4E2F" w:rsidRDefault="008A4E2F" w:rsidP="008A4E2F">
      <w:pPr>
        <w:pStyle w:val="ListParagraph"/>
        <w:numPr>
          <w:ilvl w:val="0"/>
          <w:numId w:val="1"/>
        </w:numPr>
        <w:ind w:left="540"/>
        <w:rPr>
          <w:rFonts w:ascii="Arial" w:hAnsi="Arial" w:cs="Arial"/>
          <w:b/>
          <w:bCs/>
          <w:i/>
          <w:iCs/>
          <w:sz w:val="24"/>
          <w:szCs w:val="24"/>
        </w:rPr>
      </w:pPr>
      <w:r>
        <w:rPr>
          <w:rFonts w:ascii="Arial" w:hAnsi="Arial" w:cs="Arial"/>
          <w:b/>
          <w:bCs/>
          <w:i/>
          <w:iCs/>
        </w:rPr>
        <w:t xml:space="preserve">2Q19 EPS of $1.94; 2Q19 Adjusted* EPS of $1.96 </w:t>
      </w:r>
    </w:p>
    <w:p w:rsidR="008A4E2F" w:rsidRDefault="008A4E2F" w:rsidP="008A4E2F">
      <w:pPr>
        <w:pStyle w:val="ListParagraph"/>
        <w:numPr>
          <w:ilvl w:val="0"/>
          <w:numId w:val="2"/>
        </w:numPr>
        <w:ind w:left="540"/>
        <w:rPr>
          <w:rFonts w:ascii="Arial" w:hAnsi="Arial" w:cs="Arial"/>
          <w:b/>
          <w:bCs/>
          <w:i/>
          <w:iCs/>
          <w:sz w:val="20"/>
          <w:szCs w:val="20"/>
        </w:rPr>
      </w:pPr>
      <w:r>
        <w:rPr>
          <w:rFonts w:ascii="Arial" w:hAnsi="Arial" w:cs="Arial"/>
          <w:b/>
          <w:bCs/>
          <w:i/>
          <w:iCs/>
        </w:rPr>
        <w:t>U.S. Daily Volume Grew Over 7%; Next Day Air Volume Soared Over 30%</w:t>
      </w:r>
    </w:p>
    <w:p w:rsidR="008A4E2F" w:rsidRDefault="008A4E2F" w:rsidP="008A4E2F">
      <w:pPr>
        <w:pStyle w:val="ListParagraph"/>
        <w:numPr>
          <w:ilvl w:val="0"/>
          <w:numId w:val="2"/>
        </w:numPr>
        <w:ind w:left="540"/>
        <w:rPr>
          <w:rFonts w:ascii="Arial" w:hAnsi="Arial" w:cs="Arial"/>
          <w:b/>
          <w:bCs/>
          <w:i/>
          <w:iCs/>
        </w:rPr>
      </w:pPr>
      <w:r>
        <w:rPr>
          <w:rFonts w:ascii="Arial" w:hAnsi="Arial" w:cs="Arial"/>
          <w:b/>
          <w:bCs/>
          <w:i/>
          <w:iCs/>
        </w:rPr>
        <w:t xml:space="preserve">U.S. Operating Profit Increased Nearly 29%; Up 8% on an Adjusted Basis </w:t>
      </w:r>
    </w:p>
    <w:p w:rsidR="008A4E2F" w:rsidRDefault="008A4E2F" w:rsidP="008A4E2F">
      <w:pPr>
        <w:pStyle w:val="ListParagraph"/>
        <w:numPr>
          <w:ilvl w:val="0"/>
          <w:numId w:val="2"/>
        </w:numPr>
        <w:ind w:left="540"/>
        <w:rPr>
          <w:rFonts w:ascii="Arial" w:hAnsi="Arial" w:cs="Arial"/>
          <w:b/>
          <w:bCs/>
          <w:i/>
          <w:iCs/>
        </w:rPr>
      </w:pPr>
      <w:r>
        <w:rPr>
          <w:rFonts w:ascii="Arial" w:hAnsi="Arial" w:cs="Arial"/>
          <w:b/>
          <w:bCs/>
          <w:i/>
          <w:iCs/>
        </w:rPr>
        <w:t>International Boosts Operating Margins to 18.9%; Adjusted Margins of 19%</w:t>
      </w:r>
    </w:p>
    <w:p w:rsidR="008A4E2F" w:rsidRDefault="008A4E2F" w:rsidP="008A4E2F">
      <w:pPr>
        <w:pStyle w:val="ListParagraph"/>
        <w:numPr>
          <w:ilvl w:val="0"/>
          <w:numId w:val="2"/>
        </w:numPr>
        <w:ind w:left="540"/>
        <w:rPr>
          <w:rFonts w:ascii="Arial" w:hAnsi="Arial" w:cs="Arial"/>
          <w:b/>
          <w:bCs/>
          <w:i/>
          <w:iCs/>
        </w:rPr>
      </w:pPr>
      <w:r>
        <w:rPr>
          <w:rFonts w:ascii="Arial" w:hAnsi="Arial" w:cs="Arial"/>
          <w:b/>
          <w:bCs/>
          <w:i/>
          <w:iCs/>
        </w:rPr>
        <w:t>Supply Chain and Freight Operating Profit Increased Nearly 26%; Adjusted Operating Profit Up More Than 10%</w:t>
      </w:r>
    </w:p>
    <w:p w:rsidR="008A4E2F" w:rsidRDefault="008A4E2F" w:rsidP="008A4E2F">
      <w:pPr>
        <w:pStyle w:val="ListParagraph"/>
        <w:numPr>
          <w:ilvl w:val="0"/>
          <w:numId w:val="2"/>
        </w:numPr>
        <w:ind w:left="540"/>
        <w:rPr>
          <w:rFonts w:ascii="Arial" w:hAnsi="Arial" w:cs="Arial"/>
          <w:b/>
          <w:bCs/>
          <w:i/>
          <w:iCs/>
        </w:rPr>
      </w:pPr>
      <w:r>
        <w:rPr>
          <w:rFonts w:ascii="Arial" w:hAnsi="Arial" w:cs="Arial"/>
          <w:b/>
          <w:bCs/>
          <w:i/>
          <w:iCs/>
        </w:rPr>
        <w:t>Cash from Operations of $4.2B; Adjusted Free Cash Flow Near $2.2B</w:t>
      </w:r>
    </w:p>
    <w:p w:rsidR="008A4E2F" w:rsidRDefault="008A4E2F" w:rsidP="008A4E2F">
      <w:pPr>
        <w:pStyle w:val="ListParagraph"/>
        <w:numPr>
          <w:ilvl w:val="0"/>
          <w:numId w:val="2"/>
        </w:numPr>
        <w:ind w:left="540"/>
        <w:rPr>
          <w:rFonts w:ascii="Arial" w:hAnsi="Arial" w:cs="Arial"/>
          <w:b/>
          <w:bCs/>
          <w:i/>
          <w:iCs/>
        </w:rPr>
      </w:pPr>
      <w:r>
        <w:rPr>
          <w:rFonts w:ascii="Arial" w:hAnsi="Arial" w:cs="Arial"/>
          <w:b/>
          <w:bCs/>
          <w:i/>
          <w:iCs/>
        </w:rPr>
        <w:t>UPS reaffirms adjusted full-year diluted EPS in the range of $7.45 to $7.75</w:t>
      </w:r>
    </w:p>
    <w:p w:rsidR="008A4E2F" w:rsidRDefault="008A4E2F" w:rsidP="008A4E2F">
      <w:pPr>
        <w:pStyle w:val="ListParagraph"/>
        <w:ind w:left="540"/>
        <w:rPr>
          <w:rFonts w:ascii="Arial" w:hAnsi="Arial" w:cs="Arial"/>
        </w:rPr>
      </w:pPr>
    </w:p>
    <w:p w:rsidR="008A4E2F" w:rsidRDefault="008A4E2F" w:rsidP="008A4E2F">
      <w:pPr>
        <w:pStyle w:val="ListParagraph"/>
        <w:ind w:left="540"/>
        <w:rPr>
          <w:rFonts w:ascii="Arial" w:hAnsi="Arial" w:cs="Arial"/>
        </w:rPr>
      </w:pPr>
    </w:p>
    <w:p w:rsidR="008A4E2F" w:rsidRDefault="008A4E2F" w:rsidP="008A4E2F">
      <w:pPr>
        <w:rPr>
          <w:rFonts w:ascii="Arial" w:hAnsi="Arial" w:cs="Arial"/>
        </w:rPr>
      </w:pPr>
      <w:r>
        <w:rPr>
          <w:rFonts w:ascii="Arial" w:hAnsi="Arial" w:cs="Arial"/>
          <w:b/>
          <w:bCs/>
        </w:rPr>
        <w:t>ATLANTA – July 24, 2019</w:t>
      </w:r>
      <w:r>
        <w:rPr>
          <w:rFonts w:ascii="Arial" w:hAnsi="Arial" w:cs="Arial"/>
        </w:rPr>
        <w:t xml:space="preserve"> – UPS (NYSE:UPS) today announced second-quarter 2019 adjusted earnings per share of $1.96.  The company turned </w:t>
      </w:r>
      <w:r>
        <w:rPr>
          <w:rFonts w:ascii="Arial" w:hAnsi="Arial" w:cs="Arial"/>
          <w:color w:val="000000"/>
        </w:rPr>
        <w:t>the rising</w:t>
      </w:r>
      <w:r>
        <w:rPr>
          <w:rFonts w:ascii="Arial" w:hAnsi="Arial" w:cs="Arial"/>
        </w:rPr>
        <w:t xml:space="preserve"> demand for next-day service into strong financial results in the U.S. and leveraged asset-light and proven cost management strategies in the International and Supply Chain and Freight segments. </w:t>
      </w:r>
    </w:p>
    <w:p w:rsidR="008A4E2F" w:rsidRDefault="008A4E2F" w:rsidP="008A4E2F">
      <w:pPr>
        <w:rPr>
          <w:rFonts w:ascii="Arial" w:hAnsi="Arial" w:cs="Arial"/>
        </w:rPr>
      </w:pPr>
    </w:p>
    <w:p w:rsidR="008A4E2F" w:rsidRDefault="008A4E2F" w:rsidP="008A4E2F">
      <w:pPr>
        <w:rPr>
          <w:rFonts w:ascii="Arial" w:hAnsi="Arial" w:cs="Arial"/>
        </w:rPr>
      </w:pPr>
      <w:r>
        <w:rPr>
          <w:rFonts w:ascii="Arial" w:hAnsi="Arial" w:cs="Arial"/>
        </w:rPr>
        <w:t xml:space="preserve">“Our Transformation initiatives are generating greater efficiencies across the network and, when combined with our growth strategies, UPS achieved profit growth in all segments,” said David Abney, UPS chairman and CEO. “We also announced a very </w:t>
      </w:r>
      <w:hyperlink r:id="rId5" w:history="1">
        <w:r>
          <w:rPr>
            <w:rStyle w:val="Hyperlink"/>
          </w:rPr>
          <w:t>extensive roll-out of new products and services</w:t>
        </w:r>
      </w:hyperlink>
      <w:r>
        <w:rPr>
          <w:rFonts w:ascii="Arial" w:hAnsi="Arial" w:cs="Arial"/>
        </w:rPr>
        <w:t xml:space="preserve"> such as UPS My Choice for Business, expanded UPS Access Points, and UPS Worldwide Economy, among others, for small- and medium-sized businesses, all designed to generate additional profitable growth.” </w:t>
      </w:r>
    </w:p>
    <w:p w:rsidR="008A4E2F" w:rsidRDefault="008A4E2F" w:rsidP="008A4E2F">
      <w:pPr>
        <w:rPr>
          <w:rFonts w:ascii="Arial" w:hAnsi="Arial" w:cs="Arial"/>
        </w:rPr>
      </w:pPr>
    </w:p>
    <w:p w:rsidR="008A4E2F" w:rsidRDefault="008A4E2F" w:rsidP="008A4E2F">
      <w:pPr>
        <w:rPr>
          <w:rFonts w:ascii="Arial" w:hAnsi="Arial" w:cs="Arial"/>
        </w:rPr>
      </w:pPr>
      <w:r>
        <w:rPr>
          <w:rFonts w:ascii="Arial" w:hAnsi="Arial" w:cs="Arial"/>
        </w:rPr>
        <w:t xml:space="preserve">Amounts presented on an adjusted basis exclude Transformation strategy costs. Second-quarter 2019 adjusted results exclude a pre-tax charge of $21 million, or $0.02 per share after tax.  Second-quarter 2018 adjusted results excluded a pre-tax charge of $263 million, or $0.23 per share after tax, primarily from the UPS Voluntary Retirement Program. </w:t>
      </w:r>
    </w:p>
    <w:p w:rsidR="008A4E2F" w:rsidRDefault="008A4E2F" w:rsidP="008A4E2F">
      <w:pPr>
        <w:rPr>
          <w:rFonts w:ascii="Arial" w:hAnsi="Arial" w:cs="Arial"/>
        </w:rPr>
      </w:pPr>
    </w:p>
    <w:tbl>
      <w:tblPr>
        <w:tblW w:w="9576" w:type="dxa"/>
        <w:tblCellMar>
          <w:left w:w="0" w:type="dxa"/>
          <w:right w:w="0" w:type="dxa"/>
        </w:tblCellMar>
        <w:tblLook w:val="04A0" w:firstRow="1" w:lastRow="0" w:firstColumn="1" w:lastColumn="0" w:noHBand="0" w:noVBand="1"/>
      </w:tblPr>
      <w:tblGrid>
        <w:gridCol w:w="3588"/>
        <w:gridCol w:w="1359"/>
        <w:gridCol w:w="1630"/>
        <w:gridCol w:w="1595"/>
        <w:gridCol w:w="1404"/>
      </w:tblGrid>
      <w:tr w:rsidR="008A4E2F" w:rsidTr="008A4E2F">
        <w:trPr>
          <w:trHeight w:val="503"/>
        </w:trPr>
        <w:tc>
          <w:tcPr>
            <w:tcW w:w="3588" w:type="dxa"/>
            <w:tcMar>
              <w:top w:w="0" w:type="dxa"/>
              <w:left w:w="108" w:type="dxa"/>
              <w:bottom w:w="0" w:type="dxa"/>
              <w:right w:w="108" w:type="dxa"/>
            </w:tcMar>
            <w:hideMark/>
          </w:tcPr>
          <w:p w:rsidR="008A4E2F" w:rsidRDefault="008A4E2F">
            <w:pPr>
              <w:rPr>
                <w:rFonts w:ascii="Arial" w:hAnsi="Arial" w:cs="Arial"/>
                <w:b/>
                <w:bCs/>
                <w:sz w:val="20"/>
                <w:szCs w:val="20"/>
                <w:u w:val="single"/>
              </w:rPr>
            </w:pPr>
            <w:r>
              <w:rPr>
                <w:rFonts w:ascii="Arial" w:hAnsi="Arial" w:cs="Arial"/>
                <w:b/>
                <w:bCs/>
                <w:sz w:val="20"/>
                <w:szCs w:val="20"/>
                <w:u w:val="single"/>
              </w:rPr>
              <w:t>Consolidated Results</w:t>
            </w:r>
          </w:p>
        </w:tc>
        <w:tc>
          <w:tcPr>
            <w:tcW w:w="1359" w:type="dxa"/>
            <w:tcMar>
              <w:top w:w="0" w:type="dxa"/>
              <w:left w:w="108" w:type="dxa"/>
              <w:bottom w:w="0" w:type="dxa"/>
              <w:right w:w="108" w:type="dxa"/>
            </w:tcMar>
          </w:tcPr>
          <w:p w:rsidR="008A4E2F" w:rsidRDefault="008A4E2F">
            <w:pPr>
              <w:jc w:val="right"/>
              <w:rPr>
                <w:rFonts w:ascii="Arial" w:hAnsi="Arial" w:cs="Arial"/>
                <w:b/>
                <w:bCs/>
                <w:sz w:val="20"/>
                <w:szCs w:val="20"/>
                <w:u w:val="single"/>
              </w:rPr>
            </w:pPr>
          </w:p>
          <w:p w:rsidR="008A4E2F" w:rsidRDefault="008A4E2F">
            <w:pPr>
              <w:jc w:val="right"/>
              <w:rPr>
                <w:rFonts w:ascii="Arial" w:hAnsi="Arial" w:cs="Arial"/>
                <w:b/>
                <w:bCs/>
                <w:sz w:val="20"/>
                <w:szCs w:val="20"/>
                <w:u w:val="single"/>
              </w:rPr>
            </w:pPr>
            <w:r>
              <w:rPr>
                <w:rFonts w:ascii="Arial" w:hAnsi="Arial" w:cs="Arial"/>
                <w:b/>
                <w:bCs/>
                <w:sz w:val="20"/>
                <w:szCs w:val="20"/>
                <w:u w:val="single"/>
              </w:rPr>
              <w:t>2Q 2019</w:t>
            </w:r>
          </w:p>
        </w:tc>
        <w:tc>
          <w:tcPr>
            <w:tcW w:w="1630" w:type="dxa"/>
            <w:tcMar>
              <w:top w:w="0" w:type="dxa"/>
              <w:left w:w="108" w:type="dxa"/>
              <w:bottom w:w="0" w:type="dxa"/>
              <w:right w:w="108" w:type="dxa"/>
            </w:tcMar>
            <w:hideMark/>
          </w:tcPr>
          <w:p w:rsidR="008A4E2F" w:rsidRDefault="008A4E2F">
            <w:pPr>
              <w:jc w:val="right"/>
              <w:rPr>
                <w:rFonts w:ascii="Arial" w:hAnsi="Arial" w:cs="Arial"/>
                <w:b/>
                <w:bCs/>
                <w:sz w:val="20"/>
                <w:szCs w:val="20"/>
                <w:u w:val="single"/>
              </w:rPr>
            </w:pPr>
            <w:r>
              <w:rPr>
                <w:rFonts w:ascii="Arial" w:hAnsi="Arial" w:cs="Arial"/>
                <w:b/>
                <w:bCs/>
                <w:sz w:val="20"/>
                <w:szCs w:val="20"/>
                <w:u w:val="single"/>
              </w:rPr>
              <w:t>Adjusted</w:t>
            </w:r>
          </w:p>
          <w:p w:rsidR="008A4E2F" w:rsidRDefault="008A4E2F">
            <w:pPr>
              <w:jc w:val="right"/>
              <w:rPr>
                <w:rFonts w:ascii="Arial" w:hAnsi="Arial" w:cs="Arial"/>
                <w:b/>
                <w:bCs/>
                <w:sz w:val="20"/>
                <w:szCs w:val="20"/>
                <w:u w:val="single"/>
              </w:rPr>
            </w:pPr>
            <w:r>
              <w:rPr>
                <w:rFonts w:ascii="Arial" w:hAnsi="Arial" w:cs="Arial"/>
                <w:b/>
                <w:bCs/>
                <w:sz w:val="20"/>
                <w:szCs w:val="20"/>
                <w:u w:val="single"/>
              </w:rPr>
              <w:t>2Q 2019</w:t>
            </w:r>
          </w:p>
        </w:tc>
        <w:tc>
          <w:tcPr>
            <w:tcW w:w="1595" w:type="dxa"/>
            <w:tcMar>
              <w:top w:w="0" w:type="dxa"/>
              <w:left w:w="108" w:type="dxa"/>
              <w:bottom w:w="0" w:type="dxa"/>
              <w:right w:w="108" w:type="dxa"/>
            </w:tcMar>
          </w:tcPr>
          <w:p w:rsidR="008A4E2F" w:rsidRDefault="008A4E2F">
            <w:pPr>
              <w:jc w:val="right"/>
              <w:rPr>
                <w:rFonts w:ascii="Arial" w:hAnsi="Arial" w:cs="Arial"/>
                <w:b/>
                <w:bCs/>
                <w:sz w:val="20"/>
                <w:szCs w:val="20"/>
                <w:u w:val="single"/>
              </w:rPr>
            </w:pPr>
          </w:p>
          <w:p w:rsidR="008A4E2F" w:rsidRDefault="008A4E2F">
            <w:pPr>
              <w:jc w:val="right"/>
              <w:rPr>
                <w:rFonts w:ascii="Arial" w:hAnsi="Arial" w:cs="Arial"/>
                <w:b/>
                <w:bCs/>
                <w:sz w:val="20"/>
                <w:szCs w:val="20"/>
                <w:u w:val="single"/>
              </w:rPr>
            </w:pPr>
            <w:r>
              <w:rPr>
                <w:rFonts w:ascii="Arial" w:hAnsi="Arial" w:cs="Arial"/>
                <w:b/>
                <w:bCs/>
                <w:sz w:val="20"/>
                <w:szCs w:val="20"/>
                <w:u w:val="single"/>
              </w:rPr>
              <w:t>2Q 2018</w:t>
            </w:r>
          </w:p>
        </w:tc>
        <w:tc>
          <w:tcPr>
            <w:tcW w:w="1404" w:type="dxa"/>
            <w:tcMar>
              <w:top w:w="0" w:type="dxa"/>
              <w:left w:w="108" w:type="dxa"/>
              <w:bottom w:w="0" w:type="dxa"/>
              <w:right w:w="108" w:type="dxa"/>
            </w:tcMar>
            <w:hideMark/>
          </w:tcPr>
          <w:p w:rsidR="008A4E2F" w:rsidRDefault="008A4E2F">
            <w:pPr>
              <w:jc w:val="right"/>
              <w:rPr>
                <w:rFonts w:ascii="Arial" w:hAnsi="Arial" w:cs="Arial"/>
                <w:b/>
                <w:bCs/>
                <w:sz w:val="20"/>
                <w:szCs w:val="20"/>
                <w:u w:val="single"/>
              </w:rPr>
            </w:pPr>
            <w:r>
              <w:rPr>
                <w:rFonts w:ascii="Arial" w:hAnsi="Arial" w:cs="Arial"/>
                <w:b/>
                <w:bCs/>
                <w:sz w:val="20"/>
                <w:szCs w:val="20"/>
                <w:u w:val="single"/>
              </w:rPr>
              <w:t>Adjusted</w:t>
            </w:r>
          </w:p>
          <w:p w:rsidR="008A4E2F" w:rsidRDefault="008A4E2F">
            <w:pPr>
              <w:jc w:val="right"/>
              <w:rPr>
                <w:rFonts w:ascii="Arial" w:hAnsi="Arial" w:cs="Arial"/>
                <w:b/>
                <w:bCs/>
                <w:sz w:val="20"/>
                <w:szCs w:val="20"/>
                <w:u w:val="single"/>
              </w:rPr>
            </w:pPr>
            <w:r>
              <w:rPr>
                <w:rFonts w:ascii="Arial" w:hAnsi="Arial" w:cs="Arial"/>
                <w:b/>
                <w:bCs/>
                <w:sz w:val="20"/>
                <w:szCs w:val="20"/>
                <w:u w:val="single"/>
              </w:rPr>
              <w:t>2Q 2018</w:t>
            </w:r>
          </w:p>
        </w:tc>
      </w:tr>
      <w:tr w:rsidR="008A4E2F" w:rsidTr="008A4E2F">
        <w:trPr>
          <w:trHeight w:val="246"/>
        </w:trPr>
        <w:tc>
          <w:tcPr>
            <w:tcW w:w="3588" w:type="dxa"/>
            <w:tcMar>
              <w:top w:w="0" w:type="dxa"/>
              <w:left w:w="108" w:type="dxa"/>
              <w:bottom w:w="0" w:type="dxa"/>
              <w:right w:w="108" w:type="dxa"/>
            </w:tcMar>
            <w:hideMark/>
          </w:tcPr>
          <w:p w:rsidR="008A4E2F" w:rsidRDefault="008A4E2F">
            <w:pPr>
              <w:rPr>
                <w:rFonts w:ascii="Arial" w:hAnsi="Arial" w:cs="Arial"/>
                <w:sz w:val="20"/>
                <w:szCs w:val="20"/>
              </w:rPr>
            </w:pPr>
            <w:r>
              <w:rPr>
                <w:rFonts w:ascii="Arial" w:hAnsi="Arial" w:cs="Arial"/>
                <w:sz w:val="20"/>
                <w:szCs w:val="20"/>
              </w:rPr>
              <w:t>Revenue</w:t>
            </w:r>
          </w:p>
        </w:tc>
        <w:tc>
          <w:tcPr>
            <w:tcW w:w="1359"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$18,048 M</w:t>
            </w:r>
          </w:p>
        </w:tc>
        <w:tc>
          <w:tcPr>
            <w:tcW w:w="1630" w:type="dxa"/>
            <w:tcMar>
              <w:top w:w="0" w:type="dxa"/>
              <w:left w:w="108" w:type="dxa"/>
              <w:bottom w:w="0" w:type="dxa"/>
              <w:right w:w="108" w:type="dxa"/>
            </w:tcMar>
          </w:tcPr>
          <w:p w:rsidR="008A4E2F" w:rsidRDefault="008A4E2F">
            <w:pPr>
              <w:jc w:val="right"/>
              <w:rPr>
                <w:rFonts w:ascii="Arial" w:hAnsi="Arial" w:cs="Arial"/>
                <w:sz w:val="20"/>
                <w:szCs w:val="20"/>
              </w:rPr>
            </w:pPr>
          </w:p>
        </w:tc>
        <w:tc>
          <w:tcPr>
            <w:tcW w:w="1595"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$17,456 M</w:t>
            </w:r>
          </w:p>
        </w:tc>
        <w:tc>
          <w:tcPr>
            <w:tcW w:w="1404" w:type="dxa"/>
            <w:tcMar>
              <w:top w:w="0" w:type="dxa"/>
              <w:left w:w="108" w:type="dxa"/>
              <w:bottom w:w="0" w:type="dxa"/>
              <w:right w:w="108" w:type="dxa"/>
            </w:tcMar>
          </w:tcPr>
          <w:p w:rsidR="008A4E2F" w:rsidRDefault="008A4E2F">
            <w:pPr>
              <w:jc w:val="right"/>
              <w:rPr>
                <w:rFonts w:ascii="Arial" w:hAnsi="Arial" w:cs="Arial"/>
                <w:sz w:val="20"/>
                <w:szCs w:val="20"/>
              </w:rPr>
            </w:pPr>
          </w:p>
        </w:tc>
      </w:tr>
      <w:tr w:rsidR="008A4E2F" w:rsidTr="008A4E2F">
        <w:trPr>
          <w:trHeight w:val="246"/>
        </w:trPr>
        <w:tc>
          <w:tcPr>
            <w:tcW w:w="3588" w:type="dxa"/>
            <w:tcMar>
              <w:top w:w="0" w:type="dxa"/>
              <w:left w:w="108" w:type="dxa"/>
              <w:bottom w:w="0" w:type="dxa"/>
              <w:right w:w="108" w:type="dxa"/>
            </w:tcMar>
            <w:hideMark/>
          </w:tcPr>
          <w:p w:rsidR="008A4E2F" w:rsidRDefault="008A4E2F">
            <w:pPr>
              <w:rPr>
                <w:rFonts w:ascii="Arial" w:hAnsi="Arial" w:cs="Arial"/>
                <w:sz w:val="20"/>
                <w:szCs w:val="20"/>
              </w:rPr>
            </w:pPr>
            <w:r>
              <w:rPr>
                <w:rFonts w:ascii="Arial" w:hAnsi="Arial" w:cs="Arial"/>
                <w:sz w:val="20"/>
                <w:szCs w:val="20"/>
              </w:rPr>
              <w:t xml:space="preserve">Net Income </w:t>
            </w:r>
          </w:p>
        </w:tc>
        <w:tc>
          <w:tcPr>
            <w:tcW w:w="1359"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$1,685 M</w:t>
            </w:r>
          </w:p>
        </w:tc>
        <w:tc>
          <w:tcPr>
            <w:tcW w:w="1630"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$1,702 M</w:t>
            </w:r>
          </w:p>
        </w:tc>
        <w:tc>
          <w:tcPr>
            <w:tcW w:w="1595"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$1,485 M</w:t>
            </w:r>
          </w:p>
        </w:tc>
        <w:tc>
          <w:tcPr>
            <w:tcW w:w="1404"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$1,685 M</w:t>
            </w:r>
          </w:p>
        </w:tc>
      </w:tr>
      <w:tr w:rsidR="008A4E2F" w:rsidTr="008A4E2F">
        <w:trPr>
          <w:trHeight w:val="246"/>
        </w:trPr>
        <w:tc>
          <w:tcPr>
            <w:tcW w:w="3588" w:type="dxa"/>
            <w:tcMar>
              <w:top w:w="0" w:type="dxa"/>
              <w:left w:w="108" w:type="dxa"/>
              <w:bottom w:w="0" w:type="dxa"/>
              <w:right w:w="108" w:type="dxa"/>
            </w:tcMar>
            <w:hideMark/>
          </w:tcPr>
          <w:p w:rsidR="008A4E2F" w:rsidRDefault="008A4E2F">
            <w:pPr>
              <w:rPr>
                <w:rFonts w:ascii="Arial" w:hAnsi="Arial" w:cs="Arial"/>
                <w:sz w:val="20"/>
                <w:szCs w:val="20"/>
              </w:rPr>
            </w:pPr>
            <w:r>
              <w:rPr>
                <w:rFonts w:ascii="Arial" w:hAnsi="Arial" w:cs="Arial"/>
                <w:sz w:val="20"/>
                <w:szCs w:val="20"/>
              </w:rPr>
              <w:t>Diluted Earnings Per Share</w:t>
            </w:r>
          </w:p>
        </w:tc>
        <w:tc>
          <w:tcPr>
            <w:tcW w:w="1359"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$1.94</w:t>
            </w:r>
          </w:p>
        </w:tc>
        <w:tc>
          <w:tcPr>
            <w:tcW w:w="1630"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$1.96</w:t>
            </w:r>
          </w:p>
        </w:tc>
        <w:tc>
          <w:tcPr>
            <w:tcW w:w="1595"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$1.71</w:t>
            </w:r>
          </w:p>
        </w:tc>
        <w:tc>
          <w:tcPr>
            <w:tcW w:w="1404"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$1.94</w:t>
            </w:r>
          </w:p>
        </w:tc>
      </w:tr>
      <w:tr w:rsidR="008A4E2F" w:rsidTr="008A4E2F">
        <w:trPr>
          <w:trHeight w:val="176"/>
        </w:trPr>
        <w:tc>
          <w:tcPr>
            <w:tcW w:w="3588" w:type="dxa"/>
            <w:tcMar>
              <w:top w:w="0" w:type="dxa"/>
              <w:left w:w="108" w:type="dxa"/>
              <w:bottom w:w="0" w:type="dxa"/>
              <w:right w:w="108" w:type="dxa"/>
            </w:tcMar>
          </w:tcPr>
          <w:p w:rsidR="008A4E2F" w:rsidRDefault="008A4E2F">
            <w:pPr>
              <w:rPr>
                <w:rFonts w:ascii="Arial" w:hAnsi="Arial" w:cs="Arial"/>
                <w:sz w:val="14"/>
                <w:szCs w:val="14"/>
              </w:rPr>
            </w:pPr>
          </w:p>
        </w:tc>
        <w:tc>
          <w:tcPr>
            <w:tcW w:w="4584" w:type="dxa"/>
            <w:gridSpan w:val="3"/>
            <w:tcMar>
              <w:top w:w="0" w:type="dxa"/>
              <w:left w:w="108" w:type="dxa"/>
              <w:bottom w:w="0" w:type="dxa"/>
              <w:right w:w="108" w:type="dxa"/>
            </w:tcMar>
          </w:tcPr>
          <w:p w:rsidR="008A4E2F" w:rsidRDefault="008A4E2F">
            <w:pPr>
              <w:rPr>
                <w:rFonts w:ascii="Arial" w:hAnsi="Arial" w:cs="Arial"/>
                <w:sz w:val="14"/>
                <w:szCs w:val="14"/>
              </w:rPr>
            </w:pPr>
          </w:p>
        </w:tc>
        <w:tc>
          <w:tcPr>
            <w:tcW w:w="1404" w:type="dxa"/>
            <w:tcMar>
              <w:top w:w="0" w:type="dxa"/>
              <w:left w:w="108" w:type="dxa"/>
              <w:bottom w:w="0" w:type="dxa"/>
              <w:right w:w="108" w:type="dxa"/>
            </w:tcMar>
          </w:tcPr>
          <w:p w:rsidR="008A4E2F" w:rsidRDefault="008A4E2F">
            <w:pPr>
              <w:rPr>
                <w:rFonts w:ascii="Arial" w:hAnsi="Arial" w:cs="Arial"/>
                <w:sz w:val="14"/>
                <w:szCs w:val="14"/>
              </w:rPr>
            </w:pPr>
          </w:p>
        </w:tc>
      </w:tr>
    </w:tbl>
    <w:p w:rsidR="008A4E2F" w:rsidRDefault="008A4E2F" w:rsidP="008A4E2F">
      <w:pPr>
        <w:rPr>
          <w:rFonts w:ascii="Arial" w:hAnsi="Arial" w:cs="Arial"/>
          <w:sz w:val="20"/>
          <w:szCs w:val="20"/>
        </w:rPr>
      </w:pPr>
    </w:p>
    <w:p w:rsidR="008A4E2F" w:rsidRDefault="008A4E2F" w:rsidP="008A4E2F">
      <w:pPr>
        <w:rPr>
          <w:rFonts w:ascii="Arial" w:hAnsi="Arial" w:cs="Arial"/>
          <w:sz w:val="20"/>
          <w:szCs w:val="20"/>
          <w:vertAlign w:val="subscript"/>
        </w:rPr>
      </w:pPr>
      <w:r>
        <w:rPr>
          <w:rFonts w:ascii="Arial" w:hAnsi="Arial" w:cs="Arial"/>
          <w:b/>
          <w:bCs/>
          <w:sz w:val="20"/>
          <w:szCs w:val="20"/>
          <w:vertAlign w:val="subscript"/>
        </w:rPr>
        <w:t>* “</w:t>
      </w:r>
      <w:r>
        <w:rPr>
          <w:rFonts w:ascii="Arial" w:hAnsi="Arial" w:cs="Arial"/>
          <w:sz w:val="20"/>
          <w:szCs w:val="20"/>
          <w:vertAlign w:val="subscript"/>
        </w:rPr>
        <w:t>Adjusted” and “as adjusted” amounts presented in this release are non-GAAP financial measures. See the appendix to this release for a discussion of non-GAAP financial metrics, including a reconciliation to the most closely correlated GAAP measure.</w:t>
      </w:r>
    </w:p>
    <w:p w:rsidR="008A4E2F" w:rsidRDefault="008A4E2F" w:rsidP="008A4E2F">
      <w:pPr>
        <w:rPr>
          <w:rFonts w:ascii="Arial" w:hAnsi="Arial" w:cs="Arial"/>
        </w:rPr>
      </w:pPr>
    </w:p>
    <w:p w:rsidR="008A4E2F" w:rsidRDefault="008A4E2F" w:rsidP="008A4E2F">
      <w:pPr>
        <w:rPr>
          <w:rFonts w:ascii="Arial" w:hAnsi="Arial" w:cs="Arial"/>
        </w:rPr>
      </w:pPr>
    </w:p>
    <w:p w:rsidR="002F3EC4" w:rsidRDefault="002F3EC4" w:rsidP="008A4E2F">
      <w:pPr>
        <w:rPr>
          <w:rFonts w:ascii="Arial" w:hAnsi="Arial" w:cs="Arial"/>
        </w:rPr>
      </w:pPr>
    </w:p>
    <w:p w:rsidR="002F3EC4" w:rsidRDefault="002F3EC4" w:rsidP="008A4E2F">
      <w:pPr>
        <w:rPr>
          <w:rFonts w:ascii="Arial" w:hAnsi="Arial" w:cs="Arial"/>
        </w:rPr>
      </w:pPr>
    </w:p>
    <w:p w:rsidR="002F3EC4" w:rsidRDefault="002F3EC4" w:rsidP="008A4E2F">
      <w:pPr>
        <w:rPr>
          <w:rFonts w:ascii="Arial" w:hAnsi="Arial" w:cs="Arial"/>
        </w:rPr>
      </w:pPr>
    </w:p>
    <w:p w:rsidR="008A4E2F" w:rsidRDefault="008A4E2F" w:rsidP="008A4E2F">
      <w:pPr>
        <w:rPr>
          <w:rFonts w:ascii="Arial" w:hAnsi="Arial" w:cs="Arial"/>
        </w:rPr>
      </w:pPr>
      <w:r>
        <w:rPr>
          <w:rFonts w:ascii="Arial" w:hAnsi="Arial" w:cs="Arial"/>
        </w:rPr>
        <w:lastRenderedPageBreak/>
        <w:t>For the total company in 2Q 2019:</w:t>
      </w:r>
    </w:p>
    <w:p w:rsidR="008A4E2F" w:rsidRDefault="008A4E2F" w:rsidP="008A4E2F">
      <w:pPr>
        <w:rPr>
          <w:rFonts w:ascii="Arial" w:hAnsi="Arial" w:cs="Arial"/>
        </w:rPr>
      </w:pPr>
    </w:p>
    <w:p w:rsidR="008A4E2F" w:rsidRDefault="008A4E2F" w:rsidP="008A4E2F">
      <w:pPr>
        <w:pStyle w:val="ListParagraph"/>
        <w:numPr>
          <w:ilvl w:val="0"/>
          <w:numId w:val="3"/>
        </w:numPr>
        <w:rPr>
          <w:rFonts w:ascii="Arial" w:hAnsi="Arial" w:cs="Arial"/>
        </w:rPr>
      </w:pPr>
      <w:r>
        <w:rPr>
          <w:rFonts w:ascii="Arial" w:hAnsi="Arial" w:cs="Arial"/>
        </w:rPr>
        <w:t xml:space="preserve">Consolidated revenue increased 3.4% to $18 billion, driven by gains in average daily volume in the U.S. and higher-quality, currency-neutral revenue in the International segment.  </w:t>
      </w:r>
    </w:p>
    <w:p w:rsidR="008A4E2F" w:rsidRDefault="008A4E2F" w:rsidP="008A4E2F">
      <w:pPr>
        <w:pStyle w:val="ListParagraph"/>
        <w:numPr>
          <w:ilvl w:val="0"/>
          <w:numId w:val="3"/>
        </w:numPr>
        <w:rPr>
          <w:rFonts w:ascii="Arial" w:hAnsi="Arial" w:cs="Arial"/>
        </w:rPr>
      </w:pPr>
      <w:r>
        <w:rPr>
          <w:rFonts w:ascii="Arial" w:hAnsi="Arial" w:cs="Arial"/>
        </w:rPr>
        <w:t>Total operating profit grew nearly 21%, and 6.3% on an adjusted basis, with growth in all segments.</w:t>
      </w:r>
    </w:p>
    <w:p w:rsidR="008A4E2F" w:rsidRDefault="008A4E2F" w:rsidP="008A4E2F">
      <w:pPr>
        <w:pStyle w:val="ListParagraph"/>
        <w:numPr>
          <w:ilvl w:val="0"/>
          <w:numId w:val="3"/>
        </w:numPr>
        <w:rPr>
          <w:rFonts w:ascii="Arial" w:hAnsi="Arial" w:cs="Arial"/>
        </w:rPr>
      </w:pPr>
      <w:r>
        <w:rPr>
          <w:rFonts w:ascii="Arial" w:hAnsi="Arial" w:cs="Arial"/>
        </w:rPr>
        <w:t>Total operating margin expanded 170 basis points; adjusted operating margin expanded 30 basis points.</w:t>
      </w:r>
    </w:p>
    <w:p w:rsidR="008A4E2F" w:rsidRDefault="008A4E2F" w:rsidP="008A4E2F">
      <w:pPr>
        <w:pStyle w:val="ListParagraph"/>
        <w:numPr>
          <w:ilvl w:val="0"/>
          <w:numId w:val="3"/>
        </w:numPr>
        <w:rPr>
          <w:rFonts w:ascii="Arial" w:hAnsi="Arial" w:cs="Arial"/>
        </w:rPr>
      </w:pPr>
      <w:r>
        <w:rPr>
          <w:rFonts w:ascii="Arial" w:hAnsi="Arial" w:cs="Arial"/>
        </w:rPr>
        <w:t>Capital expenditures for the year are approximately $2.9 billion to support network enhancements.</w:t>
      </w:r>
    </w:p>
    <w:p w:rsidR="008A4E2F" w:rsidRDefault="008A4E2F" w:rsidP="008A4E2F">
      <w:pPr>
        <w:pStyle w:val="ListParagraph"/>
        <w:numPr>
          <w:ilvl w:val="0"/>
          <w:numId w:val="3"/>
        </w:numPr>
        <w:rPr>
          <w:rFonts w:ascii="Arial" w:hAnsi="Arial" w:cs="Arial"/>
        </w:rPr>
      </w:pPr>
      <w:r>
        <w:rPr>
          <w:rFonts w:ascii="Arial" w:hAnsi="Arial" w:cs="Arial"/>
        </w:rPr>
        <w:t>Year-to-date dividends per share increased 5.5% and the company repurchased 4.8 million shares for approximately $500 million.</w:t>
      </w:r>
    </w:p>
    <w:p w:rsidR="008A4E2F" w:rsidRDefault="008A4E2F" w:rsidP="008A4E2F">
      <w:pPr>
        <w:ind w:firstLine="720"/>
        <w:rPr>
          <w:rFonts w:ascii="Arial" w:hAnsi="Arial" w:cs="Arial"/>
        </w:rPr>
      </w:pPr>
    </w:p>
    <w:p w:rsidR="008A4E2F" w:rsidRDefault="008A4E2F" w:rsidP="008A4E2F">
      <w:pPr>
        <w:rPr>
          <w:rFonts w:ascii="Arial" w:hAnsi="Arial" w:cs="Arial"/>
          <w:b/>
          <w:bCs/>
          <w:u w:val="single"/>
          <w:lang w:val="en"/>
        </w:rPr>
      </w:pPr>
      <w:r>
        <w:rPr>
          <w:rFonts w:ascii="Arial" w:hAnsi="Arial" w:cs="Arial"/>
          <w:b/>
          <w:bCs/>
          <w:u w:val="single"/>
          <w:lang w:val="en"/>
        </w:rPr>
        <w:t>U.S. Domestic Segment</w:t>
      </w:r>
    </w:p>
    <w:p w:rsidR="008A4E2F" w:rsidRDefault="008A4E2F" w:rsidP="008A4E2F">
      <w:pPr>
        <w:rPr>
          <w:rFonts w:ascii="Arial" w:hAnsi="Arial" w:cs="Arial"/>
          <w:lang w:val="en"/>
        </w:rPr>
      </w:pPr>
    </w:p>
    <w:p w:rsidR="008A4E2F" w:rsidRDefault="008A4E2F" w:rsidP="008A4E2F">
      <w:pPr>
        <w:rPr>
          <w:rFonts w:ascii="Arial" w:hAnsi="Arial" w:cs="Arial"/>
          <w:lang w:val="en"/>
        </w:rPr>
      </w:pPr>
      <w:r>
        <w:rPr>
          <w:rFonts w:ascii="Arial" w:hAnsi="Arial" w:cs="Arial"/>
          <w:lang w:val="en"/>
        </w:rPr>
        <w:t xml:space="preserve">The U.S. Domestic segment generated significant volume growth in all products, led by a more than 30% surge in UPS Next Day Air volume. The sharp increase in demand for the company’s next-day services was driven by accelerated delivery requirements from e-commerce shippers. </w:t>
      </w:r>
    </w:p>
    <w:p w:rsidR="008A4E2F" w:rsidRDefault="008A4E2F" w:rsidP="008A4E2F">
      <w:pPr>
        <w:rPr>
          <w:rFonts w:ascii="Arial" w:hAnsi="Arial" w:cs="Arial"/>
          <w:lang w:val="en"/>
        </w:rPr>
      </w:pPr>
    </w:p>
    <w:p w:rsidR="008A4E2F" w:rsidRDefault="008A4E2F" w:rsidP="008A4E2F">
      <w:pPr>
        <w:rPr>
          <w:rFonts w:ascii="Arial" w:hAnsi="Arial" w:cs="Arial"/>
          <w:lang w:val="en"/>
        </w:rPr>
      </w:pPr>
      <w:r>
        <w:rPr>
          <w:rFonts w:ascii="Arial" w:hAnsi="Arial" w:cs="Arial"/>
          <w:lang w:val="en"/>
        </w:rPr>
        <w:t>“Demand for faster delivery is a structural change in our industry,” said Abney. “Anticipating this change, our additional air capacity and modernized network enabled this growth to have a positive impact on profitability and positions UPS well to serve the growing needs of the market.”</w:t>
      </w:r>
    </w:p>
    <w:p w:rsidR="008A4E2F" w:rsidRDefault="008A4E2F" w:rsidP="008A4E2F">
      <w:pPr>
        <w:rPr>
          <w:rFonts w:ascii="Arial" w:hAnsi="Arial" w:cs="Arial"/>
          <w:lang w:val="en"/>
        </w:rPr>
      </w:pPr>
    </w:p>
    <w:p w:rsidR="008A4E2F" w:rsidRDefault="008A4E2F" w:rsidP="008A4E2F">
      <w:pPr>
        <w:rPr>
          <w:rFonts w:ascii="Arial" w:hAnsi="Arial" w:cs="Arial"/>
          <w:lang w:val="en"/>
        </w:rPr>
      </w:pPr>
      <w:r>
        <w:rPr>
          <w:rFonts w:ascii="Arial" w:hAnsi="Arial" w:cs="Arial"/>
          <w:lang w:val="en"/>
        </w:rPr>
        <w:t xml:space="preserve">Both B2B and B2C shipments grew within the period.  In addition, the company added more than 2 million square feet of new, automated sorting capabilities, increasing efficiency benefits and contributing to positive operating leverage. </w:t>
      </w:r>
    </w:p>
    <w:p w:rsidR="008A4E2F" w:rsidRDefault="008A4E2F" w:rsidP="008A4E2F">
      <w:pPr>
        <w:ind w:firstLine="720"/>
        <w:rPr>
          <w:rFonts w:ascii="Arial" w:hAnsi="Arial" w:cs="Arial"/>
        </w:rPr>
      </w:pPr>
    </w:p>
    <w:tbl>
      <w:tblPr>
        <w:tblW w:w="9198" w:type="dxa"/>
        <w:tblInd w:w="378" w:type="dxa"/>
        <w:tblCellMar>
          <w:left w:w="0" w:type="dxa"/>
          <w:right w:w="0" w:type="dxa"/>
        </w:tblCellMar>
        <w:tblLook w:val="04A0" w:firstRow="1" w:lastRow="0" w:firstColumn="1" w:lastColumn="0" w:noHBand="0" w:noVBand="1"/>
      </w:tblPr>
      <w:tblGrid>
        <w:gridCol w:w="2885"/>
        <w:gridCol w:w="1616"/>
        <w:gridCol w:w="1652"/>
        <w:gridCol w:w="1617"/>
        <w:gridCol w:w="1428"/>
      </w:tblGrid>
      <w:tr w:rsidR="008A4E2F" w:rsidTr="008A4E2F">
        <w:trPr>
          <w:trHeight w:val="476"/>
        </w:trPr>
        <w:tc>
          <w:tcPr>
            <w:tcW w:w="2885" w:type="dxa"/>
            <w:tcMar>
              <w:top w:w="0" w:type="dxa"/>
              <w:left w:w="108" w:type="dxa"/>
              <w:bottom w:w="0" w:type="dxa"/>
              <w:right w:w="108" w:type="dxa"/>
            </w:tcMar>
          </w:tcPr>
          <w:p w:rsidR="008A4E2F" w:rsidRDefault="008A4E2F">
            <w:pPr>
              <w:rPr>
                <w:rFonts w:ascii="Arial" w:hAnsi="Arial" w:cs="Arial"/>
                <w:b/>
                <w:bCs/>
                <w:sz w:val="20"/>
                <w:szCs w:val="20"/>
                <w:u w:val="single"/>
              </w:rPr>
            </w:pPr>
          </w:p>
          <w:p w:rsidR="008A4E2F" w:rsidRDefault="008A4E2F">
            <w:pPr>
              <w:rPr>
                <w:rFonts w:ascii="Arial" w:hAnsi="Arial" w:cs="Arial"/>
                <w:b/>
                <w:bCs/>
                <w:sz w:val="20"/>
                <w:szCs w:val="20"/>
                <w:u w:val="single"/>
              </w:rPr>
            </w:pPr>
          </w:p>
        </w:tc>
        <w:tc>
          <w:tcPr>
            <w:tcW w:w="1616" w:type="dxa"/>
            <w:tcMar>
              <w:top w:w="0" w:type="dxa"/>
              <w:left w:w="108" w:type="dxa"/>
              <w:bottom w:w="0" w:type="dxa"/>
              <w:right w:w="108" w:type="dxa"/>
            </w:tcMar>
          </w:tcPr>
          <w:p w:rsidR="008A4E2F" w:rsidRDefault="008A4E2F">
            <w:pPr>
              <w:jc w:val="right"/>
              <w:rPr>
                <w:rFonts w:ascii="Arial" w:hAnsi="Arial" w:cs="Arial"/>
                <w:b/>
                <w:bCs/>
                <w:sz w:val="20"/>
                <w:szCs w:val="20"/>
                <w:u w:val="single"/>
              </w:rPr>
            </w:pPr>
          </w:p>
          <w:p w:rsidR="008A4E2F" w:rsidRDefault="008A4E2F">
            <w:pPr>
              <w:jc w:val="right"/>
              <w:rPr>
                <w:rFonts w:ascii="Arial" w:hAnsi="Arial" w:cs="Arial"/>
                <w:b/>
                <w:bCs/>
                <w:sz w:val="20"/>
                <w:szCs w:val="20"/>
                <w:u w:val="single"/>
              </w:rPr>
            </w:pPr>
            <w:r>
              <w:rPr>
                <w:rFonts w:ascii="Arial" w:hAnsi="Arial" w:cs="Arial"/>
                <w:b/>
                <w:bCs/>
                <w:sz w:val="20"/>
                <w:szCs w:val="20"/>
                <w:u w:val="single"/>
              </w:rPr>
              <w:t>2Q 2019</w:t>
            </w:r>
          </w:p>
        </w:tc>
        <w:tc>
          <w:tcPr>
            <w:tcW w:w="1652" w:type="dxa"/>
            <w:tcMar>
              <w:top w:w="0" w:type="dxa"/>
              <w:left w:w="108" w:type="dxa"/>
              <w:bottom w:w="0" w:type="dxa"/>
              <w:right w:w="108" w:type="dxa"/>
            </w:tcMar>
            <w:hideMark/>
          </w:tcPr>
          <w:p w:rsidR="008A4E2F" w:rsidRDefault="008A4E2F">
            <w:pPr>
              <w:jc w:val="right"/>
              <w:rPr>
                <w:rFonts w:ascii="Arial" w:hAnsi="Arial" w:cs="Arial"/>
                <w:b/>
                <w:bCs/>
                <w:sz w:val="20"/>
                <w:szCs w:val="20"/>
                <w:u w:val="single"/>
              </w:rPr>
            </w:pPr>
            <w:r>
              <w:rPr>
                <w:rFonts w:ascii="Arial" w:hAnsi="Arial" w:cs="Arial"/>
                <w:b/>
                <w:bCs/>
                <w:sz w:val="20"/>
                <w:szCs w:val="20"/>
                <w:u w:val="single"/>
              </w:rPr>
              <w:t>Adjusted</w:t>
            </w:r>
          </w:p>
          <w:p w:rsidR="008A4E2F" w:rsidRDefault="008A4E2F">
            <w:pPr>
              <w:jc w:val="right"/>
              <w:rPr>
                <w:rFonts w:ascii="Arial" w:hAnsi="Arial" w:cs="Arial"/>
                <w:b/>
                <w:bCs/>
                <w:sz w:val="20"/>
                <w:szCs w:val="20"/>
                <w:u w:val="single"/>
              </w:rPr>
            </w:pPr>
            <w:r>
              <w:rPr>
                <w:rFonts w:ascii="Arial" w:hAnsi="Arial" w:cs="Arial"/>
                <w:b/>
                <w:bCs/>
                <w:sz w:val="20"/>
                <w:szCs w:val="20"/>
                <w:u w:val="single"/>
              </w:rPr>
              <w:t>2Q 2019</w:t>
            </w:r>
          </w:p>
        </w:tc>
        <w:tc>
          <w:tcPr>
            <w:tcW w:w="1617" w:type="dxa"/>
            <w:tcMar>
              <w:top w:w="0" w:type="dxa"/>
              <w:left w:w="108" w:type="dxa"/>
              <w:bottom w:w="0" w:type="dxa"/>
              <w:right w:w="108" w:type="dxa"/>
            </w:tcMar>
          </w:tcPr>
          <w:p w:rsidR="008A4E2F" w:rsidRDefault="008A4E2F">
            <w:pPr>
              <w:jc w:val="right"/>
              <w:rPr>
                <w:rFonts w:ascii="Arial" w:hAnsi="Arial" w:cs="Arial"/>
                <w:b/>
                <w:bCs/>
                <w:sz w:val="20"/>
                <w:szCs w:val="20"/>
                <w:u w:val="single"/>
              </w:rPr>
            </w:pPr>
          </w:p>
          <w:p w:rsidR="008A4E2F" w:rsidRDefault="008A4E2F">
            <w:pPr>
              <w:jc w:val="right"/>
              <w:rPr>
                <w:rFonts w:ascii="Arial" w:hAnsi="Arial" w:cs="Arial"/>
                <w:b/>
                <w:bCs/>
                <w:sz w:val="20"/>
                <w:szCs w:val="20"/>
                <w:u w:val="single"/>
              </w:rPr>
            </w:pPr>
            <w:r>
              <w:rPr>
                <w:rFonts w:ascii="Arial" w:hAnsi="Arial" w:cs="Arial"/>
                <w:b/>
                <w:bCs/>
                <w:sz w:val="20"/>
                <w:szCs w:val="20"/>
                <w:u w:val="single"/>
              </w:rPr>
              <w:t>2Q 2018</w:t>
            </w:r>
          </w:p>
        </w:tc>
        <w:tc>
          <w:tcPr>
            <w:tcW w:w="1428" w:type="dxa"/>
            <w:tcMar>
              <w:top w:w="0" w:type="dxa"/>
              <w:left w:w="108" w:type="dxa"/>
              <w:bottom w:w="0" w:type="dxa"/>
              <w:right w:w="108" w:type="dxa"/>
            </w:tcMar>
            <w:hideMark/>
          </w:tcPr>
          <w:p w:rsidR="008A4E2F" w:rsidRDefault="008A4E2F">
            <w:pPr>
              <w:jc w:val="right"/>
              <w:rPr>
                <w:rFonts w:ascii="Arial" w:hAnsi="Arial" w:cs="Arial"/>
                <w:b/>
                <w:bCs/>
                <w:sz w:val="20"/>
                <w:szCs w:val="20"/>
                <w:u w:val="single"/>
              </w:rPr>
            </w:pPr>
            <w:r>
              <w:rPr>
                <w:rFonts w:ascii="Arial" w:hAnsi="Arial" w:cs="Arial"/>
                <w:b/>
                <w:bCs/>
                <w:sz w:val="20"/>
                <w:szCs w:val="20"/>
                <w:u w:val="single"/>
              </w:rPr>
              <w:t>Adjusted</w:t>
            </w:r>
          </w:p>
          <w:p w:rsidR="008A4E2F" w:rsidRDefault="008A4E2F">
            <w:pPr>
              <w:jc w:val="right"/>
              <w:rPr>
                <w:rFonts w:ascii="Arial" w:hAnsi="Arial" w:cs="Arial"/>
                <w:b/>
                <w:bCs/>
                <w:sz w:val="20"/>
                <w:szCs w:val="20"/>
                <w:u w:val="single"/>
              </w:rPr>
            </w:pPr>
            <w:r>
              <w:rPr>
                <w:rFonts w:ascii="Arial" w:hAnsi="Arial" w:cs="Arial"/>
                <w:b/>
                <w:bCs/>
                <w:sz w:val="20"/>
                <w:szCs w:val="20"/>
                <w:u w:val="single"/>
              </w:rPr>
              <w:t>2Q 2018</w:t>
            </w:r>
          </w:p>
        </w:tc>
      </w:tr>
      <w:tr w:rsidR="008A4E2F" w:rsidTr="008A4E2F">
        <w:trPr>
          <w:trHeight w:val="227"/>
        </w:trPr>
        <w:tc>
          <w:tcPr>
            <w:tcW w:w="2885" w:type="dxa"/>
            <w:tcMar>
              <w:top w:w="0" w:type="dxa"/>
              <w:left w:w="108" w:type="dxa"/>
              <w:bottom w:w="0" w:type="dxa"/>
              <w:right w:w="108" w:type="dxa"/>
            </w:tcMar>
            <w:hideMark/>
          </w:tcPr>
          <w:p w:rsidR="008A4E2F" w:rsidRDefault="008A4E2F">
            <w:pPr>
              <w:rPr>
                <w:rFonts w:ascii="Arial" w:hAnsi="Arial" w:cs="Arial"/>
                <w:sz w:val="20"/>
                <w:szCs w:val="20"/>
              </w:rPr>
            </w:pPr>
            <w:r>
              <w:rPr>
                <w:rFonts w:ascii="Arial" w:hAnsi="Arial" w:cs="Arial"/>
                <w:sz w:val="20"/>
                <w:szCs w:val="20"/>
              </w:rPr>
              <w:t>Revenue</w:t>
            </w:r>
          </w:p>
        </w:tc>
        <w:tc>
          <w:tcPr>
            <w:tcW w:w="1616"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$11,150 M</w:t>
            </w:r>
          </w:p>
        </w:tc>
        <w:tc>
          <w:tcPr>
            <w:tcW w:w="1652" w:type="dxa"/>
            <w:tcMar>
              <w:top w:w="0" w:type="dxa"/>
              <w:left w:w="108" w:type="dxa"/>
              <w:bottom w:w="0" w:type="dxa"/>
              <w:right w:w="108" w:type="dxa"/>
            </w:tcMar>
          </w:tcPr>
          <w:p w:rsidR="008A4E2F" w:rsidRDefault="008A4E2F">
            <w:pPr>
              <w:jc w:val="right"/>
              <w:rPr>
                <w:rFonts w:ascii="Arial" w:hAnsi="Arial" w:cs="Arial"/>
                <w:sz w:val="20"/>
                <w:szCs w:val="20"/>
              </w:rPr>
            </w:pPr>
          </w:p>
        </w:tc>
        <w:tc>
          <w:tcPr>
            <w:tcW w:w="1617"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$10,354 M</w:t>
            </w:r>
          </w:p>
        </w:tc>
        <w:tc>
          <w:tcPr>
            <w:tcW w:w="1428" w:type="dxa"/>
            <w:tcMar>
              <w:top w:w="0" w:type="dxa"/>
              <w:left w:w="108" w:type="dxa"/>
              <w:bottom w:w="0" w:type="dxa"/>
              <w:right w:w="108" w:type="dxa"/>
            </w:tcMar>
          </w:tcPr>
          <w:p w:rsidR="008A4E2F" w:rsidRDefault="008A4E2F">
            <w:pPr>
              <w:jc w:val="right"/>
              <w:rPr>
                <w:rFonts w:ascii="Arial" w:hAnsi="Arial" w:cs="Arial"/>
                <w:sz w:val="20"/>
                <w:szCs w:val="20"/>
              </w:rPr>
            </w:pPr>
          </w:p>
        </w:tc>
      </w:tr>
      <w:tr w:rsidR="008A4E2F" w:rsidTr="008A4E2F">
        <w:trPr>
          <w:trHeight w:val="227"/>
        </w:trPr>
        <w:tc>
          <w:tcPr>
            <w:tcW w:w="2885" w:type="dxa"/>
            <w:tcMar>
              <w:top w:w="0" w:type="dxa"/>
              <w:left w:w="108" w:type="dxa"/>
              <w:bottom w:w="0" w:type="dxa"/>
              <w:right w:w="108" w:type="dxa"/>
            </w:tcMar>
            <w:hideMark/>
          </w:tcPr>
          <w:p w:rsidR="008A4E2F" w:rsidRDefault="008A4E2F">
            <w:pPr>
              <w:rPr>
                <w:rFonts w:ascii="Arial" w:hAnsi="Arial" w:cs="Arial"/>
                <w:sz w:val="20"/>
                <w:szCs w:val="20"/>
              </w:rPr>
            </w:pPr>
            <w:r>
              <w:rPr>
                <w:rFonts w:ascii="Arial" w:hAnsi="Arial" w:cs="Arial"/>
                <w:sz w:val="20"/>
                <w:szCs w:val="20"/>
              </w:rPr>
              <w:t>Operating profit</w:t>
            </w:r>
          </w:p>
        </w:tc>
        <w:tc>
          <w:tcPr>
            <w:tcW w:w="1616"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$1,208 M</w:t>
            </w:r>
          </w:p>
        </w:tc>
        <w:tc>
          <w:tcPr>
            <w:tcW w:w="1652"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$1,226 M</w:t>
            </w:r>
          </w:p>
        </w:tc>
        <w:tc>
          <w:tcPr>
            <w:tcW w:w="1617"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$939 M</w:t>
            </w:r>
          </w:p>
        </w:tc>
        <w:tc>
          <w:tcPr>
            <w:tcW w:w="1428"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$1,135 M</w:t>
            </w:r>
          </w:p>
        </w:tc>
      </w:tr>
      <w:tr w:rsidR="008A4E2F" w:rsidTr="008A4E2F">
        <w:trPr>
          <w:trHeight w:val="142"/>
        </w:trPr>
        <w:tc>
          <w:tcPr>
            <w:tcW w:w="2885" w:type="dxa"/>
            <w:tcMar>
              <w:top w:w="0" w:type="dxa"/>
              <w:left w:w="108" w:type="dxa"/>
              <w:bottom w:w="0" w:type="dxa"/>
              <w:right w:w="108" w:type="dxa"/>
            </w:tcMar>
          </w:tcPr>
          <w:p w:rsidR="008A4E2F" w:rsidRDefault="008A4E2F">
            <w:pPr>
              <w:rPr>
                <w:rFonts w:ascii="Arial" w:hAnsi="Arial" w:cs="Arial"/>
                <w:sz w:val="20"/>
                <w:szCs w:val="20"/>
              </w:rPr>
            </w:pPr>
          </w:p>
        </w:tc>
        <w:tc>
          <w:tcPr>
            <w:tcW w:w="4885" w:type="dxa"/>
            <w:gridSpan w:val="3"/>
            <w:tcMar>
              <w:top w:w="0" w:type="dxa"/>
              <w:left w:w="108" w:type="dxa"/>
              <w:bottom w:w="0" w:type="dxa"/>
              <w:right w:w="108" w:type="dxa"/>
            </w:tcMar>
          </w:tcPr>
          <w:p w:rsidR="008A4E2F" w:rsidRDefault="008A4E2F">
            <w:pPr>
              <w:rPr>
                <w:rFonts w:ascii="Arial" w:hAnsi="Arial" w:cs="Arial"/>
                <w:sz w:val="20"/>
                <w:szCs w:val="20"/>
              </w:rPr>
            </w:pPr>
          </w:p>
        </w:tc>
        <w:tc>
          <w:tcPr>
            <w:tcW w:w="1428" w:type="dxa"/>
            <w:tcMar>
              <w:top w:w="0" w:type="dxa"/>
              <w:left w:w="108" w:type="dxa"/>
              <w:bottom w:w="0" w:type="dxa"/>
              <w:right w:w="108" w:type="dxa"/>
            </w:tcMar>
          </w:tcPr>
          <w:p w:rsidR="008A4E2F" w:rsidRDefault="008A4E2F">
            <w:pPr>
              <w:rPr>
                <w:rFonts w:ascii="Arial" w:hAnsi="Arial" w:cs="Arial"/>
                <w:sz w:val="20"/>
                <w:szCs w:val="20"/>
              </w:rPr>
            </w:pPr>
          </w:p>
        </w:tc>
      </w:tr>
    </w:tbl>
    <w:p w:rsidR="008A4E2F" w:rsidRDefault="008A4E2F" w:rsidP="008A4E2F">
      <w:pPr>
        <w:rPr>
          <w:rFonts w:ascii="Arial" w:hAnsi="Arial" w:cs="Arial"/>
        </w:rPr>
      </w:pPr>
    </w:p>
    <w:p w:rsidR="008A4E2F" w:rsidRDefault="008A4E2F" w:rsidP="008A4E2F">
      <w:pPr>
        <w:pStyle w:val="ListParagraph"/>
        <w:numPr>
          <w:ilvl w:val="0"/>
          <w:numId w:val="3"/>
        </w:numPr>
        <w:rPr>
          <w:rFonts w:ascii="Arial" w:hAnsi="Arial" w:cs="Arial"/>
        </w:rPr>
      </w:pPr>
      <w:r>
        <w:rPr>
          <w:rFonts w:ascii="Arial" w:hAnsi="Arial" w:cs="Arial"/>
        </w:rPr>
        <w:t>Revenue increased $796 million or 7.7% over 2Q 2018, led by increased demand for air services from customers in healthcare and retail.</w:t>
      </w:r>
    </w:p>
    <w:p w:rsidR="008A4E2F" w:rsidRDefault="008A4E2F" w:rsidP="008A4E2F">
      <w:pPr>
        <w:pStyle w:val="ListParagraph"/>
        <w:numPr>
          <w:ilvl w:val="0"/>
          <w:numId w:val="3"/>
        </w:numPr>
        <w:rPr>
          <w:rFonts w:ascii="Arial" w:hAnsi="Arial" w:cs="Arial"/>
        </w:rPr>
      </w:pPr>
      <w:r>
        <w:rPr>
          <w:rFonts w:ascii="Arial" w:hAnsi="Arial" w:cs="Arial"/>
        </w:rPr>
        <w:t>Operating profit increased by 28.6%, or 8% on an adjusted basis.</w:t>
      </w:r>
    </w:p>
    <w:p w:rsidR="008A4E2F" w:rsidRDefault="008A4E2F" w:rsidP="008A4E2F">
      <w:pPr>
        <w:pStyle w:val="ListParagraph"/>
        <w:numPr>
          <w:ilvl w:val="0"/>
          <w:numId w:val="3"/>
        </w:numPr>
        <w:rPr>
          <w:rFonts w:ascii="Arial" w:hAnsi="Arial" w:cs="Arial"/>
        </w:rPr>
      </w:pPr>
      <w:r>
        <w:rPr>
          <w:rFonts w:ascii="Arial" w:hAnsi="Arial" w:cs="Arial"/>
        </w:rPr>
        <w:t xml:space="preserve">Operating margins were 10.8%, and 11% on an adjusted basis. </w:t>
      </w:r>
    </w:p>
    <w:p w:rsidR="008A4E2F" w:rsidRDefault="008A4E2F" w:rsidP="008A4E2F">
      <w:pPr>
        <w:pStyle w:val="ListParagraph"/>
        <w:numPr>
          <w:ilvl w:val="0"/>
          <w:numId w:val="3"/>
        </w:numPr>
        <w:rPr>
          <w:rFonts w:ascii="Arial" w:hAnsi="Arial" w:cs="Arial"/>
        </w:rPr>
      </w:pPr>
      <w:r>
        <w:rPr>
          <w:rFonts w:ascii="Arial" w:hAnsi="Arial" w:cs="Arial"/>
        </w:rPr>
        <w:t xml:space="preserve">Network efficiencies continued to reduce the growth in cost per piece, with a steady decline in unit cost growth for the third straight quarter. </w:t>
      </w:r>
    </w:p>
    <w:p w:rsidR="008A4E2F" w:rsidRDefault="008A4E2F" w:rsidP="008A4E2F">
      <w:pPr>
        <w:rPr>
          <w:rFonts w:ascii="Arial" w:hAnsi="Arial" w:cs="Arial"/>
          <w:b/>
          <w:bCs/>
          <w:u w:val="single"/>
          <w:lang w:val="en"/>
        </w:rPr>
      </w:pPr>
    </w:p>
    <w:p w:rsidR="008A4E2F" w:rsidRDefault="008A4E2F" w:rsidP="008A4E2F">
      <w:pPr>
        <w:rPr>
          <w:rFonts w:ascii="Arial" w:hAnsi="Arial" w:cs="Arial"/>
          <w:b/>
          <w:bCs/>
          <w:u w:val="single"/>
          <w:lang w:val="en"/>
        </w:rPr>
      </w:pPr>
      <w:r>
        <w:rPr>
          <w:rFonts w:ascii="Arial" w:hAnsi="Arial" w:cs="Arial"/>
          <w:b/>
          <w:bCs/>
          <w:u w:val="single"/>
          <w:lang w:val="en"/>
        </w:rPr>
        <w:t>International Segment</w:t>
      </w:r>
    </w:p>
    <w:p w:rsidR="008A4E2F" w:rsidRDefault="008A4E2F" w:rsidP="008A4E2F">
      <w:pPr>
        <w:ind w:firstLine="720"/>
        <w:rPr>
          <w:rFonts w:ascii="Arial" w:hAnsi="Arial" w:cs="Arial"/>
        </w:rPr>
      </w:pPr>
    </w:p>
    <w:p w:rsidR="008A4E2F" w:rsidRDefault="008A4E2F" w:rsidP="008A4E2F">
      <w:pPr>
        <w:rPr>
          <w:rFonts w:ascii="Arial" w:hAnsi="Arial" w:cs="Arial"/>
        </w:rPr>
      </w:pPr>
      <w:r>
        <w:rPr>
          <w:rFonts w:ascii="Arial" w:hAnsi="Arial" w:cs="Arial"/>
        </w:rPr>
        <w:t>International benefitted from its highly flexible network and by targeting growth markets within the company’s diverse revenue base. The segment generated its best second-quarter profit in history and expanded adjusted operating margins while navigating areas of trade uncertainty.</w:t>
      </w:r>
    </w:p>
    <w:p w:rsidR="008A4E2F" w:rsidRDefault="008A4E2F" w:rsidP="008A4E2F">
      <w:pPr>
        <w:rPr>
          <w:rFonts w:ascii="Arial" w:hAnsi="Arial" w:cs="Arial"/>
        </w:rPr>
      </w:pPr>
    </w:p>
    <w:p w:rsidR="008A4E2F" w:rsidRDefault="008A4E2F" w:rsidP="008A4E2F">
      <w:pPr>
        <w:rPr>
          <w:rFonts w:ascii="Arial" w:hAnsi="Arial" w:cs="Arial"/>
        </w:rPr>
      </w:pPr>
    </w:p>
    <w:p w:rsidR="002F3EC4" w:rsidRDefault="002F3EC4" w:rsidP="008A4E2F">
      <w:pPr>
        <w:rPr>
          <w:rFonts w:ascii="Arial" w:hAnsi="Arial" w:cs="Arial"/>
        </w:rPr>
      </w:pPr>
    </w:p>
    <w:p w:rsidR="002F3EC4" w:rsidRDefault="002F3EC4" w:rsidP="008A4E2F">
      <w:pPr>
        <w:rPr>
          <w:rFonts w:ascii="Arial" w:hAnsi="Arial" w:cs="Arial"/>
        </w:rPr>
      </w:pPr>
    </w:p>
    <w:tbl>
      <w:tblPr>
        <w:tblW w:w="9388" w:type="dxa"/>
        <w:tblCellMar>
          <w:left w:w="0" w:type="dxa"/>
          <w:right w:w="0" w:type="dxa"/>
        </w:tblCellMar>
        <w:tblLook w:val="04A0" w:firstRow="1" w:lastRow="0" w:firstColumn="1" w:lastColumn="0" w:noHBand="0" w:noVBand="1"/>
      </w:tblPr>
      <w:tblGrid>
        <w:gridCol w:w="2150"/>
        <w:gridCol w:w="2621"/>
        <w:gridCol w:w="1539"/>
        <w:gridCol w:w="1539"/>
        <w:gridCol w:w="1539"/>
      </w:tblGrid>
      <w:tr w:rsidR="008A4E2F" w:rsidTr="008A4E2F">
        <w:trPr>
          <w:trHeight w:val="395"/>
        </w:trPr>
        <w:tc>
          <w:tcPr>
            <w:tcW w:w="2150" w:type="dxa"/>
            <w:tcMar>
              <w:top w:w="0" w:type="dxa"/>
              <w:left w:w="108" w:type="dxa"/>
              <w:bottom w:w="0" w:type="dxa"/>
              <w:right w:w="108" w:type="dxa"/>
            </w:tcMar>
          </w:tcPr>
          <w:p w:rsidR="008A4E2F" w:rsidRDefault="008A4E2F">
            <w:pPr>
              <w:rPr>
                <w:rFonts w:ascii="Arial" w:hAnsi="Arial" w:cs="Arial"/>
                <w:b/>
                <w:bCs/>
                <w:u w:val="single"/>
              </w:rPr>
            </w:pPr>
          </w:p>
          <w:p w:rsidR="008A4E2F" w:rsidRDefault="008A4E2F">
            <w:pPr>
              <w:rPr>
                <w:rFonts w:ascii="Arial" w:hAnsi="Arial" w:cs="Arial"/>
                <w:b/>
                <w:bCs/>
                <w:sz w:val="20"/>
                <w:szCs w:val="20"/>
                <w:u w:val="single"/>
              </w:rPr>
            </w:pPr>
          </w:p>
        </w:tc>
        <w:tc>
          <w:tcPr>
            <w:tcW w:w="2621" w:type="dxa"/>
            <w:tcMar>
              <w:top w:w="0" w:type="dxa"/>
              <w:left w:w="108" w:type="dxa"/>
              <w:bottom w:w="0" w:type="dxa"/>
              <w:right w:w="108" w:type="dxa"/>
            </w:tcMar>
          </w:tcPr>
          <w:p w:rsidR="008A4E2F" w:rsidRDefault="008A4E2F">
            <w:pPr>
              <w:jc w:val="right"/>
              <w:rPr>
                <w:rFonts w:ascii="Arial" w:hAnsi="Arial" w:cs="Arial"/>
                <w:b/>
                <w:bCs/>
                <w:sz w:val="20"/>
                <w:szCs w:val="20"/>
                <w:u w:val="single"/>
              </w:rPr>
            </w:pPr>
          </w:p>
          <w:p w:rsidR="008A4E2F" w:rsidRDefault="008A4E2F">
            <w:pPr>
              <w:jc w:val="right"/>
              <w:rPr>
                <w:rFonts w:ascii="Arial" w:hAnsi="Arial" w:cs="Arial"/>
                <w:b/>
                <w:bCs/>
                <w:sz w:val="20"/>
                <w:szCs w:val="20"/>
                <w:u w:val="single"/>
              </w:rPr>
            </w:pPr>
            <w:r>
              <w:rPr>
                <w:rFonts w:ascii="Arial" w:hAnsi="Arial" w:cs="Arial"/>
                <w:b/>
                <w:bCs/>
                <w:sz w:val="20"/>
                <w:szCs w:val="20"/>
                <w:u w:val="single"/>
              </w:rPr>
              <w:t>2Q 2019</w:t>
            </w:r>
          </w:p>
        </w:tc>
        <w:tc>
          <w:tcPr>
            <w:tcW w:w="1539" w:type="dxa"/>
            <w:tcMar>
              <w:top w:w="0" w:type="dxa"/>
              <w:left w:w="108" w:type="dxa"/>
              <w:bottom w:w="0" w:type="dxa"/>
              <w:right w:w="108" w:type="dxa"/>
            </w:tcMar>
            <w:hideMark/>
          </w:tcPr>
          <w:p w:rsidR="008A4E2F" w:rsidRDefault="008A4E2F">
            <w:pPr>
              <w:jc w:val="right"/>
              <w:rPr>
                <w:rFonts w:ascii="Arial" w:hAnsi="Arial" w:cs="Arial"/>
                <w:b/>
                <w:bCs/>
                <w:sz w:val="20"/>
                <w:szCs w:val="20"/>
                <w:u w:val="single"/>
              </w:rPr>
            </w:pPr>
            <w:r>
              <w:rPr>
                <w:rFonts w:ascii="Arial" w:hAnsi="Arial" w:cs="Arial"/>
                <w:b/>
                <w:bCs/>
                <w:sz w:val="20"/>
                <w:szCs w:val="20"/>
                <w:u w:val="single"/>
              </w:rPr>
              <w:t>Adjusted</w:t>
            </w:r>
          </w:p>
          <w:p w:rsidR="008A4E2F" w:rsidRDefault="008A4E2F">
            <w:pPr>
              <w:jc w:val="right"/>
              <w:rPr>
                <w:rFonts w:ascii="Arial" w:hAnsi="Arial" w:cs="Arial"/>
                <w:b/>
                <w:bCs/>
                <w:sz w:val="20"/>
                <w:szCs w:val="20"/>
                <w:u w:val="single"/>
              </w:rPr>
            </w:pPr>
            <w:r>
              <w:rPr>
                <w:rFonts w:ascii="Arial" w:hAnsi="Arial" w:cs="Arial"/>
                <w:b/>
                <w:bCs/>
                <w:sz w:val="20"/>
                <w:szCs w:val="20"/>
                <w:u w:val="single"/>
              </w:rPr>
              <w:t>2Q 2019</w:t>
            </w:r>
          </w:p>
        </w:tc>
        <w:tc>
          <w:tcPr>
            <w:tcW w:w="1539" w:type="dxa"/>
            <w:tcMar>
              <w:top w:w="0" w:type="dxa"/>
              <w:left w:w="108" w:type="dxa"/>
              <w:bottom w:w="0" w:type="dxa"/>
              <w:right w:w="108" w:type="dxa"/>
            </w:tcMar>
          </w:tcPr>
          <w:p w:rsidR="008A4E2F" w:rsidRDefault="008A4E2F">
            <w:pPr>
              <w:jc w:val="right"/>
              <w:rPr>
                <w:rFonts w:ascii="Arial" w:hAnsi="Arial" w:cs="Arial"/>
                <w:b/>
                <w:bCs/>
                <w:sz w:val="20"/>
                <w:szCs w:val="20"/>
                <w:u w:val="single"/>
              </w:rPr>
            </w:pPr>
          </w:p>
          <w:p w:rsidR="008A4E2F" w:rsidRDefault="008A4E2F">
            <w:pPr>
              <w:jc w:val="right"/>
              <w:rPr>
                <w:rFonts w:ascii="Arial" w:hAnsi="Arial" w:cs="Arial"/>
                <w:b/>
                <w:bCs/>
                <w:sz w:val="20"/>
                <w:szCs w:val="20"/>
                <w:u w:val="single"/>
              </w:rPr>
            </w:pPr>
            <w:r>
              <w:rPr>
                <w:rFonts w:ascii="Arial" w:hAnsi="Arial" w:cs="Arial"/>
                <w:b/>
                <w:bCs/>
                <w:sz w:val="20"/>
                <w:szCs w:val="20"/>
                <w:u w:val="single"/>
              </w:rPr>
              <w:t>2Q 2018</w:t>
            </w:r>
          </w:p>
        </w:tc>
        <w:tc>
          <w:tcPr>
            <w:tcW w:w="1539" w:type="dxa"/>
            <w:tcMar>
              <w:top w:w="0" w:type="dxa"/>
              <w:left w:w="108" w:type="dxa"/>
              <w:bottom w:w="0" w:type="dxa"/>
              <w:right w:w="108" w:type="dxa"/>
            </w:tcMar>
            <w:hideMark/>
          </w:tcPr>
          <w:p w:rsidR="008A4E2F" w:rsidRDefault="008A4E2F">
            <w:pPr>
              <w:jc w:val="right"/>
              <w:rPr>
                <w:rFonts w:ascii="Arial" w:hAnsi="Arial" w:cs="Arial"/>
                <w:b/>
                <w:bCs/>
                <w:sz w:val="20"/>
                <w:szCs w:val="20"/>
                <w:u w:val="single"/>
              </w:rPr>
            </w:pPr>
            <w:r>
              <w:rPr>
                <w:rFonts w:ascii="Arial" w:hAnsi="Arial" w:cs="Arial"/>
                <w:b/>
                <w:bCs/>
                <w:sz w:val="20"/>
                <w:szCs w:val="20"/>
                <w:u w:val="single"/>
              </w:rPr>
              <w:t>Adjusted</w:t>
            </w:r>
          </w:p>
          <w:p w:rsidR="008A4E2F" w:rsidRDefault="008A4E2F">
            <w:pPr>
              <w:jc w:val="right"/>
              <w:rPr>
                <w:rFonts w:ascii="Arial" w:hAnsi="Arial" w:cs="Arial"/>
                <w:b/>
                <w:bCs/>
                <w:sz w:val="20"/>
                <w:szCs w:val="20"/>
                <w:u w:val="single"/>
              </w:rPr>
            </w:pPr>
            <w:r>
              <w:rPr>
                <w:rFonts w:ascii="Arial" w:hAnsi="Arial" w:cs="Arial"/>
                <w:b/>
                <w:bCs/>
                <w:sz w:val="20"/>
                <w:szCs w:val="20"/>
                <w:u w:val="single"/>
              </w:rPr>
              <w:t>2Q 2018</w:t>
            </w:r>
          </w:p>
        </w:tc>
      </w:tr>
      <w:tr w:rsidR="008A4E2F" w:rsidTr="008A4E2F">
        <w:trPr>
          <w:trHeight w:val="184"/>
        </w:trPr>
        <w:tc>
          <w:tcPr>
            <w:tcW w:w="2150" w:type="dxa"/>
            <w:tcMar>
              <w:top w:w="0" w:type="dxa"/>
              <w:left w:w="108" w:type="dxa"/>
              <w:bottom w:w="0" w:type="dxa"/>
              <w:right w:w="108" w:type="dxa"/>
            </w:tcMar>
            <w:hideMark/>
          </w:tcPr>
          <w:p w:rsidR="008A4E2F" w:rsidRDefault="008A4E2F">
            <w:pPr>
              <w:rPr>
                <w:rFonts w:ascii="Arial" w:hAnsi="Arial" w:cs="Arial"/>
                <w:sz w:val="20"/>
                <w:szCs w:val="20"/>
              </w:rPr>
            </w:pPr>
            <w:r>
              <w:rPr>
                <w:rFonts w:ascii="Arial" w:hAnsi="Arial" w:cs="Arial"/>
                <w:sz w:val="20"/>
                <w:szCs w:val="20"/>
              </w:rPr>
              <w:t>Revenue</w:t>
            </w:r>
          </w:p>
        </w:tc>
        <w:tc>
          <w:tcPr>
            <w:tcW w:w="2621"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$3,505 M</w:t>
            </w:r>
          </w:p>
        </w:tc>
        <w:tc>
          <w:tcPr>
            <w:tcW w:w="1539" w:type="dxa"/>
            <w:tcMar>
              <w:top w:w="0" w:type="dxa"/>
              <w:left w:w="108" w:type="dxa"/>
              <w:bottom w:w="0" w:type="dxa"/>
              <w:right w:w="108" w:type="dxa"/>
            </w:tcMar>
          </w:tcPr>
          <w:p w:rsidR="008A4E2F" w:rsidRDefault="008A4E2F">
            <w:pPr>
              <w:jc w:val="right"/>
              <w:rPr>
                <w:rFonts w:ascii="Arial" w:hAnsi="Arial" w:cs="Arial"/>
                <w:sz w:val="20"/>
                <w:szCs w:val="20"/>
              </w:rPr>
            </w:pPr>
          </w:p>
        </w:tc>
        <w:tc>
          <w:tcPr>
            <w:tcW w:w="1539"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$3,602 M</w:t>
            </w:r>
          </w:p>
        </w:tc>
        <w:tc>
          <w:tcPr>
            <w:tcW w:w="1539" w:type="dxa"/>
            <w:tcMar>
              <w:top w:w="0" w:type="dxa"/>
              <w:left w:w="108" w:type="dxa"/>
              <w:bottom w:w="0" w:type="dxa"/>
              <w:right w:w="108" w:type="dxa"/>
            </w:tcMar>
          </w:tcPr>
          <w:p w:rsidR="008A4E2F" w:rsidRDefault="008A4E2F">
            <w:pPr>
              <w:jc w:val="right"/>
              <w:rPr>
                <w:rFonts w:ascii="Arial" w:hAnsi="Arial" w:cs="Arial"/>
                <w:sz w:val="20"/>
                <w:szCs w:val="20"/>
              </w:rPr>
            </w:pPr>
          </w:p>
        </w:tc>
      </w:tr>
      <w:tr w:rsidR="008A4E2F" w:rsidTr="008A4E2F">
        <w:trPr>
          <w:trHeight w:val="184"/>
        </w:trPr>
        <w:tc>
          <w:tcPr>
            <w:tcW w:w="2150" w:type="dxa"/>
            <w:tcMar>
              <w:top w:w="0" w:type="dxa"/>
              <w:left w:w="108" w:type="dxa"/>
              <w:bottom w:w="0" w:type="dxa"/>
              <w:right w:w="108" w:type="dxa"/>
            </w:tcMar>
            <w:hideMark/>
          </w:tcPr>
          <w:p w:rsidR="008A4E2F" w:rsidRDefault="008A4E2F">
            <w:pPr>
              <w:rPr>
                <w:rFonts w:ascii="Arial" w:hAnsi="Arial" w:cs="Arial"/>
                <w:sz w:val="20"/>
                <w:szCs w:val="20"/>
              </w:rPr>
            </w:pPr>
            <w:r>
              <w:rPr>
                <w:rFonts w:ascii="Arial" w:hAnsi="Arial" w:cs="Arial"/>
                <w:sz w:val="20"/>
                <w:szCs w:val="20"/>
              </w:rPr>
              <w:t>Operating profit</w:t>
            </w:r>
          </w:p>
        </w:tc>
        <w:tc>
          <w:tcPr>
            <w:tcW w:w="2621"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$663 M</w:t>
            </w:r>
          </w:p>
        </w:tc>
        <w:tc>
          <w:tcPr>
            <w:tcW w:w="1539"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$665 M</w:t>
            </w:r>
          </w:p>
        </w:tc>
        <w:tc>
          <w:tcPr>
            <w:tcW w:w="1539"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$618 M</w:t>
            </w:r>
          </w:p>
        </w:tc>
        <w:tc>
          <w:tcPr>
            <w:tcW w:w="1539"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$654 M</w:t>
            </w:r>
          </w:p>
        </w:tc>
      </w:tr>
    </w:tbl>
    <w:p w:rsidR="008A4E2F" w:rsidRDefault="008A4E2F" w:rsidP="008A4E2F">
      <w:pPr>
        <w:ind w:left="720" w:hanging="720"/>
        <w:rPr>
          <w:rFonts w:ascii="Arial" w:hAnsi="Arial" w:cs="Arial"/>
          <w:sz w:val="24"/>
          <w:szCs w:val="24"/>
        </w:rPr>
      </w:pPr>
    </w:p>
    <w:p w:rsidR="008A4E2F" w:rsidRDefault="008A4E2F" w:rsidP="008A4E2F">
      <w:pPr>
        <w:pStyle w:val="ListParagraph"/>
        <w:numPr>
          <w:ilvl w:val="0"/>
          <w:numId w:val="3"/>
        </w:numPr>
        <w:rPr>
          <w:rFonts w:ascii="Arial" w:hAnsi="Arial" w:cs="Arial"/>
        </w:rPr>
      </w:pPr>
      <w:r>
        <w:rPr>
          <w:rFonts w:ascii="Arial" w:hAnsi="Arial" w:cs="Arial"/>
        </w:rPr>
        <w:t>International volume slightly declined due to global macroeconomic pressure and tough year-over-year comparisons, as 2Q 2018 exports grew 9.5%.</w:t>
      </w:r>
    </w:p>
    <w:p w:rsidR="008A4E2F" w:rsidRDefault="008A4E2F" w:rsidP="008A4E2F">
      <w:pPr>
        <w:pStyle w:val="ListParagraph"/>
        <w:numPr>
          <w:ilvl w:val="0"/>
          <w:numId w:val="3"/>
        </w:numPr>
        <w:rPr>
          <w:rFonts w:ascii="Arial" w:hAnsi="Arial" w:cs="Arial"/>
        </w:rPr>
      </w:pPr>
      <w:r>
        <w:rPr>
          <w:rFonts w:ascii="Arial" w:hAnsi="Arial" w:cs="Arial"/>
        </w:rPr>
        <w:t>Total revenue per piece fell less than 1%, but grew nearly 2% when adjusting for currency.</w:t>
      </w:r>
    </w:p>
    <w:p w:rsidR="008A4E2F" w:rsidRDefault="008A4E2F" w:rsidP="008A4E2F">
      <w:pPr>
        <w:pStyle w:val="ListParagraph"/>
        <w:numPr>
          <w:ilvl w:val="0"/>
          <w:numId w:val="3"/>
        </w:numPr>
        <w:rPr>
          <w:rFonts w:ascii="Arial" w:hAnsi="Arial" w:cs="Arial"/>
        </w:rPr>
      </w:pPr>
      <w:r>
        <w:rPr>
          <w:rFonts w:ascii="Arial" w:hAnsi="Arial" w:cs="Arial"/>
        </w:rPr>
        <w:t>International domestic revenue per piece rose 0.3%, an increase of 5.6% on a currency-neutral basis.</w:t>
      </w:r>
    </w:p>
    <w:p w:rsidR="008A4E2F" w:rsidRDefault="008A4E2F" w:rsidP="008A4E2F">
      <w:pPr>
        <w:pStyle w:val="ListParagraph"/>
        <w:numPr>
          <w:ilvl w:val="0"/>
          <w:numId w:val="3"/>
        </w:numPr>
        <w:rPr>
          <w:rFonts w:ascii="Arial" w:hAnsi="Arial" w:cs="Arial"/>
        </w:rPr>
      </w:pPr>
      <w:r>
        <w:rPr>
          <w:rFonts w:ascii="Arial" w:hAnsi="Arial" w:cs="Arial"/>
        </w:rPr>
        <w:t xml:space="preserve">Operating profit increased more than 7%, or by 1.7% on an adjusted basis. </w:t>
      </w:r>
    </w:p>
    <w:p w:rsidR="008A4E2F" w:rsidRDefault="008A4E2F" w:rsidP="008A4E2F">
      <w:pPr>
        <w:rPr>
          <w:rFonts w:ascii="Arial" w:hAnsi="Arial" w:cs="Arial"/>
          <w:b/>
          <w:bCs/>
          <w:u w:val="single"/>
        </w:rPr>
      </w:pPr>
    </w:p>
    <w:p w:rsidR="008A4E2F" w:rsidRDefault="008A4E2F" w:rsidP="008A4E2F">
      <w:pPr>
        <w:rPr>
          <w:rFonts w:ascii="Arial" w:hAnsi="Arial" w:cs="Arial"/>
          <w:b/>
          <w:bCs/>
          <w:u w:val="single"/>
          <w:lang w:val="en"/>
        </w:rPr>
      </w:pPr>
      <w:r>
        <w:rPr>
          <w:rFonts w:ascii="Arial" w:hAnsi="Arial" w:cs="Arial"/>
          <w:b/>
          <w:bCs/>
          <w:u w:val="single"/>
          <w:lang w:val="en"/>
        </w:rPr>
        <w:t>Supply Chain and Freight Segment</w:t>
      </w:r>
    </w:p>
    <w:p w:rsidR="008A4E2F" w:rsidRDefault="008A4E2F" w:rsidP="008A4E2F">
      <w:pPr>
        <w:rPr>
          <w:rFonts w:ascii="Arial" w:hAnsi="Arial" w:cs="Arial"/>
          <w:b/>
          <w:bCs/>
          <w:u w:val="single"/>
          <w:lang w:val="en"/>
        </w:rPr>
      </w:pPr>
    </w:p>
    <w:p w:rsidR="008A4E2F" w:rsidRDefault="008A4E2F" w:rsidP="008A4E2F">
      <w:pPr>
        <w:rPr>
          <w:rFonts w:ascii="Arial" w:hAnsi="Arial" w:cs="Arial"/>
          <w:lang w:val="en"/>
        </w:rPr>
      </w:pPr>
      <w:r>
        <w:rPr>
          <w:rFonts w:ascii="Arial" w:hAnsi="Arial" w:cs="Arial"/>
          <w:lang w:val="en"/>
        </w:rPr>
        <w:t xml:space="preserve">Supply Chain and Freight grew operating profit to more than $270 million, a double-digit increase for the quarter. Successful cost management enabled by the company’s asset-light strategies delivered strong financial results while revenue was pressured by softer trade. </w:t>
      </w:r>
    </w:p>
    <w:p w:rsidR="008A4E2F" w:rsidRDefault="008A4E2F" w:rsidP="008A4E2F">
      <w:pPr>
        <w:rPr>
          <w:rFonts w:ascii="Arial" w:hAnsi="Arial" w:cs="Arial"/>
          <w:b/>
          <w:bCs/>
          <w:u w:val="single"/>
        </w:rPr>
      </w:pPr>
    </w:p>
    <w:tbl>
      <w:tblPr>
        <w:tblW w:w="9576" w:type="dxa"/>
        <w:tblCellMar>
          <w:left w:w="0" w:type="dxa"/>
          <w:right w:w="0" w:type="dxa"/>
        </w:tblCellMar>
        <w:tblLook w:val="04A0" w:firstRow="1" w:lastRow="0" w:firstColumn="1" w:lastColumn="0" w:noHBand="0" w:noVBand="1"/>
      </w:tblPr>
      <w:tblGrid>
        <w:gridCol w:w="3206"/>
        <w:gridCol w:w="1648"/>
        <w:gridCol w:w="1667"/>
        <w:gridCol w:w="1605"/>
        <w:gridCol w:w="1450"/>
      </w:tblGrid>
      <w:tr w:rsidR="008A4E2F" w:rsidTr="008A4E2F">
        <w:trPr>
          <w:trHeight w:val="495"/>
        </w:trPr>
        <w:tc>
          <w:tcPr>
            <w:tcW w:w="3206" w:type="dxa"/>
            <w:tcMar>
              <w:top w:w="0" w:type="dxa"/>
              <w:left w:w="108" w:type="dxa"/>
              <w:bottom w:w="0" w:type="dxa"/>
              <w:right w:w="108" w:type="dxa"/>
            </w:tcMar>
          </w:tcPr>
          <w:p w:rsidR="008A4E2F" w:rsidRDefault="008A4E2F">
            <w:pPr>
              <w:rPr>
                <w:rFonts w:ascii="Arial" w:hAnsi="Arial" w:cs="Arial"/>
                <w:b/>
                <w:bCs/>
                <w:sz w:val="20"/>
                <w:szCs w:val="20"/>
                <w:u w:val="single"/>
              </w:rPr>
            </w:pPr>
          </w:p>
        </w:tc>
        <w:tc>
          <w:tcPr>
            <w:tcW w:w="1648" w:type="dxa"/>
            <w:tcMar>
              <w:top w:w="0" w:type="dxa"/>
              <w:left w:w="108" w:type="dxa"/>
              <w:bottom w:w="0" w:type="dxa"/>
              <w:right w:w="108" w:type="dxa"/>
            </w:tcMar>
          </w:tcPr>
          <w:p w:rsidR="008A4E2F" w:rsidRDefault="008A4E2F">
            <w:pPr>
              <w:jc w:val="right"/>
              <w:rPr>
                <w:rFonts w:ascii="Arial" w:hAnsi="Arial" w:cs="Arial"/>
                <w:b/>
                <w:bCs/>
                <w:sz w:val="20"/>
                <w:szCs w:val="20"/>
                <w:u w:val="single"/>
              </w:rPr>
            </w:pPr>
          </w:p>
          <w:p w:rsidR="008A4E2F" w:rsidRDefault="008A4E2F">
            <w:pPr>
              <w:jc w:val="right"/>
              <w:rPr>
                <w:rFonts w:ascii="Arial" w:hAnsi="Arial" w:cs="Arial"/>
                <w:b/>
                <w:bCs/>
                <w:sz w:val="20"/>
                <w:szCs w:val="20"/>
                <w:u w:val="single"/>
              </w:rPr>
            </w:pPr>
            <w:r>
              <w:rPr>
                <w:rFonts w:ascii="Arial" w:hAnsi="Arial" w:cs="Arial"/>
                <w:b/>
                <w:bCs/>
                <w:sz w:val="20"/>
                <w:szCs w:val="20"/>
                <w:u w:val="single"/>
              </w:rPr>
              <w:t>2Q 2019</w:t>
            </w:r>
          </w:p>
        </w:tc>
        <w:tc>
          <w:tcPr>
            <w:tcW w:w="1667" w:type="dxa"/>
            <w:tcMar>
              <w:top w:w="0" w:type="dxa"/>
              <w:left w:w="108" w:type="dxa"/>
              <w:bottom w:w="0" w:type="dxa"/>
              <w:right w:w="108" w:type="dxa"/>
            </w:tcMar>
            <w:hideMark/>
          </w:tcPr>
          <w:p w:rsidR="008A4E2F" w:rsidRDefault="008A4E2F">
            <w:pPr>
              <w:jc w:val="right"/>
              <w:rPr>
                <w:rFonts w:ascii="Arial" w:hAnsi="Arial" w:cs="Arial"/>
                <w:b/>
                <w:bCs/>
                <w:sz w:val="20"/>
                <w:szCs w:val="20"/>
                <w:u w:val="single"/>
              </w:rPr>
            </w:pPr>
            <w:r>
              <w:rPr>
                <w:rFonts w:ascii="Arial" w:hAnsi="Arial" w:cs="Arial"/>
                <w:b/>
                <w:bCs/>
                <w:sz w:val="20"/>
                <w:szCs w:val="20"/>
                <w:u w:val="single"/>
              </w:rPr>
              <w:t>Adjusted</w:t>
            </w:r>
          </w:p>
          <w:p w:rsidR="008A4E2F" w:rsidRDefault="008A4E2F">
            <w:pPr>
              <w:jc w:val="right"/>
              <w:rPr>
                <w:rFonts w:ascii="Arial" w:hAnsi="Arial" w:cs="Arial"/>
                <w:b/>
                <w:bCs/>
                <w:sz w:val="20"/>
                <w:szCs w:val="20"/>
                <w:u w:val="single"/>
              </w:rPr>
            </w:pPr>
            <w:r>
              <w:rPr>
                <w:rFonts w:ascii="Arial" w:hAnsi="Arial" w:cs="Arial"/>
                <w:b/>
                <w:bCs/>
                <w:sz w:val="20"/>
                <w:szCs w:val="20"/>
                <w:u w:val="single"/>
              </w:rPr>
              <w:t>2Q 2019</w:t>
            </w:r>
          </w:p>
        </w:tc>
        <w:tc>
          <w:tcPr>
            <w:tcW w:w="1605" w:type="dxa"/>
            <w:tcMar>
              <w:top w:w="0" w:type="dxa"/>
              <w:left w:w="108" w:type="dxa"/>
              <w:bottom w:w="0" w:type="dxa"/>
              <w:right w:w="108" w:type="dxa"/>
            </w:tcMar>
          </w:tcPr>
          <w:p w:rsidR="008A4E2F" w:rsidRDefault="008A4E2F">
            <w:pPr>
              <w:jc w:val="right"/>
              <w:rPr>
                <w:rFonts w:ascii="Arial" w:hAnsi="Arial" w:cs="Arial"/>
                <w:b/>
                <w:bCs/>
                <w:sz w:val="20"/>
                <w:szCs w:val="20"/>
                <w:u w:val="single"/>
              </w:rPr>
            </w:pPr>
          </w:p>
          <w:p w:rsidR="008A4E2F" w:rsidRDefault="008A4E2F">
            <w:pPr>
              <w:jc w:val="right"/>
              <w:rPr>
                <w:rFonts w:ascii="Arial" w:hAnsi="Arial" w:cs="Arial"/>
                <w:b/>
                <w:bCs/>
                <w:sz w:val="20"/>
                <w:szCs w:val="20"/>
                <w:u w:val="single"/>
              </w:rPr>
            </w:pPr>
            <w:r>
              <w:rPr>
                <w:rFonts w:ascii="Arial" w:hAnsi="Arial" w:cs="Arial"/>
                <w:b/>
                <w:bCs/>
                <w:sz w:val="20"/>
                <w:szCs w:val="20"/>
                <w:u w:val="single"/>
              </w:rPr>
              <w:t>2Q 2018</w:t>
            </w:r>
          </w:p>
        </w:tc>
        <w:tc>
          <w:tcPr>
            <w:tcW w:w="1450" w:type="dxa"/>
            <w:tcMar>
              <w:top w:w="0" w:type="dxa"/>
              <w:left w:w="108" w:type="dxa"/>
              <w:bottom w:w="0" w:type="dxa"/>
              <w:right w:w="108" w:type="dxa"/>
            </w:tcMar>
            <w:hideMark/>
          </w:tcPr>
          <w:p w:rsidR="008A4E2F" w:rsidRDefault="008A4E2F">
            <w:pPr>
              <w:jc w:val="right"/>
              <w:rPr>
                <w:rFonts w:ascii="Arial" w:hAnsi="Arial" w:cs="Arial"/>
                <w:b/>
                <w:bCs/>
                <w:sz w:val="20"/>
                <w:szCs w:val="20"/>
                <w:u w:val="single"/>
              </w:rPr>
            </w:pPr>
            <w:r>
              <w:rPr>
                <w:rFonts w:ascii="Arial" w:hAnsi="Arial" w:cs="Arial"/>
                <w:b/>
                <w:bCs/>
                <w:sz w:val="20"/>
                <w:szCs w:val="20"/>
                <w:u w:val="single"/>
              </w:rPr>
              <w:t>Adjusted</w:t>
            </w:r>
          </w:p>
          <w:p w:rsidR="008A4E2F" w:rsidRDefault="008A4E2F">
            <w:pPr>
              <w:jc w:val="right"/>
              <w:rPr>
                <w:rFonts w:ascii="Arial" w:hAnsi="Arial" w:cs="Arial"/>
                <w:b/>
                <w:bCs/>
                <w:sz w:val="20"/>
                <w:szCs w:val="20"/>
                <w:u w:val="single"/>
              </w:rPr>
            </w:pPr>
            <w:r>
              <w:rPr>
                <w:rFonts w:ascii="Arial" w:hAnsi="Arial" w:cs="Arial"/>
                <w:b/>
                <w:bCs/>
                <w:sz w:val="20"/>
                <w:szCs w:val="20"/>
                <w:u w:val="single"/>
              </w:rPr>
              <w:t>2Q 2018</w:t>
            </w:r>
          </w:p>
        </w:tc>
      </w:tr>
      <w:tr w:rsidR="008A4E2F" w:rsidTr="008A4E2F">
        <w:trPr>
          <w:trHeight w:val="221"/>
        </w:trPr>
        <w:tc>
          <w:tcPr>
            <w:tcW w:w="3206" w:type="dxa"/>
            <w:tcMar>
              <w:top w:w="0" w:type="dxa"/>
              <w:left w:w="108" w:type="dxa"/>
              <w:bottom w:w="0" w:type="dxa"/>
              <w:right w:w="108" w:type="dxa"/>
            </w:tcMar>
            <w:hideMark/>
          </w:tcPr>
          <w:p w:rsidR="008A4E2F" w:rsidRDefault="008A4E2F">
            <w:pPr>
              <w:rPr>
                <w:rFonts w:ascii="Arial" w:hAnsi="Arial" w:cs="Arial"/>
                <w:sz w:val="20"/>
                <w:szCs w:val="20"/>
              </w:rPr>
            </w:pPr>
            <w:r>
              <w:rPr>
                <w:rFonts w:ascii="Arial" w:hAnsi="Arial" w:cs="Arial"/>
                <w:sz w:val="20"/>
                <w:szCs w:val="20"/>
              </w:rPr>
              <w:t>Revenue</w:t>
            </w:r>
          </w:p>
        </w:tc>
        <w:tc>
          <w:tcPr>
            <w:tcW w:w="1648"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$3,393M</w:t>
            </w:r>
          </w:p>
        </w:tc>
        <w:tc>
          <w:tcPr>
            <w:tcW w:w="1667" w:type="dxa"/>
            <w:tcMar>
              <w:top w:w="0" w:type="dxa"/>
              <w:left w:w="108" w:type="dxa"/>
              <w:bottom w:w="0" w:type="dxa"/>
              <w:right w:w="108" w:type="dxa"/>
            </w:tcMar>
          </w:tcPr>
          <w:p w:rsidR="008A4E2F" w:rsidRDefault="008A4E2F">
            <w:pPr>
              <w:jc w:val="right"/>
              <w:rPr>
                <w:rFonts w:ascii="Arial" w:hAnsi="Arial" w:cs="Arial"/>
                <w:sz w:val="20"/>
                <w:szCs w:val="20"/>
              </w:rPr>
            </w:pPr>
          </w:p>
        </w:tc>
        <w:tc>
          <w:tcPr>
            <w:tcW w:w="1605"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$3,500 M</w:t>
            </w:r>
          </w:p>
        </w:tc>
        <w:tc>
          <w:tcPr>
            <w:tcW w:w="1450" w:type="dxa"/>
            <w:tcMar>
              <w:top w:w="0" w:type="dxa"/>
              <w:left w:w="108" w:type="dxa"/>
              <w:bottom w:w="0" w:type="dxa"/>
              <w:right w:w="108" w:type="dxa"/>
            </w:tcMar>
          </w:tcPr>
          <w:p w:rsidR="008A4E2F" w:rsidRDefault="008A4E2F">
            <w:pPr>
              <w:jc w:val="right"/>
              <w:rPr>
                <w:rFonts w:ascii="Arial" w:hAnsi="Arial" w:cs="Arial"/>
                <w:sz w:val="20"/>
                <w:szCs w:val="20"/>
              </w:rPr>
            </w:pPr>
          </w:p>
        </w:tc>
      </w:tr>
      <w:tr w:rsidR="008A4E2F" w:rsidTr="008A4E2F">
        <w:trPr>
          <w:trHeight w:val="221"/>
        </w:trPr>
        <w:tc>
          <w:tcPr>
            <w:tcW w:w="3206" w:type="dxa"/>
            <w:tcMar>
              <w:top w:w="0" w:type="dxa"/>
              <w:left w:w="108" w:type="dxa"/>
              <w:bottom w:w="0" w:type="dxa"/>
              <w:right w:w="108" w:type="dxa"/>
            </w:tcMar>
            <w:hideMark/>
          </w:tcPr>
          <w:p w:rsidR="008A4E2F" w:rsidRDefault="008A4E2F">
            <w:pPr>
              <w:rPr>
                <w:rFonts w:ascii="Arial" w:hAnsi="Arial" w:cs="Arial"/>
                <w:sz w:val="20"/>
                <w:szCs w:val="20"/>
              </w:rPr>
            </w:pPr>
            <w:r>
              <w:rPr>
                <w:rFonts w:ascii="Arial" w:hAnsi="Arial" w:cs="Arial"/>
                <w:sz w:val="20"/>
                <w:szCs w:val="20"/>
              </w:rPr>
              <w:t>Operating profit</w:t>
            </w:r>
          </w:p>
        </w:tc>
        <w:tc>
          <w:tcPr>
            <w:tcW w:w="1648"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$272 M</w:t>
            </w:r>
          </w:p>
        </w:tc>
        <w:tc>
          <w:tcPr>
            <w:tcW w:w="1667"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$273 M</w:t>
            </w:r>
          </w:p>
        </w:tc>
        <w:tc>
          <w:tcPr>
            <w:tcW w:w="1605"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$216 M</w:t>
            </w:r>
          </w:p>
        </w:tc>
        <w:tc>
          <w:tcPr>
            <w:tcW w:w="1450" w:type="dxa"/>
            <w:tcMar>
              <w:top w:w="0" w:type="dxa"/>
              <w:left w:w="108" w:type="dxa"/>
              <w:bottom w:w="0" w:type="dxa"/>
              <w:right w:w="108" w:type="dxa"/>
            </w:tcMar>
            <w:hideMark/>
          </w:tcPr>
          <w:p w:rsidR="008A4E2F" w:rsidRDefault="008A4E2F">
            <w:pPr>
              <w:jc w:val="right"/>
              <w:rPr>
                <w:rFonts w:ascii="Arial" w:hAnsi="Arial" w:cs="Arial"/>
                <w:sz w:val="20"/>
                <w:szCs w:val="20"/>
              </w:rPr>
            </w:pPr>
            <w:r>
              <w:rPr>
                <w:rFonts w:ascii="Arial" w:hAnsi="Arial" w:cs="Arial"/>
                <w:sz w:val="20"/>
                <w:szCs w:val="20"/>
              </w:rPr>
              <w:t>$247 M</w:t>
            </w:r>
          </w:p>
        </w:tc>
      </w:tr>
    </w:tbl>
    <w:p w:rsidR="008A4E2F" w:rsidRDefault="008A4E2F" w:rsidP="008A4E2F">
      <w:pPr>
        <w:rPr>
          <w:rFonts w:ascii="Arial" w:hAnsi="Arial" w:cs="Arial"/>
        </w:rPr>
      </w:pPr>
    </w:p>
    <w:p w:rsidR="008A4E2F" w:rsidRDefault="008A4E2F" w:rsidP="008A4E2F">
      <w:pPr>
        <w:pStyle w:val="ListParagraph"/>
        <w:numPr>
          <w:ilvl w:val="0"/>
          <w:numId w:val="3"/>
        </w:numPr>
        <w:rPr>
          <w:rFonts w:ascii="Arial" w:hAnsi="Arial" w:cs="Arial"/>
          <w:color w:val="000000"/>
        </w:rPr>
      </w:pPr>
      <w:r>
        <w:rPr>
          <w:rFonts w:ascii="Arial" w:hAnsi="Arial" w:cs="Arial"/>
          <w:color w:val="000000"/>
        </w:rPr>
        <w:t xml:space="preserve">Operating margins expanded to 8% on an adjusted and unadjusted basis, due to </w:t>
      </w:r>
      <w:r>
        <w:rPr>
          <w:rFonts w:ascii="Arial" w:hAnsi="Arial" w:cs="Arial"/>
        </w:rPr>
        <w:t>strong execution, disciplined cost management and strategic initiatives</w:t>
      </w:r>
      <w:r>
        <w:rPr>
          <w:rFonts w:ascii="Arial" w:hAnsi="Arial" w:cs="Arial"/>
          <w:color w:val="000000"/>
        </w:rPr>
        <w:t xml:space="preserve"> that focus on delivering excellent service levels and growing high-quality revenue from the SMB market.</w:t>
      </w:r>
    </w:p>
    <w:p w:rsidR="008A4E2F" w:rsidRDefault="008A4E2F" w:rsidP="008A4E2F">
      <w:pPr>
        <w:pStyle w:val="ListParagraph"/>
        <w:numPr>
          <w:ilvl w:val="0"/>
          <w:numId w:val="3"/>
        </w:numPr>
        <w:rPr>
          <w:rFonts w:ascii="Arial" w:hAnsi="Arial" w:cs="Arial"/>
          <w:color w:val="000000"/>
        </w:rPr>
      </w:pPr>
      <w:r>
        <w:rPr>
          <w:rFonts w:ascii="Arial" w:hAnsi="Arial" w:cs="Arial"/>
          <w:color w:val="000000"/>
        </w:rPr>
        <w:t>International Air Freight achieved robust profit growth on a decline in tonnage, driven by expanded buy/sell spreads.</w:t>
      </w:r>
    </w:p>
    <w:p w:rsidR="008A4E2F" w:rsidRDefault="008A4E2F" w:rsidP="008A4E2F">
      <w:pPr>
        <w:pStyle w:val="ListParagraph"/>
        <w:numPr>
          <w:ilvl w:val="0"/>
          <w:numId w:val="3"/>
        </w:numPr>
        <w:rPr>
          <w:rFonts w:ascii="Arial" w:hAnsi="Arial" w:cs="Arial"/>
          <w:color w:val="000000"/>
        </w:rPr>
      </w:pPr>
      <w:r>
        <w:rPr>
          <w:rFonts w:ascii="Arial" w:hAnsi="Arial" w:cs="Arial"/>
          <w:color w:val="000000"/>
        </w:rPr>
        <w:t xml:space="preserve">Coyote and </w:t>
      </w:r>
      <w:proofErr w:type="spellStart"/>
      <w:r>
        <w:rPr>
          <w:rFonts w:ascii="Arial" w:hAnsi="Arial" w:cs="Arial"/>
          <w:color w:val="000000"/>
        </w:rPr>
        <w:t>Marken</w:t>
      </w:r>
      <w:proofErr w:type="spellEnd"/>
      <w:r>
        <w:rPr>
          <w:rFonts w:ascii="Arial" w:hAnsi="Arial" w:cs="Arial"/>
          <w:color w:val="000000"/>
        </w:rPr>
        <w:t xml:space="preserve"> made significant contributions to operating profit.</w:t>
      </w:r>
    </w:p>
    <w:p w:rsidR="008A4E2F" w:rsidRDefault="008A4E2F" w:rsidP="008A4E2F">
      <w:pPr>
        <w:pStyle w:val="ListParagraph"/>
        <w:numPr>
          <w:ilvl w:val="0"/>
          <w:numId w:val="3"/>
        </w:numPr>
        <w:rPr>
          <w:rFonts w:ascii="Arial" w:hAnsi="Arial" w:cs="Arial"/>
          <w:color w:val="000000"/>
        </w:rPr>
      </w:pPr>
      <w:r>
        <w:rPr>
          <w:rFonts w:ascii="Arial" w:hAnsi="Arial" w:cs="Arial"/>
          <w:color w:val="000000"/>
        </w:rPr>
        <w:t>UPS Freight achieved a 3.9% increase in revenue per LTL (less-than-truckload) hundredweight as the unit focused on revenue quality.</w:t>
      </w:r>
    </w:p>
    <w:p w:rsidR="008A4E2F" w:rsidRDefault="008A4E2F" w:rsidP="008A4E2F">
      <w:pPr>
        <w:jc w:val="center"/>
        <w:rPr>
          <w:rFonts w:ascii="Arial" w:hAnsi="Arial" w:cs="Arial"/>
          <w:sz w:val="20"/>
          <w:szCs w:val="20"/>
        </w:rPr>
      </w:pPr>
    </w:p>
    <w:p w:rsidR="008A4E2F" w:rsidRDefault="008A4E2F" w:rsidP="008A4E2F">
      <w:pPr>
        <w:rPr>
          <w:rFonts w:ascii="Arial" w:hAnsi="Arial" w:cs="Arial"/>
          <w:b/>
          <w:bCs/>
          <w:sz w:val="24"/>
          <w:szCs w:val="24"/>
          <w:u w:val="single"/>
        </w:rPr>
      </w:pPr>
      <w:r>
        <w:rPr>
          <w:rFonts w:ascii="Arial" w:hAnsi="Arial" w:cs="Arial"/>
          <w:b/>
          <w:bCs/>
          <w:u w:val="single"/>
        </w:rPr>
        <w:t>Outlook</w:t>
      </w:r>
    </w:p>
    <w:p w:rsidR="008A4E2F" w:rsidRDefault="008A4E2F" w:rsidP="008A4E2F">
      <w:pPr>
        <w:ind w:firstLine="720"/>
        <w:rPr>
          <w:rFonts w:ascii="Arial" w:hAnsi="Arial" w:cs="Arial"/>
        </w:rPr>
      </w:pPr>
    </w:p>
    <w:p w:rsidR="008A4E2F" w:rsidRDefault="008A4E2F" w:rsidP="008A4E2F">
      <w:pPr>
        <w:rPr>
          <w:rFonts w:ascii="Arial" w:hAnsi="Arial" w:cs="Arial"/>
        </w:rPr>
      </w:pPr>
      <w:r>
        <w:rPr>
          <w:rFonts w:ascii="Arial" w:hAnsi="Arial" w:cs="Arial"/>
        </w:rPr>
        <w:t>The company provides guidance on an adjusted (non-GAAP) basis because it is not possible to predict or provide a reconciliation reflecting the impact of future pension mark-to-market adjustments or other unanticipated events, which would be included in reported (GAAP) results and could be material.</w:t>
      </w:r>
    </w:p>
    <w:p w:rsidR="008A4E2F" w:rsidRDefault="008A4E2F" w:rsidP="008A4E2F">
      <w:pPr>
        <w:ind w:firstLine="720"/>
        <w:rPr>
          <w:rFonts w:ascii="Arial" w:hAnsi="Arial" w:cs="Arial"/>
        </w:rPr>
      </w:pPr>
    </w:p>
    <w:p w:rsidR="008A4E2F" w:rsidRDefault="008A4E2F" w:rsidP="008A4E2F">
      <w:pPr>
        <w:rPr>
          <w:rFonts w:ascii="Arial" w:hAnsi="Arial" w:cs="Arial"/>
        </w:rPr>
      </w:pPr>
      <w:r>
        <w:rPr>
          <w:rFonts w:ascii="Arial" w:hAnsi="Arial" w:cs="Arial"/>
        </w:rPr>
        <w:t xml:space="preserve">“UPS grew profits across all business segments,” said Richard </w:t>
      </w:r>
      <w:proofErr w:type="spellStart"/>
      <w:r>
        <w:rPr>
          <w:rFonts w:ascii="Arial" w:hAnsi="Arial" w:cs="Arial"/>
        </w:rPr>
        <w:t>Peretz</w:t>
      </w:r>
      <w:proofErr w:type="spellEnd"/>
      <w:r>
        <w:rPr>
          <w:rFonts w:ascii="Arial" w:hAnsi="Arial" w:cs="Arial"/>
        </w:rPr>
        <w:t>, UPS’s chief financial officer. “Our performance was driven by the efficiencies created by investments in our network, the success of ongoing initiatives and our ability to execute in an ever-changing environment. We expect to carry this momentum through the upcoming quarters.”</w:t>
      </w:r>
    </w:p>
    <w:p w:rsidR="008A4E2F" w:rsidRDefault="008A4E2F" w:rsidP="008A4E2F">
      <w:pPr>
        <w:ind w:firstLine="720"/>
        <w:rPr>
          <w:rFonts w:ascii="Arial" w:hAnsi="Arial" w:cs="Arial"/>
        </w:rPr>
      </w:pPr>
    </w:p>
    <w:p w:rsidR="008A4E2F" w:rsidRDefault="008A4E2F" w:rsidP="008A4E2F">
      <w:pPr>
        <w:pStyle w:val="ListParagraph"/>
        <w:numPr>
          <w:ilvl w:val="0"/>
          <w:numId w:val="4"/>
        </w:numPr>
        <w:spacing w:after="160" w:line="252" w:lineRule="auto"/>
        <w:ind w:left="360"/>
        <w:rPr>
          <w:rFonts w:ascii="Arial" w:hAnsi="Arial" w:cs="Arial"/>
        </w:rPr>
      </w:pPr>
      <w:r>
        <w:rPr>
          <w:rFonts w:ascii="Arial" w:hAnsi="Arial" w:cs="Arial"/>
        </w:rPr>
        <w:t>The company’s full-year adjusted diluted EPS will be in the range of $7.45 to $7.75.</w:t>
      </w:r>
    </w:p>
    <w:p w:rsidR="008A4E2F" w:rsidRDefault="008A4E2F" w:rsidP="008A4E2F">
      <w:pPr>
        <w:pStyle w:val="ListParagraph"/>
        <w:numPr>
          <w:ilvl w:val="0"/>
          <w:numId w:val="4"/>
        </w:numPr>
        <w:spacing w:after="160" w:line="252" w:lineRule="auto"/>
        <w:ind w:left="360"/>
        <w:rPr>
          <w:rFonts w:ascii="Arial" w:hAnsi="Arial" w:cs="Arial"/>
        </w:rPr>
      </w:pPr>
      <w:r>
        <w:rPr>
          <w:rFonts w:ascii="Arial" w:hAnsi="Arial" w:cs="Arial"/>
        </w:rPr>
        <w:t>Adjusted free cash flow for the year is projected to be between $3.5 and $4 billion with potential additional upside from the working capital initiatives.</w:t>
      </w:r>
    </w:p>
    <w:p w:rsidR="008A4E2F" w:rsidRDefault="008A4E2F" w:rsidP="008A4E2F">
      <w:pPr>
        <w:pStyle w:val="ListParagraph"/>
        <w:numPr>
          <w:ilvl w:val="0"/>
          <w:numId w:val="4"/>
        </w:numPr>
        <w:spacing w:after="160" w:line="252" w:lineRule="auto"/>
        <w:ind w:left="360"/>
        <w:rPr>
          <w:rFonts w:ascii="Arial" w:hAnsi="Arial" w:cs="Arial"/>
        </w:rPr>
      </w:pPr>
      <w:r>
        <w:rPr>
          <w:rFonts w:ascii="Arial" w:hAnsi="Arial" w:cs="Arial"/>
        </w:rPr>
        <w:t>The effective tax rate for the full-year 2019 is estimated to be between 22% and 24%.</w:t>
      </w:r>
    </w:p>
    <w:p w:rsidR="008A4E2F" w:rsidRDefault="008A4E2F" w:rsidP="008A4E2F">
      <w:pPr>
        <w:pStyle w:val="ListParagraph"/>
        <w:numPr>
          <w:ilvl w:val="0"/>
          <w:numId w:val="4"/>
        </w:numPr>
        <w:spacing w:after="160" w:line="252" w:lineRule="auto"/>
        <w:ind w:left="360"/>
        <w:rPr>
          <w:rFonts w:ascii="Arial" w:hAnsi="Arial" w:cs="Arial"/>
        </w:rPr>
      </w:pPr>
      <w:r>
        <w:rPr>
          <w:rFonts w:ascii="Arial" w:hAnsi="Arial" w:cs="Arial"/>
        </w:rPr>
        <w:lastRenderedPageBreak/>
        <w:t>Third-quarter adjusted EPS is expected to benefit from numerous items including one additional operating day and year-over-year International benefits from 2018 commodities headwinds that should not repeat.</w:t>
      </w:r>
    </w:p>
    <w:p w:rsidR="008A4E2F" w:rsidRDefault="008A4E2F" w:rsidP="008A4E2F">
      <w:pPr>
        <w:pStyle w:val="ListParagraph"/>
        <w:numPr>
          <w:ilvl w:val="0"/>
          <w:numId w:val="4"/>
        </w:numPr>
        <w:spacing w:after="160" w:line="252" w:lineRule="auto"/>
        <w:ind w:left="360"/>
        <w:rPr>
          <w:rFonts w:ascii="Arial" w:hAnsi="Arial" w:cs="Arial"/>
        </w:rPr>
      </w:pPr>
      <w:r>
        <w:rPr>
          <w:rFonts w:ascii="Arial" w:hAnsi="Arial" w:cs="Arial"/>
        </w:rPr>
        <w:t>Transformation charges and pension MTM are not included in the adjusted guidance.</w:t>
      </w:r>
    </w:p>
    <w:p w:rsidR="008A4E2F" w:rsidRDefault="008A4E2F" w:rsidP="008A4E2F">
      <w:pPr>
        <w:rPr>
          <w:rFonts w:ascii="Arial" w:hAnsi="Arial" w:cs="Arial"/>
          <w:b/>
          <w:bCs/>
          <w:sz w:val="20"/>
          <w:szCs w:val="20"/>
          <w:vertAlign w:val="subscript"/>
        </w:rPr>
      </w:pPr>
      <w:r>
        <w:rPr>
          <w:sz w:val="20"/>
          <w:szCs w:val="20"/>
          <w:vertAlign w:val="subscript"/>
        </w:rPr>
        <w:t> </w:t>
      </w:r>
    </w:p>
    <w:p w:rsidR="008A4E2F" w:rsidRDefault="008A4E2F" w:rsidP="008A4E2F">
      <w:pPr>
        <w:jc w:val="center"/>
        <w:rPr>
          <w:rFonts w:ascii="Arial" w:hAnsi="Arial" w:cs="Arial"/>
          <w:color w:val="003436"/>
        </w:rPr>
      </w:pPr>
      <w:r>
        <w:rPr>
          <w:rFonts w:ascii="Arial" w:hAnsi="Arial" w:cs="Arial"/>
          <w:color w:val="003436"/>
        </w:rPr>
        <w:t># # #</w:t>
      </w:r>
    </w:p>
    <w:p w:rsidR="008A4E2F" w:rsidRDefault="008A4E2F" w:rsidP="008A4E2F">
      <w:pPr>
        <w:rPr>
          <w:rFonts w:ascii="Arial" w:hAnsi="Arial" w:cs="Arial"/>
          <w:b/>
          <w:bCs/>
          <w:u w:val="single"/>
        </w:rPr>
      </w:pPr>
    </w:p>
    <w:p w:rsidR="008A4E2F" w:rsidRDefault="008A4E2F" w:rsidP="008A4E2F">
      <w:pPr>
        <w:rPr>
          <w:rFonts w:ascii="Arial" w:hAnsi="Arial" w:cs="Arial"/>
          <w:b/>
          <w:bCs/>
          <w:u w:val="single"/>
        </w:rPr>
      </w:pPr>
    </w:p>
    <w:p w:rsidR="008A4E2F" w:rsidRDefault="008A4E2F" w:rsidP="008A4E2F">
      <w:pPr>
        <w:rPr>
          <w:rFonts w:ascii="Arial" w:hAnsi="Arial" w:cs="Arial"/>
          <w:u w:val="single"/>
        </w:rPr>
      </w:pPr>
      <w:r>
        <w:rPr>
          <w:rFonts w:ascii="Arial" w:hAnsi="Arial" w:cs="Arial"/>
          <w:b/>
          <w:bCs/>
          <w:u w:val="single"/>
        </w:rPr>
        <w:t>Conference Call Information</w:t>
      </w:r>
    </w:p>
    <w:p w:rsidR="008A4E2F" w:rsidRDefault="008A4E2F" w:rsidP="008A4E2F">
      <w:pPr>
        <w:rPr>
          <w:rFonts w:ascii="Arial" w:hAnsi="Arial" w:cs="Arial"/>
        </w:rPr>
      </w:pPr>
      <w:r>
        <w:rPr>
          <w:rFonts w:ascii="Arial" w:hAnsi="Arial" w:cs="Arial"/>
        </w:rPr>
        <w:t xml:space="preserve">            </w:t>
      </w:r>
    </w:p>
    <w:p w:rsidR="008A4E2F" w:rsidRDefault="008A4E2F" w:rsidP="008A4E2F">
      <w:pPr>
        <w:rPr>
          <w:rFonts w:ascii="Arial" w:hAnsi="Arial" w:cs="Arial"/>
        </w:rPr>
      </w:pPr>
      <w:r>
        <w:rPr>
          <w:rFonts w:ascii="Arial" w:hAnsi="Arial" w:cs="Arial"/>
        </w:rPr>
        <w:t xml:space="preserve">UPS CEO David Abney and CFO Richard </w:t>
      </w:r>
      <w:proofErr w:type="spellStart"/>
      <w:r>
        <w:rPr>
          <w:rFonts w:ascii="Arial" w:hAnsi="Arial" w:cs="Arial"/>
        </w:rPr>
        <w:t>Peretz</w:t>
      </w:r>
      <w:proofErr w:type="spellEnd"/>
      <w:r>
        <w:rPr>
          <w:rFonts w:ascii="Arial" w:hAnsi="Arial" w:cs="Arial"/>
        </w:rPr>
        <w:t xml:space="preserve"> will discuss second-quarter results with investors and analysts during a conference call at 8:30 a.m. ET (14:30 CET), July 24, 2019.  That call will be open to others through a live Webcast.  To access the call, go to </w:t>
      </w:r>
      <w:hyperlink r:id="rId6" w:history="1">
        <w:r>
          <w:rPr>
            <w:rStyle w:val="Hyperlink"/>
          </w:rPr>
          <w:t>www.investors.ups.com</w:t>
        </w:r>
      </w:hyperlink>
      <w:r>
        <w:rPr>
          <w:rFonts w:ascii="Arial" w:hAnsi="Arial" w:cs="Arial"/>
          <w:u w:val="single"/>
        </w:rPr>
        <w:t xml:space="preserve"> </w:t>
      </w:r>
      <w:r>
        <w:rPr>
          <w:rFonts w:ascii="Arial" w:hAnsi="Arial" w:cs="Arial"/>
        </w:rPr>
        <w:t xml:space="preserve">and click on “Earnings Webcast.” Additional financial information is included in the detailed financial schedules being posted on </w:t>
      </w:r>
      <w:hyperlink r:id="rId7" w:history="1">
        <w:r>
          <w:rPr>
            <w:rStyle w:val="Hyperlink"/>
          </w:rPr>
          <w:t>www.investors.ups.com</w:t>
        </w:r>
      </w:hyperlink>
      <w:r>
        <w:rPr>
          <w:rFonts w:ascii="Arial" w:hAnsi="Arial" w:cs="Arial"/>
        </w:rPr>
        <w:t xml:space="preserve"> under “Financials” and as filed with the SEC as an exhibit to our Current Report on Form 8-K.</w:t>
      </w:r>
    </w:p>
    <w:p w:rsidR="008A4E2F" w:rsidRDefault="008A4E2F" w:rsidP="008A4E2F">
      <w:pPr>
        <w:rPr>
          <w:rFonts w:ascii="Arial" w:hAnsi="Arial" w:cs="Arial"/>
        </w:rPr>
      </w:pPr>
    </w:p>
    <w:p w:rsidR="008A4E2F" w:rsidRDefault="008A4E2F" w:rsidP="008A4E2F">
      <w:pPr>
        <w:spacing w:after="240"/>
        <w:rPr>
          <w:rFonts w:ascii="Arial" w:hAnsi="Arial" w:cs="Arial"/>
          <w:color w:val="000000"/>
          <w:u w:val="single"/>
        </w:rPr>
      </w:pPr>
      <w:r>
        <w:rPr>
          <w:rFonts w:ascii="Arial" w:hAnsi="Arial" w:cs="Arial"/>
          <w:b/>
          <w:bCs/>
          <w:color w:val="000000"/>
          <w:u w:val="single"/>
        </w:rPr>
        <w:t>About UPS</w:t>
      </w:r>
    </w:p>
    <w:p w:rsidR="008A4E2F" w:rsidRDefault="008A4E2F" w:rsidP="008A4E2F">
      <w:pPr>
        <w:rPr>
          <w:rFonts w:ascii="Arial" w:hAnsi="Arial" w:cs="Arial"/>
        </w:rPr>
      </w:pPr>
      <w:r>
        <w:rPr>
          <w:rFonts w:ascii="Arial" w:hAnsi="Arial" w:cs="Arial"/>
        </w:rPr>
        <w:t xml:space="preserve">UPS (NYSE: UPS) is a global leader in logistics, offering a broad range of solutions including transporting packages and freight; facilitating international trade, and deploying advanced technology to more efficiently manage the world of business. Headquartered in Atlanta, UPS serves more than 220 countries and territories worldwide. UPS was awarded </w:t>
      </w:r>
      <w:hyperlink r:id="rId8" w:history="1">
        <w:r>
          <w:rPr>
            <w:rStyle w:val="Hyperlink"/>
          </w:rPr>
          <w:t>America’s Best Customer Service</w:t>
        </w:r>
      </w:hyperlink>
      <w:r>
        <w:rPr>
          <w:rFonts w:ascii="Arial" w:hAnsi="Arial" w:cs="Arial"/>
        </w:rPr>
        <w:t xml:space="preserve"> company for Shipping and Delivery services by Newsweek magazine; Forbes </w:t>
      </w:r>
      <w:hyperlink r:id="rId9" w:anchor="tab:rank_industry:Transportation" w:history="1">
        <w:r>
          <w:rPr>
            <w:rStyle w:val="Hyperlink"/>
          </w:rPr>
          <w:t>Most Valuable Brand in Transportation</w:t>
        </w:r>
      </w:hyperlink>
      <w:r>
        <w:rPr>
          <w:rFonts w:ascii="Arial" w:hAnsi="Arial" w:cs="Arial"/>
        </w:rPr>
        <w:t xml:space="preserve">; and top rankings on the </w:t>
      </w:r>
      <w:hyperlink r:id="rId10" w:anchor="4309ad3b2bf0" w:history="1">
        <w:r>
          <w:rPr>
            <w:rStyle w:val="Hyperlink"/>
          </w:rPr>
          <w:t>JUST 100</w:t>
        </w:r>
      </w:hyperlink>
      <w:r>
        <w:rPr>
          <w:rFonts w:ascii="Arial" w:hAnsi="Arial" w:cs="Arial"/>
        </w:rPr>
        <w:t xml:space="preserve"> list for social responsibility, the Dow Jones Sustainability World Index, and the Harris Poll Reputation Quotient, among other prestigious rankings and awards. The company can be found on the web at </w:t>
      </w:r>
      <w:hyperlink r:id="rId11" w:tgtFrame="_blank" w:history="1">
        <w:r>
          <w:rPr>
            <w:rStyle w:val="Hyperlink"/>
          </w:rPr>
          <w:t>ups.com</w:t>
        </w:r>
      </w:hyperlink>
      <w:r>
        <w:rPr>
          <w:rFonts w:ascii="Arial" w:hAnsi="Arial" w:cs="Arial"/>
        </w:rPr>
        <w:t xml:space="preserve"> or </w:t>
      </w:r>
      <w:hyperlink r:id="rId12" w:tgtFrame="_blank" w:history="1">
        <w:r>
          <w:rPr>
            <w:rStyle w:val="Hyperlink"/>
          </w:rPr>
          <w:t>pressroom.ups.com</w:t>
        </w:r>
      </w:hyperlink>
      <w:r>
        <w:rPr>
          <w:rFonts w:ascii="Arial" w:hAnsi="Arial" w:cs="Arial"/>
        </w:rPr>
        <w:t xml:space="preserve"> and its corporate blog can be found at </w:t>
      </w:r>
      <w:hyperlink r:id="rId13" w:tgtFrame="_blank" w:history="1">
        <w:r>
          <w:rPr>
            <w:rStyle w:val="Hyperlink"/>
          </w:rPr>
          <w:t>longitudes.ups.com.</w:t>
        </w:r>
      </w:hyperlink>
      <w:r>
        <w:rPr>
          <w:rFonts w:ascii="Arial" w:hAnsi="Arial" w:cs="Arial"/>
        </w:rPr>
        <w:t xml:space="preserve"> </w:t>
      </w:r>
      <w:r w:rsidRPr="002F3EC4">
        <w:rPr>
          <w:rFonts w:ascii="Arial" w:hAnsi="Arial" w:cs="Arial"/>
        </w:rPr>
        <w:t xml:space="preserve">The company’s sustainability </w:t>
      </w:r>
      <w:proofErr w:type="spellStart"/>
      <w:r w:rsidRPr="002F3EC4">
        <w:rPr>
          <w:rFonts w:ascii="Arial" w:hAnsi="Arial" w:cs="Arial"/>
        </w:rPr>
        <w:t>eNewsletter</w:t>
      </w:r>
      <w:proofErr w:type="spellEnd"/>
      <w:r w:rsidRPr="002F3EC4">
        <w:rPr>
          <w:rFonts w:ascii="Arial" w:hAnsi="Arial" w:cs="Arial"/>
        </w:rPr>
        <w:t>, </w:t>
      </w:r>
      <w:r w:rsidRPr="002F3EC4">
        <w:rPr>
          <w:rFonts w:ascii="Arial" w:hAnsi="Arial" w:cs="Arial"/>
          <w:b/>
          <w:bCs/>
        </w:rPr>
        <w:t>UPS Horizons</w:t>
      </w:r>
      <w:r w:rsidRPr="002F3EC4">
        <w:rPr>
          <w:rFonts w:ascii="Arial" w:hAnsi="Arial" w:cs="Arial"/>
        </w:rPr>
        <w:t xml:space="preserve">, can be found at </w:t>
      </w:r>
      <w:hyperlink r:id="rId14" w:history="1">
        <w:r>
          <w:rPr>
            <w:rStyle w:val="Hyperlink"/>
          </w:rPr>
          <w:t>ups.com/</w:t>
        </w:r>
        <w:proofErr w:type="spellStart"/>
        <w:r>
          <w:rPr>
            <w:rStyle w:val="Hyperlink"/>
          </w:rPr>
          <w:t>sustainabilitynewsletter</w:t>
        </w:r>
        <w:proofErr w:type="spellEnd"/>
        <w:r>
          <w:rPr>
            <w:rStyle w:val="Hyperlink"/>
          </w:rPr>
          <w:t>.</w:t>
        </w:r>
      </w:hyperlink>
      <w:r>
        <w:rPr>
          <w:rFonts w:ascii="Arial" w:hAnsi="Arial" w:cs="Arial"/>
          <w:color w:val="340500"/>
        </w:rPr>
        <w:t xml:space="preserve"> </w:t>
      </w:r>
      <w:r>
        <w:rPr>
          <w:rFonts w:ascii="Arial" w:hAnsi="Arial" w:cs="Arial"/>
        </w:rPr>
        <w:t>To get UPS news direct, follow </w:t>
      </w:r>
      <w:hyperlink r:id="rId15" w:tgtFrame="_blank" w:tooltip="@UPS_News" w:history="1">
        <w:r>
          <w:rPr>
            <w:rStyle w:val="Hyperlink"/>
          </w:rPr>
          <w:t>@</w:t>
        </w:r>
        <w:proofErr w:type="spellStart"/>
        <w:r>
          <w:rPr>
            <w:rStyle w:val="Hyperlink"/>
          </w:rPr>
          <w:t>UPS_News</w:t>
        </w:r>
        <w:proofErr w:type="spellEnd"/>
      </w:hyperlink>
      <w:r>
        <w:rPr>
          <w:rFonts w:ascii="Arial" w:hAnsi="Arial" w:cs="Arial"/>
        </w:rPr>
        <w:t xml:space="preserve"> on Twitter. To ship with UPS, visit </w:t>
      </w:r>
      <w:hyperlink r:id="rId16" w:history="1">
        <w:r>
          <w:rPr>
            <w:rStyle w:val="Hyperlink"/>
          </w:rPr>
          <w:t>ups.com/ship</w:t>
        </w:r>
      </w:hyperlink>
      <w:r>
        <w:rPr>
          <w:rFonts w:ascii="Arial" w:hAnsi="Arial" w:cs="Arial"/>
        </w:rPr>
        <w:t>.</w:t>
      </w:r>
    </w:p>
    <w:p w:rsidR="008A4E2F" w:rsidRDefault="008A4E2F" w:rsidP="008A4E2F">
      <w:pPr>
        <w:rPr>
          <w:rFonts w:ascii="Arial" w:hAnsi="Arial" w:cs="Arial"/>
        </w:rPr>
      </w:pPr>
      <w:bookmarkStart w:id="0" w:name="_GoBack"/>
      <w:bookmarkEnd w:id="0"/>
    </w:p>
    <w:p w:rsidR="008A4E2F" w:rsidRDefault="008A4E2F" w:rsidP="008A4E2F">
      <w:pPr>
        <w:rPr>
          <w:rFonts w:ascii="Arial" w:hAnsi="Arial" w:cs="Arial"/>
          <w:b/>
          <w:bCs/>
          <w:u w:val="single"/>
        </w:rPr>
      </w:pPr>
      <w:r>
        <w:rPr>
          <w:rFonts w:ascii="Arial" w:hAnsi="Arial" w:cs="Arial"/>
          <w:b/>
          <w:bCs/>
          <w:u w:val="single"/>
        </w:rPr>
        <w:t>Forward-Looking Statements</w:t>
      </w:r>
    </w:p>
    <w:p w:rsidR="008A4E2F" w:rsidRDefault="008A4E2F" w:rsidP="008A4E2F">
      <w:pPr>
        <w:rPr>
          <w:rFonts w:ascii="Arial" w:hAnsi="Arial" w:cs="Arial"/>
        </w:rPr>
      </w:pPr>
    </w:p>
    <w:p w:rsidR="008A4E2F" w:rsidRDefault="008A4E2F" w:rsidP="008A4E2F">
      <w:pPr>
        <w:rPr>
          <w:rFonts w:ascii="Arial" w:hAnsi="Arial" w:cs="Arial"/>
        </w:rPr>
      </w:pPr>
      <w:r>
        <w:rPr>
          <w:rFonts w:ascii="Arial" w:hAnsi="Arial" w:cs="Arial"/>
        </w:rPr>
        <w:t>Except for historical information contained herein, the statements made in this release constitute forward-looking statements within the meaning of Section 27A of the Securities Act of 1933 and Section 21E of the Securities Exchange Act of 1934. Such forward-looking statements, including statements regarding the intent, belief or current expectations of UPS and its management regarding the company's strategic direction, prospects and future results, involve certain risks and uncertainties.</w:t>
      </w:r>
    </w:p>
    <w:p w:rsidR="008A4E2F" w:rsidRDefault="008A4E2F" w:rsidP="008A4E2F">
      <w:pPr>
        <w:rPr>
          <w:rFonts w:ascii="Arial" w:hAnsi="Arial" w:cs="Arial"/>
        </w:rPr>
      </w:pPr>
    </w:p>
    <w:p w:rsidR="008A4E2F" w:rsidRDefault="008A4E2F" w:rsidP="008A4E2F">
      <w:pPr>
        <w:rPr>
          <w:rFonts w:ascii="Arial" w:hAnsi="Arial" w:cs="Arial"/>
        </w:rPr>
      </w:pPr>
      <w:r>
        <w:rPr>
          <w:rFonts w:ascii="Arial" w:hAnsi="Arial" w:cs="Arial"/>
        </w:rPr>
        <w:t xml:space="preserve">Certain factors may cause actual results to differ materially from those contemplated by the forward-looking statements, including changes in economic and other conditions in the markets in which we operate, governmental regulations (including tax laws and regulations), our competitive environment, the facts or assumptions underlying our health and pension benefit funding obligations, the results of negotiation and ratification of labor contracts, the impact of any strikes, work stoppages or slowdowns, changes in aviation and motor fuel prices, cyclical and seasonal fluctuations in our operating results, and other risks discussed in the company's </w:t>
      </w:r>
      <w:r>
        <w:rPr>
          <w:rFonts w:ascii="Arial" w:hAnsi="Arial" w:cs="Arial"/>
        </w:rPr>
        <w:lastRenderedPageBreak/>
        <w:t>Form 10-K and other filings with the Securities and Exchange Commission, which discussions are incorporated herein by reference.</w:t>
      </w:r>
    </w:p>
    <w:p w:rsidR="008A4E2F" w:rsidRDefault="008A4E2F" w:rsidP="008A4E2F">
      <w:pPr>
        <w:rPr>
          <w:rFonts w:ascii="Arial" w:hAnsi="Arial" w:cs="Arial"/>
        </w:rPr>
      </w:pPr>
      <w:r>
        <w:rPr>
          <w:rFonts w:ascii="Arial" w:hAnsi="Arial" w:cs="Arial"/>
        </w:rPr>
        <w:t xml:space="preserve">            </w:t>
      </w:r>
    </w:p>
    <w:p w:rsidR="008A4E2F" w:rsidRDefault="008A4E2F" w:rsidP="008A4E2F">
      <w:pPr>
        <w:rPr>
          <w:rFonts w:ascii="Arial" w:hAnsi="Arial" w:cs="Arial"/>
          <w:b/>
          <w:bCs/>
          <w:u w:val="single"/>
        </w:rPr>
      </w:pPr>
      <w:r>
        <w:rPr>
          <w:rFonts w:ascii="Arial" w:hAnsi="Arial" w:cs="Arial"/>
          <w:b/>
          <w:bCs/>
          <w:u w:val="single"/>
        </w:rPr>
        <w:t>Reconciliation of GAAP and non-GAAP Financial Measures</w:t>
      </w:r>
    </w:p>
    <w:p w:rsidR="008A4E2F" w:rsidRDefault="008A4E2F" w:rsidP="008A4E2F">
      <w:pPr>
        <w:rPr>
          <w:rFonts w:ascii="Arial" w:hAnsi="Arial" w:cs="Arial"/>
        </w:rPr>
      </w:pPr>
    </w:p>
    <w:p w:rsidR="008A4E2F" w:rsidRDefault="008A4E2F" w:rsidP="008A4E2F">
      <w:pPr>
        <w:rPr>
          <w:rFonts w:ascii="Arial" w:hAnsi="Arial" w:cs="Arial"/>
        </w:rPr>
      </w:pPr>
      <w:r>
        <w:rPr>
          <w:rFonts w:ascii="Arial" w:hAnsi="Arial" w:cs="Arial"/>
        </w:rPr>
        <w:t xml:space="preserve">We supplement the reporting of our financial information determined under generally accepted accounting principles ("GAAP") with certain non-GAAP financial measures, including, as applicable, "as adjusted" operating profit, operating margin, other income (expense), pre-tax income, net income and earnings per share. Additionally, we periodically disclose free cash flow, free cash flow excluding discretionary pension contributions, and capital expenditures excluding principal repayments of capital lease obligations. The equivalent measures determined in accordance with GAAP are also referred to as "reported" or "unadjusted.” </w:t>
      </w:r>
    </w:p>
    <w:p w:rsidR="008A4E2F" w:rsidRDefault="008A4E2F" w:rsidP="008A4E2F">
      <w:pPr>
        <w:rPr>
          <w:rFonts w:ascii="Arial" w:hAnsi="Arial" w:cs="Arial"/>
        </w:rPr>
      </w:pPr>
    </w:p>
    <w:p w:rsidR="008A4E2F" w:rsidRDefault="008A4E2F" w:rsidP="008A4E2F">
      <w:pPr>
        <w:rPr>
          <w:rFonts w:ascii="Arial" w:hAnsi="Arial" w:cs="Arial"/>
        </w:rPr>
      </w:pPr>
      <w:r>
        <w:rPr>
          <w:rFonts w:ascii="Arial" w:hAnsi="Arial" w:cs="Arial"/>
        </w:rPr>
        <w:t>We consider quantitative and qualitative factors in assessing whether to adjust for the impact of items that may be significant or that could affect an understanding of our ongoing financial and business performance or trends. Examples of items for which we may make adjustments include but are not limited to: amounts related to mark-to-market gains or losses (non-cash); settlement of contingencies; gains or losses associated with mergers, acquisitions, divestitures and other structural changes; charges related to restructuring programs such as the implementation of our Transformation strategy; asset impairments (non-cash); amounts related to changes in tax regulations or positions; amounts related to changes in foreign currency exchange rates and the impact of any hedging activities; other pension and postretirement related items; and debt modifications.</w:t>
      </w:r>
    </w:p>
    <w:p w:rsidR="008A4E2F" w:rsidRDefault="008A4E2F" w:rsidP="008A4E2F">
      <w:pPr>
        <w:rPr>
          <w:rFonts w:ascii="Arial" w:hAnsi="Arial" w:cs="Arial"/>
        </w:rPr>
      </w:pPr>
    </w:p>
    <w:p w:rsidR="008A4E2F" w:rsidRDefault="008A4E2F" w:rsidP="008A4E2F">
      <w:pPr>
        <w:rPr>
          <w:rFonts w:ascii="Arial" w:hAnsi="Arial" w:cs="Arial"/>
        </w:rPr>
      </w:pPr>
      <w:r>
        <w:rPr>
          <w:rFonts w:ascii="Arial" w:hAnsi="Arial" w:cs="Arial"/>
        </w:rPr>
        <w:t>We believe that these non-GAAP measures provide additional meaningful information to assist users of our financial statements in understanding our financial results, cash flows and assessing our ongoing performance because they exclude items that may not be indicative of, or are unrelated to, our underlying operations and may provide a useful baseline for analyzing trends in our underlying businesses. Management uses these non-GAAP financial measures in making financial, operating and planning decisions. We also use certain of these measures for the determination of incentive compensation awards.</w:t>
      </w:r>
    </w:p>
    <w:p w:rsidR="008A4E2F" w:rsidRDefault="008A4E2F" w:rsidP="008A4E2F">
      <w:pPr>
        <w:rPr>
          <w:rFonts w:ascii="Arial" w:hAnsi="Arial" w:cs="Arial"/>
        </w:rPr>
      </w:pPr>
    </w:p>
    <w:p w:rsidR="008A4E2F" w:rsidRDefault="008A4E2F" w:rsidP="008A4E2F">
      <w:pPr>
        <w:rPr>
          <w:rFonts w:ascii="Arial" w:hAnsi="Arial" w:cs="Arial"/>
        </w:rPr>
      </w:pPr>
      <w:r>
        <w:rPr>
          <w:rFonts w:ascii="Arial" w:hAnsi="Arial" w:cs="Arial"/>
        </w:rPr>
        <w:t>Non-GAAP financial measures should be considered in addition to, and not as an alternative for, our reported results prepared in accordance with GAAP. Our non-GAAP financial information does not represent a comprehensive basis of accounting. Therefore, our non-GAAP financial information may not be comparable to similarly titled measures reported by other companies.</w:t>
      </w:r>
    </w:p>
    <w:p w:rsidR="008A4E2F" w:rsidRDefault="008A4E2F" w:rsidP="008A4E2F">
      <w:pPr>
        <w:rPr>
          <w:rFonts w:ascii="Arial" w:hAnsi="Arial" w:cs="Arial"/>
        </w:rPr>
      </w:pPr>
    </w:p>
    <w:p w:rsidR="008A4E2F" w:rsidRDefault="008A4E2F" w:rsidP="008A4E2F">
      <w:pPr>
        <w:rPr>
          <w:rFonts w:ascii="Arial" w:hAnsi="Arial" w:cs="Arial"/>
          <w:i/>
          <w:iCs/>
        </w:rPr>
      </w:pPr>
      <w:r>
        <w:rPr>
          <w:rFonts w:ascii="Arial" w:hAnsi="Arial" w:cs="Arial"/>
          <w:i/>
          <w:iCs/>
        </w:rPr>
        <w:t>Costs Related to Restructuring Programs; Transformation Strategy Costs</w:t>
      </w:r>
    </w:p>
    <w:p w:rsidR="008A4E2F" w:rsidRDefault="008A4E2F" w:rsidP="008A4E2F">
      <w:pPr>
        <w:rPr>
          <w:rFonts w:ascii="Arial" w:hAnsi="Arial" w:cs="Arial"/>
        </w:rPr>
      </w:pPr>
    </w:p>
    <w:p w:rsidR="008A4E2F" w:rsidRDefault="008A4E2F" w:rsidP="008A4E2F">
      <w:pPr>
        <w:rPr>
          <w:rFonts w:ascii="Arial" w:hAnsi="Arial" w:cs="Arial"/>
        </w:rPr>
      </w:pPr>
      <w:r>
        <w:rPr>
          <w:rFonts w:ascii="Arial" w:hAnsi="Arial" w:cs="Arial"/>
        </w:rPr>
        <w:t>We supplement the presentation of our operating profit, operating margin, pre-tax income, net income and earnings per share with similar non-GAAP measures that exclude the impact of costs related to restructuring programs, including Transformation strategy costs.  We believe this adjusted information provides a useful comparison of year-to-year financial performance without considering the short-term impact of restructuring costs. We evaluate our performance on this adjusted basis.</w:t>
      </w:r>
    </w:p>
    <w:p w:rsidR="008A4E2F" w:rsidRDefault="008A4E2F" w:rsidP="008A4E2F">
      <w:pPr>
        <w:rPr>
          <w:rFonts w:ascii="Arial" w:hAnsi="Arial" w:cs="Arial"/>
        </w:rPr>
      </w:pPr>
    </w:p>
    <w:p w:rsidR="008A4E2F" w:rsidRDefault="008A4E2F" w:rsidP="008A4E2F">
      <w:pPr>
        <w:rPr>
          <w:rFonts w:ascii="Arial" w:hAnsi="Arial" w:cs="Arial"/>
          <w:i/>
          <w:iCs/>
        </w:rPr>
      </w:pPr>
      <w:r>
        <w:rPr>
          <w:rFonts w:ascii="Arial" w:hAnsi="Arial" w:cs="Arial"/>
          <w:i/>
          <w:iCs/>
        </w:rPr>
        <w:t>Impact of Changes in Foreign Currency Exchange Rates and Hedging Activities</w:t>
      </w:r>
    </w:p>
    <w:p w:rsidR="008A4E2F" w:rsidRDefault="008A4E2F" w:rsidP="008A4E2F">
      <w:pPr>
        <w:rPr>
          <w:rFonts w:ascii="Arial" w:hAnsi="Arial" w:cs="Arial"/>
        </w:rPr>
      </w:pPr>
    </w:p>
    <w:p w:rsidR="008A4E2F" w:rsidRDefault="008A4E2F" w:rsidP="008A4E2F">
      <w:pPr>
        <w:rPr>
          <w:rFonts w:ascii="Arial" w:hAnsi="Arial" w:cs="Arial"/>
        </w:rPr>
      </w:pPr>
      <w:r>
        <w:rPr>
          <w:rFonts w:ascii="Arial" w:hAnsi="Arial" w:cs="Arial"/>
        </w:rPr>
        <w:t xml:space="preserve">We supplement the reporting of our revenue, revenue per piece and operating profit with non-GAAP measures that exclude the period-over-period impact of foreign currency exchange rate changes and hedging activities. We believe currency-neutral revenue, revenue per piece and </w:t>
      </w:r>
      <w:r>
        <w:rPr>
          <w:rFonts w:ascii="Arial" w:hAnsi="Arial" w:cs="Arial"/>
        </w:rPr>
        <w:lastRenderedPageBreak/>
        <w:t>operating profit information allows users of our financial statements to understand growth trends in our products and results. We evaluate the performance of our International Package and Supply Chain and Freight segments on this currency-neutral basis.</w:t>
      </w:r>
    </w:p>
    <w:p w:rsidR="008A4E2F" w:rsidRDefault="008A4E2F" w:rsidP="008A4E2F">
      <w:pPr>
        <w:rPr>
          <w:rFonts w:ascii="Arial" w:hAnsi="Arial" w:cs="Arial"/>
        </w:rPr>
      </w:pPr>
    </w:p>
    <w:p w:rsidR="008A4E2F" w:rsidRDefault="008A4E2F" w:rsidP="008A4E2F">
      <w:pPr>
        <w:rPr>
          <w:rFonts w:ascii="Arial" w:hAnsi="Arial" w:cs="Arial"/>
        </w:rPr>
      </w:pPr>
      <w:r>
        <w:rPr>
          <w:rFonts w:ascii="Arial" w:hAnsi="Arial" w:cs="Arial"/>
        </w:rPr>
        <w:t>Currency-neutral revenue, revenue per piece and operating profit are calculated by dividing current period reported U.S. dollar revenue, revenue per piece and operating profit by the current period average exchange rates to derive current period local currency revenue, revenue per piece and operating profit. The derived amounts are then multiplied by the average foreign exchange rates used to translate the comparable results for each month in the prior year period (including the period over period impact of foreign currency hedging activities). The difference between the current period reported U.S. dollar revenue, revenue per piece and operating profit and the derived current period U.S. dollar revenue, revenue per piece and operating profit is the period over period impact of currency fluctuations.</w:t>
      </w:r>
    </w:p>
    <w:p w:rsidR="008A4E2F" w:rsidRDefault="008A4E2F" w:rsidP="008A4E2F">
      <w:pPr>
        <w:rPr>
          <w:rFonts w:ascii="Arial" w:hAnsi="Arial" w:cs="Arial"/>
          <w:i/>
          <w:iCs/>
        </w:rPr>
      </w:pPr>
    </w:p>
    <w:p w:rsidR="008A4E2F" w:rsidRDefault="008A4E2F" w:rsidP="008A4E2F">
      <w:pPr>
        <w:rPr>
          <w:rFonts w:ascii="Arial" w:hAnsi="Arial" w:cs="Arial"/>
          <w:i/>
          <w:iCs/>
        </w:rPr>
      </w:pPr>
      <w:r>
        <w:rPr>
          <w:rFonts w:ascii="Arial" w:hAnsi="Arial" w:cs="Arial"/>
          <w:i/>
          <w:iCs/>
        </w:rPr>
        <w:t>Free Cash Flow and Adjusted Capital Expenditures</w:t>
      </w:r>
    </w:p>
    <w:p w:rsidR="008A4E2F" w:rsidRDefault="008A4E2F" w:rsidP="008A4E2F">
      <w:pPr>
        <w:rPr>
          <w:rFonts w:ascii="Arial" w:hAnsi="Arial" w:cs="Arial"/>
        </w:rPr>
      </w:pPr>
    </w:p>
    <w:p w:rsidR="008A4E2F" w:rsidRDefault="008A4E2F" w:rsidP="008A4E2F">
      <w:pPr>
        <w:rPr>
          <w:rFonts w:ascii="Arial" w:hAnsi="Arial" w:cs="Arial"/>
        </w:rPr>
      </w:pPr>
      <w:r>
        <w:rPr>
          <w:rFonts w:ascii="Arial" w:hAnsi="Arial" w:cs="Arial"/>
        </w:rPr>
        <w:t>We supplement the reporting of cash flows from operating activities with free cash flow, free cash flow excluding discretionary pension contributions and free cash flow plus principal repayments of capital lease obligations, non-GAAP liquidity measures. We believe these free cash flow measures are important indicators of how much cash is generated by regular business operations and we use them as a measure of incremental cash available to invest in our business, meet our debt obligations and return cash to shareowners. Additionally, we believe that adjusting capital expenditures for principal repayments of capital lease obligations more appropriately reflects the overall cash that we have invested in capital assets.</w:t>
      </w:r>
      <w:r>
        <w:rPr>
          <w:rFonts w:ascii="Arial" w:hAnsi="Arial" w:cs="Arial"/>
          <w:i/>
          <w:iCs/>
        </w:rPr>
        <w:t xml:space="preserve">   </w:t>
      </w:r>
      <w:r>
        <w:rPr>
          <w:rFonts w:ascii="Arial" w:hAnsi="Arial" w:cs="Arial"/>
        </w:rPr>
        <w:t xml:space="preserve">We calculate free cash flow as cash flows from operating activities less capital expenditures, proceeds from disposals of property, plant and equipment, and plus or minus the net changes in finance receivables and other investing activities. Free cash flow excluding discretionary pension contributions adds back any discretionary pension contributions made during the period.  </w:t>
      </w:r>
    </w:p>
    <w:p w:rsidR="008A4E2F" w:rsidRDefault="008A4E2F" w:rsidP="008A4E2F">
      <w:pPr>
        <w:rPr>
          <w:rFonts w:ascii="Arial" w:hAnsi="Arial" w:cs="Arial"/>
        </w:rPr>
      </w:pPr>
    </w:p>
    <w:p w:rsidR="008A4E2F" w:rsidRDefault="008A4E2F" w:rsidP="008A4E2F">
      <w:pPr>
        <w:rPr>
          <w:rFonts w:ascii="Arial" w:hAnsi="Arial" w:cs="Arial"/>
        </w:rPr>
      </w:pPr>
      <w:r>
        <w:rPr>
          <w:noProof/>
        </w:rPr>
        <w:lastRenderedPageBreak/>
        <w:drawing>
          <wp:inline distT="0" distB="0" distL="0" distR="0">
            <wp:extent cx="5623560" cy="7056120"/>
            <wp:effectExtent l="0" t="0" r="0" b="0"/>
            <wp:docPr id="4" name="Picture 4" descr="cid:image001.png@01D541E8.6DB14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541E8.6DB145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623560" cy="7056120"/>
                    </a:xfrm>
                    <a:prstGeom prst="rect">
                      <a:avLst/>
                    </a:prstGeom>
                    <a:noFill/>
                    <a:ln>
                      <a:noFill/>
                    </a:ln>
                  </pic:spPr>
                </pic:pic>
              </a:graphicData>
            </a:graphic>
          </wp:inline>
        </w:drawing>
      </w:r>
    </w:p>
    <w:p w:rsidR="008A4E2F" w:rsidRDefault="008A4E2F" w:rsidP="008A4E2F">
      <w:pPr>
        <w:rPr>
          <w:rFonts w:ascii="Arial" w:hAnsi="Arial" w:cs="Arial"/>
        </w:rPr>
      </w:pPr>
    </w:p>
    <w:p w:rsidR="008A4E2F" w:rsidRDefault="008A4E2F" w:rsidP="008A4E2F">
      <w:pPr>
        <w:rPr>
          <w:rFonts w:ascii="Arial" w:hAnsi="Arial" w:cs="Arial"/>
        </w:rPr>
      </w:pPr>
      <w:r>
        <w:rPr>
          <w:rFonts w:ascii="Arial" w:eastAsia="Times New Roman" w:hAnsi="Arial" w:cs="Arial"/>
        </w:rPr>
        <w:br w:type="page"/>
      </w:r>
    </w:p>
    <w:p w:rsidR="008A4E2F" w:rsidRDefault="008A4E2F" w:rsidP="008A4E2F">
      <w:pPr>
        <w:rPr>
          <w:rFonts w:ascii="Arial" w:hAnsi="Arial" w:cs="Arial"/>
        </w:rPr>
      </w:pPr>
      <w:r>
        <w:rPr>
          <w:noProof/>
        </w:rPr>
        <w:lastRenderedPageBreak/>
        <w:drawing>
          <wp:inline distT="0" distB="0" distL="0" distR="0">
            <wp:extent cx="5943600" cy="4328160"/>
            <wp:effectExtent l="0" t="0" r="0" b="0"/>
            <wp:docPr id="3" name="Picture 3" descr="cid:image002.png@01D541E8.6DB14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541E8.6DB1459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943600" cy="4328160"/>
                    </a:xfrm>
                    <a:prstGeom prst="rect">
                      <a:avLst/>
                    </a:prstGeom>
                    <a:noFill/>
                    <a:ln>
                      <a:noFill/>
                    </a:ln>
                  </pic:spPr>
                </pic:pic>
              </a:graphicData>
            </a:graphic>
          </wp:inline>
        </w:drawing>
      </w:r>
    </w:p>
    <w:p w:rsidR="008A4E2F" w:rsidRDefault="008A4E2F" w:rsidP="008A4E2F">
      <w:pPr>
        <w:rPr>
          <w:rFonts w:ascii="Arial" w:hAnsi="Arial" w:cs="Arial"/>
        </w:rPr>
      </w:pPr>
    </w:p>
    <w:p w:rsidR="008A4E2F" w:rsidRDefault="008A4E2F" w:rsidP="008A4E2F">
      <w:pPr>
        <w:rPr>
          <w:rFonts w:ascii="Arial" w:hAnsi="Arial" w:cs="Arial"/>
        </w:rPr>
      </w:pPr>
      <w:r>
        <w:rPr>
          <w:rFonts w:ascii="Arial" w:eastAsia="Times New Roman" w:hAnsi="Arial" w:cs="Arial"/>
        </w:rPr>
        <w:br w:type="page"/>
      </w:r>
    </w:p>
    <w:p w:rsidR="008A4E2F" w:rsidRDefault="008A4E2F" w:rsidP="008A4E2F">
      <w:pPr>
        <w:rPr>
          <w:rFonts w:ascii="Arial" w:hAnsi="Arial" w:cs="Arial"/>
        </w:rPr>
      </w:pPr>
      <w:r>
        <w:rPr>
          <w:noProof/>
        </w:rPr>
        <w:lastRenderedPageBreak/>
        <w:drawing>
          <wp:inline distT="0" distB="0" distL="0" distR="0">
            <wp:extent cx="5951220" cy="4488180"/>
            <wp:effectExtent l="0" t="0" r="0" b="7620"/>
            <wp:docPr id="2" name="Picture 2" descr="cid:image003.png@01D541E8.6DB14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541E8.6DB1459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951220" cy="4488180"/>
                    </a:xfrm>
                    <a:prstGeom prst="rect">
                      <a:avLst/>
                    </a:prstGeom>
                    <a:noFill/>
                    <a:ln>
                      <a:noFill/>
                    </a:ln>
                  </pic:spPr>
                </pic:pic>
              </a:graphicData>
            </a:graphic>
          </wp:inline>
        </w:drawing>
      </w:r>
    </w:p>
    <w:p w:rsidR="008A4E2F" w:rsidRDefault="008A4E2F" w:rsidP="008A4E2F">
      <w:pPr>
        <w:rPr>
          <w:rFonts w:ascii="Arial" w:hAnsi="Arial" w:cs="Arial"/>
        </w:rPr>
      </w:pPr>
    </w:p>
    <w:p w:rsidR="008A4E2F" w:rsidRDefault="008A4E2F" w:rsidP="008A4E2F">
      <w:pPr>
        <w:rPr>
          <w:rFonts w:ascii="Arial" w:hAnsi="Arial" w:cs="Arial"/>
        </w:rPr>
      </w:pPr>
      <w:r>
        <w:rPr>
          <w:rFonts w:ascii="Arial" w:eastAsia="Times New Roman" w:hAnsi="Arial" w:cs="Arial"/>
        </w:rPr>
        <w:br w:type="page"/>
      </w:r>
    </w:p>
    <w:p w:rsidR="008A4E2F" w:rsidRDefault="008A4E2F" w:rsidP="008A4E2F">
      <w:pPr>
        <w:rPr>
          <w:rFonts w:ascii="Arial" w:hAnsi="Arial" w:cs="Arial"/>
        </w:rPr>
      </w:pPr>
      <w:r>
        <w:rPr>
          <w:noProof/>
        </w:rPr>
        <w:lastRenderedPageBreak/>
        <w:drawing>
          <wp:inline distT="0" distB="0" distL="0" distR="0">
            <wp:extent cx="5631180" cy="5852160"/>
            <wp:effectExtent l="0" t="0" r="7620" b="0"/>
            <wp:docPr id="1" name="Picture 1" descr="cid:image004.png@01D541E8.6DB14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41E8.6DB145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631180" cy="5852160"/>
                    </a:xfrm>
                    <a:prstGeom prst="rect">
                      <a:avLst/>
                    </a:prstGeom>
                    <a:noFill/>
                    <a:ln>
                      <a:noFill/>
                    </a:ln>
                  </pic:spPr>
                </pic:pic>
              </a:graphicData>
            </a:graphic>
          </wp:inline>
        </w:drawing>
      </w:r>
    </w:p>
    <w:p w:rsidR="008A4E2F" w:rsidRDefault="008A4E2F" w:rsidP="008A4E2F"/>
    <w:p w:rsidR="002F1BCB" w:rsidRPr="008A4E2F" w:rsidRDefault="002F3EC4"/>
    <w:sectPr w:rsidR="002F1BCB" w:rsidRPr="008A4E2F" w:rsidSect="00151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C63"/>
    <w:multiLevelType w:val="hybridMultilevel"/>
    <w:tmpl w:val="C11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401594"/>
    <w:multiLevelType w:val="hybridMultilevel"/>
    <w:tmpl w:val="19843BA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6333CD"/>
    <w:multiLevelType w:val="hybridMultilevel"/>
    <w:tmpl w:val="2CDA2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430" w:hanging="360"/>
      </w:pPr>
      <w:rPr>
        <w:rFonts w:ascii="Courier New" w:hAnsi="Courier New" w:cs="Times New Roman"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Times New Roman"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Times New Roman" w:hint="default"/>
      </w:rPr>
    </w:lvl>
    <w:lvl w:ilvl="8" w:tplc="04090005">
      <w:start w:val="1"/>
      <w:numFmt w:val="bullet"/>
      <w:lvlText w:val=""/>
      <w:lvlJc w:val="left"/>
      <w:pPr>
        <w:ind w:left="7470" w:hanging="360"/>
      </w:pPr>
      <w:rPr>
        <w:rFonts w:ascii="Wingdings" w:hAnsi="Wingdings" w:hint="default"/>
      </w:rPr>
    </w:lvl>
  </w:abstractNum>
  <w:abstractNum w:abstractNumId="3" w15:restartNumberingAfterBreak="0">
    <w:nsid w:val="6C961137"/>
    <w:multiLevelType w:val="hybridMultilevel"/>
    <w:tmpl w:val="1DB6216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Times New Roman"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Times New Roman"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Times New Roman" w:hint="default"/>
      </w:rPr>
    </w:lvl>
    <w:lvl w:ilvl="8" w:tplc="04090005">
      <w:start w:val="1"/>
      <w:numFmt w:val="bullet"/>
      <w:lvlText w:val=""/>
      <w:lvlJc w:val="left"/>
      <w:pPr>
        <w:ind w:left="70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2F"/>
    <w:rsid w:val="001513F4"/>
    <w:rsid w:val="002F3EC4"/>
    <w:rsid w:val="004569F9"/>
    <w:rsid w:val="007B73E8"/>
    <w:rsid w:val="008A4E2F"/>
    <w:rsid w:val="00A42D07"/>
    <w:rsid w:val="00AD0B31"/>
    <w:rsid w:val="00CA216F"/>
    <w:rsid w:val="00CD0AE0"/>
    <w:rsid w:val="00F20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2C9EB-7C38-4B16-8215-2DA53FEBB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E2F"/>
    <w:pPr>
      <w:spacing w:after="0" w:line="240" w:lineRule="auto"/>
    </w:pPr>
    <w:rPr>
      <w:rFonts w:ascii="Calibri" w:hAnsi="Calibri" w:cs="Calibri"/>
    </w:rPr>
  </w:style>
  <w:style w:type="paragraph" w:styleId="Heading4">
    <w:name w:val="heading 4"/>
    <w:basedOn w:val="Normal"/>
    <w:link w:val="Heading4Char"/>
    <w:uiPriority w:val="99"/>
    <w:semiHidden/>
    <w:unhideWhenUsed/>
    <w:qFormat/>
    <w:rsid w:val="008A4E2F"/>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8A4E2F"/>
    <w:rPr>
      <w:rFonts w:ascii="Times New Roman" w:hAnsi="Times New Roman" w:cs="Times New Roman"/>
      <w:b/>
      <w:bCs/>
      <w:sz w:val="28"/>
      <w:szCs w:val="28"/>
    </w:rPr>
  </w:style>
  <w:style w:type="character" w:styleId="Hyperlink">
    <w:name w:val="Hyperlink"/>
    <w:basedOn w:val="DefaultParagraphFont"/>
    <w:uiPriority w:val="99"/>
    <w:semiHidden/>
    <w:unhideWhenUsed/>
    <w:rsid w:val="008A4E2F"/>
    <w:rPr>
      <w:color w:val="0563C1"/>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8A4E2F"/>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פיסקת רשימה"/>
    <w:basedOn w:val="Normal"/>
    <w:link w:val="ListParagraphChar"/>
    <w:uiPriority w:val="34"/>
    <w:qFormat/>
    <w:rsid w:val="008A4E2F"/>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week.com/americas-best-customer-service-2019/services-transportation-travel" TargetMode="External"/><Relationship Id="rId13" Type="http://schemas.openxmlformats.org/officeDocument/2006/relationships/hyperlink" Target="https://www.ups.com/us/en/services/knowledge-center/longitudes-landing.page?articlesource=longitudes&amp;Campaign_id-=BOILERPLATE_PRESSRELEASE_END_LONGITUDESKC_071619" TargetMode="External"/><Relationship Id="rId18" Type="http://schemas.openxmlformats.org/officeDocument/2006/relationships/image" Target="cid:image009.png@01D541ED.EC9303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investors.ups.com" TargetMode="External"/><Relationship Id="rId12" Type="http://schemas.openxmlformats.org/officeDocument/2006/relationships/hyperlink" Target="https://pressroom.ups.com/pressroom/Home.page?Campaign_id=BOILERPLATE_PRESSRELEASE_END_PRESSROOM_050319"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ps.com/ship/guided/destination?tx=2168142152068288&amp;loc=en_US&amp;WT.mc_id=BOILERPLATE_PRESSRELEASE_END_SHIP_071619" TargetMode="External"/><Relationship Id="rId20" Type="http://schemas.openxmlformats.org/officeDocument/2006/relationships/image" Target="cid:image010.png@01D541ED.EC9303D0" TargetMode="External"/><Relationship Id="rId1" Type="http://schemas.openxmlformats.org/officeDocument/2006/relationships/numbering" Target="numbering.xml"/><Relationship Id="rId6" Type="http://schemas.openxmlformats.org/officeDocument/2006/relationships/hyperlink" Target="http://www.investors.ups.com" TargetMode="External"/><Relationship Id="rId11" Type="http://schemas.openxmlformats.org/officeDocument/2006/relationships/hyperlink" Target="http://www.ups.com/?Campaign_id=BOILERPLATE_PRESSRELEASE_END_UPSCOM_050319" TargetMode="External"/><Relationship Id="rId24" Type="http://schemas.openxmlformats.org/officeDocument/2006/relationships/image" Target="cid:image012.png@01D541ED.EC9303D0" TargetMode="External"/><Relationship Id="rId5" Type="http://schemas.openxmlformats.org/officeDocument/2006/relationships/hyperlink" Target="https://pressroom.ups.com" TargetMode="External"/><Relationship Id="rId15" Type="http://schemas.openxmlformats.org/officeDocument/2006/relationships/hyperlink" Target="https://twitter.com/UPS_News" TargetMode="External"/><Relationship Id="rId23" Type="http://schemas.openxmlformats.org/officeDocument/2006/relationships/image" Target="media/image4.png"/><Relationship Id="rId10" Type="http://schemas.openxmlformats.org/officeDocument/2006/relationships/hyperlink" Target="https://www.forbes.com/just-companies/"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orbes.com/powerful-brands/list/" TargetMode="External"/><Relationship Id="rId14" Type="http://schemas.openxmlformats.org/officeDocument/2006/relationships/hyperlink" Target="https://sustainability.ups.com/resources/sustainability-newsletter/?Campaign_id=BOILERPLATE_PRESSRELEASE_END_SUSTYNEWSLETTER_050319" TargetMode="External"/><Relationship Id="rId22" Type="http://schemas.openxmlformats.org/officeDocument/2006/relationships/image" Target="cid:image011.png@01D541ED.EC9303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UPS</Company>
  <LinksUpToDate>false</LinksUpToDate>
  <CharactersWithSpaces>17417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Mastrobuono Giovanni (LQW7XBK)</dc:creator>
  <cp:keywords/>
  <dc:description/>
  <cp:lastModifiedBy>Mastrobuono Giovanni (LQW7XBK)</cp:lastModifiedBy>
  <cp:revision>2</cp:revision>
  <dcterms:created xsi:type="dcterms:W3CDTF">2019-07-24T11:07:00Z</dcterms:created>
  <dcterms:modified xsi:type="dcterms:W3CDTF">2019-07-24T11:08:00Z</dcterms:modified>
</cp:coreProperties>
</file>