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B1" w:rsidRPr="003E7BDA" w:rsidRDefault="005855A9" w:rsidP="005C42B5">
      <w:pPr>
        <w:rPr>
          <w:rFonts w:ascii="Arial" w:hAnsi="Arial" w:cs="Arial"/>
          <w:sz w:val="20"/>
          <w:szCs w:val="20"/>
        </w:rPr>
      </w:pPr>
      <w:bookmarkStart w:id="0" w:name="_GoBack"/>
      <w:bookmarkEnd w:id="0"/>
      <w:r w:rsidRPr="003E7BDA">
        <w:rPr>
          <w:rFonts w:ascii="Arial" w:hAnsi="Arial" w:cs="Arial"/>
          <w:sz w:val="20"/>
          <w:szCs w:val="20"/>
        </w:rPr>
        <w:t>Contacts:</w:t>
      </w:r>
      <w:r w:rsidRPr="003E7BDA">
        <w:rPr>
          <w:rFonts w:ascii="Arial" w:hAnsi="Arial" w:cs="Arial"/>
          <w:sz w:val="16"/>
        </w:rPr>
        <w:tab/>
      </w:r>
      <w:r w:rsidR="005A04FD" w:rsidRPr="003E7BDA">
        <w:rPr>
          <w:rFonts w:ascii="Arial" w:hAnsi="Arial" w:cs="Arial"/>
          <w:sz w:val="20"/>
          <w:szCs w:val="20"/>
        </w:rPr>
        <w:t xml:space="preserve">Steve </w:t>
      </w:r>
      <w:proofErr w:type="spellStart"/>
      <w:r w:rsidR="005A04FD" w:rsidRPr="003E7BDA">
        <w:rPr>
          <w:rFonts w:ascii="Arial" w:hAnsi="Arial" w:cs="Arial"/>
          <w:sz w:val="20"/>
          <w:szCs w:val="20"/>
        </w:rPr>
        <w:t>Gaut</w:t>
      </w:r>
      <w:proofErr w:type="spellEnd"/>
      <w:r w:rsidR="005A04FD" w:rsidRPr="003E7BDA">
        <w:rPr>
          <w:rFonts w:ascii="Arial" w:hAnsi="Arial" w:cs="Arial"/>
          <w:sz w:val="20"/>
          <w:szCs w:val="20"/>
        </w:rPr>
        <w:t>,</w:t>
      </w:r>
      <w:r w:rsidRPr="003E7BDA">
        <w:rPr>
          <w:rFonts w:ascii="Arial" w:hAnsi="Arial" w:cs="Arial"/>
          <w:sz w:val="20"/>
          <w:szCs w:val="20"/>
        </w:rPr>
        <w:t xml:space="preserve"> Public Relations</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rsidR="005855A9" w:rsidRPr="003E7BDA" w:rsidRDefault="005855A9" w:rsidP="00CF5EB1">
      <w:pPr>
        <w:ind w:left="720" w:firstLine="720"/>
        <w:rPr>
          <w:rFonts w:ascii="Arial" w:hAnsi="Arial" w:cs="Arial"/>
          <w:sz w:val="20"/>
          <w:szCs w:val="20"/>
        </w:rPr>
      </w:pPr>
      <w:r w:rsidRPr="003E7BDA">
        <w:rPr>
          <w:rFonts w:ascii="Arial" w:hAnsi="Arial" w:cs="Arial"/>
          <w:sz w:val="20"/>
          <w:szCs w:val="20"/>
        </w:rPr>
        <w:t>404-828-</w:t>
      </w:r>
      <w:r w:rsidR="005A04FD" w:rsidRPr="003E7BDA">
        <w:rPr>
          <w:rFonts w:ascii="Arial" w:hAnsi="Arial" w:cs="Arial"/>
          <w:sz w:val="20"/>
          <w:szCs w:val="20"/>
        </w:rPr>
        <w:t>8787</w:t>
      </w:r>
    </w:p>
    <w:p w:rsidR="00E57561" w:rsidRPr="003E7BDA" w:rsidRDefault="00E57561">
      <w:pPr>
        <w:pStyle w:val="Heading4"/>
        <w:spacing w:before="0" w:after="0"/>
        <w:ind w:left="720" w:firstLine="720"/>
        <w:rPr>
          <w:rFonts w:ascii="Arial" w:hAnsi="Arial" w:cs="Arial"/>
          <w:b w:val="0"/>
          <w:sz w:val="16"/>
          <w:szCs w:val="16"/>
        </w:rPr>
      </w:pPr>
    </w:p>
    <w:p w:rsidR="005855A9" w:rsidRPr="003E7BDA" w:rsidRDefault="00ED434E">
      <w:pPr>
        <w:pStyle w:val="Heading4"/>
        <w:spacing w:before="0" w:after="0"/>
        <w:ind w:left="720" w:firstLine="720"/>
        <w:rPr>
          <w:rFonts w:ascii="Arial" w:hAnsi="Arial" w:cs="Arial"/>
          <w:b w:val="0"/>
          <w:sz w:val="20"/>
          <w:szCs w:val="20"/>
        </w:rPr>
      </w:pPr>
      <w:r w:rsidRPr="003E7BDA">
        <w:rPr>
          <w:rFonts w:ascii="Arial" w:hAnsi="Arial" w:cs="Arial"/>
          <w:b w:val="0"/>
          <w:sz w:val="20"/>
          <w:szCs w:val="20"/>
        </w:rPr>
        <w:t>Scott Childress</w:t>
      </w:r>
      <w:r w:rsidR="005855A9" w:rsidRPr="003E7BDA">
        <w:rPr>
          <w:rFonts w:ascii="Arial" w:hAnsi="Arial" w:cs="Arial"/>
          <w:b w:val="0"/>
          <w:sz w:val="20"/>
          <w:szCs w:val="20"/>
        </w:rPr>
        <w:t>, Investor Relations</w:t>
      </w:r>
    </w:p>
    <w:p w:rsidR="005855A9" w:rsidRDefault="005855A9">
      <w:pPr>
        <w:rPr>
          <w:rFonts w:ascii="Arial" w:hAnsi="Arial" w:cs="Arial"/>
          <w:sz w:val="20"/>
          <w:szCs w:val="20"/>
        </w:rPr>
      </w:pPr>
      <w:r w:rsidRPr="003E7BDA">
        <w:rPr>
          <w:rFonts w:ascii="Arial" w:hAnsi="Arial" w:cs="Arial"/>
          <w:sz w:val="20"/>
          <w:szCs w:val="20"/>
        </w:rPr>
        <w:tab/>
      </w:r>
      <w:r w:rsidRPr="003E7BDA">
        <w:rPr>
          <w:rFonts w:ascii="Arial" w:hAnsi="Arial" w:cs="Arial"/>
          <w:sz w:val="20"/>
          <w:szCs w:val="20"/>
        </w:rPr>
        <w:tab/>
        <w:t>404-828-</w:t>
      </w:r>
      <w:r w:rsidR="00ED434E" w:rsidRPr="003E7BDA">
        <w:rPr>
          <w:rFonts w:ascii="Arial" w:hAnsi="Arial" w:cs="Arial"/>
          <w:sz w:val="20"/>
          <w:szCs w:val="20"/>
        </w:rPr>
        <w:t>7957</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rsidR="005E79B7" w:rsidRPr="003E7BDA" w:rsidRDefault="005E79B7">
      <w:pPr>
        <w:rPr>
          <w:rFonts w:ascii="Arial" w:hAnsi="Arial" w:cs="Arial"/>
          <w:sz w:val="20"/>
          <w:szCs w:val="20"/>
        </w:rPr>
      </w:pPr>
    </w:p>
    <w:p w:rsidR="005E79B7" w:rsidRDefault="005E79B7" w:rsidP="005E79B7">
      <w:pPr>
        <w:pStyle w:val="msonospacing0"/>
        <w:ind w:left="720" w:firstLine="720"/>
        <w:rPr>
          <w:rFonts w:ascii="Arial" w:hAnsi="Arial" w:cs="Arial"/>
          <w:sz w:val="20"/>
          <w:szCs w:val="20"/>
        </w:rPr>
      </w:pPr>
      <w:r>
        <w:rPr>
          <w:rFonts w:ascii="Arial" w:hAnsi="Arial" w:cs="Arial"/>
          <w:sz w:val="20"/>
          <w:szCs w:val="20"/>
        </w:rPr>
        <w:t>Karla Krejci, Donath Business &amp; Media</w:t>
      </w:r>
    </w:p>
    <w:p w:rsidR="005E79B7" w:rsidRDefault="005E79B7" w:rsidP="005E79B7">
      <w:pPr>
        <w:pStyle w:val="Heading4"/>
        <w:keepNext w:val="0"/>
        <w:spacing w:before="0" w:after="0"/>
        <w:ind w:left="1440"/>
        <w:rPr>
          <w:rFonts w:ascii="Arial" w:hAnsi="Arial" w:cs="Arial"/>
          <w:sz w:val="20"/>
          <w:szCs w:val="20"/>
        </w:rPr>
      </w:pPr>
      <w:r>
        <w:rPr>
          <w:rFonts w:ascii="Arial" w:hAnsi="Arial" w:cs="Arial"/>
          <w:b w:val="0"/>
          <w:sz w:val="20"/>
          <w:szCs w:val="20"/>
          <w:lang w:val="cs-CZ"/>
        </w:rPr>
        <w:t>+420 224 211 220</w:t>
      </w:r>
    </w:p>
    <w:p w:rsidR="005E79B7" w:rsidRDefault="005E79B7" w:rsidP="005E79B7">
      <w:pPr>
        <w:ind w:left="589" w:firstLine="851"/>
        <w:rPr>
          <w:rFonts w:ascii="Arial" w:hAnsi="Arial" w:cs="Arial"/>
          <w:sz w:val="20"/>
          <w:szCs w:val="20"/>
          <w:lang w:val="cs-CZ"/>
        </w:rPr>
      </w:pPr>
      <w:hyperlink r:id="rId8" w:history="1">
        <w:r>
          <w:rPr>
            <w:rStyle w:val="Hyperlink"/>
            <w:rFonts w:ascii="Arial" w:hAnsi="Arial" w:cs="Arial"/>
            <w:sz w:val="20"/>
            <w:szCs w:val="20"/>
          </w:rPr>
          <w:t>karla.krejci@dbm.cz</w:t>
        </w:r>
      </w:hyperlink>
    </w:p>
    <w:p w:rsidR="0077335C" w:rsidRPr="003E7BDA" w:rsidRDefault="005855A9" w:rsidP="007B357E">
      <w:pPr>
        <w:rPr>
          <w:rFonts w:ascii="Arial" w:hAnsi="Arial" w:cs="Arial"/>
          <w:sz w:val="18"/>
          <w:szCs w:val="22"/>
        </w:rPr>
      </w:pPr>
      <w:r w:rsidRPr="003E7BDA">
        <w:rPr>
          <w:rFonts w:ascii="Arial" w:hAnsi="Arial" w:cs="Arial"/>
          <w:sz w:val="20"/>
          <w:szCs w:val="20"/>
        </w:rPr>
        <w:tab/>
      </w:r>
    </w:p>
    <w:p w:rsidR="00CC13C8" w:rsidRPr="003E7BDA" w:rsidRDefault="00CC13C8" w:rsidP="00CC13C8">
      <w:pPr>
        <w:rPr>
          <w:rFonts w:ascii="Arial" w:hAnsi="Arial" w:cs="Arial"/>
          <w:sz w:val="18"/>
          <w:szCs w:val="22"/>
        </w:rPr>
      </w:pPr>
    </w:p>
    <w:p w:rsidR="00F4420C" w:rsidRDefault="00F4420C" w:rsidP="00F4420C">
      <w:pPr>
        <w:jc w:val="center"/>
        <w:rPr>
          <w:rFonts w:ascii="Arial" w:hAnsi="Arial" w:cs="Arial"/>
          <w:b/>
          <w:sz w:val="32"/>
          <w:szCs w:val="26"/>
        </w:rPr>
      </w:pPr>
      <w:r>
        <w:rPr>
          <w:rFonts w:ascii="Arial" w:hAnsi="Arial" w:cs="Arial"/>
          <w:b/>
          <w:sz w:val="32"/>
          <w:szCs w:val="26"/>
        </w:rPr>
        <w:t xml:space="preserve">UPS ACHIEVES EPS TARGET </w:t>
      </w:r>
    </w:p>
    <w:p w:rsidR="00F4420C" w:rsidRDefault="00F4420C" w:rsidP="00F4420C">
      <w:pPr>
        <w:jc w:val="center"/>
        <w:rPr>
          <w:rFonts w:ascii="Arial" w:hAnsi="Arial" w:cs="Arial"/>
          <w:b/>
          <w:sz w:val="32"/>
          <w:szCs w:val="26"/>
        </w:rPr>
      </w:pPr>
      <w:r>
        <w:rPr>
          <w:rFonts w:ascii="Arial" w:hAnsi="Arial" w:cs="Arial"/>
          <w:b/>
          <w:sz w:val="32"/>
          <w:szCs w:val="26"/>
        </w:rPr>
        <w:t>ON STRONG REVENUE YIELDS</w:t>
      </w:r>
    </w:p>
    <w:p w:rsidR="00F21B81" w:rsidRPr="001549E0" w:rsidRDefault="00F21B81" w:rsidP="001549E0">
      <w:pPr>
        <w:jc w:val="center"/>
        <w:rPr>
          <w:rFonts w:ascii="Arial" w:hAnsi="Arial" w:cs="Arial"/>
          <w:b/>
          <w:sz w:val="28"/>
          <w:szCs w:val="26"/>
        </w:rPr>
      </w:pPr>
    </w:p>
    <w:p w:rsidR="00722D24" w:rsidRPr="00D352EF" w:rsidRDefault="00932367" w:rsidP="00722D24">
      <w:pPr>
        <w:pStyle w:val="ListParagraph"/>
        <w:numPr>
          <w:ilvl w:val="0"/>
          <w:numId w:val="35"/>
        </w:numPr>
        <w:ind w:left="540"/>
        <w:rPr>
          <w:rFonts w:ascii="Arial" w:hAnsi="Arial" w:cs="Arial"/>
          <w:b/>
          <w:i/>
        </w:rPr>
      </w:pPr>
      <w:r w:rsidRPr="00D352EF">
        <w:rPr>
          <w:rFonts w:ascii="Arial" w:hAnsi="Arial" w:cs="Arial"/>
          <w:b/>
          <w:i/>
        </w:rPr>
        <w:t>4Q18</w:t>
      </w:r>
      <w:r w:rsidR="00B64145" w:rsidRPr="00D352EF">
        <w:rPr>
          <w:rFonts w:ascii="Arial" w:hAnsi="Arial" w:cs="Arial"/>
          <w:b/>
          <w:i/>
        </w:rPr>
        <w:t xml:space="preserve"> </w:t>
      </w:r>
      <w:r w:rsidR="00722D24" w:rsidRPr="00D352EF">
        <w:rPr>
          <w:rFonts w:ascii="Arial" w:hAnsi="Arial" w:cs="Arial"/>
          <w:b/>
          <w:i/>
        </w:rPr>
        <w:t>EPS of $</w:t>
      </w:r>
      <w:r w:rsidR="00B95506" w:rsidRPr="00D352EF">
        <w:rPr>
          <w:rFonts w:ascii="Arial" w:hAnsi="Arial" w:cs="Arial"/>
          <w:b/>
          <w:i/>
        </w:rPr>
        <w:t>0.52</w:t>
      </w:r>
      <w:r w:rsidR="00722D24" w:rsidRPr="00D352EF">
        <w:rPr>
          <w:rFonts w:ascii="Arial" w:hAnsi="Arial" w:cs="Arial"/>
          <w:b/>
          <w:i/>
        </w:rPr>
        <w:t xml:space="preserve">; Adjusted 4Q EPS </w:t>
      </w:r>
      <w:r w:rsidRPr="00D352EF">
        <w:rPr>
          <w:rFonts w:ascii="Arial" w:hAnsi="Arial" w:cs="Arial"/>
          <w:b/>
          <w:i/>
        </w:rPr>
        <w:t xml:space="preserve">up </w:t>
      </w:r>
      <w:r w:rsidR="009A5CEF" w:rsidRPr="00D352EF">
        <w:rPr>
          <w:rFonts w:ascii="Arial" w:hAnsi="Arial" w:cs="Arial"/>
          <w:b/>
          <w:i/>
        </w:rPr>
        <w:t>nearly</w:t>
      </w:r>
      <w:r w:rsidRPr="00D352EF">
        <w:rPr>
          <w:rFonts w:ascii="Arial" w:hAnsi="Arial" w:cs="Arial"/>
          <w:b/>
          <w:i/>
        </w:rPr>
        <w:t xml:space="preserve"> 17% to</w:t>
      </w:r>
      <w:r w:rsidR="00722D24" w:rsidRPr="00D352EF">
        <w:rPr>
          <w:rFonts w:ascii="Arial" w:hAnsi="Arial" w:cs="Arial"/>
          <w:b/>
          <w:i/>
        </w:rPr>
        <w:t xml:space="preserve"> $</w:t>
      </w:r>
      <w:r w:rsidRPr="00D352EF">
        <w:rPr>
          <w:rFonts w:ascii="Arial" w:hAnsi="Arial" w:cs="Arial"/>
          <w:b/>
          <w:i/>
        </w:rPr>
        <w:t>1.94</w:t>
      </w:r>
      <w:r w:rsidR="00722D24" w:rsidRPr="00D352EF">
        <w:rPr>
          <w:rFonts w:ascii="Arial" w:hAnsi="Arial" w:cs="Arial"/>
          <w:b/>
          <w:i/>
        </w:rPr>
        <w:t xml:space="preserve"> </w:t>
      </w:r>
    </w:p>
    <w:p w:rsidR="00C41234" w:rsidRPr="00D352EF" w:rsidRDefault="00DE0883">
      <w:pPr>
        <w:pStyle w:val="ListParagraph"/>
        <w:numPr>
          <w:ilvl w:val="0"/>
          <w:numId w:val="35"/>
        </w:numPr>
        <w:ind w:left="540"/>
        <w:rPr>
          <w:rFonts w:ascii="Arial" w:hAnsi="Arial" w:cs="Arial"/>
          <w:b/>
          <w:i/>
        </w:rPr>
      </w:pPr>
      <w:r w:rsidRPr="00D352EF">
        <w:rPr>
          <w:rFonts w:ascii="Arial" w:hAnsi="Arial" w:cs="Arial"/>
          <w:b/>
          <w:i/>
        </w:rPr>
        <w:t>Pricing and Mix Strategies Lift 4Q Revenue Quality</w:t>
      </w:r>
    </w:p>
    <w:p w:rsidR="003D2EB3" w:rsidRPr="00D352EF" w:rsidRDefault="003D2EB3">
      <w:pPr>
        <w:pStyle w:val="ListParagraph"/>
        <w:numPr>
          <w:ilvl w:val="0"/>
          <w:numId w:val="35"/>
        </w:numPr>
        <w:ind w:left="540"/>
        <w:rPr>
          <w:rFonts w:ascii="Arial" w:hAnsi="Arial" w:cs="Arial"/>
          <w:b/>
          <w:i/>
        </w:rPr>
      </w:pPr>
      <w:r w:rsidRPr="00D352EF">
        <w:rPr>
          <w:rFonts w:ascii="Arial" w:hAnsi="Arial" w:cs="Arial"/>
          <w:b/>
          <w:i/>
        </w:rPr>
        <w:t xml:space="preserve">U.S. Domestic Revenue up </w:t>
      </w:r>
      <w:r w:rsidR="00B95506" w:rsidRPr="00D352EF">
        <w:rPr>
          <w:rFonts w:ascii="Arial" w:hAnsi="Arial" w:cs="Arial"/>
          <w:b/>
          <w:i/>
        </w:rPr>
        <w:t>6.3</w:t>
      </w:r>
      <w:r w:rsidRPr="00D352EF">
        <w:rPr>
          <w:rFonts w:ascii="Arial" w:hAnsi="Arial" w:cs="Arial"/>
          <w:b/>
          <w:i/>
        </w:rPr>
        <w:t xml:space="preserve">% </w:t>
      </w:r>
      <w:r w:rsidRPr="00867759">
        <w:rPr>
          <w:rFonts w:ascii="Arial" w:hAnsi="Arial" w:cs="Arial"/>
          <w:b/>
          <w:i/>
        </w:rPr>
        <w:t xml:space="preserve">on </w:t>
      </w:r>
      <w:r w:rsidR="00B95506" w:rsidRPr="00867759">
        <w:rPr>
          <w:rFonts w:ascii="Arial" w:hAnsi="Arial" w:cs="Arial"/>
          <w:b/>
          <w:i/>
        </w:rPr>
        <w:t xml:space="preserve">4Q Yield </w:t>
      </w:r>
      <w:r w:rsidR="00B047A3" w:rsidRPr="00867759">
        <w:rPr>
          <w:rFonts w:ascii="Arial" w:hAnsi="Arial" w:cs="Arial"/>
          <w:b/>
          <w:i/>
        </w:rPr>
        <w:t>G</w:t>
      </w:r>
      <w:r w:rsidR="007527B7" w:rsidRPr="00867759">
        <w:rPr>
          <w:rFonts w:ascii="Arial" w:hAnsi="Arial" w:cs="Arial"/>
          <w:b/>
          <w:i/>
        </w:rPr>
        <w:t>rowth</w:t>
      </w:r>
      <w:r w:rsidR="007527B7" w:rsidRPr="00D352EF">
        <w:rPr>
          <w:rFonts w:ascii="Arial" w:hAnsi="Arial" w:cs="Arial"/>
          <w:b/>
          <w:i/>
        </w:rPr>
        <w:t xml:space="preserve"> </w:t>
      </w:r>
    </w:p>
    <w:p w:rsidR="00C40079" w:rsidRPr="00D352EF" w:rsidRDefault="00730FFA">
      <w:pPr>
        <w:pStyle w:val="ListParagraph"/>
        <w:numPr>
          <w:ilvl w:val="0"/>
          <w:numId w:val="35"/>
        </w:numPr>
        <w:ind w:left="540"/>
        <w:rPr>
          <w:rFonts w:ascii="Arial" w:hAnsi="Arial" w:cs="Arial"/>
          <w:b/>
          <w:i/>
        </w:rPr>
      </w:pPr>
      <w:r w:rsidRPr="00D352EF">
        <w:rPr>
          <w:rFonts w:ascii="Arial" w:hAnsi="Arial" w:cs="Arial"/>
          <w:b/>
          <w:i/>
        </w:rPr>
        <w:t>International</w:t>
      </w:r>
      <w:r w:rsidR="00556C3F" w:rsidRPr="00D352EF">
        <w:rPr>
          <w:rFonts w:ascii="Arial" w:hAnsi="Arial" w:cs="Arial"/>
          <w:b/>
          <w:i/>
        </w:rPr>
        <w:t xml:space="preserve"> </w:t>
      </w:r>
      <w:r w:rsidR="00B047A3" w:rsidRPr="00D352EF">
        <w:rPr>
          <w:rFonts w:ascii="Arial" w:hAnsi="Arial" w:cs="Arial"/>
          <w:b/>
          <w:i/>
        </w:rPr>
        <w:t xml:space="preserve">4Q </w:t>
      </w:r>
      <w:r w:rsidR="00CA3A90">
        <w:rPr>
          <w:rFonts w:ascii="Arial" w:hAnsi="Arial" w:cs="Arial"/>
          <w:b/>
          <w:i/>
        </w:rPr>
        <w:t xml:space="preserve">Achieves </w:t>
      </w:r>
      <w:r w:rsidR="002147BD">
        <w:rPr>
          <w:rFonts w:ascii="Arial" w:hAnsi="Arial" w:cs="Arial"/>
          <w:b/>
          <w:i/>
        </w:rPr>
        <w:t>Record Profits</w:t>
      </w:r>
      <w:r w:rsidR="00CA3A90">
        <w:rPr>
          <w:rFonts w:ascii="Arial" w:hAnsi="Arial" w:cs="Arial"/>
          <w:b/>
          <w:i/>
        </w:rPr>
        <w:t xml:space="preserve">; </w:t>
      </w:r>
      <w:r w:rsidR="00B047A3" w:rsidRPr="00D352EF">
        <w:rPr>
          <w:rFonts w:ascii="Arial" w:hAnsi="Arial" w:cs="Arial"/>
          <w:b/>
          <w:i/>
        </w:rPr>
        <w:t>Margin Rises above 20%</w:t>
      </w:r>
      <w:r w:rsidRPr="00D352EF">
        <w:rPr>
          <w:rFonts w:ascii="Arial" w:hAnsi="Arial" w:cs="Arial"/>
          <w:b/>
          <w:i/>
        </w:rPr>
        <w:t xml:space="preserve"> </w:t>
      </w:r>
    </w:p>
    <w:p w:rsidR="00170B7B" w:rsidRPr="00D352EF" w:rsidRDefault="00170B7B" w:rsidP="00E84F4E">
      <w:pPr>
        <w:pStyle w:val="ListParagraph"/>
        <w:numPr>
          <w:ilvl w:val="0"/>
          <w:numId w:val="35"/>
        </w:numPr>
        <w:ind w:left="540"/>
        <w:rPr>
          <w:rFonts w:ascii="Arial" w:hAnsi="Arial" w:cs="Arial"/>
          <w:b/>
          <w:i/>
        </w:rPr>
      </w:pPr>
      <w:r w:rsidRPr="00D352EF">
        <w:rPr>
          <w:rFonts w:ascii="Arial" w:hAnsi="Arial" w:cs="Arial"/>
          <w:b/>
          <w:i/>
        </w:rPr>
        <w:t xml:space="preserve">Supply Chain </w:t>
      </w:r>
      <w:r w:rsidR="00B64B2B" w:rsidRPr="00D352EF">
        <w:rPr>
          <w:rFonts w:ascii="Arial" w:hAnsi="Arial" w:cs="Arial"/>
          <w:b/>
          <w:i/>
        </w:rPr>
        <w:t>&amp;</w:t>
      </w:r>
      <w:r w:rsidRPr="00D352EF">
        <w:rPr>
          <w:rFonts w:ascii="Arial" w:hAnsi="Arial" w:cs="Arial"/>
          <w:b/>
          <w:i/>
        </w:rPr>
        <w:t xml:space="preserve"> Freight</w:t>
      </w:r>
      <w:r w:rsidR="003D2EB3" w:rsidRPr="00D352EF">
        <w:rPr>
          <w:rFonts w:ascii="Arial" w:hAnsi="Arial" w:cs="Arial"/>
          <w:b/>
          <w:i/>
        </w:rPr>
        <w:t xml:space="preserve"> Revenue</w:t>
      </w:r>
      <w:r w:rsidR="00170BE7" w:rsidRPr="00D352EF">
        <w:rPr>
          <w:rFonts w:ascii="Arial" w:hAnsi="Arial" w:cs="Arial"/>
          <w:b/>
          <w:i/>
        </w:rPr>
        <w:t xml:space="preserve"> </w:t>
      </w:r>
      <w:r w:rsidR="0080362E">
        <w:rPr>
          <w:rFonts w:ascii="Arial" w:hAnsi="Arial" w:cs="Arial"/>
          <w:b/>
          <w:i/>
        </w:rPr>
        <w:t>Rises</w:t>
      </w:r>
      <w:r w:rsidR="00183F2F" w:rsidRPr="00D352EF">
        <w:rPr>
          <w:rFonts w:ascii="Arial" w:hAnsi="Arial" w:cs="Arial"/>
          <w:b/>
          <w:i/>
        </w:rPr>
        <w:t>,</w:t>
      </w:r>
      <w:r w:rsidR="00170BE7" w:rsidRPr="00D352EF">
        <w:rPr>
          <w:rFonts w:ascii="Arial" w:hAnsi="Arial" w:cs="Arial"/>
          <w:b/>
          <w:i/>
        </w:rPr>
        <w:t xml:space="preserve"> </w:t>
      </w:r>
      <w:r w:rsidR="007717E7" w:rsidRPr="00D352EF">
        <w:rPr>
          <w:rFonts w:ascii="Arial" w:hAnsi="Arial" w:cs="Arial"/>
          <w:b/>
          <w:i/>
        </w:rPr>
        <w:t xml:space="preserve">driven </w:t>
      </w:r>
      <w:r w:rsidR="00183F2F" w:rsidRPr="00D352EF">
        <w:rPr>
          <w:rFonts w:ascii="Arial" w:hAnsi="Arial" w:cs="Arial"/>
          <w:b/>
          <w:i/>
        </w:rPr>
        <w:t>by Forwarding and Logistics</w:t>
      </w:r>
    </w:p>
    <w:p w:rsidR="00D84EC1" w:rsidRDefault="00795D04" w:rsidP="00750424">
      <w:pPr>
        <w:pStyle w:val="ListParagraph"/>
        <w:numPr>
          <w:ilvl w:val="0"/>
          <w:numId w:val="35"/>
        </w:numPr>
        <w:ind w:left="540"/>
        <w:rPr>
          <w:rFonts w:ascii="Arial" w:hAnsi="Arial" w:cs="Arial"/>
          <w:b/>
          <w:i/>
        </w:rPr>
      </w:pPr>
      <w:r>
        <w:rPr>
          <w:rFonts w:ascii="Arial" w:hAnsi="Arial" w:cs="Arial"/>
          <w:b/>
          <w:i/>
        </w:rPr>
        <w:t xml:space="preserve">2018 </w:t>
      </w:r>
      <w:r w:rsidR="004A747A" w:rsidRPr="00D352EF">
        <w:rPr>
          <w:rFonts w:ascii="Arial" w:hAnsi="Arial" w:cs="Arial"/>
          <w:b/>
          <w:i/>
        </w:rPr>
        <w:t xml:space="preserve">Full-year </w:t>
      </w:r>
      <w:r w:rsidR="00556C3F" w:rsidRPr="00D352EF">
        <w:rPr>
          <w:rFonts w:ascii="Arial" w:hAnsi="Arial" w:cs="Arial"/>
          <w:b/>
          <w:i/>
        </w:rPr>
        <w:t xml:space="preserve">Cash from Operations was </w:t>
      </w:r>
      <w:r w:rsidR="00556C3F" w:rsidRPr="001549E0">
        <w:rPr>
          <w:rFonts w:ascii="Arial" w:hAnsi="Arial" w:cs="Arial"/>
          <w:b/>
          <w:i/>
        </w:rPr>
        <w:t>$</w:t>
      </w:r>
      <w:r w:rsidR="0050336C">
        <w:rPr>
          <w:rFonts w:ascii="Arial" w:hAnsi="Arial" w:cs="Arial"/>
          <w:b/>
          <w:i/>
        </w:rPr>
        <w:t>12.7</w:t>
      </w:r>
      <w:r w:rsidR="00556C3F" w:rsidRPr="001549E0">
        <w:rPr>
          <w:rFonts w:ascii="Arial" w:hAnsi="Arial" w:cs="Arial"/>
          <w:b/>
          <w:i/>
        </w:rPr>
        <w:t>B</w:t>
      </w:r>
    </w:p>
    <w:p w:rsidR="00556C3F" w:rsidRPr="00A10844" w:rsidRDefault="00556C3F" w:rsidP="00750424">
      <w:pPr>
        <w:pStyle w:val="ListParagraph"/>
        <w:numPr>
          <w:ilvl w:val="0"/>
          <w:numId w:val="35"/>
        </w:numPr>
        <w:ind w:left="540"/>
        <w:rPr>
          <w:rFonts w:ascii="Arial" w:hAnsi="Arial" w:cs="Arial"/>
          <w:b/>
          <w:i/>
        </w:rPr>
      </w:pPr>
      <w:r w:rsidRPr="00D352EF">
        <w:rPr>
          <w:rFonts w:ascii="Arial" w:hAnsi="Arial" w:cs="Arial"/>
          <w:b/>
          <w:i/>
        </w:rPr>
        <w:t xml:space="preserve">Free </w:t>
      </w:r>
      <w:r w:rsidRPr="00A10844">
        <w:rPr>
          <w:rFonts w:ascii="Arial" w:hAnsi="Arial" w:cs="Arial"/>
          <w:b/>
          <w:i/>
        </w:rPr>
        <w:t xml:space="preserve">Cash Flow </w:t>
      </w:r>
      <w:r w:rsidR="00795D04" w:rsidRPr="00A10844">
        <w:rPr>
          <w:rFonts w:ascii="Arial" w:hAnsi="Arial" w:cs="Arial"/>
          <w:b/>
          <w:i/>
        </w:rPr>
        <w:t xml:space="preserve">in 2018 </w:t>
      </w:r>
      <w:r w:rsidR="0080362E" w:rsidRPr="00A10844">
        <w:rPr>
          <w:rFonts w:ascii="Arial" w:hAnsi="Arial" w:cs="Arial"/>
          <w:b/>
          <w:i/>
        </w:rPr>
        <w:t>topped $6B, E</w:t>
      </w:r>
      <w:r w:rsidR="00D84EC1" w:rsidRPr="00A10844">
        <w:rPr>
          <w:rFonts w:ascii="Arial" w:hAnsi="Arial" w:cs="Arial"/>
          <w:b/>
          <w:i/>
        </w:rPr>
        <w:t>xceed</w:t>
      </w:r>
      <w:r w:rsidR="0080362E" w:rsidRPr="00A10844">
        <w:rPr>
          <w:rFonts w:ascii="Arial" w:hAnsi="Arial" w:cs="Arial"/>
          <w:b/>
          <w:i/>
        </w:rPr>
        <w:t>ing</w:t>
      </w:r>
      <w:r w:rsidR="00D84EC1" w:rsidRPr="00A10844">
        <w:rPr>
          <w:rFonts w:ascii="Arial" w:hAnsi="Arial" w:cs="Arial"/>
          <w:b/>
          <w:i/>
        </w:rPr>
        <w:t xml:space="preserve"> </w:t>
      </w:r>
      <w:r w:rsidR="0080362E" w:rsidRPr="00A10844">
        <w:rPr>
          <w:rFonts w:ascii="Arial" w:hAnsi="Arial" w:cs="Arial"/>
          <w:b/>
          <w:i/>
        </w:rPr>
        <w:t>E</w:t>
      </w:r>
      <w:r w:rsidR="00D84EC1" w:rsidRPr="00A10844">
        <w:rPr>
          <w:rFonts w:ascii="Arial" w:hAnsi="Arial" w:cs="Arial"/>
          <w:b/>
          <w:i/>
        </w:rPr>
        <w:t>xpectations</w:t>
      </w:r>
    </w:p>
    <w:p w:rsidR="00795D04" w:rsidRPr="00A10844" w:rsidRDefault="00B75974" w:rsidP="00750424">
      <w:pPr>
        <w:pStyle w:val="ListParagraph"/>
        <w:numPr>
          <w:ilvl w:val="0"/>
          <w:numId w:val="35"/>
        </w:numPr>
        <w:ind w:left="540"/>
        <w:rPr>
          <w:rFonts w:ascii="Arial" w:hAnsi="Arial" w:cs="Arial"/>
          <w:b/>
          <w:i/>
        </w:rPr>
      </w:pPr>
      <w:r w:rsidRPr="0062623C">
        <w:rPr>
          <w:rFonts w:ascii="Arial" w:hAnsi="Arial" w:cs="Arial"/>
          <w:b/>
          <w:i/>
        </w:rPr>
        <w:t xml:space="preserve">2019 </w:t>
      </w:r>
      <w:r w:rsidR="00CF062B" w:rsidRPr="0062623C">
        <w:rPr>
          <w:rFonts w:ascii="Arial" w:hAnsi="Arial" w:cs="Arial"/>
          <w:b/>
          <w:i/>
        </w:rPr>
        <w:t xml:space="preserve">Total </w:t>
      </w:r>
      <w:r w:rsidRPr="0062623C">
        <w:rPr>
          <w:rFonts w:ascii="Arial" w:hAnsi="Arial" w:cs="Arial"/>
          <w:b/>
          <w:i/>
        </w:rPr>
        <w:t>Adjusted Operating Profit Growth</w:t>
      </w:r>
      <w:r w:rsidR="00BB0A88">
        <w:rPr>
          <w:rFonts w:ascii="Arial" w:hAnsi="Arial" w:cs="Arial"/>
          <w:b/>
          <w:i/>
        </w:rPr>
        <w:t>*</w:t>
      </w:r>
      <w:r w:rsidRPr="0062623C">
        <w:rPr>
          <w:rFonts w:ascii="Arial" w:hAnsi="Arial" w:cs="Arial"/>
          <w:b/>
          <w:i/>
        </w:rPr>
        <w:t xml:space="preserve"> </w:t>
      </w:r>
      <w:r w:rsidR="00CF062B" w:rsidRPr="0062623C">
        <w:rPr>
          <w:rFonts w:ascii="Arial" w:hAnsi="Arial" w:cs="Arial"/>
          <w:b/>
          <w:i/>
        </w:rPr>
        <w:t xml:space="preserve">in the </w:t>
      </w:r>
      <w:r w:rsidR="00A10844">
        <w:rPr>
          <w:rFonts w:ascii="Arial" w:hAnsi="Arial" w:cs="Arial"/>
          <w:b/>
          <w:i/>
        </w:rPr>
        <w:t>L</w:t>
      </w:r>
      <w:r w:rsidR="00CF062B" w:rsidRPr="0062623C">
        <w:rPr>
          <w:rFonts w:ascii="Arial" w:hAnsi="Arial" w:cs="Arial"/>
          <w:b/>
          <w:i/>
        </w:rPr>
        <w:t>ow</w:t>
      </w:r>
      <w:r w:rsidR="00950052" w:rsidRPr="0062623C">
        <w:rPr>
          <w:rFonts w:ascii="Arial" w:hAnsi="Arial" w:cs="Arial"/>
          <w:b/>
          <w:i/>
        </w:rPr>
        <w:t>-</w:t>
      </w:r>
      <w:r w:rsidR="00CF062B" w:rsidRPr="0062623C">
        <w:rPr>
          <w:rFonts w:ascii="Arial" w:hAnsi="Arial" w:cs="Arial"/>
          <w:b/>
          <w:i/>
        </w:rPr>
        <w:t>teens</w:t>
      </w:r>
      <w:r w:rsidR="00950052" w:rsidRPr="0062623C">
        <w:rPr>
          <w:rFonts w:ascii="Arial" w:hAnsi="Arial" w:cs="Arial"/>
          <w:b/>
          <w:i/>
        </w:rPr>
        <w:t xml:space="preserve"> with all </w:t>
      </w:r>
      <w:r w:rsidR="00A62D79">
        <w:rPr>
          <w:rFonts w:ascii="Arial" w:hAnsi="Arial" w:cs="Arial"/>
          <w:b/>
          <w:i/>
        </w:rPr>
        <w:t>S</w:t>
      </w:r>
      <w:r w:rsidR="00950052" w:rsidRPr="0062623C">
        <w:rPr>
          <w:rFonts w:ascii="Arial" w:hAnsi="Arial" w:cs="Arial"/>
          <w:b/>
          <w:i/>
        </w:rPr>
        <w:t xml:space="preserve">egments up </w:t>
      </w:r>
      <w:r w:rsidR="00A62D79">
        <w:rPr>
          <w:rFonts w:ascii="Arial" w:hAnsi="Arial" w:cs="Arial"/>
          <w:b/>
          <w:i/>
        </w:rPr>
        <w:t>D</w:t>
      </w:r>
      <w:r w:rsidR="00950052" w:rsidRPr="0062623C">
        <w:rPr>
          <w:rFonts w:ascii="Arial" w:hAnsi="Arial" w:cs="Arial"/>
          <w:b/>
          <w:i/>
        </w:rPr>
        <w:t>ouble-digits</w:t>
      </w:r>
    </w:p>
    <w:p w:rsidR="00740EF2" w:rsidRPr="001549E0" w:rsidRDefault="00750424" w:rsidP="00750424">
      <w:pPr>
        <w:pStyle w:val="ListParagraph"/>
        <w:numPr>
          <w:ilvl w:val="0"/>
          <w:numId w:val="35"/>
        </w:numPr>
        <w:ind w:left="540"/>
        <w:rPr>
          <w:rFonts w:ascii="Arial" w:hAnsi="Arial" w:cs="Arial"/>
          <w:b/>
          <w:i/>
        </w:rPr>
      </w:pPr>
      <w:r w:rsidRPr="00A10844">
        <w:rPr>
          <w:rFonts w:ascii="Arial" w:hAnsi="Arial" w:cs="Arial"/>
          <w:b/>
          <w:i/>
        </w:rPr>
        <w:t>Announces</w:t>
      </w:r>
      <w:r w:rsidRPr="00D352EF">
        <w:rPr>
          <w:rFonts w:ascii="Arial" w:hAnsi="Arial" w:cs="Arial"/>
          <w:b/>
          <w:i/>
        </w:rPr>
        <w:t xml:space="preserve"> Full-Year </w:t>
      </w:r>
      <w:r w:rsidR="00932367" w:rsidRPr="00D352EF">
        <w:rPr>
          <w:rFonts w:ascii="Arial" w:hAnsi="Arial" w:cs="Arial"/>
          <w:b/>
          <w:i/>
        </w:rPr>
        <w:t xml:space="preserve">2019 </w:t>
      </w:r>
      <w:r w:rsidRPr="00D352EF">
        <w:rPr>
          <w:rFonts w:ascii="Arial" w:hAnsi="Arial" w:cs="Arial"/>
          <w:b/>
          <w:i/>
        </w:rPr>
        <w:t>Adjusted EPS Guidance</w:t>
      </w:r>
      <w:r w:rsidR="002F2A2D">
        <w:rPr>
          <w:rFonts w:ascii="Arial" w:hAnsi="Arial" w:cs="Arial"/>
          <w:b/>
          <w:i/>
        </w:rPr>
        <w:t>*</w:t>
      </w:r>
      <w:r w:rsidRPr="00D352EF">
        <w:rPr>
          <w:rFonts w:ascii="Arial" w:hAnsi="Arial" w:cs="Arial"/>
          <w:b/>
          <w:i/>
        </w:rPr>
        <w:t xml:space="preserve"> Range of </w:t>
      </w:r>
      <w:r w:rsidRPr="001549E0">
        <w:rPr>
          <w:rFonts w:ascii="Arial" w:hAnsi="Arial" w:cs="Arial"/>
          <w:b/>
          <w:i/>
        </w:rPr>
        <w:t>$</w:t>
      </w:r>
      <w:r w:rsidR="00461E52">
        <w:rPr>
          <w:rFonts w:ascii="Arial" w:hAnsi="Arial" w:cs="Arial"/>
          <w:b/>
          <w:i/>
        </w:rPr>
        <w:t>7.45</w:t>
      </w:r>
      <w:r w:rsidR="00932367" w:rsidRPr="001549E0">
        <w:rPr>
          <w:rFonts w:ascii="Arial" w:hAnsi="Arial" w:cs="Arial"/>
          <w:b/>
          <w:i/>
        </w:rPr>
        <w:t xml:space="preserve"> </w:t>
      </w:r>
      <w:r w:rsidRPr="001549E0">
        <w:rPr>
          <w:rFonts w:ascii="Arial" w:hAnsi="Arial" w:cs="Arial"/>
          <w:b/>
          <w:i/>
        </w:rPr>
        <w:t>to $</w:t>
      </w:r>
      <w:r w:rsidR="00461E52">
        <w:rPr>
          <w:rFonts w:ascii="Arial" w:hAnsi="Arial" w:cs="Arial"/>
          <w:b/>
          <w:i/>
        </w:rPr>
        <w:t>7.75</w:t>
      </w:r>
    </w:p>
    <w:p w:rsidR="0077335C" w:rsidRPr="00D352EF" w:rsidRDefault="0077335C" w:rsidP="000E624D">
      <w:pPr>
        <w:rPr>
          <w:rFonts w:ascii="Arial" w:hAnsi="Arial" w:cs="Arial"/>
          <w:b/>
          <w:szCs w:val="20"/>
        </w:rPr>
      </w:pPr>
    </w:p>
    <w:p w:rsidR="00A9178C" w:rsidRPr="00D352EF" w:rsidRDefault="004F5DA4" w:rsidP="001818ED">
      <w:pPr>
        <w:ind w:firstLine="720"/>
        <w:rPr>
          <w:rFonts w:ascii="Arial" w:hAnsi="Arial" w:cs="Arial"/>
          <w:sz w:val="22"/>
        </w:rPr>
      </w:pPr>
      <w:r w:rsidRPr="00D352EF">
        <w:rPr>
          <w:rFonts w:ascii="Arial" w:hAnsi="Arial" w:cs="Arial"/>
          <w:b/>
        </w:rPr>
        <w:t>A</w:t>
      </w:r>
      <w:r w:rsidR="006376D6" w:rsidRPr="00D352EF">
        <w:rPr>
          <w:rFonts w:ascii="Arial" w:hAnsi="Arial" w:cs="Arial"/>
          <w:b/>
        </w:rPr>
        <w:t xml:space="preserve">TLANTA </w:t>
      </w:r>
      <w:r w:rsidR="00456224" w:rsidRPr="00D352EF">
        <w:rPr>
          <w:rFonts w:ascii="Arial" w:hAnsi="Arial" w:cs="Arial"/>
          <w:b/>
        </w:rPr>
        <w:t>–</w:t>
      </w:r>
      <w:r w:rsidR="005855A9" w:rsidRPr="00D352EF">
        <w:rPr>
          <w:rFonts w:ascii="Arial" w:hAnsi="Arial" w:cs="Arial"/>
          <w:b/>
        </w:rPr>
        <w:t xml:space="preserve"> </w:t>
      </w:r>
      <w:r w:rsidR="00B53A21" w:rsidRPr="00D352EF">
        <w:rPr>
          <w:rFonts w:ascii="Arial" w:hAnsi="Arial" w:cs="Arial"/>
          <w:b/>
        </w:rPr>
        <w:t>January</w:t>
      </w:r>
      <w:r w:rsidR="005A5BC6" w:rsidRPr="00D352EF">
        <w:rPr>
          <w:rFonts w:ascii="Arial" w:hAnsi="Arial" w:cs="Arial"/>
          <w:b/>
        </w:rPr>
        <w:t xml:space="preserve"> </w:t>
      </w:r>
      <w:r w:rsidR="00B53A21" w:rsidRPr="00D352EF">
        <w:rPr>
          <w:rFonts w:ascii="Arial" w:hAnsi="Arial" w:cs="Arial"/>
          <w:b/>
        </w:rPr>
        <w:t>31</w:t>
      </w:r>
      <w:r w:rsidR="005855A9" w:rsidRPr="00D352EF">
        <w:rPr>
          <w:rFonts w:ascii="Arial" w:hAnsi="Arial" w:cs="Arial"/>
          <w:b/>
        </w:rPr>
        <w:t>, 201</w:t>
      </w:r>
      <w:r w:rsidR="00B53A21" w:rsidRPr="00D352EF">
        <w:rPr>
          <w:rFonts w:ascii="Arial" w:hAnsi="Arial" w:cs="Arial"/>
          <w:b/>
        </w:rPr>
        <w:t>9</w:t>
      </w:r>
      <w:r w:rsidR="005855A9" w:rsidRPr="00D352EF">
        <w:rPr>
          <w:rFonts w:ascii="Arial" w:hAnsi="Arial" w:cs="Arial"/>
          <w:sz w:val="22"/>
        </w:rPr>
        <w:t xml:space="preserve"> – UPS (NYSE:UPS) today </w:t>
      </w:r>
      <w:r w:rsidR="00B47330" w:rsidRPr="00D352EF">
        <w:rPr>
          <w:rFonts w:ascii="Arial" w:hAnsi="Arial" w:cs="Arial"/>
          <w:sz w:val="22"/>
        </w:rPr>
        <w:t xml:space="preserve">announced </w:t>
      </w:r>
      <w:r w:rsidR="00C36109" w:rsidRPr="00D352EF">
        <w:rPr>
          <w:rFonts w:ascii="Arial" w:hAnsi="Arial" w:cs="Arial"/>
          <w:sz w:val="22"/>
        </w:rPr>
        <w:t>fourth</w:t>
      </w:r>
      <w:r w:rsidR="00A93D14">
        <w:rPr>
          <w:rFonts w:ascii="Arial" w:hAnsi="Arial" w:cs="Arial"/>
          <w:sz w:val="22"/>
        </w:rPr>
        <w:t>-</w:t>
      </w:r>
      <w:r w:rsidR="00C36109" w:rsidRPr="00D352EF">
        <w:rPr>
          <w:rFonts w:ascii="Arial" w:hAnsi="Arial" w:cs="Arial"/>
          <w:sz w:val="22"/>
        </w:rPr>
        <w:t>quarter</w:t>
      </w:r>
      <w:r w:rsidR="000C772F" w:rsidRPr="00D352EF">
        <w:rPr>
          <w:rFonts w:ascii="Arial" w:hAnsi="Arial" w:cs="Arial"/>
          <w:sz w:val="22"/>
        </w:rPr>
        <w:t xml:space="preserve"> </w:t>
      </w:r>
      <w:r w:rsidR="0015541E" w:rsidRPr="00D352EF">
        <w:rPr>
          <w:rFonts w:ascii="Arial" w:hAnsi="Arial" w:cs="Arial"/>
          <w:sz w:val="22"/>
        </w:rPr>
        <w:t xml:space="preserve">2018 </w:t>
      </w:r>
      <w:r w:rsidR="00C36109" w:rsidRPr="00D352EF">
        <w:rPr>
          <w:rFonts w:ascii="Arial" w:hAnsi="Arial" w:cs="Arial"/>
          <w:sz w:val="22"/>
        </w:rPr>
        <w:t>earnings</w:t>
      </w:r>
      <w:r w:rsidR="00A9178C" w:rsidRPr="00D352EF">
        <w:rPr>
          <w:rFonts w:ascii="Arial" w:hAnsi="Arial" w:cs="Arial"/>
          <w:sz w:val="22"/>
        </w:rPr>
        <w:t xml:space="preserve"> highlighted by high</w:t>
      </w:r>
      <w:r w:rsidR="00122485">
        <w:rPr>
          <w:rFonts w:ascii="Arial" w:hAnsi="Arial" w:cs="Arial"/>
          <w:sz w:val="22"/>
        </w:rPr>
        <w:t>-</w:t>
      </w:r>
      <w:r w:rsidR="00A9178C" w:rsidRPr="00D352EF">
        <w:rPr>
          <w:rFonts w:ascii="Arial" w:hAnsi="Arial" w:cs="Arial"/>
          <w:sz w:val="22"/>
        </w:rPr>
        <w:t xml:space="preserve">quality </w:t>
      </w:r>
      <w:r w:rsidR="00122485">
        <w:rPr>
          <w:rFonts w:ascii="Arial" w:hAnsi="Arial" w:cs="Arial"/>
          <w:sz w:val="22"/>
        </w:rPr>
        <w:t xml:space="preserve">revenue </w:t>
      </w:r>
      <w:r w:rsidR="00A9178C" w:rsidRPr="00D352EF">
        <w:rPr>
          <w:rFonts w:ascii="Arial" w:hAnsi="Arial" w:cs="Arial"/>
          <w:sz w:val="22"/>
        </w:rPr>
        <w:t xml:space="preserve">initiatives that are producing </w:t>
      </w:r>
      <w:r w:rsidR="00435ABD" w:rsidRPr="00D352EF">
        <w:rPr>
          <w:rFonts w:ascii="Arial" w:hAnsi="Arial" w:cs="Arial"/>
          <w:sz w:val="22"/>
        </w:rPr>
        <w:t>positive</w:t>
      </w:r>
      <w:r w:rsidR="00244948">
        <w:rPr>
          <w:rFonts w:ascii="Arial" w:hAnsi="Arial" w:cs="Arial"/>
          <w:sz w:val="22"/>
        </w:rPr>
        <w:t>, sustainable</w:t>
      </w:r>
      <w:r w:rsidR="00435ABD" w:rsidRPr="00D352EF">
        <w:rPr>
          <w:rFonts w:ascii="Arial" w:hAnsi="Arial" w:cs="Arial"/>
          <w:sz w:val="22"/>
        </w:rPr>
        <w:t xml:space="preserve"> </w:t>
      </w:r>
      <w:r w:rsidR="00244948">
        <w:rPr>
          <w:rFonts w:ascii="Arial" w:hAnsi="Arial" w:cs="Arial"/>
          <w:sz w:val="22"/>
        </w:rPr>
        <w:t>benefits</w:t>
      </w:r>
      <w:r w:rsidR="00435ABD" w:rsidRPr="00D352EF">
        <w:rPr>
          <w:rFonts w:ascii="Arial" w:hAnsi="Arial" w:cs="Arial"/>
          <w:sz w:val="22"/>
        </w:rPr>
        <w:t>.</w:t>
      </w:r>
      <w:r w:rsidR="00B351D7" w:rsidRPr="00D352EF">
        <w:rPr>
          <w:rFonts w:ascii="Arial" w:hAnsi="Arial" w:cs="Arial"/>
          <w:sz w:val="22"/>
        </w:rPr>
        <w:t xml:space="preserve"> </w:t>
      </w:r>
      <w:r w:rsidR="00947C81" w:rsidRPr="00D352EF">
        <w:rPr>
          <w:rFonts w:ascii="Arial" w:hAnsi="Arial" w:cs="Arial"/>
          <w:sz w:val="22"/>
        </w:rPr>
        <w:t xml:space="preserve"> </w:t>
      </w:r>
    </w:p>
    <w:p w:rsidR="00A9178C" w:rsidRPr="00D352EF" w:rsidRDefault="00A9178C" w:rsidP="001818ED">
      <w:pPr>
        <w:ind w:firstLine="720"/>
        <w:rPr>
          <w:rFonts w:ascii="Arial" w:hAnsi="Arial" w:cs="Arial"/>
          <w:sz w:val="22"/>
        </w:rPr>
      </w:pPr>
    </w:p>
    <w:p w:rsidR="005A5BC6" w:rsidRPr="00D352EF" w:rsidRDefault="00D8122D" w:rsidP="001818ED">
      <w:pPr>
        <w:ind w:firstLine="720"/>
        <w:rPr>
          <w:rFonts w:ascii="Arial" w:hAnsi="Arial" w:cs="Arial"/>
          <w:sz w:val="22"/>
        </w:rPr>
      </w:pPr>
      <w:r w:rsidRPr="00D352EF">
        <w:rPr>
          <w:rFonts w:ascii="Arial" w:hAnsi="Arial" w:cs="Arial"/>
          <w:sz w:val="22"/>
          <w:szCs w:val="22"/>
        </w:rPr>
        <w:t>“</w:t>
      </w:r>
      <w:r w:rsidR="0094301B" w:rsidRPr="00D352EF">
        <w:rPr>
          <w:rFonts w:ascii="Arial" w:hAnsi="Arial" w:cs="Arial"/>
          <w:sz w:val="22"/>
          <w:szCs w:val="22"/>
        </w:rPr>
        <w:t xml:space="preserve">We </w:t>
      </w:r>
      <w:r w:rsidR="00D84EC1">
        <w:rPr>
          <w:rFonts w:ascii="Arial" w:hAnsi="Arial" w:cs="Arial"/>
          <w:sz w:val="22"/>
          <w:szCs w:val="22"/>
        </w:rPr>
        <w:t xml:space="preserve">achieved </w:t>
      </w:r>
      <w:r w:rsidR="00447B63" w:rsidRPr="00D352EF">
        <w:rPr>
          <w:rFonts w:ascii="Arial" w:hAnsi="Arial" w:cs="Arial"/>
          <w:sz w:val="22"/>
          <w:szCs w:val="22"/>
        </w:rPr>
        <w:t xml:space="preserve">our </w:t>
      </w:r>
      <w:r w:rsidR="003719E8" w:rsidRPr="00D352EF">
        <w:rPr>
          <w:rFonts w:ascii="Arial" w:hAnsi="Arial" w:cs="Arial"/>
          <w:sz w:val="22"/>
          <w:szCs w:val="22"/>
        </w:rPr>
        <w:t xml:space="preserve">2018 </w:t>
      </w:r>
      <w:r w:rsidR="00447B63" w:rsidRPr="00D352EF">
        <w:rPr>
          <w:rFonts w:ascii="Arial" w:hAnsi="Arial" w:cs="Arial"/>
          <w:sz w:val="22"/>
          <w:szCs w:val="22"/>
        </w:rPr>
        <w:t>adjusted earnings-per-</w:t>
      </w:r>
      <w:r w:rsidR="0094301B" w:rsidRPr="00D352EF">
        <w:rPr>
          <w:rFonts w:ascii="Arial" w:hAnsi="Arial" w:cs="Arial"/>
          <w:sz w:val="22"/>
          <w:szCs w:val="22"/>
        </w:rPr>
        <w:t xml:space="preserve">share </w:t>
      </w:r>
      <w:r w:rsidR="00A9178C" w:rsidRPr="00D352EF">
        <w:rPr>
          <w:rFonts w:ascii="Arial" w:hAnsi="Arial" w:cs="Arial"/>
          <w:sz w:val="22"/>
          <w:szCs w:val="22"/>
        </w:rPr>
        <w:t xml:space="preserve">goal by </w:t>
      </w:r>
      <w:r w:rsidR="005E4501" w:rsidRPr="00D352EF">
        <w:rPr>
          <w:rFonts w:ascii="Arial" w:hAnsi="Arial" w:cs="Arial"/>
          <w:sz w:val="22"/>
          <w:szCs w:val="22"/>
        </w:rPr>
        <w:t xml:space="preserve">successfully </w:t>
      </w:r>
      <w:r w:rsidR="00382368" w:rsidRPr="00D352EF">
        <w:rPr>
          <w:rFonts w:ascii="Arial" w:hAnsi="Arial" w:cs="Arial"/>
          <w:sz w:val="22"/>
          <w:szCs w:val="22"/>
        </w:rPr>
        <w:t xml:space="preserve">executing </w:t>
      </w:r>
      <w:r w:rsidR="00A9178C" w:rsidRPr="00D352EF">
        <w:rPr>
          <w:rFonts w:ascii="Arial" w:hAnsi="Arial" w:cs="Arial"/>
          <w:sz w:val="22"/>
          <w:szCs w:val="22"/>
        </w:rPr>
        <w:t xml:space="preserve">Transformation </w:t>
      </w:r>
      <w:r w:rsidR="00244948">
        <w:rPr>
          <w:rFonts w:ascii="Arial" w:hAnsi="Arial" w:cs="Arial"/>
          <w:sz w:val="22"/>
          <w:szCs w:val="22"/>
        </w:rPr>
        <w:t xml:space="preserve">investments and </w:t>
      </w:r>
      <w:r w:rsidR="00ED7A11" w:rsidRPr="00D352EF">
        <w:rPr>
          <w:rFonts w:ascii="Arial" w:hAnsi="Arial" w:cs="Arial"/>
          <w:sz w:val="22"/>
          <w:szCs w:val="22"/>
        </w:rPr>
        <w:t xml:space="preserve">initiatives </w:t>
      </w:r>
      <w:r w:rsidR="00D84EC1">
        <w:rPr>
          <w:rFonts w:ascii="Arial" w:hAnsi="Arial" w:cs="Arial"/>
          <w:sz w:val="22"/>
          <w:szCs w:val="22"/>
        </w:rPr>
        <w:t xml:space="preserve">that lifted </w:t>
      </w:r>
      <w:r w:rsidR="00A9178C" w:rsidRPr="00D352EF">
        <w:rPr>
          <w:rFonts w:ascii="Arial" w:hAnsi="Arial" w:cs="Arial"/>
          <w:sz w:val="22"/>
          <w:szCs w:val="22"/>
        </w:rPr>
        <w:t>revenue</w:t>
      </w:r>
      <w:r w:rsidR="00D84EC1">
        <w:rPr>
          <w:rFonts w:ascii="Arial" w:hAnsi="Arial" w:cs="Arial"/>
          <w:sz w:val="22"/>
          <w:szCs w:val="22"/>
        </w:rPr>
        <w:t xml:space="preserve"> quality</w:t>
      </w:r>
      <w:r w:rsidR="00244948">
        <w:rPr>
          <w:rFonts w:ascii="Arial" w:hAnsi="Arial" w:cs="Arial"/>
          <w:sz w:val="22"/>
          <w:szCs w:val="22"/>
        </w:rPr>
        <w:t xml:space="preserve"> and</w:t>
      </w:r>
      <w:r w:rsidR="00A9178C" w:rsidRPr="00D352EF">
        <w:rPr>
          <w:rFonts w:ascii="Arial" w:hAnsi="Arial" w:cs="Arial"/>
          <w:sz w:val="22"/>
          <w:szCs w:val="22"/>
        </w:rPr>
        <w:t xml:space="preserve"> </w:t>
      </w:r>
      <w:r w:rsidR="00D84EC1">
        <w:rPr>
          <w:rFonts w:ascii="Arial" w:hAnsi="Arial" w:cs="Arial"/>
          <w:sz w:val="22"/>
          <w:szCs w:val="22"/>
        </w:rPr>
        <w:t xml:space="preserve">improved </w:t>
      </w:r>
      <w:r w:rsidR="00A9178C" w:rsidRPr="00D352EF">
        <w:rPr>
          <w:rFonts w:ascii="Arial" w:hAnsi="Arial" w:cs="Arial"/>
          <w:sz w:val="22"/>
          <w:szCs w:val="22"/>
        </w:rPr>
        <w:t>efficiency</w:t>
      </w:r>
      <w:r w:rsidR="00244948">
        <w:rPr>
          <w:rFonts w:ascii="Arial" w:hAnsi="Arial" w:cs="Arial"/>
          <w:sz w:val="22"/>
          <w:szCs w:val="22"/>
        </w:rPr>
        <w:t xml:space="preserve">,” </w:t>
      </w:r>
      <w:r w:rsidRPr="00D352EF">
        <w:rPr>
          <w:rFonts w:ascii="Arial" w:hAnsi="Arial" w:cs="Arial"/>
          <w:sz w:val="22"/>
          <w:szCs w:val="22"/>
        </w:rPr>
        <w:t>said David Abney, UPS chairman and CEO.  “</w:t>
      </w:r>
      <w:r w:rsidR="00C01D88" w:rsidRPr="00D352EF">
        <w:rPr>
          <w:rFonts w:ascii="Arial" w:hAnsi="Arial" w:cs="Arial"/>
          <w:sz w:val="22"/>
          <w:szCs w:val="22"/>
        </w:rPr>
        <w:t xml:space="preserve">Our diverse portfolio, global footprint and flexible network </w:t>
      </w:r>
      <w:r w:rsidR="00447B63" w:rsidRPr="00D352EF">
        <w:rPr>
          <w:rFonts w:ascii="Arial" w:hAnsi="Arial" w:cs="Arial"/>
          <w:sz w:val="22"/>
          <w:szCs w:val="22"/>
        </w:rPr>
        <w:t>position</w:t>
      </w:r>
      <w:r w:rsidR="0094301B" w:rsidRPr="00D352EF">
        <w:rPr>
          <w:rFonts w:ascii="Arial" w:hAnsi="Arial" w:cs="Arial"/>
          <w:sz w:val="22"/>
          <w:szCs w:val="22"/>
        </w:rPr>
        <w:t xml:space="preserve"> UPS for </w:t>
      </w:r>
      <w:r w:rsidR="000243F0" w:rsidRPr="00D352EF">
        <w:rPr>
          <w:rFonts w:ascii="Arial" w:hAnsi="Arial" w:cs="Arial"/>
          <w:sz w:val="22"/>
          <w:szCs w:val="22"/>
        </w:rPr>
        <w:t xml:space="preserve">profitable </w:t>
      </w:r>
      <w:r w:rsidR="0094301B" w:rsidRPr="00D352EF">
        <w:rPr>
          <w:rFonts w:ascii="Arial" w:hAnsi="Arial" w:cs="Arial"/>
          <w:sz w:val="22"/>
          <w:szCs w:val="22"/>
        </w:rPr>
        <w:t xml:space="preserve">growth in </w:t>
      </w:r>
      <w:r w:rsidR="00980D87" w:rsidRPr="00D352EF">
        <w:rPr>
          <w:rFonts w:ascii="Arial" w:hAnsi="Arial" w:cs="Arial"/>
          <w:sz w:val="22"/>
          <w:szCs w:val="22"/>
        </w:rPr>
        <w:t xml:space="preserve">2019 </w:t>
      </w:r>
      <w:r w:rsidR="00524BA3" w:rsidRPr="00D352EF">
        <w:rPr>
          <w:rFonts w:ascii="Arial" w:hAnsi="Arial" w:cs="Arial"/>
          <w:sz w:val="22"/>
          <w:szCs w:val="22"/>
        </w:rPr>
        <w:t>and beyond</w:t>
      </w:r>
      <w:r w:rsidR="000243F0" w:rsidRPr="00D352EF">
        <w:rPr>
          <w:rFonts w:ascii="Arial" w:hAnsi="Arial" w:cs="Arial"/>
          <w:sz w:val="22"/>
          <w:szCs w:val="22"/>
        </w:rPr>
        <w:t>.</w:t>
      </w:r>
      <w:r w:rsidR="000F2933" w:rsidRPr="00D352EF">
        <w:rPr>
          <w:rFonts w:ascii="Arial" w:hAnsi="Arial" w:cs="Arial"/>
          <w:sz w:val="22"/>
          <w:szCs w:val="22"/>
        </w:rPr>
        <w:t xml:space="preserve">” </w:t>
      </w:r>
    </w:p>
    <w:p w:rsidR="00BA4900" w:rsidRPr="00D352EF" w:rsidRDefault="00BA4900" w:rsidP="000E624D">
      <w:pPr>
        <w:rPr>
          <w:rFonts w:ascii="Arial" w:hAnsi="Arial" w:cs="Arial"/>
          <w:sz w:val="22"/>
        </w:rPr>
      </w:pPr>
    </w:p>
    <w:tbl>
      <w:tblPr>
        <w:tblStyle w:val="TableGrid"/>
        <w:tblW w:w="892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440"/>
        <w:gridCol w:w="1440"/>
        <w:gridCol w:w="1440"/>
        <w:gridCol w:w="1440"/>
      </w:tblGrid>
      <w:tr w:rsidR="005A5BC6" w:rsidRPr="00D352EF" w:rsidTr="005A5BC6">
        <w:tc>
          <w:tcPr>
            <w:tcW w:w="3168" w:type="dxa"/>
          </w:tcPr>
          <w:p w:rsidR="005A5BC6" w:rsidRPr="00D352EF" w:rsidRDefault="00AC1F0D" w:rsidP="005A5BC6">
            <w:pPr>
              <w:rPr>
                <w:rFonts w:ascii="Arial" w:hAnsi="Arial" w:cs="Arial"/>
                <w:b/>
                <w:sz w:val="20"/>
                <w:szCs w:val="22"/>
                <w:u w:val="single"/>
              </w:rPr>
            </w:pPr>
            <w:r w:rsidRPr="00D352EF">
              <w:rPr>
                <w:rFonts w:ascii="Arial" w:hAnsi="Arial" w:cs="Arial"/>
                <w:b/>
                <w:sz w:val="20"/>
                <w:szCs w:val="22"/>
                <w:u w:val="single"/>
              </w:rPr>
              <w:t>Consolidated</w:t>
            </w:r>
          </w:p>
          <w:p w:rsidR="005A5BC6" w:rsidRPr="00D352EF" w:rsidRDefault="00AC1F0D" w:rsidP="00723799">
            <w:pPr>
              <w:rPr>
                <w:rFonts w:ascii="Arial" w:hAnsi="Arial" w:cs="Arial"/>
                <w:b/>
                <w:sz w:val="20"/>
                <w:szCs w:val="22"/>
                <w:u w:val="single"/>
              </w:rPr>
            </w:pPr>
            <w:r w:rsidRPr="00D352EF">
              <w:rPr>
                <w:rFonts w:ascii="Arial" w:hAnsi="Arial" w:cs="Arial"/>
                <w:b/>
                <w:sz w:val="20"/>
                <w:szCs w:val="22"/>
                <w:u w:val="single"/>
              </w:rPr>
              <w:t>Results</w:t>
            </w:r>
          </w:p>
        </w:tc>
        <w:tc>
          <w:tcPr>
            <w:tcW w:w="1440" w:type="dxa"/>
          </w:tcPr>
          <w:p w:rsidR="005A5BC6" w:rsidRPr="00D352EF" w:rsidRDefault="005A5BC6" w:rsidP="005A5BC6">
            <w:pPr>
              <w:jc w:val="right"/>
              <w:rPr>
                <w:rFonts w:ascii="Arial" w:hAnsi="Arial" w:cs="Arial"/>
                <w:b/>
                <w:sz w:val="20"/>
                <w:szCs w:val="22"/>
                <w:u w:val="single"/>
              </w:rPr>
            </w:pPr>
          </w:p>
          <w:p w:rsidR="005A5BC6" w:rsidRPr="00D352EF" w:rsidRDefault="005A5BC6">
            <w:pPr>
              <w:jc w:val="right"/>
              <w:rPr>
                <w:rFonts w:ascii="Arial" w:hAnsi="Arial" w:cs="Arial"/>
                <w:b/>
                <w:sz w:val="20"/>
                <w:szCs w:val="22"/>
                <w:u w:val="single"/>
              </w:rPr>
            </w:pPr>
            <w:r w:rsidRPr="00D352EF">
              <w:rPr>
                <w:rFonts w:ascii="Arial" w:hAnsi="Arial" w:cs="Arial"/>
                <w:b/>
                <w:sz w:val="20"/>
                <w:szCs w:val="22"/>
                <w:u w:val="single"/>
              </w:rPr>
              <w:t xml:space="preserve">4Q </w:t>
            </w:r>
            <w:r w:rsidR="0015541E" w:rsidRPr="00D352EF">
              <w:rPr>
                <w:rFonts w:ascii="Arial" w:hAnsi="Arial" w:cs="Arial"/>
                <w:b/>
                <w:sz w:val="20"/>
                <w:szCs w:val="22"/>
                <w:u w:val="single"/>
              </w:rPr>
              <w:t>2018</w:t>
            </w:r>
          </w:p>
        </w:tc>
        <w:tc>
          <w:tcPr>
            <w:tcW w:w="1440" w:type="dxa"/>
          </w:tcPr>
          <w:p w:rsidR="005A5BC6" w:rsidRPr="00D352EF" w:rsidRDefault="005A5BC6" w:rsidP="005A5BC6">
            <w:pPr>
              <w:jc w:val="right"/>
              <w:rPr>
                <w:rFonts w:ascii="Arial" w:hAnsi="Arial" w:cs="Arial"/>
                <w:b/>
                <w:sz w:val="20"/>
                <w:szCs w:val="22"/>
                <w:u w:val="single"/>
              </w:rPr>
            </w:pPr>
            <w:r w:rsidRPr="00D352EF">
              <w:rPr>
                <w:rFonts w:ascii="Arial" w:hAnsi="Arial" w:cs="Arial"/>
                <w:b/>
                <w:sz w:val="20"/>
                <w:szCs w:val="22"/>
                <w:u w:val="single"/>
              </w:rPr>
              <w:t>Adjusted</w:t>
            </w:r>
          </w:p>
          <w:p w:rsidR="005A5BC6" w:rsidRPr="00D352EF" w:rsidRDefault="005A5BC6">
            <w:pPr>
              <w:jc w:val="right"/>
              <w:rPr>
                <w:rFonts w:ascii="Arial" w:hAnsi="Arial" w:cs="Arial"/>
                <w:b/>
                <w:sz w:val="20"/>
                <w:szCs w:val="22"/>
                <w:u w:val="single"/>
              </w:rPr>
            </w:pPr>
            <w:r w:rsidRPr="00D352EF">
              <w:rPr>
                <w:rFonts w:ascii="Arial" w:hAnsi="Arial" w:cs="Arial"/>
                <w:b/>
                <w:sz w:val="20"/>
                <w:szCs w:val="22"/>
                <w:u w:val="single"/>
              </w:rPr>
              <w:t xml:space="preserve">4Q </w:t>
            </w:r>
            <w:r w:rsidR="0015541E" w:rsidRPr="00D352EF">
              <w:rPr>
                <w:rFonts w:ascii="Arial" w:hAnsi="Arial" w:cs="Arial"/>
                <w:b/>
                <w:sz w:val="20"/>
                <w:szCs w:val="22"/>
                <w:u w:val="single"/>
              </w:rPr>
              <w:t>2018</w:t>
            </w:r>
          </w:p>
        </w:tc>
        <w:tc>
          <w:tcPr>
            <w:tcW w:w="1440" w:type="dxa"/>
          </w:tcPr>
          <w:p w:rsidR="005A5BC6" w:rsidRPr="00D352EF" w:rsidRDefault="005A5BC6" w:rsidP="005A5BC6">
            <w:pPr>
              <w:jc w:val="right"/>
              <w:rPr>
                <w:rFonts w:ascii="Arial" w:hAnsi="Arial" w:cs="Arial"/>
                <w:b/>
                <w:sz w:val="20"/>
                <w:szCs w:val="22"/>
                <w:u w:val="single"/>
              </w:rPr>
            </w:pPr>
          </w:p>
          <w:p w:rsidR="005A5BC6" w:rsidRPr="00D352EF" w:rsidRDefault="005A5BC6">
            <w:pPr>
              <w:jc w:val="right"/>
              <w:rPr>
                <w:rFonts w:ascii="Arial" w:hAnsi="Arial" w:cs="Arial"/>
                <w:b/>
                <w:sz w:val="20"/>
                <w:szCs w:val="22"/>
                <w:u w:val="single"/>
              </w:rPr>
            </w:pPr>
            <w:r w:rsidRPr="00D352EF">
              <w:rPr>
                <w:rFonts w:ascii="Arial" w:hAnsi="Arial" w:cs="Arial"/>
                <w:b/>
                <w:sz w:val="20"/>
                <w:szCs w:val="22"/>
                <w:u w:val="single"/>
              </w:rPr>
              <w:t xml:space="preserve">4Q </w:t>
            </w:r>
            <w:r w:rsidR="0015541E" w:rsidRPr="00D352EF">
              <w:rPr>
                <w:rFonts w:ascii="Arial" w:hAnsi="Arial" w:cs="Arial"/>
                <w:b/>
                <w:sz w:val="20"/>
                <w:szCs w:val="22"/>
                <w:u w:val="single"/>
              </w:rPr>
              <w:t>2017</w:t>
            </w:r>
          </w:p>
        </w:tc>
        <w:tc>
          <w:tcPr>
            <w:tcW w:w="1440" w:type="dxa"/>
          </w:tcPr>
          <w:p w:rsidR="005A5BC6" w:rsidRPr="00D352EF" w:rsidRDefault="005A5BC6" w:rsidP="005A5BC6">
            <w:pPr>
              <w:jc w:val="right"/>
              <w:rPr>
                <w:rFonts w:ascii="Arial" w:hAnsi="Arial" w:cs="Arial"/>
                <w:b/>
                <w:sz w:val="20"/>
                <w:szCs w:val="22"/>
                <w:u w:val="single"/>
              </w:rPr>
            </w:pPr>
            <w:r w:rsidRPr="00D352EF">
              <w:rPr>
                <w:rFonts w:ascii="Arial" w:hAnsi="Arial" w:cs="Arial"/>
                <w:b/>
                <w:sz w:val="20"/>
                <w:szCs w:val="22"/>
                <w:u w:val="single"/>
              </w:rPr>
              <w:t>Adjusted</w:t>
            </w:r>
          </w:p>
          <w:p w:rsidR="005A5BC6" w:rsidRPr="00D352EF" w:rsidRDefault="005A5BC6">
            <w:pPr>
              <w:jc w:val="right"/>
              <w:rPr>
                <w:rFonts w:ascii="Arial" w:hAnsi="Arial" w:cs="Arial"/>
                <w:b/>
                <w:sz w:val="20"/>
                <w:szCs w:val="22"/>
                <w:u w:val="single"/>
              </w:rPr>
            </w:pPr>
            <w:r w:rsidRPr="00D352EF">
              <w:rPr>
                <w:rFonts w:ascii="Arial" w:hAnsi="Arial" w:cs="Arial"/>
                <w:b/>
                <w:sz w:val="20"/>
                <w:szCs w:val="22"/>
                <w:u w:val="single"/>
              </w:rPr>
              <w:t xml:space="preserve">4Q </w:t>
            </w:r>
            <w:r w:rsidR="0015541E" w:rsidRPr="00D352EF">
              <w:rPr>
                <w:rFonts w:ascii="Arial" w:hAnsi="Arial" w:cs="Arial"/>
                <w:b/>
                <w:sz w:val="20"/>
                <w:szCs w:val="22"/>
                <w:u w:val="single"/>
              </w:rPr>
              <w:t>2017</w:t>
            </w:r>
          </w:p>
        </w:tc>
      </w:tr>
      <w:tr w:rsidR="005A5BC6" w:rsidRPr="00D352EF" w:rsidTr="005A5BC6">
        <w:tc>
          <w:tcPr>
            <w:tcW w:w="3168" w:type="dxa"/>
          </w:tcPr>
          <w:p w:rsidR="005A5BC6" w:rsidRPr="00D352EF" w:rsidRDefault="005A5BC6" w:rsidP="005A5BC6">
            <w:pPr>
              <w:rPr>
                <w:rFonts w:ascii="Arial" w:hAnsi="Arial" w:cs="Arial"/>
                <w:sz w:val="20"/>
                <w:szCs w:val="22"/>
              </w:rPr>
            </w:pPr>
            <w:r w:rsidRPr="00D352EF">
              <w:rPr>
                <w:rFonts w:ascii="Arial" w:hAnsi="Arial" w:cs="Arial"/>
                <w:sz w:val="20"/>
                <w:szCs w:val="22"/>
              </w:rPr>
              <w:t>Revenue</w:t>
            </w:r>
          </w:p>
        </w:tc>
        <w:tc>
          <w:tcPr>
            <w:tcW w:w="1440" w:type="dxa"/>
          </w:tcPr>
          <w:p w:rsidR="005A5BC6" w:rsidRPr="00D352EF" w:rsidRDefault="005A5BC6">
            <w:pPr>
              <w:jc w:val="right"/>
              <w:rPr>
                <w:rFonts w:ascii="Arial" w:hAnsi="Arial" w:cs="Arial"/>
                <w:sz w:val="20"/>
                <w:szCs w:val="22"/>
              </w:rPr>
            </w:pPr>
            <w:r w:rsidRPr="00D352EF">
              <w:rPr>
                <w:rFonts w:ascii="Arial" w:hAnsi="Arial" w:cs="Arial"/>
                <w:sz w:val="20"/>
                <w:szCs w:val="22"/>
              </w:rPr>
              <w:t>$</w:t>
            </w:r>
            <w:r w:rsidR="00491534" w:rsidRPr="00D352EF">
              <w:rPr>
                <w:rFonts w:ascii="Arial" w:hAnsi="Arial" w:cs="Arial"/>
                <w:sz w:val="20"/>
                <w:szCs w:val="22"/>
              </w:rPr>
              <w:t>19,848</w:t>
            </w:r>
            <w:r w:rsidRPr="00D352EF">
              <w:rPr>
                <w:rFonts w:ascii="Arial" w:hAnsi="Arial" w:cs="Arial"/>
                <w:sz w:val="20"/>
                <w:szCs w:val="22"/>
              </w:rPr>
              <w:t xml:space="preserve"> M</w:t>
            </w:r>
          </w:p>
        </w:tc>
        <w:tc>
          <w:tcPr>
            <w:tcW w:w="1440" w:type="dxa"/>
          </w:tcPr>
          <w:p w:rsidR="005A5BC6" w:rsidRPr="00D352EF" w:rsidRDefault="005A5BC6" w:rsidP="005A5BC6">
            <w:pPr>
              <w:jc w:val="right"/>
              <w:rPr>
                <w:rFonts w:ascii="Arial" w:hAnsi="Arial" w:cs="Arial"/>
                <w:sz w:val="20"/>
                <w:szCs w:val="22"/>
              </w:rPr>
            </w:pPr>
          </w:p>
        </w:tc>
        <w:tc>
          <w:tcPr>
            <w:tcW w:w="1440" w:type="dxa"/>
          </w:tcPr>
          <w:p w:rsidR="005A5BC6" w:rsidRPr="00D352EF" w:rsidRDefault="005A5BC6">
            <w:pPr>
              <w:jc w:val="right"/>
              <w:rPr>
                <w:rFonts w:ascii="Arial" w:hAnsi="Arial" w:cs="Arial"/>
                <w:sz w:val="20"/>
                <w:szCs w:val="22"/>
              </w:rPr>
            </w:pPr>
            <w:r w:rsidRPr="00D352EF">
              <w:rPr>
                <w:rFonts w:ascii="Arial" w:hAnsi="Arial" w:cs="Arial"/>
                <w:sz w:val="20"/>
                <w:szCs w:val="22"/>
              </w:rPr>
              <w:t>$</w:t>
            </w:r>
            <w:r w:rsidR="00491534" w:rsidRPr="00D352EF">
              <w:rPr>
                <w:rFonts w:ascii="Arial" w:hAnsi="Arial" w:cs="Arial"/>
                <w:sz w:val="20"/>
                <w:szCs w:val="22"/>
              </w:rPr>
              <w:t>18,975</w:t>
            </w:r>
            <w:r w:rsidRPr="00D352EF">
              <w:rPr>
                <w:rFonts w:ascii="Arial" w:hAnsi="Arial" w:cs="Arial"/>
                <w:sz w:val="20"/>
                <w:szCs w:val="22"/>
              </w:rPr>
              <w:t xml:space="preserve"> M</w:t>
            </w:r>
          </w:p>
        </w:tc>
        <w:tc>
          <w:tcPr>
            <w:tcW w:w="1440" w:type="dxa"/>
          </w:tcPr>
          <w:p w:rsidR="005A5BC6" w:rsidRPr="00D352EF" w:rsidRDefault="005A5BC6" w:rsidP="005A5BC6">
            <w:pPr>
              <w:jc w:val="right"/>
              <w:rPr>
                <w:rFonts w:ascii="Arial" w:hAnsi="Arial" w:cs="Arial"/>
                <w:sz w:val="20"/>
                <w:szCs w:val="22"/>
              </w:rPr>
            </w:pPr>
          </w:p>
        </w:tc>
      </w:tr>
      <w:tr w:rsidR="005A5BC6" w:rsidRPr="00D352EF" w:rsidTr="005A5BC6">
        <w:tc>
          <w:tcPr>
            <w:tcW w:w="3168" w:type="dxa"/>
          </w:tcPr>
          <w:p w:rsidR="005A5BC6" w:rsidRPr="00D352EF" w:rsidRDefault="00566241" w:rsidP="00382368">
            <w:pPr>
              <w:rPr>
                <w:rFonts w:ascii="Arial" w:hAnsi="Arial" w:cs="Arial"/>
                <w:sz w:val="20"/>
                <w:szCs w:val="22"/>
              </w:rPr>
            </w:pPr>
            <w:r w:rsidRPr="00D352EF">
              <w:rPr>
                <w:rFonts w:ascii="Arial" w:hAnsi="Arial" w:cs="Arial"/>
                <w:sz w:val="20"/>
                <w:szCs w:val="22"/>
              </w:rPr>
              <w:t>Net Income</w:t>
            </w:r>
            <w:r w:rsidR="005A5BC6" w:rsidRPr="00D352EF">
              <w:rPr>
                <w:rFonts w:ascii="Arial" w:hAnsi="Arial" w:cs="Arial"/>
                <w:sz w:val="20"/>
                <w:szCs w:val="22"/>
              </w:rPr>
              <w:t xml:space="preserve"> </w:t>
            </w:r>
          </w:p>
        </w:tc>
        <w:tc>
          <w:tcPr>
            <w:tcW w:w="1440" w:type="dxa"/>
          </w:tcPr>
          <w:p w:rsidR="005A5BC6" w:rsidRPr="00D352EF" w:rsidRDefault="005A5BC6" w:rsidP="007527B7">
            <w:pPr>
              <w:jc w:val="right"/>
              <w:rPr>
                <w:rFonts w:ascii="Arial" w:hAnsi="Arial" w:cs="Arial"/>
                <w:sz w:val="20"/>
                <w:szCs w:val="22"/>
              </w:rPr>
            </w:pPr>
            <w:r w:rsidRPr="00D352EF">
              <w:rPr>
                <w:rFonts w:ascii="Arial" w:hAnsi="Arial" w:cs="Arial"/>
                <w:sz w:val="20"/>
                <w:szCs w:val="22"/>
              </w:rPr>
              <w:t>$</w:t>
            </w:r>
            <w:r w:rsidR="007527B7" w:rsidRPr="00D352EF">
              <w:rPr>
                <w:rFonts w:ascii="Arial" w:hAnsi="Arial" w:cs="Arial"/>
                <w:sz w:val="20"/>
                <w:szCs w:val="22"/>
              </w:rPr>
              <w:t>453</w:t>
            </w:r>
            <w:r w:rsidR="00610124" w:rsidRPr="00D352EF">
              <w:rPr>
                <w:rFonts w:ascii="Arial" w:hAnsi="Arial" w:cs="Arial"/>
                <w:sz w:val="20"/>
                <w:szCs w:val="22"/>
              </w:rPr>
              <w:t xml:space="preserve"> </w:t>
            </w:r>
            <w:r w:rsidRPr="00D352EF">
              <w:rPr>
                <w:rFonts w:ascii="Arial" w:hAnsi="Arial" w:cs="Arial"/>
                <w:sz w:val="20"/>
                <w:szCs w:val="22"/>
              </w:rPr>
              <w:t>M</w:t>
            </w:r>
          </w:p>
        </w:tc>
        <w:tc>
          <w:tcPr>
            <w:tcW w:w="1440" w:type="dxa"/>
          </w:tcPr>
          <w:p w:rsidR="005A5BC6" w:rsidRPr="00D352EF" w:rsidRDefault="005A5BC6" w:rsidP="00723799">
            <w:pPr>
              <w:jc w:val="right"/>
              <w:rPr>
                <w:rFonts w:ascii="Arial" w:hAnsi="Arial" w:cs="Arial"/>
                <w:sz w:val="20"/>
                <w:szCs w:val="22"/>
              </w:rPr>
            </w:pPr>
            <w:r w:rsidRPr="00D352EF">
              <w:rPr>
                <w:rFonts w:ascii="Arial" w:hAnsi="Arial" w:cs="Arial"/>
                <w:sz w:val="20"/>
                <w:szCs w:val="22"/>
              </w:rPr>
              <w:t>$</w:t>
            </w:r>
            <w:r w:rsidR="00566241" w:rsidRPr="00D352EF">
              <w:rPr>
                <w:rFonts w:ascii="Arial" w:hAnsi="Arial" w:cs="Arial"/>
                <w:sz w:val="20"/>
                <w:szCs w:val="22"/>
              </w:rPr>
              <w:t>1,690</w:t>
            </w:r>
            <w:r w:rsidRPr="00D352EF">
              <w:rPr>
                <w:rFonts w:ascii="Arial" w:hAnsi="Arial" w:cs="Arial"/>
                <w:sz w:val="20"/>
                <w:szCs w:val="22"/>
              </w:rPr>
              <w:t xml:space="preserve"> M</w:t>
            </w:r>
          </w:p>
        </w:tc>
        <w:tc>
          <w:tcPr>
            <w:tcW w:w="1440" w:type="dxa"/>
          </w:tcPr>
          <w:p w:rsidR="005A5BC6" w:rsidRPr="00D352EF" w:rsidRDefault="005A5BC6" w:rsidP="007527B7">
            <w:pPr>
              <w:jc w:val="right"/>
              <w:rPr>
                <w:rFonts w:ascii="Arial" w:hAnsi="Arial" w:cs="Arial"/>
                <w:sz w:val="20"/>
                <w:szCs w:val="22"/>
              </w:rPr>
            </w:pPr>
            <w:r w:rsidRPr="00D352EF">
              <w:rPr>
                <w:rFonts w:ascii="Arial" w:hAnsi="Arial" w:cs="Arial"/>
                <w:sz w:val="20"/>
                <w:szCs w:val="22"/>
              </w:rPr>
              <w:t>$</w:t>
            </w:r>
            <w:r w:rsidR="007527B7" w:rsidRPr="00D352EF">
              <w:rPr>
                <w:rFonts w:ascii="Arial" w:hAnsi="Arial" w:cs="Arial"/>
                <w:sz w:val="20"/>
                <w:szCs w:val="22"/>
              </w:rPr>
              <w:t xml:space="preserve">1,096 </w:t>
            </w:r>
            <w:r w:rsidRPr="00D352EF">
              <w:rPr>
                <w:rFonts w:ascii="Arial" w:hAnsi="Arial" w:cs="Arial"/>
                <w:sz w:val="20"/>
                <w:szCs w:val="22"/>
              </w:rPr>
              <w:t>M</w:t>
            </w:r>
          </w:p>
        </w:tc>
        <w:tc>
          <w:tcPr>
            <w:tcW w:w="1440" w:type="dxa"/>
          </w:tcPr>
          <w:p w:rsidR="005A5BC6" w:rsidRPr="00D352EF" w:rsidRDefault="005A5BC6" w:rsidP="007527B7">
            <w:pPr>
              <w:jc w:val="right"/>
              <w:rPr>
                <w:rFonts w:ascii="Arial" w:hAnsi="Arial" w:cs="Arial"/>
                <w:sz w:val="20"/>
                <w:szCs w:val="22"/>
              </w:rPr>
            </w:pPr>
            <w:r w:rsidRPr="00D352EF">
              <w:rPr>
                <w:rFonts w:ascii="Arial" w:hAnsi="Arial" w:cs="Arial"/>
                <w:sz w:val="20"/>
                <w:szCs w:val="22"/>
              </w:rPr>
              <w:t>$</w:t>
            </w:r>
            <w:r w:rsidR="007527B7" w:rsidRPr="00D352EF">
              <w:rPr>
                <w:rFonts w:ascii="Arial" w:hAnsi="Arial" w:cs="Arial"/>
                <w:sz w:val="20"/>
                <w:szCs w:val="22"/>
              </w:rPr>
              <w:t xml:space="preserve">1,445 </w:t>
            </w:r>
            <w:r w:rsidRPr="00D352EF">
              <w:rPr>
                <w:rFonts w:ascii="Arial" w:hAnsi="Arial" w:cs="Arial"/>
                <w:sz w:val="20"/>
                <w:szCs w:val="22"/>
              </w:rPr>
              <w:t>M</w:t>
            </w:r>
          </w:p>
        </w:tc>
      </w:tr>
      <w:tr w:rsidR="005A5BC6" w:rsidRPr="00D352EF" w:rsidTr="005A5BC6">
        <w:tc>
          <w:tcPr>
            <w:tcW w:w="3168" w:type="dxa"/>
          </w:tcPr>
          <w:p w:rsidR="005A5BC6" w:rsidRPr="00D352EF" w:rsidRDefault="005A5BC6" w:rsidP="0004424A">
            <w:pPr>
              <w:rPr>
                <w:rFonts w:ascii="Arial" w:hAnsi="Arial" w:cs="Arial"/>
                <w:sz w:val="20"/>
                <w:szCs w:val="22"/>
              </w:rPr>
            </w:pPr>
            <w:r w:rsidRPr="00D352EF">
              <w:rPr>
                <w:rFonts w:ascii="Arial" w:hAnsi="Arial" w:cs="Arial"/>
                <w:sz w:val="20"/>
                <w:szCs w:val="22"/>
              </w:rPr>
              <w:t xml:space="preserve">Diluted </w:t>
            </w:r>
            <w:r w:rsidR="0004424A" w:rsidRPr="00D352EF">
              <w:rPr>
                <w:rFonts w:ascii="Arial" w:hAnsi="Arial" w:cs="Arial"/>
                <w:sz w:val="20"/>
                <w:szCs w:val="22"/>
              </w:rPr>
              <w:t>Earnings Per Share</w:t>
            </w:r>
          </w:p>
        </w:tc>
        <w:tc>
          <w:tcPr>
            <w:tcW w:w="1440" w:type="dxa"/>
          </w:tcPr>
          <w:p w:rsidR="005A5BC6" w:rsidRPr="00D352EF" w:rsidRDefault="00D8122D" w:rsidP="00BD7BA9">
            <w:pPr>
              <w:jc w:val="right"/>
              <w:rPr>
                <w:rFonts w:ascii="Arial" w:hAnsi="Arial" w:cs="Arial"/>
                <w:sz w:val="20"/>
                <w:szCs w:val="22"/>
              </w:rPr>
            </w:pPr>
            <w:r w:rsidRPr="00D352EF">
              <w:rPr>
                <w:rFonts w:ascii="Arial" w:hAnsi="Arial" w:cs="Arial"/>
                <w:sz w:val="20"/>
                <w:szCs w:val="22"/>
              </w:rPr>
              <w:t>$</w:t>
            </w:r>
            <w:r w:rsidR="00561166" w:rsidRPr="00D352EF">
              <w:rPr>
                <w:rFonts w:ascii="Arial" w:hAnsi="Arial" w:cs="Arial"/>
                <w:sz w:val="20"/>
                <w:szCs w:val="22"/>
              </w:rPr>
              <w:t>0.52</w:t>
            </w:r>
          </w:p>
        </w:tc>
        <w:tc>
          <w:tcPr>
            <w:tcW w:w="1440" w:type="dxa"/>
          </w:tcPr>
          <w:p w:rsidR="005A5BC6" w:rsidRPr="00D352EF" w:rsidRDefault="005A5BC6">
            <w:pPr>
              <w:jc w:val="right"/>
              <w:rPr>
                <w:rFonts w:ascii="Arial" w:hAnsi="Arial" w:cs="Arial"/>
                <w:sz w:val="20"/>
                <w:szCs w:val="22"/>
              </w:rPr>
            </w:pPr>
            <w:r w:rsidRPr="00D352EF">
              <w:rPr>
                <w:rFonts w:ascii="Arial" w:hAnsi="Arial" w:cs="Arial"/>
                <w:sz w:val="20"/>
                <w:szCs w:val="22"/>
              </w:rPr>
              <w:t>$</w:t>
            </w:r>
            <w:r w:rsidR="00491534" w:rsidRPr="00D352EF">
              <w:rPr>
                <w:rFonts w:ascii="Arial" w:hAnsi="Arial" w:cs="Arial"/>
                <w:sz w:val="20"/>
                <w:szCs w:val="22"/>
              </w:rPr>
              <w:t>1.94</w:t>
            </w:r>
          </w:p>
        </w:tc>
        <w:tc>
          <w:tcPr>
            <w:tcW w:w="1440" w:type="dxa"/>
          </w:tcPr>
          <w:p w:rsidR="005A5BC6" w:rsidRPr="00D352EF" w:rsidRDefault="005A5BC6" w:rsidP="00BD7BA9">
            <w:pPr>
              <w:jc w:val="right"/>
              <w:rPr>
                <w:rFonts w:ascii="Arial" w:hAnsi="Arial" w:cs="Arial"/>
                <w:sz w:val="20"/>
                <w:szCs w:val="22"/>
              </w:rPr>
            </w:pPr>
            <w:r w:rsidRPr="00D352EF">
              <w:rPr>
                <w:rFonts w:ascii="Arial" w:hAnsi="Arial" w:cs="Arial"/>
                <w:sz w:val="20"/>
                <w:szCs w:val="22"/>
              </w:rPr>
              <w:t>$</w:t>
            </w:r>
            <w:r w:rsidR="00561166" w:rsidRPr="00D352EF">
              <w:rPr>
                <w:rFonts w:ascii="Arial" w:hAnsi="Arial" w:cs="Arial"/>
                <w:sz w:val="20"/>
                <w:szCs w:val="22"/>
              </w:rPr>
              <w:t>1.26</w:t>
            </w:r>
          </w:p>
        </w:tc>
        <w:tc>
          <w:tcPr>
            <w:tcW w:w="1440" w:type="dxa"/>
          </w:tcPr>
          <w:p w:rsidR="005A5BC6" w:rsidRPr="00D352EF" w:rsidRDefault="005A5BC6">
            <w:pPr>
              <w:jc w:val="right"/>
              <w:rPr>
                <w:rFonts w:ascii="Arial" w:hAnsi="Arial" w:cs="Arial"/>
                <w:sz w:val="20"/>
                <w:szCs w:val="22"/>
              </w:rPr>
            </w:pPr>
            <w:r w:rsidRPr="00D352EF">
              <w:rPr>
                <w:rFonts w:ascii="Arial" w:hAnsi="Arial" w:cs="Arial"/>
                <w:sz w:val="20"/>
                <w:szCs w:val="22"/>
              </w:rPr>
              <w:t>$1.</w:t>
            </w:r>
            <w:r w:rsidR="00491534" w:rsidRPr="00D352EF">
              <w:rPr>
                <w:rFonts w:ascii="Arial" w:hAnsi="Arial" w:cs="Arial"/>
                <w:sz w:val="20"/>
                <w:szCs w:val="22"/>
              </w:rPr>
              <w:t>66</w:t>
            </w:r>
          </w:p>
        </w:tc>
      </w:tr>
    </w:tbl>
    <w:p w:rsidR="005645FE" w:rsidRPr="00D352EF" w:rsidRDefault="005645FE" w:rsidP="000E624D">
      <w:pPr>
        <w:rPr>
          <w:rFonts w:ascii="Arial" w:hAnsi="Arial" w:cs="Arial"/>
          <w:sz w:val="22"/>
          <w:szCs w:val="22"/>
        </w:rPr>
      </w:pPr>
    </w:p>
    <w:p w:rsidR="005A5BC6" w:rsidRPr="00D352EF" w:rsidRDefault="009D0F6B" w:rsidP="00BE3322">
      <w:pPr>
        <w:ind w:firstLine="720"/>
        <w:rPr>
          <w:rFonts w:ascii="Arial" w:hAnsi="Arial" w:cs="Arial"/>
          <w:sz w:val="22"/>
        </w:rPr>
      </w:pPr>
      <w:r w:rsidRPr="00D352EF">
        <w:rPr>
          <w:rFonts w:ascii="Arial" w:hAnsi="Arial" w:cs="Arial"/>
          <w:sz w:val="22"/>
        </w:rPr>
        <w:t>F</w:t>
      </w:r>
      <w:r w:rsidR="005A5BC6" w:rsidRPr="00D352EF">
        <w:rPr>
          <w:rFonts w:ascii="Arial" w:hAnsi="Arial" w:cs="Arial"/>
          <w:sz w:val="22"/>
        </w:rPr>
        <w:t xml:space="preserve">ourth-quarter </w:t>
      </w:r>
      <w:r w:rsidR="0015541E" w:rsidRPr="00D352EF">
        <w:rPr>
          <w:rFonts w:ascii="Arial" w:hAnsi="Arial" w:cs="Arial"/>
          <w:sz w:val="22"/>
        </w:rPr>
        <w:t xml:space="preserve">2018 </w:t>
      </w:r>
      <w:r w:rsidR="000B2AE2" w:rsidRPr="00D352EF">
        <w:rPr>
          <w:rFonts w:ascii="Arial" w:hAnsi="Arial" w:cs="Arial"/>
          <w:sz w:val="22"/>
        </w:rPr>
        <w:t xml:space="preserve">GAAP </w:t>
      </w:r>
      <w:r w:rsidR="005A5BC6" w:rsidRPr="00D352EF">
        <w:rPr>
          <w:rFonts w:ascii="Arial" w:hAnsi="Arial" w:cs="Arial"/>
          <w:sz w:val="22"/>
        </w:rPr>
        <w:t xml:space="preserve">results include </w:t>
      </w:r>
      <w:r w:rsidR="00BE3322" w:rsidRPr="00D352EF">
        <w:rPr>
          <w:rFonts w:ascii="Arial" w:hAnsi="Arial" w:cs="Arial"/>
          <w:sz w:val="22"/>
        </w:rPr>
        <w:t xml:space="preserve">a mark-to-market </w:t>
      </w:r>
      <w:r w:rsidR="000B2AE2" w:rsidRPr="00D352EF">
        <w:rPr>
          <w:rFonts w:ascii="Arial" w:hAnsi="Arial" w:cs="Arial"/>
          <w:sz w:val="22"/>
        </w:rPr>
        <w:t xml:space="preserve">(MTM) </w:t>
      </w:r>
      <w:r w:rsidR="005A5BC6" w:rsidRPr="00D352EF">
        <w:rPr>
          <w:rFonts w:ascii="Arial" w:hAnsi="Arial" w:cs="Arial"/>
          <w:sz w:val="22"/>
        </w:rPr>
        <w:t>non-cash</w:t>
      </w:r>
      <w:r w:rsidR="000B2AE2" w:rsidRPr="00D352EF">
        <w:rPr>
          <w:rFonts w:ascii="Arial" w:hAnsi="Arial" w:cs="Arial"/>
          <w:sz w:val="22"/>
        </w:rPr>
        <w:t>,</w:t>
      </w:r>
      <w:r w:rsidR="00BE3322" w:rsidRPr="00D352EF">
        <w:rPr>
          <w:rFonts w:ascii="Arial" w:hAnsi="Arial" w:cs="Arial"/>
          <w:sz w:val="22"/>
        </w:rPr>
        <w:t xml:space="preserve"> </w:t>
      </w:r>
      <w:r w:rsidR="008E5A01" w:rsidRPr="00D352EF">
        <w:rPr>
          <w:rFonts w:ascii="Arial" w:hAnsi="Arial" w:cs="Arial"/>
          <w:sz w:val="22"/>
        </w:rPr>
        <w:t>after</w:t>
      </w:r>
      <w:r w:rsidR="00BE3322" w:rsidRPr="00D352EF">
        <w:rPr>
          <w:rFonts w:ascii="Arial" w:hAnsi="Arial" w:cs="Arial"/>
          <w:sz w:val="22"/>
        </w:rPr>
        <w:t>-tax</w:t>
      </w:r>
      <w:r w:rsidR="000B2AE2" w:rsidRPr="00D352EF">
        <w:rPr>
          <w:rFonts w:ascii="Arial" w:hAnsi="Arial" w:cs="Arial"/>
          <w:sz w:val="22"/>
        </w:rPr>
        <w:t xml:space="preserve"> pension</w:t>
      </w:r>
      <w:r w:rsidR="005A5BC6" w:rsidRPr="00D352EF">
        <w:rPr>
          <w:rFonts w:ascii="Arial" w:hAnsi="Arial" w:cs="Arial"/>
          <w:sz w:val="22"/>
        </w:rPr>
        <w:t xml:space="preserve"> charge of </w:t>
      </w:r>
      <w:r w:rsidR="00447B63" w:rsidRPr="00D352EF">
        <w:rPr>
          <w:rFonts w:ascii="Arial" w:hAnsi="Arial" w:cs="Arial"/>
          <w:sz w:val="22"/>
        </w:rPr>
        <w:t>$</w:t>
      </w:r>
      <w:r w:rsidR="00E60F9C" w:rsidRPr="00D352EF">
        <w:rPr>
          <w:rFonts w:ascii="Arial" w:hAnsi="Arial" w:cs="Arial"/>
          <w:sz w:val="22"/>
        </w:rPr>
        <w:t>1.</w:t>
      </w:r>
      <w:r w:rsidR="008E5A01" w:rsidRPr="00D352EF">
        <w:rPr>
          <w:rFonts w:ascii="Arial" w:hAnsi="Arial" w:cs="Arial"/>
          <w:sz w:val="22"/>
        </w:rPr>
        <w:t xml:space="preserve">237 </w:t>
      </w:r>
      <w:r w:rsidR="00A61BF2" w:rsidRPr="00D352EF">
        <w:rPr>
          <w:rFonts w:ascii="Arial" w:hAnsi="Arial" w:cs="Arial"/>
          <w:sz w:val="22"/>
        </w:rPr>
        <w:t>billion, which</w:t>
      </w:r>
      <w:r w:rsidR="00447B63" w:rsidRPr="00D352EF">
        <w:rPr>
          <w:rFonts w:ascii="Arial" w:hAnsi="Arial" w:cs="Arial"/>
          <w:sz w:val="22"/>
        </w:rPr>
        <w:t xml:space="preserve"> represents</w:t>
      </w:r>
      <w:r w:rsidR="00BE3322" w:rsidRPr="00D352EF">
        <w:rPr>
          <w:rFonts w:ascii="Arial" w:hAnsi="Arial" w:cs="Arial"/>
          <w:sz w:val="22"/>
        </w:rPr>
        <w:t xml:space="preserve"> an after-tax charge of $</w:t>
      </w:r>
      <w:r w:rsidR="00E60F9C" w:rsidRPr="00D352EF">
        <w:rPr>
          <w:rFonts w:ascii="Arial" w:hAnsi="Arial" w:cs="Arial"/>
          <w:sz w:val="22"/>
        </w:rPr>
        <w:t>1</w:t>
      </w:r>
      <w:r w:rsidR="00BE3322" w:rsidRPr="00D352EF">
        <w:rPr>
          <w:rFonts w:ascii="Arial" w:hAnsi="Arial" w:cs="Arial"/>
          <w:sz w:val="22"/>
        </w:rPr>
        <w:t>.</w:t>
      </w:r>
      <w:r w:rsidR="00E60F9C" w:rsidRPr="00D352EF">
        <w:rPr>
          <w:rFonts w:ascii="Arial" w:hAnsi="Arial" w:cs="Arial"/>
          <w:sz w:val="22"/>
        </w:rPr>
        <w:t>42</w:t>
      </w:r>
      <w:r w:rsidR="0015541E" w:rsidRPr="00D352EF">
        <w:rPr>
          <w:rFonts w:ascii="Arial" w:hAnsi="Arial" w:cs="Arial"/>
          <w:sz w:val="22"/>
        </w:rPr>
        <w:t xml:space="preserve"> </w:t>
      </w:r>
      <w:r w:rsidR="005A5BC6" w:rsidRPr="00D352EF">
        <w:rPr>
          <w:rFonts w:ascii="Arial" w:hAnsi="Arial" w:cs="Arial"/>
          <w:sz w:val="22"/>
        </w:rPr>
        <w:t>per diluted share</w:t>
      </w:r>
      <w:r w:rsidR="00BE3322" w:rsidRPr="00D352EF">
        <w:rPr>
          <w:rFonts w:ascii="Arial" w:hAnsi="Arial" w:cs="Arial"/>
          <w:sz w:val="22"/>
        </w:rPr>
        <w:t>.  In the prior-year period, the company</w:t>
      </w:r>
      <w:r w:rsidR="00A61BF2" w:rsidRPr="00D352EF">
        <w:rPr>
          <w:rFonts w:ascii="Arial" w:hAnsi="Arial" w:cs="Arial"/>
          <w:sz w:val="22"/>
        </w:rPr>
        <w:t>’s GAAP results included $0.40 per diluted share related to</w:t>
      </w:r>
      <w:r w:rsidR="005A5BC6" w:rsidRPr="00D352EF">
        <w:rPr>
          <w:rFonts w:ascii="Arial" w:hAnsi="Arial" w:cs="Arial"/>
          <w:sz w:val="22"/>
        </w:rPr>
        <w:t xml:space="preserve"> mark-to-market</w:t>
      </w:r>
      <w:r w:rsidR="00610124" w:rsidRPr="00D352EF">
        <w:rPr>
          <w:rFonts w:ascii="Arial" w:hAnsi="Arial" w:cs="Arial"/>
          <w:sz w:val="22"/>
        </w:rPr>
        <w:t xml:space="preserve"> </w:t>
      </w:r>
      <w:r w:rsidR="0014511D" w:rsidRPr="00D352EF">
        <w:rPr>
          <w:rFonts w:ascii="Arial" w:hAnsi="Arial" w:cs="Arial"/>
          <w:sz w:val="22"/>
        </w:rPr>
        <w:t xml:space="preserve">pension </w:t>
      </w:r>
      <w:r w:rsidR="005A5BC6" w:rsidRPr="00D352EF">
        <w:rPr>
          <w:rFonts w:ascii="Arial" w:hAnsi="Arial" w:cs="Arial"/>
          <w:sz w:val="22"/>
        </w:rPr>
        <w:t>charges</w:t>
      </w:r>
      <w:r w:rsidR="00A61BF2" w:rsidRPr="00D352EF">
        <w:rPr>
          <w:rFonts w:ascii="Arial" w:hAnsi="Arial" w:cs="Arial"/>
          <w:sz w:val="22"/>
        </w:rPr>
        <w:t xml:space="preserve"> and </w:t>
      </w:r>
      <w:r w:rsidR="00244948">
        <w:rPr>
          <w:rFonts w:ascii="Arial" w:hAnsi="Arial" w:cs="Arial"/>
          <w:sz w:val="22"/>
        </w:rPr>
        <w:t xml:space="preserve">benefits from </w:t>
      </w:r>
      <w:r w:rsidR="00A61BF2" w:rsidRPr="00D352EF">
        <w:rPr>
          <w:rFonts w:ascii="Arial" w:hAnsi="Arial" w:cs="Arial"/>
          <w:sz w:val="22"/>
        </w:rPr>
        <w:t>the Tax Cuts and Jobs Act</w:t>
      </w:r>
      <w:r w:rsidR="005A5BC6" w:rsidRPr="00D352EF">
        <w:rPr>
          <w:rFonts w:ascii="Arial" w:hAnsi="Arial" w:cs="Arial"/>
          <w:sz w:val="22"/>
        </w:rPr>
        <w:t xml:space="preserve">.  </w:t>
      </w:r>
    </w:p>
    <w:p w:rsidR="00BE3322" w:rsidRPr="00D352EF" w:rsidRDefault="00BE3322" w:rsidP="00BE3322">
      <w:pPr>
        <w:ind w:firstLine="720"/>
        <w:rPr>
          <w:rFonts w:ascii="Arial" w:hAnsi="Arial" w:cs="Arial"/>
          <w:sz w:val="22"/>
        </w:rPr>
      </w:pPr>
    </w:p>
    <w:p w:rsidR="000E02CF" w:rsidRPr="00D352EF" w:rsidRDefault="000E02CF" w:rsidP="000E624D">
      <w:pPr>
        <w:rPr>
          <w:rFonts w:ascii="Arial" w:hAnsi="Arial" w:cs="Arial"/>
          <w:sz w:val="22"/>
        </w:rPr>
      </w:pPr>
      <w:r w:rsidRPr="00D352EF">
        <w:rPr>
          <w:rFonts w:ascii="Arial" w:hAnsi="Arial" w:cs="Arial"/>
          <w:sz w:val="22"/>
        </w:rPr>
        <w:t xml:space="preserve">For the total company in </w:t>
      </w:r>
      <w:r w:rsidR="005A5BC6" w:rsidRPr="00D352EF">
        <w:rPr>
          <w:rFonts w:ascii="Arial" w:hAnsi="Arial" w:cs="Arial"/>
          <w:sz w:val="22"/>
        </w:rPr>
        <w:t>4</w:t>
      </w:r>
      <w:r w:rsidRPr="00D352EF">
        <w:rPr>
          <w:rFonts w:ascii="Arial" w:hAnsi="Arial" w:cs="Arial"/>
          <w:sz w:val="22"/>
        </w:rPr>
        <w:t xml:space="preserve">Q </w:t>
      </w:r>
      <w:r w:rsidR="008C1CB6" w:rsidRPr="00D352EF">
        <w:rPr>
          <w:rFonts w:ascii="Arial" w:hAnsi="Arial" w:cs="Arial"/>
          <w:sz w:val="22"/>
        </w:rPr>
        <w:t>2018</w:t>
      </w:r>
      <w:r w:rsidRPr="00D352EF">
        <w:rPr>
          <w:rFonts w:ascii="Arial" w:hAnsi="Arial" w:cs="Arial"/>
          <w:sz w:val="22"/>
        </w:rPr>
        <w:t>:</w:t>
      </w:r>
    </w:p>
    <w:p w:rsidR="00BE3322" w:rsidRPr="00D352EF" w:rsidRDefault="00BE3322" w:rsidP="000E624D">
      <w:pPr>
        <w:rPr>
          <w:rFonts w:ascii="Arial" w:hAnsi="Arial" w:cs="Arial"/>
          <w:sz w:val="22"/>
        </w:rPr>
      </w:pPr>
    </w:p>
    <w:p w:rsidR="0023562B" w:rsidRPr="00D352EF" w:rsidRDefault="003224C6" w:rsidP="00FB4FFD">
      <w:pPr>
        <w:pStyle w:val="ListParagraph"/>
        <w:numPr>
          <w:ilvl w:val="0"/>
          <w:numId w:val="37"/>
        </w:numPr>
        <w:rPr>
          <w:rFonts w:ascii="Arial" w:hAnsi="Arial" w:cs="Arial"/>
          <w:sz w:val="22"/>
        </w:rPr>
      </w:pPr>
      <w:r w:rsidRPr="00D352EF">
        <w:rPr>
          <w:rFonts w:ascii="Arial" w:hAnsi="Arial" w:cs="Arial"/>
          <w:sz w:val="22"/>
        </w:rPr>
        <w:t>R</w:t>
      </w:r>
      <w:r w:rsidR="0023562B" w:rsidRPr="00D352EF">
        <w:rPr>
          <w:rFonts w:ascii="Arial" w:hAnsi="Arial" w:cs="Arial"/>
          <w:sz w:val="22"/>
        </w:rPr>
        <w:t xml:space="preserve">evenue </w:t>
      </w:r>
      <w:r w:rsidR="005D7342" w:rsidRPr="00D352EF">
        <w:rPr>
          <w:rFonts w:ascii="Arial" w:hAnsi="Arial" w:cs="Arial"/>
          <w:sz w:val="22"/>
        </w:rPr>
        <w:t>increase</w:t>
      </w:r>
      <w:r w:rsidRPr="00D352EF">
        <w:rPr>
          <w:rFonts w:ascii="Arial" w:hAnsi="Arial" w:cs="Arial"/>
          <w:sz w:val="22"/>
        </w:rPr>
        <w:t>d</w:t>
      </w:r>
      <w:r w:rsidR="0023562B" w:rsidRPr="00D352EF">
        <w:rPr>
          <w:rFonts w:ascii="Arial" w:hAnsi="Arial" w:cs="Arial"/>
          <w:sz w:val="22"/>
        </w:rPr>
        <w:t xml:space="preserve"> </w:t>
      </w:r>
      <w:r w:rsidR="000C2BC0" w:rsidRPr="00D352EF">
        <w:rPr>
          <w:rFonts w:ascii="Arial" w:hAnsi="Arial" w:cs="Arial"/>
          <w:sz w:val="22"/>
        </w:rPr>
        <w:t>4.</w:t>
      </w:r>
      <w:r w:rsidR="00BF46EF" w:rsidRPr="00D352EF">
        <w:rPr>
          <w:rFonts w:ascii="Arial" w:hAnsi="Arial" w:cs="Arial"/>
          <w:sz w:val="22"/>
        </w:rPr>
        <w:t>6</w:t>
      </w:r>
      <w:r w:rsidR="009D0F6B" w:rsidRPr="00D352EF">
        <w:rPr>
          <w:rFonts w:ascii="Arial" w:hAnsi="Arial" w:cs="Arial"/>
          <w:sz w:val="22"/>
        </w:rPr>
        <w:t xml:space="preserve">%; </w:t>
      </w:r>
      <w:r w:rsidR="0023562B" w:rsidRPr="00D352EF">
        <w:rPr>
          <w:rFonts w:ascii="Arial" w:hAnsi="Arial" w:cs="Arial"/>
          <w:sz w:val="22"/>
        </w:rPr>
        <w:t xml:space="preserve">currency-neutral revenue </w:t>
      </w:r>
      <w:r w:rsidR="0060142A" w:rsidRPr="00D352EF">
        <w:rPr>
          <w:rFonts w:ascii="Arial" w:hAnsi="Arial" w:cs="Arial"/>
          <w:sz w:val="22"/>
        </w:rPr>
        <w:t>was up</w:t>
      </w:r>
      <w:r w:rsidR="0023562B" w:rsidRPr="00D352EF">
        <w:rPr>
          <w:rFonts w:ascii="Arial" w:hAnsi="Arial" w:cs="Arial"/>
          <w:sz w:val="22"/>
        </w:rPr>
        <w:t xml:space="preserve"> </w:t>
      </w:r>
      <w:r w:rsidR="00A61BF2" w:rsidRPr="00D352EF">
        <w:rPr>
          <w:rFonts w:ascii="Arial" w:hAnsi="Arial" w:cs="Arial"/>
          <w:sz w:val="22"/>
        </w:rPr>
        <w:t>5.2</w:t>
      </w:r>
      <w:r w:rsidR="0023562B" w:rsidRPr="00D352EF">
        <w:rPr>
          <w:rFonts w:ascii="Arial" w:hAnsi="Arial" w:cs="Arial"/>
          <w:sz w:val="22"/>
        </w:rPr>
        <w:t>%.</w:t>
      </w:r>
    </w:p>
    <w:p w:rsidR="00DE722F" w:rsidRPr="00D352EF" w:rsidRDefault="00DE722F" w:rsidP="00FB4FFD">
      <w:pPr>
        <w:pStyle w:val="ListParagraph"/>
        <w:numPr>
          <w:ilvl w:val="0"/>
          <w:numId w:val="37"/>
        </w:numPr>
        <w:rPr>
          <w:rFonts w:ascii="Arial" w:hAnsi="Arial" w:cs="Arial"/>
          <w:sz w:val="22"/>
        </w:rPr>
      </w:pPr>
      <w:r w:rsidRPr="00D352EF">
        <w:rPr>
          <w:rFonts w:ascii="Arial" w:hAnsi="Arial" w:cs="Arial"/>
          <w:sz w:val="22"/>
        </w:rPr>
        <w:t xml:space="preserve">Average </w:t>
      </w:r>
      <w:r w:rsidR="00360BAE" w:rsidRPr="00D352EF">
        <w:rPr>
          <w:rFonts w:ascii="Arial" w:hAnsi="Arial" w:cs="Arial"/>
          <w:sz w:val="22"/>
        </w:rPr>
        <w:t xml:space="preserve">revenue </w:t>
      </w:r>
      <w:r w:rsidRPr="00D352EF">
        <w:rPr>
          <w:rFonts w:ascii="Arial" w:hAnsi="Arial" w:cs="Arial"/>
          <w:sz w:val="22"/>
        </w:rPr>
        <w:t xml:space="preserve">yield </w:t>
      </w:r>
      <w:r w:rsidR="00C41234" w:rsidRPr="00D352EF">
        <w:rPr>
          <w:rFonts w:ascii="Arial" w:hAnsi="Arial" w:cs="Arial"/>
          <w:sz w:val="22"/>
        </w:rPr>
        <w:t>expanded</w:t>
      </w:r>
      <w:r w:rsidRPr="00D352EF">
        <w:rPr>
          <w:rFonts w:ascii="Arial" w:hAnsi="Arial" w:cs="Arial"/>
          <w:sz w:val="22"/>
        </w:rPr>
        <w:t xml:space="preserve"> 4.1%</w:t>
      </w:r>
      <w:r w:rsidR="00360BAE" w:rsidRPr="00D352EF">
        <w:rPr>
          <w:rFonts w:ascii="Arial" w:hAnsi="Arial" w:cs="Arial"/>
          <w:sz w:val="22"/>
        </w:rPr>
        <w:t xml:space="preserve">, with gains in </w:t>
      </w:r>
      <w:r w:rsidR="00C41234" w:rsidRPr="00D352EF">
        <w:rPr>
          <w:rFonts w:ascii="Arial" w:hAnsi="Arial" w:cs="Arial"/>
          <w:sz w:val="22"/>
        </w:rPr>
        <w:t>all products.</w:t>
      </w:r>
    </w:p>
    <w:p w:rsidR="00B51F1E" w:rsidRPr="00D352EF" w:rsidRDefault="00360BAE">
      <w:pPr>
        <w:pStyle w:val="ListParagraph"/>
        <w:numPr>
          <w:ilvl w:val="0"/>
          <w:numId w:val="37"/>
        </w:numPr>
        <w:rPr>
          <w:rFonts w:ascii="Arial" w:hAnsi="Arial" w:cs="Arial"/>
          <w:sz w:val="22"/>
        </w:rPr>
      </w:pPr>
      <w:r w:rsidRPr="00D352EF">
        <w:rPr>
          <w:rFonts w:ascii="Arial" w:hAnsi="Arial" w:cs="Arial"/>
          <w:sz w:val="22"/>
        </w:rPr>
        <w:t>Achieved r</w:t>
      </w:r>
      <w:r w:rsidR="00B51F1E" w:rsidRPr="00D352EF">
        <w:rPr>
          <w:rFonts w:ascii="Arial" w:hAnsi="Arial" w:cs="Arial"/>
          <w:sz w:val="22"/>
        </w:rPr>
        <w:t xml:space="preserve">ecord </w:t>
      </w:r>
      <w:r w:rsidRPr="00D352EF">
        <w:rPr>
          <w:rFonts w:ascii="Arial" w:hAnsi="Arial" w:cs="Arial"/>
          <w:sz w:val="22"/>
        </w:rPr>
        <w:t xml:space="preserve">shipments </w:t>
      </w:r>
      <w:r w:rsidR="00C41234" w:rsidRPr="00D352EF">
        <w:rPr>
          <w:rFonts w:ascii="Arial" w:hAnsi="Arial" w:cs="Arial"/>
          <w:sz w:val="22"/>
        </w:rPr>
        <w:t xml:space="preserve">and exceptional </w:t>
      </w:r>
      <w:r w:rsidRPr="00D352EF">
        <w:rPr>
          <w:rFonts w:ascii="Arial" w:hAnsi="Arial" w:cs="Arial"/>
          <w:sz w:val="22"/>
        </w:rPr>
        <w:t xml:space="preserve">on-time </w:t>
      </w:r>
      <w:r w:rsidR="00C41234" w:rsidRPr="00D352EF">
        <w:rPr>
          <w:rFonts w:ascii="Arial" w:hAnsi="Arial" w:cs="Arial"/>
          <w:sz w:val="22"/>
        </w:rPr>
        <w:t>service</w:t>
      </w:r>
      <w:r w:rsidR="00B51F1E" w:rsidRPr="00D352EF">
        <w:rPr>
          <w:rFonts w:ascii="Arial" w:hAnsi="Arial" w:cs="Arial"/>
          <w:sz w:val="22"/>
        </w:rPr>
        <w:t xml:space="preserve"> </w:t>
      </w:r>
      <w:r w:rsidR="00C41234" w:rsidRPr="00D352EF">
        <w:rPr>
          <w:rFonts w:ascii="Arial" w:hAnsi="Arial" w:cs="Arial"/>
          <w:sz w:val="22"/>
        </w:rPr>
        <w:t xml:space="preserve">during </w:t>
      </w:r>
      <w:r w:rsidR="00C039B9">
        <w:rPr>
          <w:rFonts w:ascii="Arial" w:hAnsi="Arial" w:cs="Arial"/>
          <w:sz w:val="22"/>
        </w:rPr>
        <w:t>the p</w:t>
      </w:r>
      <w:r w:rsidR="00B51F1E" w:rsidRPr="00D352EF">
        <w:rPr>
          <w:rFonts w:ascii="Arial" w:hAnsi="Arial" w:cs="Arial"/>
          <w:sz w:val="22"/>
        </w:rPr>
        <w:t xml:space="preserve">eak </w:t>
      </w:r>
      <w:r w:rsidR="00C039B9">
        <w:rPr>
          <w:rFonts w:ascii="Arial" w:hAnsi="Arial" w:cs="Arial"/>
          <w:sz w:val="22"/>
        </w:rPr>
        <w:t>holiday s</w:t>
      </w:r>
      <w:r w:rsidR="00B51F1E" w:rsidRPr="00D352EF">
        <w:rPr>
          <w:rFonts w:ascii="Arial" w:hAnsi="Arial" w:cs="Arial"/>
          <w:sz w:val="22"/>
        </w:rPr>
        <w:t>easo</w:t>
      </w:r>
      <w:r w:rsidR="00C41234" w:rsidRPr="00D352EF">
        <w:rPr>
          <w:rFonts w:ascii="Arial" w:hAnsi="Arial" w:cs="Arial"/>
          <w:sz w:val="22"/>
        </w:rPr>
        <w:t>n</w:t>
      </w:r>
      <w:r w:rsidR="00B51F1E" w:rsidRPr="00D352EF">
        <w:rPr>
          <w:rFonts w:ascii="Arial" w:hAnsi="Arial" w:cs="Arial"/>
          <w:sz w:val="22"/>
        </w:rPr>
        <w:t>.</w:t>
      </w:r>
    </w:p>
    <w:p w:rsidR="002C0B11" w:rsidRPr="00D352EF" w:rsidRDefault="002C0B11" w:rsidP="002C0B11">
      <w:pPr>
        <w:rPr>
          <w:rFonts w:ascii="Arial" w:hAnsi="Arial" w:cs="Arial"/>
          <w:sz w:val="22"/>
        </w:rPr>
      </w:pPr>
    </w:p>
    <w:p w:rsidR="00E81D5D" w:rsidRPr="00D352EF" w:rsidRDefault="00E81D5D" w:rsidP="00E81D5D">
      <w:pPr>
        <w:rPr>
          <w:rFonts w:ascii="Arial" w:hAnsi="Arial" w:cs="Arial"/>
          <w:b/>
          <w:sz w:val="22"/>
          <w:vertAlign w:val="subscript"/>
        </w:rPr>
      </w:pPr>
      <w:r w:rsidRPr="00D352EF">
        <w:rPr>
          <w:rFonts w:ascii="Arial" w:hAnsi="Arial" w:cs="Arial"/>
          <w:b/>
          <w:sz w:val="22"/>
          <w:vertAlign w:val="subscript"/>
        </w:rPr>
        <w:t xml:space="preserve">* </w:t>
      </w:r>
      <w:r w:rsidR="006A6141" w:rsidRPr="00D352EF">
        <w:rPr>
          <w:rFonts w:ascii="Arial" w:hAnsi="Arial" w:cs="Arial"/>
          <w:b/>
          <w:sz w:val="22"/>
          <w:vertAlign w:val="subscript"/>
        </w:rPr>
        <w:t xml:space="preserve">Information on </w:t>
      </w:r>
      <w:r w:rsidRPr="00D352EF">
        <w:rPr>
          <w:rFonts w:ascii="Arial" w:hAnsi="Arial" w:cs="Arial"/>
          <w:b/>
          <w:sz w:val="22"/>
          <w:vertAlign w:val="subscript"/>
        </w:rPr>
        <w:t xml:space="preserve">non-GAAP </w:t>
      </w:r>
      <w:r w:rsidR="006A6141" w:rsidRPr="00D352EF">
        <w:rPr>
          <w:rFonts w:ascii="Arial" w:hAnsi="Arial" w:cs="Arial"/>
          <w:b/>
          <w:sz w:val="22"/>
          <w:vertAlign w:val="subscript"/>
        </w:rPr>
        <w:t>financial measures is attached to this press release.</w:t>
      </w:r>
      <w:r w:rsidR="002F2A2D">
        <w:rPr>
          <w:rFonts w:ascii="Arial" w:hAnsi="Arial" w:cs="Arial"/>
          <w:b/>
          <w:sz w:val="22"/>
          <w:vertAlign w:val="subscript"/>
        </w:rPr>
        <w:t xml:space="preserve"> The Company provides guidance on an adjusted (non-GAAP) basis because it is not possible to provide the most comparable GAAP measure. See “Outlook.”</w:t>
      </w:r>
    </w:p>
    <w:p w:rsidR="005323C4" w:rsidRDefault="00FE1A45" w:rsidP="005323C4">
      <w:pPr>
        <w:jc w:val="center"/>
        <w:rPr>
          <w:rFonts w:ascii="Arial" w:hAnsi="Arial" w:cs="Arial"/>
          <w:sz w:val="20"/>
          <w:szCs w:val="20"/>
        </w:rPr>
      </w:pPr>
      <w:r w:rsidRPr="00D352EF">
        <w:rPr>
          <w:rFonts w:ascii="Arial" w:hAnsi="Arial" w:cs="Arial"/>
          <w:sz w:val="20"/>
          <w:szCs w:val="20"/>
        </w:rPr>
        <w:lastRenderedPageBreak/>
        <w:t>– more –</w:t>
      </w:r>
    </w:p>
    <w:p w:rsidR="00DE458F" w:rsidRDefault="00DE458F" w:rsidP="005323C4">
      <w:pPr>
        <w:rPr>
          <w:rFonts w:ascii="Arial" w:hAnsi="Arial" w:cs="Arial"/>
          <w:b/>
          <w:sz w:val="22"/>
          <w:u w:val="single"/>
        </w:rPr>
      </w:pPr>
    </w:p>
    <w:p w:rsidR="00DE458F" w:rsidRDefault="00DE458F" w:rsidP="005323C4">
      <w:pPr>
        <w:rPr>
          <w:rFonts w:ascii="Arial" w:hAnsi="Arial" w:cs="Arial"/>
          <w:b/>
          <w:sz w:val="22"/>
          <w:u w:val="single"/>
        </w:rPr>
      </w:pPr>
    </w:p>
    <w:p w:rsidR="00B54509" w:rsidRPr="00D352EF" w:rsidRDefault="00B54509" w:rsidP="005323C4">
      <w:pPr>
        <w:rPr>
          <w:rFonts w:ascii="Arial" w:hAnsi="Arial" w:cs="Arial"/>
          <w:b/>
          <w:sz w:val="22"/>
          <w:u w:val="single"/>
        </w:rPr>
      </w:pPr>
      <w:r w:rsidRPr="00D352EF">
        <w:rPr>
          <w:rFonts w:ascii="Arial" w:hAnsi="Arial" w:cs="Arial"/>
          <w:b/>
          <w:sz w:val="22"/>
          <w:u w:val="single"/>
        </w:rPr>
        <w:t>U.S. Domestic Segment</w:t>
      </w:r>
    </w:p>
    <w:p w:rsidR="00451F11" w:rsidRPr="00D352EF" w:rsidRDefault="00451F11" w:rsidP="000E624D">
      <w:pPr>
        <w:rPr>
          <w:rFonts w:ascii="Arial" w:hAnsi="Arial" w:cs="Arial"/>
          <w:sz w:val="22"/>
        </w:rPr>
      </w:pPr>
    </w:p>
    <w:p w:rsidR="000E624D" w:rsidRPr="00D352EF" w:rsidRDefault="00402550" w:rsidP="000E624D">
      <w:pPr>
        <w:rPr>
          <w:rFonts w:ascii="Arial" w:hAnsi="Arial" w:cs="Arial"/>
          <w:sz w:val="22"/>
        </w:rPr>
      </w:pPr>
      <w:r w:rsidRPr="00D352EF">
        <w:rPr>
          <w:rFonts w:ascii="Arial" w:hAnsi="Arial" w:cs="Arial"/>
          <w:sz w:val="22"/>
        </w:rPr>
        <w:t xml:space="preserve">The segment benefited from </w:t>
      </w:r>
      <w:r w:rsidR="00C039B9">
        <w:rPr>
          <w:rFonts w:ascii="Arial" w:hAnsi="Arial" w:cs="Arial"/>
          <w:sz w:val="22"/>
        </w:rPr>
        <w:t xml:space="preserve">UPS’s </w:t>
      </w:r>
      <w:r w:rsidRPr="00D352EF">
        <w:rPr>
          <w:rFonts w:ascii="Arial" w:hAnsi="Arial" w:cs="Arial"/>
          <w:sz w:val="22"/>
        </w:rPr>
        <w:t>T</w:t>
      </w:r>
      <w:r w:rsidR="00615614" w:rsidRPr="00D352EF">
        <w:rPr>
          <w:rFonts w:ascii="Arial" w:hAnsi="Arial" w:cs="Arial"/>
          <w:sz w:val="22"/>
        </w:rPr>
        <w:t>ransformation initiatives, new network capabilities and high</w:t>
      </w:r>
      <w:r w:rsidR="00D84EC1">
        <w:rPr>
          <w:rFonts w:ascii="Arial" w:hAnsi="Arial" w:cs="Arial"/>
          <w:sz w:val="22"/>
        </w:rPr>
        <w:t>er</w:t>
      </w:r>
      <w:r w:rsidR="009862AC">
        <w:rPr>
          <w:rFonts w:ascii="Arial" w:hAnsi="Arial" w:cs="Arial"/>
          <w:sz w:val="22"/>
        </w:rPr>
        <w:t>-</w:t>
      </w:r>
      <w:r w:rsidR="00615614" w:rsidRPr="00D352EF">
        <w:rPr>
          <w:rFonts w:ascii="Arial" w:hAnsi="Arial" w:cs="Arial"/>
          <w:sz w:val="22"/>
        </w:rPr>
        <w:t xml:space="preserve">quality revenue </w:t>
      </w:r>
      <w:r w:rsidR="00D84EC1">
        <w:rPr>
          <w:rFonts w:ascii="Arial" w:hAnsi="Arial" w:cs="Arial"/>
          <w:sz w:val="22"/>
        </w:rPr>
        <w:t>d</w:t>
      </w:r>
      <w:r w:rsidR="00615614" w:rsidRPr="00D352EF">
        <w:rPr>
          <w:rFonts w:ascii="Arial" w:hAnsi="Arial" w:cs="Arial"/>
          <w:sz w:val="22"/>
        </w:rPr>
        <w:t xml:space="preserve">uring the period. </w:t>
      </w:r>
      <w:r w:rsidR="001C458D" w:rsidRPr="00D352EF">
        <w:rPr>
          <w:rFonts w:ascii="Arial" w:hAnsi="Arial" w:cs="Arial"/>
          <w:sz w:val="22"/>
        </w:rPr>
        <w:t xml:space="preserve">The </w:t>
      </w:r>
      <w:r w:rsidR="005F3119" w:rsidRPr="00D352EF">
        <w:rPr>
          <w:rFonts w:ascii="Arial" w:hAnsi="Arial" w:cs="Arial"/>
          <w:sz w:val="22"/>
        </w:rPr>
        <w:t xml:space="preserve">U.S. </w:t>
      </w:r>
      <w:r w:rsidR="001C458D" w:rsidRPr="00D352EF">
        <w:rPr>
          <w:rFonts w:ascii="Arial" w:hAnsi="Arial" w:cs="Arial"/>
          <w:sz w:val="22"/>
        </w:rPr>
        <w:t xml:space="preserve">Domestic </w:t>
      </w:r>
      <w:r w:rsidR="00576472" w:rsidRPr="00D352EF">
        <w:rPr>
          <w:rFonts w:ascii="Arial" w:hAnsi="Arial" w:cs="Arial"/>
          <w:sz w:val="22"/>
        </w:rPr>
        <w:t>segment</w:t>
      </w:r>
      <w:r w:rsidR="00B4518F" w:rsidRPr="00D352EF">
        <w:rPr>
          <w:rFonts w:ascii="Arial" w:hAnsi="Arial" w:cs="Arial"/>
          <w:sz w:val="22"/>
        </w:rPr>
        <w:t xml:space="preserve"> delivered </w:t>
      </w:r>
      <w:r w:rsidR="00A0600F" w:rsidRPr="00D352EF">
        <w:rPr>
          <w:rFonts w:ascii="Arial" w:hAnsi="Arial" w:cs="Arial"/>
          <w:sz w:val="22"/>
        </w:rPr>
        <w:t xml:space="preserve">more than 21 </w:t>
      </w:r>
      <w:r w:rsidR="00B4518F" w:rsidRPr="00D352EF">
        <w:rPr>
          <w:rFonts w:ascii="Arial" w:hAnsi="Arial" w:cs="Arial"/>
          <w:sz w:val="22"/>
        </w:rPr>
        <w:t>million packages</w:t>
      </w:r>
      <w:r w:rsidR="002F21CA">
        <w:rPr>
          <w:rFonts w:ascii="Arial" w:hAnsi="Arial" w:cs="Arial"/>
          <w:sz w:val="22"/>
        </w:rPr>
        <w:t>,</w:t>
      </w:r>
      <w:r w:rsidR="00B4518F" w:rsidRPr="00D352EF">
        <w:rPr>
          <w:rFonts w:ascii="Arial" w:hAnsi="Arial" w:cs="Arial"/>
          <w:sz w:val="22"/>
        </w:rPr>
        <w:t xml:space="preserve"> </w:t>
      </w:r>
      <w:r w:rsidR="00BC6FC0" w:rsidRPr="00D352EF">
        <w:rPr>
          <w:rFonts w:ascii="Arial" w:hAnsi="Arial" w:cs="Arial"/>
          <w:sz w:val="22"/>
        </w:rPr>
        <w:t>on average</w:t>
      </w:r>
      <w:r w:rsidR="002F21CA">
        <w:rPr>
          <w:rFonts w:ascii="Arial" w:hAnsi="Arial" w:cs="Arial"/>
          <w:sz w:val="22"/>
        </w:rPr>
        <w:t>,</w:t>
      </w:r>
      <w:r w:rsidR="00BC6FC0" w:rsidRPr="00D352EF">
        <w:rPr>
          <w:rFonts w:ascii="Arial" w:hAnsi="Arial" w:cs="Arial"/>
          <w:sz w:val="22"/>
        </w:rPr>
        <w:t xml:space="preserve"> per day</w:t>
      </w:r>
      <w:r w:rsidR="00B4518F" w:rsidRPr="00D352EF">
        <w:rPr>
          <w:rFonts w:ascii="Arial" w:hAnsi="Arial" w:cs="Arial"/>
          <w:sz w:val="22"/>
        </w:rPr>
        <w:t xml:space="preserve"> with </w:t>
      </w:r>
      <w:r w:rsidRPr="00D352EF">
        <w:rPr>
          <w:rFonts w:ascii="Arial" w:hAnsi="Arial" w:cs="Arial"/>
          <w:sz w:val="22"/>
        </w:rPr>
        <w:t xml:space="preserve">strong revenue yields and </w:t>
      </w:r>
      <w:r w:rsidR="00B4518F" w:rsidRPr="00D352EF">
        <w:rPr>
          <w:rFonts w:ascii="Arial" w:hAnsi="Arial" w:cs="Arial"/>
          <w:sz w:val="22"/>
        </w:rPr>
        <w:t xml:space="preserve">record on-time </w:t>
      </w:r>
      <w:r w:rsidR="00F911D7">
        <w:rPr>
          <w:rFonts w:ascii="Arial" w:hAnsi="Arial" w:cs="Arial"/>
          <w:sz w:val="22"/>
        </w:rPr>
        <w:t>performance</w:t>
      </w:r>
      <w:r w:rsidRPr="00D352EF">
        <w:rPr>
          <w:rFonts w:ascii="Arial" w:hAnsi="Arial" w:cs="Arial"/>
          <w:sz w:val="22"/>
        </w:rPr>
        <w:t xml:space="preserve">. </w:t>
      </w:r>
      <w:r w:rsidR="00FB4579" w:rsidRPr="00D352EF">
        <w:rPr>
          <w:rFonts w:ascii="Arial" w:hAnsi="Arial" w:cs="Arial"/>
          <w:sz w:val="22"/>
        </w:rPr>
        <w:t>Shipment growth was balanced</w:t>
      </w:r>
      <w:r w:rsidR="00BC6FC0" w:rsidRPr="00D352EF">
        <w:rPr>
          <w:rFonts w:ascii="Arial" w:hAnsi="Arial" w:cs="Arial"/>
          <w:sz w:val="22"/>
        </w:rPr>
        <w:t>,</w:t>
      </w:r>
      <w:r w:rsidR="00FB4579" w:rsidRPr="00D352EF">
        <w:rPr>
          <w:rFonts w:ascii="Arial" w:hAnsi="Arial" w:cs="Arial"/>
          <w:sz w:val="22"/>
        </w:rPr>
        <w:t xml:space="preserve"> as b</w:t>
      </w:r>
      <w:r w:rsidR="00B4518F" w:rsidRPr="00D352EF">
        <w:rPr>
          <w:rFonts w:ascii="Arial" w:hAnsi="Arial" w:cs="Arial"/>
          <w:sz w:val="22"/>
        </w:rPr>
        <w:t xml:space="preserve">usiness-to-business and business-to-consumer packages </w:t>
      </w:r>
      <w:r w:rsidR="00CC70D3" w:rsidRPr="00D352EF">
        <w:rPr>
          <w:rFonts w:ascii="Arial" w:hAnsi="Arial" w:cs="Arial"/>
          <w:sz w:val="22"/>
        </w:rPr>
        <w:t>g</w:t>
      </w:r>
      <w:r w:rsidR="00B4518F" w:rsidRPr="00D352EF">
        <w:rPr>
          <w:rFonts w:ascii="Arial" w:hAnsi="Arial" w:cs="Arial"/>
          <w:sz w:val="22"/>
        </w:rPr>
        <w:t>r</w:t>
      </w:r>
      <w:r w:rsidR="00CC70D3" w:rsidRPr="00D352EF">
        <w:rPr>
          <w:rFonts w:ascii="Arial" w:hAnsi="Arial" w:cs="Arial"/>
          <w:sz w:val="22"/>
        </w:rPr>
        <w:t>ew</w:t>
      </w:r>
      <w:r w:rsidRPr="00D352EF">
        <w:rPr>
          <w:rFonts w:ascii="Arial" w:hAnsi="Arial" w:cs="Arial"/>
          <w:sz w:val="22"/>
        </w:rPr>
        <w:t xml:space="preserve"> </w:t>
      </w:r>
      <w:r w:rsidR="00B4518F" w:rsidRPr="00D352EF">
        <w:rPr>
          <w:rFonts w:ascii="Arial" w:hAnsi="Arial" w:cs="Arial"/>
          <w:sz w:val="22"/>
        </w:rPr>
        <w:t>in the quarter</w:t>
      </w:r>
      <w:r w:rsidR="00FB4579" w:rsidRPr="00D352EF">
        <w:rPr>
          <w:rFonts w:ascii="Arial" w:hAnsi="Arial" w:cs="Arial"/>
          <w:sz w:val="22"/>
        </w:rPr>
        <w:t>.</w:t>
      </w:r>
      <w:r w:rsidR="00055EAA" w:rsidRPr="00D352EF">
        <w:rPr>
          <w:rFonts w:ascii="Arial" w:hAnsi="Arial" w:cs="Arial"/>
          <w:sz w:val="22"/>
        </w:rPr>
        <w:t xml:space="preserve"> </w:t>
      </w:r>
      <w:r w:rsidR="00CC70D3" w:rsidRPr="00D352EF">
        <w:rPr>
          <w:rFonts w:ascii="Arial" w:hAnsi="Arial" w:cs="Arial"/>
          <w:sz w:val="22"/>
        </w:rPr>
        <w:t xml:space="preserve"> </w:t>
      </w:r>
      <w:r w:rsidR="00CD77C1" w:rsidRPr="00D352EF">
        <w:rPr>
          <w:rFonts w:ascii="Arial" w:hAnsi="Arial" w:cs="Arial"/>
          <w:sz w:val="22"/>
        </w:rPr>
        <w:t xml:space="preserve">As </w:t>
      </w:r>
      <w:r w:rsidR="00BC6FC0" w:rsidRPr="00D352EF">
        <w:rPr>
          <w:rFonts w:ascii="Arial" w:hAnsi="Arial" w:cs="Arial"/>
          <w:sz w:val="22"/>
        </w:rPr>
        <w:t>anticipated</w:t>
      </w:r>
      <w:r w:rsidR="00746CB8" w:rsidRPr="00D352EF">
        <w:rPr>
          <w:rFonts w:ascii="Arial" w:hAnsi="Arial" w:cs="Arial"/>
          <w:sz w:val="22"/>
        </w:rPr>
        <w:t xml:space="preserve">, </w:t>
      </w:r>
      <w:r w:rsidR="00C039B9">
        <w:rPr>
          <w:rFonts w:ascii="Arial" w:hAnsi="Arial" w:cs="Arial"/>
          <w:sz w:val="22"/>
        </w:rPr>
        <w:t>operating profit</w:t>
      </w:r>
      <w:r w:rsidR="002F21CA">
        <w:rPr>
          <w:rFonts w:ascii="Arial" w:hAnsi="Arial" w:cs="Arial"/>
          <w:sz w:val="22"/>
        </w:rPr>
        <w:t xml:space="preserve"> was</w:t>
      </w:r>
      <w:r w:rsidR="00BA6C65" w:rsidRPr="00D352EF">
        <w:rPr>
          <w:rFonts w:ascii="Arial" w:hAnsi="Arial" w:cs="Arial"/>
          <w:sz w:val="22"/>
        </w:rPr>
        <w:t xml:space="preserve"> </w:t>
      </w:r>
      <w:r w:rsidR="00522968">
        <w:rPr>
          <w:rFonts w:ascii="Arial" w:hAnsi="Arial" w:cs="Arial"/>
          <w:sz w:val="22"/>
        </w:rPr>
        <w:t>reduced</w:t>
      </w:r>
      <w:r w:rsidR="00522968" w:rsidRPr="00D352EF">
        <w:rPr>
          <w:rFonts w:ascii="Arial" w:hAnsi="Arial" w:cs="Arial"/>
          <w:sz w:val="22"/>
        </w:rPr>
        <w:t xml:space="preserve"> </w:t>
      </w:r>
      <w:r w:rsidR="003F1E41" w:rsidRPr="00D352EF">
        <w:rPr>
          <w:rFonts w:ascii="Arial" w:hAnsi="Arial" w:cs="Arial"/>
          <w:sz w:val="22"/>
        </w:rPr>
        <w:t>by planned pension expense, start-up costs for several large facilities, and one less operating day</w:t>
      </w:r>
      <w:r w:rsidR="005F3119" w:rsidRPr="00D352EF">
        <w:rPr>
          <w:rFonts w:ascii="Arial" w:hAnsi="Arial" w:cs="Arial"/>
          <w:sz w:val="22"/>
        </w:rPr>
        <w:t xml:space="preserve"> </w:t>
      </w:r>
      <w:r w:rsidR="009862AC">
        <w:rPr>
          <w:rFonts w:ascii="Arial" w:hAnsi="Arial" w:cs="Arial"/>
          <w:sz w:val="22"/>
        </w:rPr>
        <w:t>than in</w:t>
      </w:r>
      <w:r w:rsidR="005F3119" w:rsidRPr="00D352EF">
        <w:rPr>
          <w:rFonts w:ascii="Arial" w:hAnsi="Arial" w:cs="Arial"/>
          <w:sz w:val="22"/>
        </w:rPr>
        <w:t xml:space="preserve"> the prior year’s fourth quarter</w:t>
      </w:r>
      <w:r w:rsidR="00BC6FC0" w:rsidRPr="00D352EF">
        <w:rPr>
          <w:rFonts w:ascii="Arial" w:hAnsi="Arial" w:cs="Arial"/>
          <w:sz w:val="22"/>
        </w:rPr>
        <w:t>.</w:t>
      </w:r>
      <w:r w:rsidR="00451F11" w:rsidRPr="00D352EF">
        <w:rPr>
          <w:rFonts w:ascii="Arial" w:hAnsi="Arial" w:cs="Arial"/>
          <w:sz w:val="22"/>
        </w:rPr>
        <w:t xml:space="preserve"> </w:t>
      </w:r>
    </w:p>
    <w:tbl>
      <w:tblPr>
        <w:tblStyle w:val="TableGrid"/>
        <w:tblW w:w="595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551"/>
        <w:gridCol w:w="1551"/>
      </w:tblGrid>
      <w:tr w:rsidR="008063F3" w:rsidRPr="00D352EF" w:rsidTr="00723799">
        <w:tc>
          <w:tcPr>
            <w:tcW w:w="2855" w:type="dxa"/>
          </w:tcPr>
          <w:p w:rsidR="008063F3" w:rsidRPr="00D352EF" w:rsidRDefault="008063F3" w:rsidP="005A5BC6">
            <w:pPr>
              <w:rPr>
                <w:rFonts w:ascii="Arial" w:hAnsi="Arial" w:cs="Arial"/>
                <w:b/>
                <w:sz w:val="20"/>
                <w:szCs w:val="22"/>
                <w:u w:val="single"/>
              </w:rPr>
            </w:pPr>
          </w:p>
          <w:p w:rsidR="008063F3" w:rsidRPr="00D352EF" w:rsidRDefault="008063F3" w:rsidP="005A5BC6">
            <w:pPr>
              <w:rPr>
                <w:rFonts w:ascii="Arial" w:hAnsi="Arial" w:cs="Arial"/>
                <w:b/>
                <w:sz w:val="20"/>
                <w:szCs w:val="22"/>
                <w:u w:val="single"/>
              </w:rPr>
            </w:pPr>
          </w:p>
        </w:tc>
        <w:tc>
          <w:tcPr>
            <w:tcW w:w="1551" w:type="dxa"/>
          </w:tcPr>
          <w:p w:rsidR="008063F3" w:rsidRPr="00D352EF" w:rsidRDefault="008063F3" w:rsidP="005A5BC6">
            <w:pPr>
              <w:jc w:val="right"/>
              <w:rPr>
                <w:rFonts w:ascii="Arial" w:hAnsi="Arial" w:cs="Arial"/>
                <w:b/>
                <w:sz w:val="20"/>
                <w:szCs w:val="22"/>
                <w:u w:val="single"/>
              </w:rPr>
            </w:pPr>
          </w:p>
          <w:p w:rsidR="008063F3" w:rsidRPr="00D352EF" w:rsidRDefault="008063F3">
            <w:pPr>
              <w:jc w:val="right"/>
              <w:rPr>
                <w:rFonts w:ascii="Arial" w:hAnsi="Arial" w:cs="Arial"/>
                <w:b/>
                <w:sz w:val="20"/>
                <w:szCs w:val="22"/>
                <w:u w:val="single"/>
              </w:rPr>
            </w:pPr>
            <w:r w:rsidRPr="00D352EF">
              <w:rPr>
                <w:rFonts w:ascii="Arial" w:hAnsi="Arial" w:cs="Arial"/>
                <w:b/>
                <w:sz w:val="20"/>
                <w:szCs w:val="22"/>
                <w:u w:val="single"/>
              </w:rPr>
              <w:t>4Q 2018</w:t>
            </w:r>
          </w:p>
        </w:tc>
        <w:tc>
          <w:tcPr>
            <w:tcW w:w="1551" w:type="dxa"/>
          </w:tcPr>
          <w:p w:rsidR="008063F3" w:rsidRPr="00D352EF" w:rsidRDefault="008063F3" w:rsidP="005A5BC6">
            <w:pPr>
              <w:jc w:val="right"/>
              <w:rPr>
                <w:rFonts w:ascii="Arial" w:hAnsi="Arial" w:cs="Arial"/>
                <w:b/>
                <w:sz w:val="20"/>
                <w:szCs w:val="22"/>
                <w:u w:val="single"/>
              </w:rPr>
            </w:pPr>
          </w:p>
          <w:p w:rsidR="008063F3" w:rsidRPr="00D352EF" w:rsidRDefault="008063F3">
            <w:pPr>
              <w:jc w:val="right"/>
              <w:rPr>
                <w:rFonts w:ascii="Arial" w:hAnsi="Arial" w:cs="Arial"/>
                <w:b/>
                <w:sz w:val="20"/>
                <w:szCs w:val="22"/>
                <w:u w:val="single"/>
              </w:rPr>
            </w:pPr>
            <w:r w:rsidRPr="00D352EF">
              <w:rPr>
                <w:rFonts w:ascii="Arial" w:hAnsi="Arial" w:cs="Arial"/>
                <w:b/>
                <w:sz w:val="20"/>
                <w:szCs w:val="22"/>
                <w:u w:val="single"/>
              </w:rPr>
              <w:t>4Q 2017</w:t>
            </w:r>
          </w:p>
        </w:tc>
      </w:tr>
      <w:tr w:rsidR="008063F3" w:rsidRPr="00D352EF" w:rsidTr="00723799">
        <w:tc>
          <w:tcPr>
            <w:tcW w:w="2855" w:type="dxa"/>
          </w:tcPr>
          <w:p w:rsidR="008063F3" w:rsidRPr="00D352EF" w:rsidRDefault="008063F3" w:rsidP="005A5BC6">
            <w:pPr>
              <w:rPr>
                <w:rFonts w:ascii="Arial" w:hAnsi="Arial" w:cs="Arial"/>
                <w:sz w:val="20"/>
                <w:szCs w:val="22"/>
              </w:rPr>
            </w:pPr>
            <w:r w:rsidRPr="00D352EF">
              <w:rPr>
                <w:rFonts w:ascii="Arial" w:hAnsi="Arial" w:cs="Arial"/>
                <w:sz w:val="20"/>
                <w:szCs w:val="22"/>
              </w:rPr>
              <w:t>Revenue</w:t>
            </w:r>
          </w:p>
        </w:tc>
        <w:tc>
          <w:tcPr>
            <w:tcW w:w="1551" w:type="dxa"/>
          </w:tcPr>
          <w:p w:rsidR="008063F3" w:rsidRPr="00D352EF" w:rsidRDefault="008063F3">
            <w:pPr>
              <w:jc w:val="right"/>
              <w:rPr>
                <w:rFonts w:ascii="Arial" w:hAnsi="Arial" w:cs="Arial"/>
                <w:sz w:val="20"/>
                <w:szCs w:val="22"/>
              </w:rPr>
            </w:pPr>
            <w:r w:rsidRPr="00D352EF">
              <w:rPr>
                <w:rFonts w:ascii="Arial" w:hAnsi="Arial" w:cs="Arial"/>
                <w:sz w:val="20"/>
                <w:szCs w:val="22"/>
              </w:rPr>
              <w:t>$12,575 M</w:t>
            </w:r>
          </w:p>
        </w:tc>
        <w:tc>
          <w:tcPr>
            <w:tcW w:w="1551" w:type="dxa"/>
          </w:tcPr>
          <w:p w:rsidR="008063F3" w:rsidRPr="00D352EF" w:rsidRDefault="008063F3">
            <w:pPr>
              <w:jc w:val="right"/>
              <w:rPr>
                <w:rFonts w:ascii="Arial" w:hAnsi="Arial" w:cs="Arial"/>
                <w:sz w:val="20"/>
                <w:szCs w:val="22"/>
              </w:rPr>
            </w:pPr>
            <w:r w:rsidRPr="00D352EF">
              <w:rPr>
                <w:rFonts w:ascii="Arial" w:hAnsi="Arial" w:cs="Arial"/>
                <w:sz w:val="20"/>
                <w:szCs w:val="22"/>
              </w:rPr>
              <w:t>$11,833 M</w:t>
            </w:r>
          </w:p>
        </w:tc>
      </w:tr>
      <w:tr w:rsidR="008063F3" w:rsidRPr="00D352EF" w:rsidTr="00723799">
        <w:tc>
          <w:tcPr>
            <w:tcW w:w="2855" w:type="dxa"/>
          </w:tcPr>
          <w:p w:rsidR="008063F3" w:rsidRPr="00D352EF" w:rsidRDefault="008063F3" w:rsidP="00382368">
            <w:pPr>
              <w:rPr>
                <w:rFonts w:ascii="Arial" w:hAnsi="Arial" w:cs="Arial"/>
                <w:sz w:val="20"/>
                <w:szCs w:val="22"/>
              </w:rPr>
            </w:pPr>
            <w:r w:rsidRPr="00D352EF">
              <w:rPr>
                <w:rFonts w:ascii="Arial" w:hAnsi="Arial" w:cs="Arial"/>
                <w:sz w:val="20"/>
                <w:szCs w:val="22"/>
              </w:rPr>
              <w:t xml:space="preserve">Operating profit </w:t>
            </w:r>
          </w:p>
        </w:tc>
        <w:tc>
          <w:tcPr>
            <w:tcW w:w="1551" w:type="dxa"/>
          </w:tcPr>
          <w:p w:rsidR="008063F3" w:rsidRPr="00D352EF" w:rsidRDefault="008063F3">
            <w:pPr>
              <w:jc w:val="right"/>
              <w:rPr>
                <w:rFonts w:ascii="Arial" w:hAnsi="Arial" w:cs="Arial"/>
                <w:sz w:val="20"/>
                <w:szCs w:val="22"/>
              </w:rPr>
            </w:pPr>
            <w:r w:rsidRPr="00D352EF">
              <w:rPr>
                <w:rFonts w:ascii="Arial" w:hAnsi="Arial" w:cs="Arial"/>
                <w:sz w:val="20"/>
                <w:szCs w:val="22"/>
              </w:rPr>
              <w:t>$999 M</w:t>
            </w:r>
          </w:p>
        </w:tc>
        <w:tc>
          <w:tcPr>
            <w:tcW w:w="1551" w:type="dxa"/>
          </w:tcPr>
          <w:p w:rsidR="008063F3" w:rsidRPr="00D352EF" w:rsidRDefault="008063F3">
            <w:pPr>
              <w:jc w:val="right"/>
              <w:rPr>
                <w:rFonts w:ascii="Arial" w:hAnsi="Arial" w:cs="Arial"/>
                <w:sz w:val="20"/>
                <w:szCs w:val="22"/>
              </w:rPr>
            </w:pPr>
            <w:r w:rsidRPr="00D352EF">
              <w:rPr>
                <w:rFonts w:ascii="Arial" w:hAnsi="Arial" w:cs="Arial"/>
                <w:sz w:val="20"/>
                <w:szCs w:val="22"/>
              </w:rPr>
              <w:t>$1,087M</w:t>
            </w:r>
          </w:p>
        </w:tc>
      </w:tr>
    </w:tbl>
    <w:p w:rsidR="005A5BC6" w:rsidRPr="00D352EF" w:rsidRDefault="005A5BC6" w:rsidP="000E624D">
      <w:pPr>
        <w:rPr>
          <w:rFonts w:ascii="Arial" w:hAnsi="Arial" w:cs="Arial"/>
          <w:sz w:val="22"/>
        </w:rPr>
      </w:pPr>
    </w:p>
    <w:p w:rsidR="005A5BC6" w:rsidRPr="00D352EF" w:rsidRDefault="005A5BC6" w:rsidP="000E624D">
      <w:pPr>
        <w:rPr>
          <w:rFonts w:ascii="Arial" w:hAnsi="Arial" w:cs="Arial"/>
          <w:sz w:val="22"/>
        </w:rPr>
      </w:pPr>
    </w:p>
    <w:p w:rsidR="005A693E" w:rsidRPr="00D352EF" w:rsidRDefault="000E624D" w:rsidP="000E624D">
      <w:pPr>
        <w:rPr>
          <w:rFonts w:ascii="Arial" w:hAnsi="Arial" w:cs="Arial"/>
          <w:sz w:val="22"/>
        </w:rPr>
      </w:pPr>
      <w:r w:rsidRPr="00D352EF">
        <w:rPr>
          <w:rFonts w:ascii="Arial" w:hAnsi="Arial" w:cs="Arial"/>
          <w:sz w:val="22"/>
        </w:rPr>
        <w:t xml:space="preserve">For the U.S. Domestic </w:t>
      </w:r>
      <w:r w:rsidR="00576472" w:rsidRPr="00D352EF">
        <w:rPr>
          <w:rFonts w:ascii="Arial" w:hAnsi="Arial" w:cs="Arial"/>
          <w:sz w:val="22"/>
        </w:rPr>
        <w:t xml:space="preserve">segment </w:t>
      </w:r>
      <w:r w:rsidRPr="00D352EF">
        <w:rPr>
          <w:rFonts w:ascii="Arial" w:hAnsi="Arial" w:cs="Arial"/>
          <w:sz w:val="22"/>
        </w:rPr>
        <w:t xml:space="preserve">in </w:t>
      </w:r>
      <w:r w:rsidR="005A5BC6" w:rsidRPr="00D352EF">
        <w:rPr>
          <w:rFonts w:ascii="Arial" w:hAnsi="Arial" w:cs="Arial"/>
          <w:sz w:val="22"/>
        </w:rPr>
        <w:t>4</w:t>
      </w:r>
      <w:r w:rsidR="00FE1A45" w:rsidRPr="00D352EF">
        <w:rPr>
          <w:rFonts w:ascii="Arial" w:hAnsi="Arial" w:cs="Arial"/>
          <w:sz w:val="22"/>
        </w:rPr>
        <w:t>Q</w:t>
      </w:r>
      <w:r w:rsidRPr="00D352EF">
        <w:rPr>
          <w:rFonts w:ascii="Arial" w:hAnsi="Arial" w:cs="Arial"/>
          <w:sz w:val="22"/>
        </w:rPr>
        <w:t xml:space="preserve"> </w:t>
      </w:r>
      <w:r w:rsidR="00ED7561" w:rsidRPr="00D352EF">
        <w:rPr>
          <w:rFonts w:ascii="Arial" w:hAnsi="Arial" w:cs="Arial"/>
          <w:sz w:val="22"/>
        </w:rPr>
        <w:t>2018</w:t>
      </w:r>
      <w:r w:rsidRPr="00D352EF">
        <w:rPr>
          <w:rFonts w:ascii="Arial" w:hAnsi="Arial" w:cs="Arial"/>
          <w:sz w:val="22"/>
        </w:rPr>
        <w:t>:</w:t>
      </w:r>
    </w:p>
    <w:p w:rsidR="00746CB8" w:rsidRPr="00D352EF" w:rsidRDefault="00746CB8" w:rsidP="00746CB8">
      <w:pPr>
        <w:pStyle w:val="ListParagraph"/>
        <w:numPr>
          <w:ilvl w:val="0"/>
          <w:numId w:val="37"/>
        </w:numPr>
        <w:rPr>
          <w:rFonts w:ascii="Arial" w:hAnsi="Arial" w:cs="Arial"/>
          <w:sz w:val="22"/>
        </w:rPr>
      </w:pPr>
      <w:r w:rsidRPr="00D352EF">
        <w:rPr>
          <w:rFonts w:ascii="Arial" w:hAnsi="Arial" w:cs="Arial"/>
          <w:sz w:val="22"/>
        </w:rPr>
        <w:t>Revenue increased $</w:t>
      </w:r>
      <w:r w:rsidR="00F90C05" w:rsidRPr="00D352EF">
        <w:rPr>
          <w:rFonts w:ascii="Arial" w:hAnsi="Arial" w:cs="Arial"/>
          <w:sz w:val="22"/>
        </w:rPr>
        <w:t xml:space="preserve">742 </w:t>
      </w:r>
      <w:r w:rsidRPr="00D352EF">
        <w:rPr>
          <w:rFonts w:ascii="Arial" w:hAnsi="Arial" w:cs="Arial"/>
          <w:sz w:val="22"/>
        </w:rPr>
        <w:t xml:space="preserve">million or </w:t>
      </w:r>
      <w:r w:rsidR="00F90C05" w:rsidRPr="00D352EF">
        <w:rPr>
          <w:rFonts w:ascii="Arial" w:hAnsi="Arial" w:cs="Arial"/>
          <w:sz w:val="22"/>
        </w:rPr>
        <w:t>6.3</w:t>
      </w:r>
      <w:r w:rsidRPr="00D352EF">
        <w:rPr>
          <w:rFonts w:ascii="Arial" w:hAnsi="Arial" w:cs="Arial"/>
          <w:sz w:val="22"/>
        </w:rPr>
        <w:t>% over 4Q 201</w:t>
      </w:r>
      <w:r w:rsidR="00F90C05" w:rsidRPr="00D352EF">
        <w:rPr>
          <w:rFonts w:ascii="Arial" w:hAnsi="Arial" w:cs="Arial"/>
          <w:sz w:val="22"/>
        </w:rPr>
        <w:t>7</w:t>
      </w:r>
      <w:r w:rsidR="009862AC">
        <w:rPr>
          <w:rFonts w:ascii="Arial" w:hAnsi="Arial" w:cs="Arial"/>
          <w:sz w:val="22"/>
        </w:rPr>
        <w:t>,</w:t>
      </w:r>
      <w:r w:rsidR="00F90C05" w:rsidRPr="00D352EF">
        <w:rPr>
          <w:rFonts w:ascii="Arial" w:hAnsi="Arial" w:cs="Arial"/>
          <w:sz w:val="22"/>
        </w:rPr>
        <w:t xml:space="preserve"> with growth across all </w:t>
      </w:r>
      <w:r w:rsidR="00FC1FEC" w:rsidRPr="00D352EF">
        <w:rPr>
          <w:rFonts w:ascii="Arial" w:hAnsi="Arial" w:cs="Arial"/>
          <w:sz w:val="22"/>
        </w:rPr>
        <w:t>products</w:t>
      </w:r>
      <w:r w:rsidR="007B3B00" w:rsidRPr="00D352EF">
        <w:rPr>
          <w:rFonts w:ascii="Arial" w:hAnsi="Arial" w:cs="Arial"/>
          <w:sz w:val="22"/>
        </w:rPr>
        <w:t>.</w:t>
      </w:r>
      <w:r w:rsidRPr="00D352EF">
        <w:rPr>
          <w:rFonts w:ascii="Arial" w:hAnsi="Arial" w:cs="Arial"/>
          <w:sz w:val="22"/>
        </w:rPr>
        <w:t xml:space="preserve">  </w:t>
      </w:r>
    </w:p>
    <w:p w:rsidR="00615614" w:rsidRPr="00D352EF" w:rsidRDefault="00615614" w:rsidP="009E7EED">
      <w:pPr>
        <w:pStyle w:val="ListParagraph"/>
        <w:numPr>
          <w:ilvl w:val="0"/>
          <w:numId w:val="37"/>
        </w:numPr>
        <w:rPr>
          <w:rFonts w:ascii="Arial" w:hAnsi="Arial" w:cs="Arial"/>
          <w:sz w:val="22"/>
        </w:rPr>
      </w:pPr>
      <w:r w:rsidRPr="00D352EF">
        <w:rPr>
          <w:rFonts w:ascii="Arial" w:hAnsi="Arial" w:cs="Arial"/>
          <w:sz w:val="22"/>
        </w:rPr>
        <w:t>Premium Next Day Air revenue grew more than 10%</w:t>
      </w:r>
      <w:r w:rsidR="009862AC">
        <w:rPr>
          <w:rFonts w:ascii="Arial" w:hAnsi="Arial" w:cs="Arial"/>
          <w:sz w:val="22"/>
        </w:rPr>
        <w:t>,</w:t>
      </w:r>
      <w:r w:rsidRPr="00D352EF">
        <w:rPr>
          <w:rFonts w:ascii="Arial" w:hAnsi="Arial" w:cs="Arial"/>
          <w:sz w:val="22"/>
        </w:rPr>
        <w:t xml:space="preserve"> with volume growth of 7.8% as customers selected faster delivery options.  </w:t>
      </w:r>
    </w:p>
    <w:p w:rsidR="00D8122D" w:rsidRPr="00D352EF" w:rsidRDefault="00BA6C65" w:rsidP="009E7EED">
      <w:pPr>
        <w:pStyle w:val="ListParagraph"/>
        <w:numPr>
          <w:ilvl w:val="0"/>
          <w:numId w:val="37"/>
        </w:numPr>
        <w:rPr>
          <w:rFonts w:ascii="Arial" w:hAnsi="Arial" w:cs="Arial"/>
          <w:sz w:val="22"/>
        </w:rPr>
      </w:pPr>
      <w:r w:rsidRPr="00D352EF">
        <w:rPr>
          <w:rFonts w:ascii="Arial" w:hAnsi="Arial" w:cs="Arial"/>
          <w:sz w:val="22"/>
        </w:rPr>
        <w:t>Revenue per piece increased</w:t>
      </w:r>
      <w:r w:rsidR="00F90C05" w:rsidRPr="00D352EF">
        <w:rPr>
          <w:rFonts w:ascii="Arial" w:hAnsi="Arial" w:cs="Arial"/>
          <w:sz w:val="22"/>
        </w:rPr>
        <w:t xml:space="preserve"> 4.8% </w:t>
      </w:r>
      <w:r w:rsidR="00334E79" w:rsidRPr="00D352EF">
        <w:rPr>
          <w:rFonts w:ascii="Arial" w:hAnsi="Arial" w:cs="Arial"/>
          <w:sz w:val="22"/>
        </w:rPr>
        <w:t xml:space="preserve">on </w:t>
      </w:r>
      <w:r w:rsidR="00BC6FC0" w:rsidRPr="00D352EF">
        <w:rPr>
          <w:rFonts w:ascii="Arial" w:hAnsi="Arial" w:cs="Arial"/>
          <w:sz w:val="22"/>
        </w:rPr>
        <w:t xml:space="preserve">expanded </w:t>
      </w:r>
      <w:r w:rsidR="00422380" w:rsidRPr="00D352EF">
        <w:rPr>
          <w:rFonts w:ascii="Arial" w:hAnsi="Arial" w:cs="Arial"/>
          <w:sz w:val="22"/>
        </w:rPr>
        <w:t xml:space="preserve">base rates </w:t>
      </w:r>
      <w:r w:rsidR="00BC6FC0" w:rsidRPr="00D352EF">
        <w:rPr>
          <w:rFonts w:ascii="Arial" w:hAnsi="Arial" w:cs="Arial"/>
          <w:sz w:val="22"/>
        </w:rPr>
        <w:t>and positive</w:t>
      </w:r>
      <w:r w:rsidR="00422380" w:rsidRPr="00D352EF">
        <w:rPr>
          <w:rFonts w:ascii="Arial" w:hAnsi="Arial" w:cs="Arial"/>
          <w:sz w:val="22"/>
        </w:rPr>
        <w:t xml:space="preserve"> </w:t>
      </w:r>
      <w:r w:rsidR="00334E79" w:rsidRPr="00D352EF">
        <w:rPr>
          <w:rFonts w:ascii="Arial" w:hAnsi="Arial" w:cs="Arial"/>
          <w:sz w:val="22"/>
        </w:rPr>
        <w:t>product and customer mix</w:t>
      </w:r>
      <w:r w:rsidR="00F90C05" w:rsidRPr="00D352EF">
        <w:rPr>
          <w:rFonts w:ascii="Arial" w:hAnsi="Arial" w:cs="Arial"/>
          <w:sz w:val="22"/>
        </w:rPr>
        <w:t>.</w:t>
      </w:r>
      <w:r w:rsidRPr="00D352EF">
        <w:rPr>
          <w:rFonts w:ascii="Arial" w:hAnsi="Arial" w:cs="Arial"/>
          <w:sz w:val="22"/>
        </w:rPr>
        <w:t xml:space="preserve"> </w:t>
      </w:r>
    </w:p>
    <w:p w:rsidR="00F9088C" w:rsidRPr="00D352EF" w:rsidRDefault="00BC6FC0" w:rsidP="00382B8D">
      <w:pPr>
        <w:pStyle w:val="ListParagraph"/>
        <w:numPr>
          <w:ilvl w:val="0"/>
          <w:numId w:val="37"/>
        </w:numPr>
        <w:rPr>
          <w:rFonts w:ascii="Arial" w:hAnsi="Arial" w:cs="Arial"/>
          <w:sz w:val="22"/>
        </w:rPr>
      </w:pPr>
      <w:r w:rsidRPr="00D352EF">
        <w:rPr>
          <w:rFonts w:ascii="Arial" w:hAnsi="Arial" w:cs="Arial"/>
          <w:sz w:val="22"/>
        </w:rPr>
        <w:t xml:space="preserve">The company successfully opened </w:t>
      </w:r>
      <w:r w:rsidR="00E26B31">
        <w:rPr>
          <w:rFonts w:ascii="Arial" w:hAnsi="Arial" w:cs="Arial"/>
          <w:sz w:val="22"/>
        </w:rPr>
        <w:t xml:space="preserve">14 </w:t>
      </w:r>
      <w:r w:rsidR="00522968">
        <w:rPr>
          <w:rFonts w:ascii="Arial" w:hAnsi="Arial" w:cs="Arial"/>
          <w:sz w:val="22"/>
        </w:rPr>
        <w:t>major</w:t>
      </w:r>
      <w:r w:rsidR="0019514A">
        <w:rPr>
          <w:rFonts w:ascii="Arial" w:hAnsi="Arial" w:cs="Arial"/>
          <w:sz w:val="22"/>
        </w:rPr>
        <w:t xml:space="preserve"> </w:t>
      </w:r>
      <w:r w:rsidRPr="00D352EF">
        <w:rPr>
          <w:rFonts w:ascii="Arial" w:hAnsi="Arial" w:cs="Arial"/>
          <w:sz w:val="22"/>
        </w:rPr>
        <w:t>facilities</w:t>
      </w:r>
      <w:r w:rsidR="00CA5ECF" w:rsidRPr="00D352EF">
        <w:rPr>
          <w:rFonts w:ascii="Arial" w:hAnsi="Arial" w:cs="Arial"/>
          <w:sz w:val="22"/>
        </w:rPr>
        <w:t xml:space="preserve"> in the U</w:t>
      </w:r>
      <w:r w:rsidR="00BC461D">
        <w:rPr>
          <w:rFonts w:ascii="Arial" w:hAnsi="Arial" w:cs="Arial"/>
          <w:sz w:val="22"/>
        </w:rPr>
        <w:t>.</w:t>
      </w:r>
      <w:r w:rsidR="00CA5ECF" w:rsidRPr="00D352EF">
        <w:rPr>
          <w:rFonts w:ascii="Arial" w:hAnsi="Arial" w:cs="Arial"/>
          <w:sz w:val="22"/>
        </w:rPr>
        <w:t>S</w:t>
      </w:r>
      <w:r w:rsidR="00BC461D">
        <w:rPr>
          <w:rFonts w:ascii="Arial" w:hAnsi="Arial" w:cs="Arial"/>
          <w:sz w:val="22"/>
        </w:rPr>
        <w:t>.</w:t>
      </w:r>
      <w:r w:rsidRPr="00D352EF">
        <w:rPr>
          <w:rFonts w:ascii="Arial" w:hAnsi="Arial" w:cs="Arial"/>
          <w:sz w:val="22"/>
        </w:rPr>
        <w:t xml:space="preserve"> during the quarter</w:t>
      </w:r>
      <w:r w:rsidR="00CA5ECF" w:rsidRPr="00D352EF">
        <w:rPr>
          <w:rFonts w:ascii="Arial" w:hAnsi="Arial" w:cs="Arial"/>
          <w:sz w:val="22"/>
        </w:rPr>
        <w:t>,</w:t>
      </w:r>
      <w:r w:rsidRPr="00D352EF">
        <w:rPr>
          <w:rFonts w:ascii="Arial" w:hAnsi="Arial" w:cs="Arial"/>
          <w:sz w:val="22"/>
        </w:rPr>
        <w:t xml:space="preserve"> p</w:t>
      </w:r>
      <w:r w:rsidR="00F90C05" w:rsidRPr="00D352EF">
        <w:rPr>
          <w:rFonts w:ascii="Arial" w:hAnsi="Arial" w:cs="Arial"/>
          <w:sz w:val="22"/>
        </w:rPr>
        <w:t xml:space="preserve">roviding </w:t>
      </w:r>
      <w:r w:rsidRPr="00D352EF">
        <w:rPr>
          <w:rFonts w:ascii="Arial" w:hAnsi="Arial" w:cs="Arial"/>
          <w:sz w:val="22"/>
        </w:rPr>
        <w:t xml:space="preserve">higher </w:t>
      </w:r>
      <w:r w:rsidR="00F90C05" w:rsidRPr="00D352EF">
        <w:rPr>
          <w:rFonts w:ascii="Arial" w:hAnsi="Arial" w:cs="Arial"/>
          <w:sz w:val="22"/>
        </w:rPr>
        <w:t>effi</w:t>
      </w:r>
      <w:r w:rsidR="006C4BE3" w:rsidRPr="00D352EF">
        <w:rPr>
          <w:rFonts w:ascii="Arial" w:hAnsi="Arial" w:cs="Arial"/>
          <w:sz w:val="22"/>
        </w:rPr>
        <w:t>ci</w:t>
      </w:r>
      <w:r w:rsidR="00F90C05" w:rsidRPr="00D352EF">
        <w:rPr>
          <w:rFonts w:ascii="Arial" w:hAnsi="Arial" w:cs="Arial"/>
          <w:sz w:val="22"/>
        </w:rPr>
        <w:t>enc</w:t>
      </w:r>
      <w:r w:rsidRPr="00D352EF">
        <w:rPr>
          <w:rFonts w:ascii="Arial" w:hAnsi="Arial" w:cs="Arial"/>
          <w:sz w:val="22"/>
        </w:rPr>
        <w:t>y</w:t>
      </w:r>
      <w:r w:rsidR="00F90C05" w:rsidRPr="00D352EF">
        <w:rPr>
          <w:rFonts w:ascii="Arial" w:hAnsi="Arial" w:cs="Arial"/>
          <w:sz w:val="22"/>
        </w:rPr>
        <w:t xml:space="preserve"> and record on-time </w:t>
      </w:r>
      <w:r w:rsidR="00BE24B9">
        <w:rPr>
          <w:rFonts w:ascii="Arial" w:hAnsi="Arial" w:cs="Arial"/>
          <w:sz w:val="22"/>
        </w:rPr>
        <w:t>deliveries</w:t>
      </w:r>
      <w:r w:rsidR="00CB1AEA" w:rsidRPr="00D352EF">
        <w:rPr>
          <w:rFonts w:ascii="Arial" w:hAnsi="Arial" w:cs="Arial"/>
          <w:sz w:val="22"/>
        </w:rPr>
        <w:t xml:space="preserve">. </w:t>
      </w:r>
      <w:r w:rsidR="00EE6A28">
        <w:rPr>
          <w:rFonts w:ascii="Arial" w:hAnsi="Arial" w:cs="Arial"/>
          <w:sz w:val="22"/>
        </w:rPr>
        <w:t xml:space="preserve">For the full year, UPS opened </w:t>
      </w:r>
      <w:r w:rsidR="00EE6A28" w:rsidRPr="00EE6A28">
        <w:rPr>
          <w:rFonts w:ascii="Arial" w:hAnsi="Arial" w:cs="Arial"/>
          <w:sz w:val="22"/>
        </w:rPr>
        <w:t xml:space="preserve">22 </w:t>
      </w:r>
      <w:r w:rsidR="00EE6A28">
        <w:rPr>
          <w:rFonts w:ascii="Arial" w:hAnsi="Arial" w:cs="Arial"/>
          <w:sz w:val="22"/>
        </w:rPr>
        <w:t>new facilities worldwide.</w:t>
      </w:r>
    </w:p>
    <w:p w:rsidR="00230093" w:rsidRPr="00D352EF" w:rsidRDefault="00230093" w:rsidP="00C5142D">
      <w:pPr>
        <w:rPr>
          <w:rFonts w:ascii="Arial" w:hAnsi="Arial" w:cs="Arial"/>
          <w:sz w:val="22"/>
        </w:rPr>
      </w:pPr>
    </w:p>
    <w:p w:rsidR="00BC6FC0" w:rsidRPr="00D352EF" w:rsidRDefault="00BC6FC0" w:rsidP="00C5142D">
      <w:pPr>
        <w:rPr>
          <w:rFonts w:ascii="Arial" w:hAnsi="Arial" w:cs="Arial"/>
          <w:sz w:val="22"/>
        </w:rPr>
      </w:pPr>
    </w:p>
    <w:p w:rsidR="00825A62" w:rsidRPr="00D352EF" w:rsidRDefault="004914AA" w:rsidP="00D12477">
      <w:pPr>
        <w:rPr>
          <w:rFonts w:ascii="Arial" w:hAnsi="Arial" w:cs="Arial"/>
          <w:b/>
          <w:sz w:val="22"/>
          <w:szCs w:val="20"/>
          <w:u w:val="single"/>
        </w:rPr>
      </w:pPr>
      <w:r w:rsidRPr="00D352EF">
        <w:rPr>
          <w:rFonts w:ascii="Arial" w:hAnsi="Arial" w:cs="Arial"/>
          <w:b/>
          <w:sz w:val="22"/>
          <w:szCs w:val="20"/>
          <w:u w:val="single"/>
        </w:rPr>
        <w:t>International</w:t>
      </w:r>
      <w:r w:rsidR="00941FD4" w:rsidRPr="00D352EF">
        <w:rPr>
          <w:rFonts w:ascii="Arial" w:hAnsi="Arial" w:cs="Arial"/>
          <w:b/>
          <w:sz w:val="22"/>
          <w:szCs w:val="20"/>
          <w:u w:val="single"/>
        </w:rPr>
        <w:t xml:space="preserve"> </w:t>
      </w:r>
      <w:r w:rsidRPr="00D352EF">
        <w:rPr>
          <w:rFonts w:ascii="Arial" w:hAnsi="Arial" w:cs="Arial"/>
          <w:b/>
          <w:sz w:val="22"/>
          <w:szCs w:val="20"/>
          <w:u w:val="single"/>
        </w:rPr>
        <w:t>Segment</w:t>
      </w:r>
    </w:p>
    <w:p w:rsidR="00E524E4" w:rsidRPr="00D352EF" w:rsidRDefault="00E524E4" w:rsidP="00D12477">
      <w:pPr>
        <w:rPr>
          <w:rFonts w:ascii="Arial" w:hAnsi="Arial" w:cs="Arial"/>
          <w:sz w:val="22"/>
          <w:szCs w:val="20"/>
        </w:rPr>
      </w:pPr>
    </w:p>
    <w:p w:rsidR="005E3FC5" w:rsidRPr="00D352EF" w:rsidRDefault="003E0627" w:rsidP="00D12477">
      <w:pPr>
        <w:rPr>
          <w:rFonts w:ascii="Arial" w:hAnsi="Arial" w:cs="Arial"/>
          <w:sz w:val="22"/>
          <w:szCs w:val="20"/>
        </w:rPr>
      </w:pPr>
      <w:r w:rsidRPr="00D352EF">
        <w:rPr>
          <w:rFonts w:ascii="Arial" w:hAnsi="Arial" w:cs="Arial"/>
          <w:sz w:val="22"/>
          <w:szCs w:val="20"/>
        </w:rPr>
        <w:t>“Our</w:t>
      </w:r>
      <w:r w:rsidR="002A0FDD" w:rsidRPr="00D352EF">
        <w:rPr>
          <w:rFonts w:ascii="Arial" w:hAnsi="Arial" w:cs="Arial"/>
          <w:sz w:val="22"/>
          <w:szCs w:val="20"/>
        </w:rPr>
        <w:t xml:space="preserve"> International segment </w:t>
      </w:r>
      <w:r w:rsidR="000368E2" w:rsidRPr="00D352EF">
        <w:rPr>
          <w:rFonts w:ascii="Arial" w:hAnsi="Arial" w:cs="Arial"/>
          <w:sz w:val="22"/>
          <w:szCs w:val="20"/>
        </w:rPr>
        <w:t xml:space="preserve">produced </w:t>
      </w:r>
      <w:r w:rsidR="00522968">
        <w:rPr>
          <w:rFonts w:ascii="Arial" w:hAnsi="Arial" w:cs="Arial"/>
          <w:sz w:val="22"/>
          <w:szCs w:val="20"/>
        </w:rPr>
        <w:t>record</w:t>
      </w:r>
      <w:r w:rsidR="00522968" w:rsidRPr="00D352EF">
        <w:rPr>
          <w:rFonts w:ascii="Arial" w:hAnsi="Arial" w:cs="Arial"/>
          <w:sz w:val="22"/>
          <w:szCs w:val="20"/>
        </w:rPr>
        <w:t xml:space="preserve"> </w:t>
      </w:r>
      <w:r w:rsidR="000368E2" w:rsidRPr="00D352EF">
        <w:rPr>
          <w:rFonts w:ascii="Arial" w:hAnsi="Arial" w:cs="Arial"/>
          <w:sz w:val="22"/>
          <w:szCs w:val="20"/>
        </w:rPr>
        <w:t xml:space="preserve">results </w:t>
      </w:r>
      <w:r w:rsidR="005373EA" w:rsidRPr="00D352EF">
        <w:rPr>
          <w:rFonts w:ascii="Arial" w:hAnsi="Arial" w:cs="Arial"/>
          <w:sz w:val="22"/>
          <w:szCs w:val="20"/>
        </w:rPr>
        <w:t>highlighted by double</w:t>
      </w:r>
      <w:r w:rsidR="000F59EF" w:rsidRPr="00D352EF">
        <w:rPr>
          <w:rFonts w:ascii="Arial" w:hAnsi="Arial" w:cs="Arial"/>
          <w:sz w:val="22"/>
          <w:szCs w:val="20"/>
        </w:rPr>
        <w:t>-</w:t>
      </w:r>
      <w:r w:rsidR="005373EA" w:rsidRPr="00D352EF">
        <w:rPr>
          <w:rFonts w:ascii="Arial" w:hAnsi="Arial" w:cs="Arial"/>
          <w:sz w:val="22"/>
          <w:szCs w:val="20"/>
        </w:rPr>
        <w:t>digit profitability in Europe</w:t>
      </w:r>
      <w:r w:rsidR="00BC4F57" w:rsidRPr="00D352EF">
        <w:rPr>
          <w:rFonts w:ascii="Arial" w:hAnsi="Arial" w:cs="Arial"/>
          <w:sz w:val="22"/>
          <w:szCs w:val="20"/>
        </w:rPr>
        <w:t>,</w:t>
      </w:r>
      <w:r w:rsidR="00D02362" w:rsidRPr="00D352EF">
        <w:rPr>
          <w:rFonts w:ascii="Arial" w:hAnsi="Arial" w:cs="Arial"/>
          <w:sz w:val="22"/>
          <w:szCs w:val="20"/>
        </w:rPr>
        <w:t>”</w:t>
      </w:r>
      <w:r w:rsidR="00C53B27" w:rsidRPr="00D352EF">
        <w:rPr>
          <w:rFonts w:ascii="Arial" w:hAnsi="Arial" w:cs="Arial"/>
          <w:sz w:val="22"/>
          <w:szCs w:val="20"/>
        </w:rPr>
        <w:t xml:space="preserve"> said Abney</w:t>
      </w:r>
      <w:r w:rsidR="002A0FDD" w:rsidRPr="00D352EF">
        <w:rPr>
          <w:rFonts w:ascii="Arial" w:hAnsi="Arial" w:cs="Arial"/>
          <w:sz w:val="22"/>
          <w:szCs w:val="20"/>
        </w:rPr>
        <w:t xml:space="preserve">.  </w:t>
      </w:r>
      <w:r w:rsidR="00D02362" w:rsidRPr="00D352EF">
        <w:rPr>
          <w:rFonts w:ascii="Arial" w:hAnsi="Arial" w:cs="Arial"/>
          <w:sz w:val="22"/>
          <w:szCs w:val="20"/>
        </w:rPr>
        <w:t>“</w:t>
      </w:r>
      <w:r w:rsidR="00FE19ED" w:rsidRPr="00D352EF">
        <w:rPr>
          <w:rFonts w:ascii="Arial" w:hAnsi="Arial" w:cs="Arial"/>
          <w:sz w:val="22"/>
          <w:szCs w:val="20"/>
        </w:rPr>
        <w:t xml:space="preserve">Our </w:t>
      </w:r>
      <w:r w:rsidR="00CD4322">
        <w:rPr>
          <w:rFonts w:ascii="Arial" w:hAnsi="Arial" w:cs="Arial"/>
          <w:sz w:val="22"/>
          <w:szCs w:val="20"/>
        </w:rPr>
        <w:t>broad</w:t>
      </w:r>
      <w:r w:rsidR="00CD4322" w:rsidRPr="00D352EF">
        <w:rPr>
          <w:rFonts w:ascii="Arial" w:hAnsi="Arial" w:cs="Arial"/>
          <w:sz w:val="22"/>
          <w:szCs w:val="20"/>
        </w:rPr>
        <w:t xml:space="preserve"> </w:t>
      </w:r>
      <w:r w:rsidR="00FE19ED" w:rsidRPr="00D352EF">
        <w:rPr>
          <w:rFonts w:ascii="Arial" w:hAnsi="Arial" w:cs="Arial"/>
          <w:sz w:val="22"/>
          <w:szCs w:val="20"/>
        </w:rPr>
        <w:t xml:space="preserve">portfolio, </w:t>
      </w:r>
      <w:r w:rsidR="00CD4322">
        <w:rPr>
          <w:rFonts w:ascii="Arial" w:hAnsi="Arial" w:cs="Arial"/>
          <w:sz w:val="22"/>
          <w:szCs w:val="20"/>
        </w:rPr>
        <w:t>diverse</w:t>
      </w:r>
      <w:r w:rsidR="00CD4322" w:rsidRPr="00D352EF">
        <w:rPr>
          <w:rFonts w:ascii="Arial" w:hAnsi="Arial" w:cs="Arial"/>
          <w:sz w:val="22"/>
          <w:szCs w:val="20"/>
        </w:rPr>
        <w:t xml:space="preserve"> </w:t>
      </w:r>
      <w:r w:rsidR="00FE19ED" w:rsidRPr="00D352EF">
        <w:rPr>
          <w:rFonts w:ascii="Arial" w:hAnsi="Arial" w:cs="Arial"/>
          <w:sz w:val="22"/>
          <w:szCs w:val="20"/>
        </w:rPr>
        <w:t>revenue base and flexible network help bu</w:t>
      </w:r>
      <w:r w:rsidR="00BC6FC0" w:rsidRPr="00D352EF">
        <w:rPr>
          <w:rFonts w:ascii="Arial" w:hAnsi="Arial" w:cs="Arial"/>
          <w:sz w:val="22"/>
          <w:szCs w:val="20"/>
        </w:rPr>
        <w:t>ff</w:t>
      </w:r>
      <w:r w:rsidR="00FE19ED" w:rsidRPr="00D352EF">
        <w:rPr>
          <w:rFonts w:ascii="Arial" w:hAnsi="Arial" w:cs="Arial"/>
          <w:sz w:val="22"/>
          <w:szCs w:val="20"/>
        </w:rPr>
        <w:t xml:space="preserve">er </w:t>
      </w:r>
      <w:r w:rsidR="00EE6A28">
        <w:rPr>
          <w:rFonts w:ascii="Arial" w:hAnsi="Arial" w:cs="Arial"/>
          <w:sz w:val="22"/>
          <w:szCs w:val="20"/>
        </w:rPr>
        <w:t xml:space="preserve">the </w:t>
      </w:r>
      <w:r w:rsidR="00FE19ED" w:rsidRPr="00D352EF">
        <w:rPr>
          <w:rFonts w:ascii="Arial" w:hAnsi="Arial" w:cs="Arial"/>
          <w:sz w:val="22"/>
          <w:szCs w:val="20"/>
        </w:rPr>
        <w:t>impact</w:t>
      </w:r>
      <w:r w:rsidR="00BC6FC0" w:rsidRPr="00D352EF">
        <w:rPr>
          <w:rFonts w:ascii="Arial" w:hAnsi="Arial" w:cs="Arial"/>
          <w:sz w:val="22"/>
          <w:szCs w:val="20"/>
        </w:rPr>
        <w:t>s</w:t>
      </w:r>
      <w:r w:rsidR="00FE19ED" w:rsidRPr="00D352EF">
        <w:rPr>
          <w:rFonts w:ascii="Arial" w:hAnsi="Arial" w:cs="Arial"/>
          <w:sz w:val="22"/>
          <w:szCs w:val="20"/>
        </w:rPr>
        <w:t xml:space="preserve"> of </w:t>
      </w:r>
      <w:r w:rsidR="00CD4322">
        <w:rPr>
          <w:rFonts w:ascii="Arial" w:hAnsi="Arial" w:cs="Arial"/>
          <w:sz w:val="22"/>
          <w:szCs w:val="20"/>
        </w:rPr>
        <w:t xml:space="preserve">global </w:t>
      </w:r>
      <w:r w:rsidR="00FE19ED" w:rsidRPr="00D352EF">
        <w:rPr>
          <w:rFonts w:ascii="Arial" w:hAnsi="Arial" w:cs="Arial"/>
          <w:sz w:val="22"/>
          <w:szCs w:val="20"/>
        </w:rPr>
        <w:t>economic softening</w:t>
      </w:r>
      <w:r w:rsidR="00BC4F57" w:rsidRPr="00D352EF">
        <w:rPr>
          <w:rFonts w:ascii="Arial" w:hAnsi="Arial" w:cs="Arial"/>
          <w:sz w:val="22"/>
          <w:szCs w:val="20"/>
        </w:rPr>
        <w:t>.</w:t>
      </w:r>
      <w:r w:rsidR="000F59EF" w:rsidRPr="00D352EF">
        <w:rPr>
          <w:rFonts w:ascii="Arial" w:hAnsi="Arial" w:cs="Arial"/>
          <w:sz w:val="22"/>
          <w:szCs w:val="20"/>
        </w:rPr>
        <w:t xml:space="preserve"> These strengths also position UPS to help customers navigate </w:t>
      </w:r>
      <w:r w:rsidR="002B1C2F">
        <w:rPr>
          <w:rFonts w:ascii="Arial" w:hAnsi="Arial" w:cs="Arial"/>
          <w:sz w:val="22"/>
          <w:szCs w:val="20"/>
        </w:rPr>
        <w:t xml:space="preserve">the current </w:t>
      </w:r>
      <w:r w:rsidR="000F59EF" w:rsidRPr="00D352EF">
        <w:rPr>
          <w:rFonts w:ascii="Arial" w:hAnsi="Arial" w:cs="Arial"/>
          <w:sz w:val="22"/>
          <w:szCs w:val="20"/>
        </w:rPr>
        <w:t>complexities</w:t>
      </w:r>
      <w:r w:rsidR="002B1C2F">
        <w:rPr>
          <w:rFonts w:ascii="Arial" w:hAnsi="Arial" w:cs="Arial"/>
          <w:sz w:val="22"/>
          <w:szCs w:val="20"/>
        </w:rPr>
        <w:t xml:space="preserve"> of global trade</w:t>
      </w:r>
      <w:r w:rsidR="000F59EF" w:rsidRPr="00D352EF">
        <w:rPr>
          <w:rFonts w:ascii="Arial" w:hAnsi="Arial" w:cs="Arial"/>
          <w:sz w:val="22"/>
          <w:szCs w:val="20"/>
        </w:rPr>
        <w:t>.</w:t>
      </w:r>
      <w:r w:rsidR="00C53B27" w:rsidRPr="00D352EF">
        <w:rPr>
          <w:rFonts w:ascii="Arial" w:hAnsi="Arial" w:cs="Arial"/>
          <w:sz w:val="22"/>
          <w:szCs w:val="20"/>
        </w:rPr>
        <w:t>”</w:t>
      </w:r>
      <w:r w:rsidR="003644EA" w:rsidRPr="00D352EF">
        <w:rPr>
          <w:rFonts w:ascii="Arial" w:hAnsi="Arial" w:cs="Arial"/>
          <w:sz w:val="22"/>
          <w:szCs w:val="20"/>
        </w:rPr>
        <w:t xml:space="preserve">  </w:t>
      </w:r>
    </w:p>
    <w:p w:rsidR="005A5BC6" w:rsidRPr="00D352EF" w:rsidRDefault="005A5BC6" w:rsidP="005A5BC6">
      <w:pPr>
        <w:rPr>
          <w:rFonts w:ascii="Arial" w:hAnsi="Arial" w:cs="Arial"/>
          <w:sz w:val="22"/>
        </w:rPr>
      </w:pPr>
    </w:p>
    <w:tbl>
      <w:tblPr>
        <w:tblStyle w:val="TableGrid"/>
        <w:tblW w:w="59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tblGrid>
      <w:tr w:rsidR="008063F3" w:rsidRPr="00D352EF" w:rsidTr="00723799">
        <w:tc>
          <w:tcPr>
            <w:tcW w:w="3024" w:type="dxa"/>
          </w:tcPr>
          <w:p w:rsidR="008063F3" w:rsidRPr="00D352EF" w:rsidRDefault="008063F3" w:rsidP="005A5BC6">
            <w:pPr>
              <w:rPr>
                <w:rFonts w:ascii="Arial" w:hAnsi="Arial" w:cs="Arial"/>
                <w:b/>
                <w:sz w:val="20"/>
                <w:szCs w:val="22"/>
                <w:u w:val="single"/>
              </w:rPr>
            </w:pPr>
          </w:p>
          <w:p w:rsidR="008063F3" w:rsidRPr="00D352EF" w:rsidRDefault="008063F3" w:rsidP="005A5BC6">
            <w:pPr>
              <w:rPr>
                <w:rFonts w:ascii="Arial" w:hAnsi="Arial" w:cs="Arial"/>
                <w:b/>
                <w:sz w:val="20"/>
                <w:szCs w:val="22"/>
                <w:u w:val="single"/>
              </w:rPr>
            </w:pPr>
          </w:p>
        </w:tc>
        <w:tc>
          <w:tcPr>
            <w:tcW w:w="1440" w:type="dxa"/>
          </w:tcPr>
          <w:p w:rsidR="008063F3" w:rsidRPr="00D352EF" w:rsidRDefault="008063F3" w:rsidP="005A5BC6">
            <w:pPr>
              <w:jc w:val="right"/>
              <w:rPr>
                <w:rFonts w:ascii="Arial" w:hAnsi="Arial" w:cs="Arial"/>
                <w:b/>
                <w:sz w:val="20"/>
                <w:szCs w:val="22"/>
                <w:u w:val="single"/>
              </w:rPr>
            </w:pPr>
          </w:p>
          <w:p w:rsidR="008063F3" w:rsidRPr="00D352EF" w:rsidRDefault="008063F3">
            <w:pPr>
              <w:jc w:val="right"/>
              <w:rPr>
                <w:rFonts w:ascii="Arial" w:hAnsi="Arial" w:cs="Arial"/>
                <w:b/>
                <w:sz w:val="20"/>
                <w:szCs w:val="22"/>
                <w:u w:val="single"/>
              </w:rPr>
            </w:pPr>
            <w:r w:rsidRPr="00D352EF">
              <w:rPr>
                <w:rFonts w:ascii="Arial" w:hAnsi="Arial" w:cs="Arial"/>
                <w:b/>
                <w:sz w:val="20"/>
                <w:szCs w:val="22"/>
                <w:u w:val="single"/>
              </w:rPr>
              <w:t>4Q 2018</w:t>
            </w:r>
          </w:p>
        </w:tc>
        <w:tc>
          <w:tcPr>
            <w:tcW w:w="1440" w:type="dxa"/>
          </w:tcPr>
          <w:p w:rsidR="008063F3" w:rsidRPr="00D352EF" w:rsidRDefault="008063F3" w:rsidP="005A5BC6">
            <w:pPr>
              <w:jc w:val="right"/>
              <w:rPr>
                <w:rFonts w:ascii="Arial" w:hAnsi="Arial" w:cs="Arial"/>
                <w:b/>
                <w:sz w:val="20"/>
                <w:szCs w:val="22"/>
                <w:u w:val="single"/>
              </w:rPr>
            </w:pPr>
          </w:p>
          <w:p w:rsidR="008063F3" w:rsidRPr="00D352EF" w:rsidRDefault="008063F3">
            <w:pPr>
              <w:jc w:val="right"/>
              <w:rPr>
                <w:rFonts w:ascii="Arial" w:hAnsi="Arial" w:cs="Arial"/>
                <w:b/>
                <w:sz w:val="20"/>
                <w:szCs w:val="22"/>
                <w:u w:val="single"/>
              </w:rPr>
            </w:pPr>
            <w:r w:rsidRPr="00D352EF">
              <w:rPr>
                <w:rFonts w:ascii="Arial" w:hAnsi="Arial" w:cs="Arial"/>
                <w:b/>
                <w:sz w:val="20"/>
                <w:szCs w:val="22"/>
                <w:u w:val="single"/>
              </w:rPr>
              <w:t>4Q 2017</w:t>
            </w:r>
          </w:p>
        </w:tc>
      </w:tr>
      <w:tr w:rsidR="008063F3" w:rsidRPr="00D352EF" w:rsidTr="00723799">
        <w:tc>
          <w:tcPr>
            <w:tcW w:w="3024" w:type="dxa"/>
          </w:tcPr>
          <w:p w:rsidR="008063F3" w:rsidRPr="00D352EF" w:rsidRDefault="008063F3" w:rsidP="005A5BC6">
            <w:pPr>
              <w:rPr>
                <w:rFonts w:ascii="Arial" w:hAnsi="Arial" w:cs="Arial"/>
                <w:sz w:val="20"/>
                <w:szCs w:val="22"/>
              </w:rPr>
            </w:pPr>
            <w:r w:rsidRPr="00D352EF">
              <w:rPr>
                <w:rFonts w:ascii="Arial" w:hAnsi="Arial" w:cs="Arial"/>
                <w:sz w:val="20"/>
                <w:szCs w:val="22"/>
              </w:rPr>
              <w:t>Revenue</w:t>
            </w:r>
          </w:p>
        </w:tc>
        <w:tc>
          <w:tcPr>
            <w:tcW w:w="1440" w:type="dxa"/>
          </w:tcPr>
          <w:p w:rsidR="008063F3" w:rsidRPr="00D352EF" w:rsidRDefault="008063F3">
            <w:pPr>
              <w:jc w:val="right"/>
              <w:rPr>
                <w:rFonts w:ascii="Arial" w:hAnsi="Arial" w:cs="Arial"/>
                <w:sz w:val="20"/>
                <w:szCs w:val="22"/>
              </w:rPr>
            </w:pPr>
            <w:r w:rsidRPr="00D352EF">
              <w:rPr>
                <w:rFonts w:ascii="Arial" w:hAnsi="Arial" w:cs="Arial"/>
                <w:sz w:val="20"/>
                <w:szCs w:val="22"/>
              </w:rPr>
              <w:t>$3,829 M</w:t>
            </w:r>
          </w:p>
        </w:tc>
        <w:tc>
          <w:tcPr>
            <w:tcW w:w="1440" w:type="dxa"/>
          </w:tcPr>
          <w:p w:rsidR="008063F3" w:rsidRPr="00D352EF" w:rsidRDefault="008063F3">
            <w:pPr>
              <w:jc w:val="right"/>
              <w:rPr>
                <w:rFonts w:ascii="Arial" w:hAnsi="Arial" w:cs="Arial"/>
                <w:sz w:val="20"/>
                <w:szCs w:val="22"/>
              </w:rPr>
            </w:pPr>
            <w:r w:rsidRPr="00D352EF">
              <w:rPr>
                <w:rFonts w:ascii="Arial" w:hAnsi="Arial" w:cs="Arial"/>
                <w:sz w:val="20"/>
                <w:szCs w:val="22"/>
              </w:rPr>
              <w:t>$3,721M</w:t>
            </w:r>
          </w:p>
        </w:tc>
      </w:tr>
      <w:tr w:rsidR="008063F3" w:rsidRPr="00D352EF" w:rsidTr="00723799">
        <w:tc>
          <w:tcPr>
            <w:tcW w:w="3024" w:type="dxa"/>
          </w:tcPr>
          <w:p w:rsidR="008063F3" w:rsidRPr="00D352EF" w:rsidRDefault="008063F3" w:rsidP="005A5BC6">
            <w:pPr>
              <w:rPr>
                <w:rFonts w:ascii="Arial" w:hAnsi="Arial" w:cs="Arial"/>
                <w:sz w:val="20"/>
                <w:szCs w:val="22"/>
              </w:rPr>
            </w:pPr>
            <w:r w:rsidRPr="00D352EF">
              <w:rPr>
                <w:rFonts w:ascii="Arial" w:hAnsi="Arial" w:cs="Arial"/>
                <w:sz w:val="20"/>
                <w:szCs w:val="22"/>
              </w:rPr>
              <w:t>Operating profit</w:t>
            </w:r>
          </w:p>
        </w:tc>
        <w:tc>
          <w:tcPr>
            <w:tcW w:w="1440" w:type="dxa"/>
          </w:tcPr>
          <w:p w:rsidR="008063F3" w:rsidRPr="00D352EF" w:rsidRDefault="008063F3">
            <w:pPr>
              <w:jc w:val="right"/>
              <w:rPr>
                <w:rFonts w:ascii="Arial" w:hAnsi="Arial" w:cs="Arial"/>
                <w:sz w:val="20"/>
                <w:szCs w:val="22"/>
              </w:rPr>
            </w:pPr>
            <w:r w:rsidRPr="00D352EF">
              <w:rPr>
                <w:rFonts w:ascii="Arial" w:hAnsi="Arial" w:cs="Arial"/>
                <w:sz w:val="20"/>
                <w:szCs w:val="22"/>
              </w:rPr>
              <w:t>$781 M</w:t>
            </w:r>
          </w:p>
        </w:tc>
        <w:tc>
          <w:tcPr>
            <w:tcW w:w="1440" w:type="dxa"/>
          </w:tcPr>
          <w:p w:rsidR="008063F3" w:rsidRPr="00D352EF" w:rsidRDefault="008063F3">
            <w:pPr>
              <w:jc w:val="right"/>
              <w:rPr>
                <w:rFonts w:ascii="Arial" w:hAnsi="Arial" w:cs="Arial"/>
                <w:sz w:val="20"/>
                <w:szCs w:val="22"/>
              </w:rPr>
            </w:pPr>
            <w:r w:rsidRPr="00D352EF">
              <w:rPr>
                <w:rFonts w:ascii="Arial" w:hAnsi="Arial" w:cs="Arial"/>
                <w:sz w:val="20"/>
                <w:szCs w:val="22"/>
              </w:rPr>
              <w:t>$735 M</w:t>
            </w:r>
          </w:p>
        </w:tc>
      </w:tr>
    </w:tbl>
    <w:p w:rsidR="0062150D" w:rsidRPr="00D352EF" w:rsidRDefault="0062150D" w:rsidP="00512620">
      <w:pPr>
        <w:ind w:left="720" w:hanging="720"/>
        <w:rPr>
          <w:rFonts w:ascii="Arial" w:hAnsi="Arial" w:cs="Arial"/>
          <w:szCs w:val="22"/>
        </w:rPr>
      </w:pPr>
    </w:p>
    <w:p w:rsidR="000E624D" w:rsidRPr="00D352EF" w:rsidRDefault="000E624D" w:rsidP="00512620">
      <w:pPr>
        <w:ind w:left="720" w:hanging="720"/>
        <w:rPr>
          <w:rFonts w:ascii="Arial" w:hAnsi="Arial" w:cs="Arial"/>
          <w:szCs w:val="22"/>
        </w:rPr>
      </w:pPr>
      <w:r w:rsidRPr="00D352EF">
        <w:rPr>
          <w:rFonts w:ascii="Arial" w:hAnsi="Arial" w:cs="Arial"/>
          <w:sz w:val="22"/>
          <w:szCs w:val="22"/>
        </w:rPr>
        <w:t xml:space="preserve">For the International </w:t>
      </w:r>
      <w:r w:rsidR="00576472" w:rsidRPr="00D352EF">
        <w:rPr>
          <w:rFonts w:ascii="Arial" w:hAnsi="Arial" w:cs="Arial"/>
          <w:sz w:val="22"/>
          <w:szCs w:val="22"/>
        </w:rPr>
        <w:t xml:space="preserve">segment </w:t>
      </w:r>
      <w:r w:rsidRPr="00D352EF">
        <w:rPr>
          <w:rFonts w:ascii="Arial" w:hAnsi="Arial" w:cs="Arial"/>
          <w:sz w:val="22"/>
          <w:szCs w:val="22"/>
        </w:rPr>
        <w:t xml:space="preserve">in </w:t>
      </w:r>
      <w:r w:rsidR="005A5BC6" w:rsidRPr="00D352EF">
        <w:rPr>
          <w:rFonts w:ascii="Arial" w:hAnsi="Arial" w:cs="Arial"/>
          <w:sz w:val="22"/>
          <w:szCs w:val="22"/>
        </w:rPr>
        <w:t>4</w:t>
      </w:r>
      <w:r w:rsidR="0011448C" w:rsidRPr="00D352EF">
        <w:rPr>
          <w:rFonts w:ascii="Arial" w:hAnsi="Arial" w:cs="Arial"/>
          <w:sz w:val="22"/>
          <w:szCs w:val="22"/>
        </w:rPr>
        <w:t>Q</w:t>
      </w:r>
      <w:r w:rsidRPr="00D352EF">
        <w:rPr>
          <w:rFonts w:ascii="Arial" w:hAnsi="Arial" w:cs="Arial"/>
          <w:sz w:val="22"/>
          <w:szCs w:val="22"/>
        </w:rPr>
        <w:t xml:space="preserve"> </w:t>
      </w:r>
      <w:r w:rsidR="00ED7561" w:rsidRPr="00D352EF">
        <w:rPr>
          <w:rFonts w:ascii="Arial" w:hAnsi="Arial" w:cs="Arial"/>
          <w:sz w:val="22"/>
          <w:szCs w:val="22"/>
        </w:rPr>
        <w:t>2018</w:t>
      </w:r>
      <w:r w:rsidRPr="00D352EF">
        <w:rPr>
          <w:rFonts w:ascii="Arial" w:hAnsi="Arial" w:cs="Arial"/>
          <w:szCs w:val="22"/>
        </w:rPr>
        <w:t>:</w:t>
      </w:r>
    </w:p>
    <w:p w:rsidR="00D8122D" w:rsidRPr="00D352EF" w:rsidRDefault="005F3119" w:rsidP="00D8122D">
      <w:pPr>
        <w:pStyle w:val="ListParagraph"/>
        <w:numPr>
          <w:ilvl w:val="0"/>
          <w:numId w:val="37"/>
        </w:numPr>
        <w:rPr>
          <w:rFonts w:ascii="Arial" w:hAnsi="Arial" w:cs="Arial"/>
          <w:sz w:val="22"/>
        </w:rPr>
      </w:pPr>
      <w:r w:rsidRPr="00D352EF">
        <w:rPr>
          <w:rFonts w:ascii="Arial" w:hAnsi="Arial" w:cs="Arial"/>
          <w:sz w:val="22"/>
        </w:rPr>
        <w:t>R</w:t>
      </w:r>
      <w:r w:rsidR="00D8122D" w:rsidRPr="00D352EF">
        <w:rPr>
          <w:rFonts w:ascii="Arial" w:hAnsi="Arial" w:cs="Arial"/>
          <w:sz w:val="22"/>
        </w:rPr>
        <w:t xml:space="preserve">evenue </w:t>
      </w:r>
      <w:r w:rsidR="00267368">
        <w:rPr>
          <w:rFonts w:ascii="Arial" w:hAnsi="Arial" w:cs="Arial"/>
          <w:sz w:val="22"/>
        </w:rPr>
        <w:t xml:space="preserve">expanded </w:t>
      </w:r>
      <w:r w:rsidR="001F2990" w:rsidRPr="00D352EF">
        <w:rPr>
          <w:rFonts w:ascii="Arial" w:hAnsi="Arial" w:cs="Arial"/>
          <w:sz w:val="22"/>
        </w:rPr>
        <w:t>2.9</w:t>
      </w:r>
      <w:r w:rsidR="00D8122D" w:rsidRPr="00D352EF">
        <w:rPr>
          <w:rFonts w:ascii="Arial" w:hAnsi="Arial" w:cs="Arial"/>
          <w:sz w:val="22"/>
        </w:rPr>
        <w:t>%</w:t>
      </w:r>
      <w:r w:rsidR="00091C9D" w:rsidRPr="00D352EF">
        <w:rPr>
          <w:rFonts w:ascii="Arial" w:hAnsi="Arial" w:cs="Arial"/>
          <w:sz w:val="22"/>
        </w:rPr>
        <w:t xml:space="preserve"> with growth across all regions</w:t>
      </w:r>
      <w:r w:rsidR="00DD70EE" w:rsidRPr="00D352EF">
        <w:rPr>
          <w:rFonts w:ascii="Arial" w:hAnsi="Arial" w:cs="Arial"/>
          <w:sz w:val="22"/>
        </w:rPr>
        <w:t xml:space="preserve">; currency-neutral revenue </w:t>
      </w:r>
      <w:r w:rsidR="00522968">
        <w:rPr>
          <w:rFonts w:ascii="Arial" w:hAnsi="Arial" w:cs="Arial"/>
          <w:sz w:val="22"/>
        </w:rPr>
        <w:t xml:space="preserve">up </w:t>
      </w:r>
      <w:r w:rsidR="002D462B">
        <w:rPr>
          <w:rFonts w:ascii="Arial" w:hAnsi="Arial" w:cs="Arial"/>
          <w:sz w:val="22"/>
        </w:rPr>
        <w:t>5.4%</w:t>
      </w:r>
      <w:r w:rsidR="00D8122D" w:rsidRPr="00D352EF">
        <w:rPr>
          <w:rFonts w:ascii="Arial" w:hAnsi="Arial" w:cs="Arial"/>
          <w:sz w:val="22"/>
        </w:rPr>
        <w:t xml:space="preserve">. </w:t>
      </w:r>
    </w:p>
    <w:p w:rsidR="00D8122D" w:rsidRPr="00D352EF" w:rsidRDefault="00FC1FEC" w:rsidP="00D8122D">
      <w:pPr>
        <w:pStyle w:val="ListParagraph"/>
        <w:numPr>
          <w:ilvl w:val="0"/>
          <w:numId w:val="37"/>
        </w:numPr>
        <w:rPr>
          <w:rFonts w:ascii="Arial" w:hAnsi="Arial" w:cs="Arial"/>
          <w:sz w:val="22"/>
        </w:rPr>
      </w:pPr>
      <w:r w:rsidRPr="00D352EF">
        <w:rPr>
          <w:rFonts w:ascii="Arial" w:hAnsi="Arial" w:cs="Arial"/>
          <w:sz w:val="22"/>
        </w:rPr>
        <w:t>Revenue per piece increased 1.7%; currency-neutral revenue per piece grew 4.2%</w:t>
      </w:r>
      <w:r w:rsidR="000F59EF" w:rsidRPr="00D352EF">
        <w:rPr>
          <w:rFonts w:ascii="Arial" w:hAnsi="Arial" w:cs="Arial"/>
          <w:sz w:val="22"/>
        </w:rPr>
        <w:t>,</w:t>
      </w:r>
      <w:r w:rsidRPr="00D352EF">
        <w:rPr>
          <w:rFonts w:ascii="Arial" w:hAnsi="Arial" w:cs="Arial"/>
          <w:sz w:val="22"/>
        </w:rPr>
        <w:t xml:space="preserve"> </w:t>
      </w:r>
      <w:r w:rsidR="000F59EF" w:rsidRPr="00D352EF">
        <w:rPr>
          <w:rFonts w:ascii="Arial" w:hAnsi="Arial" w:cs="Arial"/>
          <w:sz w:val="22"/>
        </w:rPr>
        <w:t>with international domestic products up 7.8% and export products up 3.6%</w:t>
      </w:r>
      <w:r w:rsidR="00D8122D" w:rsidRPr="00D352EF">
        <w:rPr>
          <w:rFonts w:ascii="Arial" w:hAnsi="Arial" w:cs="Arial"/>
          <w:sz w:val="22"/>
        </w:rPr>
        <w:t xml:space="preserve">.  </w:t>
      </w:r>
    </w:p>
    <w:p w:rsidR="00057381" w:rsidRPr="00D352EF" w:rsidRDefault="0019514A" w:rsidP="00E466EA">
      <w:pPr>
        <w:pStyle w:val="ListParagraph"/>
        <w:numPr>
          <w:ilvl w:val="0"/>
          <w:numId w:val="37"/>
        </w:numPr>
        <w:rPr>
          <w:rFonts w:ascii="Arial" w:hAnsi="Arial" w:cs="Arial"/>
          <w:sz w:val="22"/>
        </w:rPr>
      </w:pPr>
      <w:r>
        <w:rPr>
          <w:rFonts w:ascii="Arial" w:hAnsi="Arial" w:cs="Arial"/>
          <w:sz w:val="22"/>
        </w:rPr>
        <w:t>O</w:t>
      </w:r>
      <w:r w:rsidR="001E32CA" w:rsidRPr="00D352EF">
        <w:rPr>
          <w:rFonts w:ascii="Arial" w:hAnsi="Arial" w:cs="Arial"/>
          <w:sz w:val="22"/>
        </w:rPr>
        <w:t xml:space="preserve">perating profit </w:t>
      </w:r>
      <w:r w:rsidR="00480592" w:rsidRPr="00D352EF">
        <w:rPr>
          <w:rFonts w:ascii="Arial" w:hAnsi="Arial" w:cs="Arial"/>
          <w:sz w:val="22"/>
        </w:rPr>
        <w:t>gr</w:t>
      </w:r>
      <w:r w:rsidR="000368E2" w:rsidRPr="00D352EF">
        <w:rPr>
          <w:rFonts w:ascii="Arial" w:hAnsi="Arial" w:cs="Arial"/>
          <w:sz w:val="22"/>
        </w:rPr>
        <w:t>ew</w:t>
      </w:r>
      <w:r w:rsidR="00480592" w:rsidRPr="00D352EF">
        <w:rPr>
          <w:rFonts w:ascii="Arial" w:hAnsi="Arial" w:cs="Arial"/>
          <w:sz w:val="22"/>
        </w:rPr>
        <w:t xml:space="preserve"> </w:t>
      </w:r>
      <w:r w:rsidR="00AD7471" w:rsidRPr="00D352EF">
        <w:rPr>
          <w:rFonts w:ascii="Arial" w:hAnsi="Arial" w:cs="Arial"/>
          <w:sz w:val="22"/>
        </w:rPr>
        <w:t>6.3%</w:t>
      </w:r>
      <w:r w:rsidR="00447B63" w:rsidRPr="00D352EF">
        <w:rPr>
          <w:rFonts w:ascii="Arial" w:hAnsi="Arial" w:cs="Arial"/>
          <w:sz w:val="22"/>
        </w:rPr>
        <w:t>;</w:t>
      </w:r>
      <w:r w:rsidR="00057381" w:rsidRPr="00D352EF">
        <w:rPr>
          <w:rFonts w:ascii="Arial" w:hAnsi="Arial" w:cs="Arial"/>
          <w:sz w:val="22"/>
        </w:rPr>
        <w:t xml:space="preserve"> </w:t>
      </w:r>
      <w:r w:rsidR="001E32CA" w:rsidRPr="00D352EF">
        <w:rPr>
          <w:rFonts w:ascii="Arial" w:hAnsi="Arial" w:cs="Arial"/>
          <w:sz w:val="22"/>
        </w:rPr>
        <w:t xml:space="preserve">adjusted </w:t>
      </w:r>
      <w:r w:rsidR="00D42075" w:rsidRPr="00D352EF">
        <w:rPr>
          <w:rFonts w:ascii="Arial" w:hAnsi="Arial" w:cs="Arial"/>
          <w:sz w:val="22"/>
        </w:rPr>
        <w:t xml:space="preserve">currency-neutral </w:t>
      </w:r>
      <w:r w:rsidR="00057381" w:rsidRPr="00D352EF">
        <w:rPr>
          <w:rFonts w:ascii="Arial" w:hAnsi="Arial" w:cs="Arial"/>
          <w:sz w:val="22"/>
        </w:rPr>
        <w:t>o</w:t>
      </w:r>
      <w:r w:rsidR="00B407F4" w:rsidRPr="00D352EF">
        <w:rPr>
          <w:rFonts w:ascii="Arial" w:hAnsi="Arial" w:cs="Arial"/>
          <w:sz w:val="22"/>
        </w:rPr>
        <w:t xml:space="preserve">perating profit </w:t>
      </w:r>
      <w:r w:rsidR="0004026C" w:rsidRPr="00D352EF">
        <w:rPr>
          <w:rFonts w:ascii="Arial" w:hAnsi="Arial" w:cs="Arial"/>
          <w:sz w:val="22"/>
        </w:rPr>
        <w:t xml:space="preserve">increased </w:t>
      </w:r>
      <w:r w:rsidR="00AD7471" w:rsidRPr="00D352EF">
        <w:rPr>
          <w:rFonts w:ascii="Arial" w:hAnsi="Arial" w:cs="Arial"/>
          <w:sz w:val="22"/>
        </w:rPr>
        <w:t>9.8</w:t>
      </w:r>
      <w:r w:rsidR="0004026C" w:rsidRPr="00D352EF">
        <w:rPr>
          <w:rFonts w:ascii="Arial" w:hAnsi="Arial" w:cs="Arial"/>
          <w:sz w:val="22"/>
        </w:rPr>
        <w:t>% to</w:t>
      </w:r>
      <w:r w:rsidR="00127993" w:rsidRPr="00D352EF">
        <w:rPr>
          <w:rFonts w:ascii="Arial" w:hAnsi="Arial" w:cs="Arial"/>
          <w:sz w:val="22"/>
        </w:rPr>
        <w:t xml:space="preserve"> </w:t>
      </w:r>
      <w:r w:rsidR="00C96DDC" w:rsidRPr="00D352EF">
        <w:rPr>
          <w:rFonts w:ascii="Arial" w:hAnsi="Arial" w:cs="Arial"/>
          <w:sz w:val="22"/>
        </w:rPr>
        <w:t>$</w:t>
      </w:r>
      <w:r w:rsidR="00AD7471" w:rsidRPr="00D352EF">
        <w:rPr>
          <w:rFonts w:ascii="Arial" w:hAnsi="Arial" w:cs="Arial"/>
          <w:sz w:val="22"/>
        </w:rPr>
        <w:t xml:space="preserve">807 </w:t>
      </w:r>
      <w:r w:rsidR="00C96DDC" w:rsidRPr="00D352EF">
        <w:rPr>
          <w:rFonts w:ascii="Arial" w:hAnsi="Arial" w:cs="Arial"/>
          <w:sz w:val="22"/>
        </w:rPr>
        <w:t>million</w:t>
      </w:r>
      <w:r w:rsidR="00DB44C4">
        <w:rPr>
          <w:rFonts w:ascii="Arial" w:hAnsi="Arial" w:cs="Arial"/>
          <w:sz w:val="22"/>
        </w:rPr>
        <w:t>,</w:t>
      </w:r>
      <w:r w:rsidR="000368E2" w:rsidRPr="00D352EF">
        <w:rPr>
          <w:rFonts w:ascii="Arial" w:hAnsi="Arial" w:cs="Arial"/>
          <w:sz w:val="22"/>
        </w:rPr>
        <w:t xml:space="preserve"> driven by growth, </w:t>
      </w:r>
      <w:r>
        <w:rPr>
          <w:rFonts w:ascii="Arial" w:hAnsi="Arial" w:cs="Arial"/>
          <w:sz w:val="22"/>
        </w:rPr>
        <w:t>r</w:t>
      </w:r>
      <w:r w:rsidR="000368E2" w:rsidRPr="00D352EF">
        <w:rPr>
          <w:rFonts w:ascii="Arial" w:hAnsi="Arial" w:cs="Arial"/>
          <w:sz w:val="22"/>
        </w:rPr>
        <w:t>evenue yields and disciplined cost control</w:t>
      </w:r>
      <w:r w:rsidR="005E4501" w:rsidRPr="00D352EF">
        <w:rPr>
          <w:rFonts w:ascii="Arial" w:hAnsi="Arial" w:cs="Arial"/>
          <w:sz w:val="22"/>
        </w:rPr>
        <w:t>.</w:t>
      </w:r>
    </w:p>
    <w:p w:rsidR="00D8122D" w:rsidRPr="00D352EF" w:rsidRDefault="00A85F1D" w:rsidP="00382B8D">
      <w:pPr>
        <w:pStyle w:val="ListParagraph"/>
        <w:numPr>
          <w:ilvl w:val="0"/>
          <w:numId w:val="37"/>
        </w:numPr>
        <w:rPr>
          <w:rFonts w:ascii="Arial" w:hAnsi="Arial" w:cs="Arial"/>
          <w:sz w:val="22"/>
        </w:rPr>
      </w:pPr>
      <w:r w:rsidRPr="00D352EF">
        <w:rPr>
          <w:rFonts w:ascii="Arial" w:hAnsi="Arial" w:cs="Arial"/>
          <w:sz w:val="22"/>
        </w:rPr>
        <w:t xml:space="preserve">Operating margin expanded </w:t>
      </w:r>
      <w:r w:rsidR="00705E05" w:rsidRPr="00D352EF">
        <w:rPr>
          <w:rFonts w:ascii="Arial" w:hAnsi="Arial" w:cs="Arial"/>
          <w:sz w:val="22"/>
        </w:rPr>
        <w:t>60</w:t>
      </w:r>
      <w:r w:rsidRPr="00D352EF">
        <w:rPr>
          <w:rFonts w:ascii="Arial" w:hAnsi="Arial" w:cs="Arial"/>
          <w:sz w:val="22"/>
        </w:rPr>
        <w:t xml:space="preserve"> </w:t>
      </w:r>
      <w:r w:rsidR="002B1C2F">
        <w:rPr>
          <w:rFonts w:ascii="Arial" w:hAnsi="Arial" w:cs="Arial"/>
          <w:sz w:val="22"/>
        </w:rPr>
        <w:t>basis points</w:t>
      </w:r>
      <w:r w:rsidR="008E3975">
        <w:rPr>
          <w:rFonts w:ascii="Arial" w:hAnsi="Arial" w:cs="Arial"/>
          <w:sz w:val="22"/>
        </w:rPr>
        <w:t>**</w:t>
      </w:r>
      <w:r w:rsidR="002B1C2F">
        <w:rPr>
          <w:rFonts w:ascii="Arial" w:hAnsi="Arial" w:cs="Arial"/>
          <w:sz w:val="22"/>
        </w:rPr>
        <w:t xml:space="preserve"> (bps)</w:t>
      </w:r>
      <w:r w:rsidR="002B1C2F" w:rsidRPr="00D352EF">
        <w:rPr>
          <w:rFonts w:ascii="Arial" w:hAnsi="Arial" w:cs="Arial"/>
          <w:sz w:val="22"/>
        </w:rPr>
        <w:t xml:space="preserve"> </w:t>
      </w:r>
      <w:r w:rsidRPr="00D352EF">
        <w:rPr>
          <w:rFonts w:ascii="Arial" w:hAnsi="Arial" w:cs="Arial"/>
          <w:sz w:val="22"/>
        </w:rPr>
        <w:t>to 20.</w:t>
      </w:r>
      <w:r w:rsidR="00705E05" w:rsidRPr="00D352EF">
        <w:rPr>
          <w:rFonts w:ascii="Arial" w:hAnsi="Arial" w:cs="Arial"/>
          <w:sz w:val="22"/>
        </w:rPr>
        <w:t>4</w:t>
      </w:r>
      <w:r w:rsidRPr="00D352EF">
        <w:rPr>
          <w:rFonts w:ascii="Arial" w:hAnsi="Arial" w:cs="Arial"/>
          <w:sz w:val="22"/>
        </w:rPr>
        <w:t xml:space="preserve">% on a reported basis and </w:t>
      </w:r>
      <w:r w:rsidR="00327A64" w:rsidRPr="00D352EF">
        <w:rPr>
          <w:rFonts w:ascii="Arial" w:hAnsi="Arial" w:cs="Arial"/>
          <w:sz w:val="22"/>
        </w:rPr>
        <w:t>8</w:t>
      </w:r>
      <w:r w:rsidRPr="00D352EF">
        <w:rPr>
          <w:rFonts w:ascii="Arial" w:hAnsi="Arial" w:cs="Arial"/>
          <w:sz w:val="22"/>
        </w:rPr>
        <w:t>0 bps to 20.</w:t>
      </w:r>
      <w:r w:rsidR="00705E05" w:rsidRPr="00D352EF">
        <w:rPr>
          <w:rFonts w:ascii="Arial" w:hAnsi="Arial" w:cs="Arial"/>
          <w:sz w:val="22"/>
        </w:rPr>
        <w:t>6</w:t>
      </w:r>
      <w:r w:rsidRPr="00D352EF">
        <w:rPr>
          <w:rFonts w:ascii="Arial" w:hAnsi="Arial" w:cs="Arial"/>
          <w:sz w:val="22"/>
        </w:rPr>
        <w:t>% on a currency-neutral basis</w:t>
      </w:r>
      <w:r w:rsidR="002B1C2F">
        <w:rPr>
          <w:rFonts w:ascii="Arial" w:hAnsi="Arial" w:cs="Arial"/>
          <w:sz w:val="22"/>
        </w:rPr>
        <w:t>,</w:t>
      </w:r>
      <w:r w:rsidRPr="00D352EF">
        <w:rPr>
          <w:rFonts w:ascii="Arial" w:hAnsi="Arial" w:cs="Arial"/>
          <w:sz w:val="22"/>
        </w:rPr>
        <w:t xml:space="preserve"> demonstrating improved operating leverage. </w:t>
      </w:r>
    </w:p>
    <w:p w:rsidR="00CD4B34" w:rsidRPr="00D352EF" w:rsidRDefault="00CD4B34" w:rsidP="00382B8D">
      <w:pPr>
        <w:pStyle w:val="ListParagraph"/>
        <w:ind w:left="360"/>
        <w:rPr>
          <w:rFonts w:ascii="Arial" w:hAnsi="Arial" w:cs="Arial"/>
          <w:sz w:val="22"/>
        </w:rPr>
      </w:pPr>
    </w:p>
    <w:p w:rsidR="006A6141" w:rsidRDefault="006A6141" w:rsidP="006A6141">
      <w:pPr>
        <w:rPr>
          <w:rFonts w:ascii="Arial" w:hAnsi="Arial" w:cs="Arial"/>
          <w:b/>
          <w:sz w:val="22"/>
          <w:vertAlign w:val="subscript"/>
        </w:rPr>
      </w:pPr>
      <w:r w:rsidRPr="00D352EF">
        <w:rPr>
          <w:rFonts w:ascii="Arial" w:hAnsi="Arial" w:cs="Arial"/>
          <w:b/>
          <w:sz w:val="22"/>
          <w:vertAlign w:val="subscript"/>
        </w:rPr>
        <w:t>* Information on non-GAAP financial measures is attached to this press release.</w:t>
      </w:r>
    </w:p>
    <w:p w:rsidR="008E3975" w:rsidRPr="00D352EF" w:rsidRDefault="008E3975" w:rsidP="006A6141">
      <w:pPr>
        <w:rPr>
          <w:rFonts w:ascii="Arial" w:hAnsi="Arial" w:cs="Arial"/>
          <w:b/>
          <w:sz w:val="22"/>
          <w:vertAlign w:val="subscript"/>
        </w:rPr>
      </w:pPr>
      <w:r>
        <w:rPr>
          <w:rFonts w:ascii="Arial" w:hAnsi="Arial" w:cs="Arial"/>
          <w:b/>
          <w:sz w:val="22"/>
          <w:vertAlign w:val="subscript"/>
        </w:rPr>
        <w:t>** One basis point equals one</w:t>
      </w:r>
      <w:r w:rsidR="00BE24B9">
        <w:rPr>
          <w:rFonts w:ascii="Arial" w:hAnsi="Arial" w:cs="Arial"/>
          <w:b/>
          <w:sz w:val="22"/>
          <w:vertAlign w:val="subscript"/>
        </w:rPr>
        <w:t>-</w:t>
      </w:r>
      <w:r>
        <w:rPr>
          <w:rFonts w:ascii="Arial" w:hAnsi="Arial" w:cs="Arial"/>
          <w:b/>
          <w:sz w:val="22"/>
          <w:vertAlign w:val="subscript"/>
        </w:rPr>
        <w:t>hundredth of a percentage point.</w:t>
      </w:r>
    </w:p>
    <w:p w:rsidR="008D408E" w:rsidRPr="00D352EF" w:rsidRDefault="008D408E" w:rsidP="005645FE">
      <w:pPr>
        <w:jc w:val="center"/>
        <w:rPr>
          <w:rFonts w:ascii="Arial" w:hAnsi="Arial" w:cs="Arial"/>
          <w:sz w:val="22"/>
          <w:szCs w:val="20"/>
        </w:rPr>
      </w:pPr>
    </w:p>
    <w:p w:rsidR="005645FE" w:rsidRPr="00D352EF" w:rsidRDefault="005645FE" w:rsidP="005645FE">
      <w:pPr>
        <w:jc w:val="center"/>
        <w:rPr>
          <w:rFonts w:ascii="Arial" w:hAnsi="Arial" w:cs="Arial"/>
          <w:sz w:val="22"/>
          <w:szCs w:val="20"/>
        </w:rPr>
      </w:pPr>
      <w:r w:rsidRPr="00D352EF">
        <w:rPr>
          <w:rFonts w:ascii="Arial" w:hAnsi="Arial" w:cs="Arial"/>
          <w:sz w:val="22"/>
          <w:szCs w:val="20"/>
        </w:rPr>
        <w:lastRenderedPageBreak/>
        <w:t>– more –</w:t>
      </w:r>
    </w:p>
    <w:p w:rsidR="002A0FDD" w:rsidRPr="00D352EF" w:rsidRDefault="002A0FDD" w:rsidP="0011448C">
      <w:pPr>
        <w:rPr>
          <w:rFonts w:ascii="Arial" w:hAnsi="Arial" w:cs="Arial"/>
          <w:b/>
          <w:sz w:val="22"/>
          <w:vertAlign w:val="subscript"/>
        </w:rPr>
      </w:pPr>
    </w:p>
    <w:p w:rsidR="000E624D" w:rsidRPr="00D352EF" w:rsidRDefault="000E624D" w:rsidP="004914AA">
      <w:pPr>
        <w:rPr>
          <w:rFonts w:ascii="Arial" w:hAnsi="Arial" w:cs="Arial"/>
          <w:b/>
          <w:sz w:val="22"/>
          <w:u w:val="single"/>
        </w:rPr>
      </w:pPr>
      <w:r w:rsidRPr="00D352EF">
        <w:rPr>
          <w:rFonts w:ascii="Arial" w:hAnsi="Arial" w:cs="Arial"/>
          <w:b/>
          <w:sz w:val="22"/>
          <w:u w:val="single"/>
        </w:rPr>
        <w:t>Supply Chain and Freight Segment</w:t>
      </w:r>
    </w:p>
    <w:p w:rsidR="000E624D" w:rsidRPr="00D352EF" w:rsidRDefault="000E624D" w:rsidP="004914AA">
      <w:pPr>
        <w:rPr>
          <w:rFonts w:ascii="Arial" w:hAnsi="Arial" w:cs="Arial"/>
          <w:b/>
          <w:sz w:val="22"/>
          <w:u w:val="single"/>
        </w:rPr>
      </w:pPr>
    </w:p>
    <w:p w:rsidR="009F1FCA" w:rsidRPr="00D352EF" w:rsidRDefault="0019514A" w:rsidP="002C0AD0">
      <w:pPr>
        <w:rPr>
          <w:rFonts w:ascii="Arial" w:hAnsi="Arial" w:cs="Arial"/>
          <w:sz w:val="22"/>
        </w:rPr>
      </w:pPr>
      <w:r>
        <w:rPr>
          <w:rFonts w:ascii="Arial" w:hAnsi="Arial" w:cs="Arial"/>
          <w:sz w:val="22"/>
        </w:rPr>
        <w:t>The</w:t>
      </w:r>
      <w:r w:rsidR="00274920" w:rsidRPr="00D352EF">
        <w:rPr>
          <w:rFonts w:ascii="Arial" w:hAnsi="Arial" w:cs="Arial"/>
          <w:sz w:val="22"/>
        </w:rPr>
        <w:t xml:space="preserve"> Supply Chain and Freight business remain</w:t>
      </w:r>
      <w:r w:rsidR="002B1C2F">
        <w:rPr>
          <w:rFonts w:ascii="Arial" w:hAnsi="Arial" w:cs="Arial"/>
          <w:sz w:val="22"/>
        </w:rPr>
        <w:t>s</w:t>
      </w:r>
      <w:r w:rsidR="00274920" w:rsidRPr="00D352EF">
        <w:rPr>
          <w:rFonts w:ascii="Arial" w:hAnsi="Arial" w:cs="Arial"/>
          <w:sz w:val="22"/>
        </w:rPr>
        <w:t xml:space="preserve"> strong</w:t>
      </w:r>
      <w:r>
        <w:rPr>
          <w:rFonts w:ascii="Arial" w:hAnsi="Arial" w:cs="Arial"/>
          <w:sz w:val="22"/>
        </w:rPr>
        <w:t>.</w:t>
      </w:r>
      <w:r w:rsidR="00274920" w:rsidRPr="00D352EF">
        <w:rPr>
          <w:rFonts w:ascii="Arial" w:hAnsi="Arial" w:cs="Arial"/>
          <w:sz w:val="22"/>
        </w:rPr>
        <w:t xml:space="preserve"> </w:t>
      </w:r>
      <w:r>
        <w:rPr>
          <w:rFonts w:ascii="Arial" w:hAnsi="Arial" w:cs="Arial"/>
          <w:sz w:val="22"/>
        </w:rPr>
        <w:t>Fourth quarter</w:t>
      </w:r>
      <w:r w:rsidRPr="00D352EF">
        <w:rPr>
          <w:rFonts w:ascii="Arial" w:hAnsi="Arial" w:cs="Arial"/>
          <w:sz w:val="22"/>
        </w:rPr>
        <w:t xml:space="preserve"> </w:t>
      </w:r>
      <w:r w:rsidR="00274920" w:rsidRPr="00D352EF">
        <w:rPr>
          <w:rFonts w:ascii="Arial" w:hAnsi="Arial" w:cs="Arial"/>
          <w:sz w:val="22"/>
        </w:rPr>
        <w:t xml:space="preserve">segment profitability </w:t>
      </w:r>
      <w:r w:rsidR="002B1C2F">
        <w:rPr>
          <w:rFonts w:ascii="Arial" w:hAnsi="Arial" w:cs="Arial"/>
          <w:sz w:val="22"/>
        </w:rPr>
        <w:t>was reduced by</w:t>
      </w:r>
      <w:r w:rsidR="002B1C2F" w:rsidRPr="00D352EF">
        <w:rPr>
          <w:rFonts w:ascii="Arial" w:hAnsi="Arial" w:cs="Arial"/>
          <w:sz w:val="22"/>
        </w:rPr>
        <w:t xml:space="preserve"> </w:t>
      </w:r>
      <w:r w:rsidR="0071664B" w:rsidRPr="00D352EF">
        <w:rPr>
          <w:rFonts w:ascii="Arial" w:hAnsi="Arial" w:cs="Arial"/>
          <w:sz w:val="22"/>
        </w:rPr>
        <w:t>about $60</w:t>
      </w:r>
      <w:r w:rsidR="00274920" w:rsidRPr="00D352EF">
        <w:rPr>
          <w:rFonts w:ascii="Arial" w:hAnsi="Arial" w:cs="Arial"/>
          <w:sz w:val="22"/>
        </w:rPr>
        <w:t xml:space="preserve"> million </w:t>
      </w:r>
      <w:r w:rsidR="00B94C6C">
        <w:rPr>
          <w:rFonts w:ascii="Arial" w:hAnsi="Arial" w:cs="Arial"/>
          <w:sz w:val="22"/>
        </w:rPr>
        <w:t xml:space="preserve">as a result of </w:t>
      </w:r>
      <w:r w:rsidR="00274920" w:rsidRPr="008B7B4C">
        <w:rPr>
          <w:rFonts w:ascii="Arial" w:hAnsi="Arial" w:cs="Arial"/>
          <w:sz w:val="22"/>
        </w:rPr>
        <w:t>the</w:t>
      </w:r>
      <w:r w:rsidR="000368E2" w:rsidRPr="008B7B4C">
        <w:rPr>
          <w:rFonts w:ascii="Arial" w:hAnsi="Arial" w:cs="Arial"/>
          <w:sz w:val="22"/>
        </w:rPr>
        <w:t xml:space="preserve"> UPS Fr</w:t>
      </w:r>
      <w:r w:rsidR="00B54A23" w:rsidRPr="008B7B4C">
        <w:rPr>
          <w:rFonts w:ascii="Arial" w:hAnsi="Arial" w:cs="Arial"/>
          <w:sz w:val="22"/>
        </w:rPr>
        <w:t>ei</w:t>
      </w:r>
      <w:r w:rsidR="000368E2" w:rsidRPr="008B7B4C">
        <w:rPr>
          <w:rFonts w:ascii="Arial" w:hAnsi="Arial" w:cs="Arial"/>
          <w:sz w:val="22"/>
        </w:rPr>
        <w:t>ght</w:t>
      </w:r>
      <w:r w:rsidR="00B54A23" w:rsidRPr="008B7B4C">
        <w:rPr>
          <w:rFonts w:ascii="Arial" w:hAnsi="Arial" w:cs="Arial"/>
          <w:sz w:val="22"/>
        </w:rPr>
        <w:t xml:space="preserve"> contract ratification</w:t>
      </w:r>
      <w:r w:rsidR="00274920" w:rsidRPr="008B7B4C">
        <w:rPr>
          <w:rFonts w:ascii="Arial" w:hAnsi="Arial" w:cs="Arial"/>
          <w:sz w:val="22"/>
        </w:rPr>
        <w:t xml:space="preserve"> process. </w:t>
      </w:r>
      <w:r w:rsidR="009F1FCA" w:rsidRPr="008B7B4C">
        <w:rPr>
          <w:rFonts w:ascii="Arial" w:hAnsi="Arial" w:cs="Arial"/>
          <w:sz w:val="22"/>
        </w:rPr>
        <w:t>Profitability for the other business units was positive</w:t>
      </w:r>
      <w:r w:rsidR="002B1C2F">
        <w:rPr>
          <w:rFonts w:ascii="Arial" w:hAnsi="Arial" w:cs="Arial"/>
          <w:sz w:val="22"/>
        </w:rPr>
        <w:t>,</w:t>
      </w:r>
      <w:r w:rsidR="009F1FCA" w:rsidRPr="008B7B4C">
        <w:rPr>
          <w:rFonts w:ascii="Arial" w:hAnsi="Arial" w:cs="Arial"/>
          <w:sz w:val="22"/>
        </w:rPr>
        <w:t xml:space="preserve"> led by gains in Forwarding. R</w:t>
      </w:r>
      <w:r w:rsidR="0097774E" w:rsidRPr="008B7B4C">
        <w:rPr>
          <w:rFonts w:ascii="Arial" w:hAnsi="Arial" w:cs="Arial"/>
          <w:sz w:val="22"/>
        </w:rPr>
        <w:t xml:space="preserve">evenue-quality improvements </w:t>
      </w:r>
      <w:r w:rsidR="00D02362" w:rsidRPr="008B7B4C">
        <w:rPr>
          <w:rFonts w:ascii="Arial" w:hAnsi="Arial" w:cs="Arial"/>
          <w:sz w:val="22"/>
        </w:rPr>
        <w:t>and</w:t>
      </w:r>
      <w:r w:rsidR="0097774E" w:rsidRPr="008B7B4C">
        <w:rPr>
          <w:rFonts w:ascii="Arial" w:hAnsi="Arial" w:cs="Arial"/>
          <w:sz w:val="22"/>
        </w:rPr>
        <w:t xml:space="preserve"> </w:t>
      </w:r>
      <w:r w:rsidR="009862AC">
        <w:rPr>
          <w:rFonts w:ascii="Arial" w:hAnsi="Arial" w:cs="Arial"/>
          <w:sz w:val="22"/>
        </w:rPr>
        <w:t xml:space="preserve">a </w:t>
      </w:r>
      <w:r w:rsidR="00FB2D95" w:rsidRPr="008B7B4C">
        <w:rPr>
          <w:rFonts w:ascii="Arial" w:hAnsi="Arial" w:cs="Arial"/>
          <w:sz w:val="22"/>
        </w:rPr>
        <w:t>disciplined focus on cost containment</w:t>
      </w:r>
      <w:r w:rsidR="00B54A23" w:rsidRPr="008B7B4C">
        <w:rPr>
          <w:rFonts w:ascii="Arial" w:hAnsi="Arial" w:cs="Arial"/>
          <w:sz w:val="22"/>
        </w:rPr>
        <w:t xml:space="preserve"> </w:t>
      </w:r>
      <w:r w:rsidR="009F1FCA" w:rsidRPr="008B7B4C">
        <w:rPr>
          <w:rFonts w:ascii="Arial" w:hAnsi="Arial" w:cs="Arial"/>
          <w:sz w:val="22"/>
        </w:rPr>
        <w:t>further contributed to the p</w:t>
      </w:r>
      <w:r w:rsidR="00FB4579" w:rsidRPr="008B7B4C">
        <w:rPr>
          <w:rFonts w:ascii="Arial" w:hAnsi="Arial" w:cs="Arial"/>
          <w:sz w:val="22"/>
        </w:rPr>
        <w:t xml:space="preserve">ositive </w:t>
      </w:r>
      <w:r w:rsidR="00B54A23" w:rsidRPr="008B7B4C">
        <w:rPr>
          <w:rFonts w:ascii="Arial" w:hAnsi="Arial" w:cs="Arial"/>
          <w:sz w:val="22"/>
        </w:rPr>
        <w:t>results</w:t>
      </w:r>
      <w:r w:rsidR="009F1FCA" w:rsidRPr="008B7B4C">
        <w:rPr>
          <w:rFonts w:ascii="Arial" w:hAnsi="Arial" w:cs="Arial"/>
          <w:sz w:val="22"/>
        </w:rPr>
        <w:t>.</w:t>
      </w:r>
      <w:r w:rsidR="00B54A23" w:rsidRPr="00D352EF">
        <w:rPr>
          <w:rFonts w:ascii="Arial" w:hAnsi="Arial" w:cs="Arial"/>
          <w:sz w:val="22"/>
        </w:rPr>
        <w:t xml:space="preserve"> </w:t>
      </w:r>
    </w:p>
    <w:tbl>
      <w:tblPr>
        <w:tblStyle w:val="TableGrid"/>
        <w:tblW w:w="59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1436"/>
        <w:gridCol w:w="1529"/>
      </w:tblGrid>
      <w:tr w:rsidR="00566241" w:rsidRPr="00D352EF" w:rsidTr="00723799">
        <w:tc>
          <w:tcPr>
            <w:tcW w:w="2961" w:type="dxa"/>
          </w:tcPr>
          <w:p w:rsidR="00566241" w:rsidRPr="00D352EF" w:rsidRDefault="00566241" w:rsidP="005A5BC6">
            <w:pPr>
              <w:rPr>
                <w:rFonts w:ascii="Arial" w:hAnsi="Arial" w:cs="Arial"/>
                <w:b/>
                <w:sz w:val="20"/>
                <w:szCs w:val="22"/>
                <w:u w:val="single"/>
              </w:rPr>
            </w:pPr>
          </w:p>
          <w:p w:rsidR="00566241" w:rsidRPr="00D352EF" w:rsidRDefault="00566241" w:rsidP="005A5BC6">
            <w:pPr>
              <w:rPr>
                <w:rFonts w:ascii="Arial" w:hAnsi="Arial" w:cs="Arial"/>
                <w:b/>
                <w:sz w:val="20"/>
                <w:szCs w:val="22"/>
                <w:u w:val="single"/>
              </w:rPr>
            </w:pPr>
          </w:p>
        </w:tc>
        <w:tc>
          <w:tcPr>
            <w:tcW w:w="1436" w:type="dxa"/>
          </w:tcPr>
          <w:p w:rsidR="00566241" w:rsidRPr="00D352EF" w:rsidRDefault="00566241" w:rsidP="005A5BC6">
            <w:pPr>
              <w:jc w:val="right"/>
              <w:rPr>
                <w:rFonts w:ascii="Arial" w:hAnsi="Arial" w:cs="Arial"/>
                <w:b/>
                <w:sz w:val="20"/>
                <w:szCs w:val="22"/>
                <w:u w:val="single"/>
              </w:rPr>
            </w:pPr>
          </w:p>
          <w:p w:rsidR="00566241" w:rsidRPr="00D352EF" w:rsidRDefault="00566241">
            <w:pPr>
              <w:jc w:val="right"/>
              <w:rPr>
                <w:rFonts w:ascii="Arial" w:hAnsi="Arial" w:cs="Arial"/>
                <w:b/>
                <w:sz w:val="20"/>
                <w:szCs w:val="22"/>
                <w:u w:val="single"/>
              </w:rPr>
            </w:pPr>
            <w:r w:rsidRPr="00D352EF">
              <w:rPr>
                <w:rFonts w:ascii="Arial" w:hAnsi="Arial" w:cs="Arial"/>
                <w:b/>
                <w:sz w:val="20"/>
                <w:szCs w:val="22"/>
                <w:u w:val="single"/>
              </w:rPr>
              <w:t>4Q 2018</w:t>
            </w:r>
          </w:p>
        </w:tc>
        <w:tc>
          <w:tcPr>
            <w:tcW w:w="1529" w:type="dxa"/>
          </w:tcPr>
          <w:p w:rsidR="00566241" w:rsidRPr="00D352EF" w:rsidRDefault="00566241" w:rsidP="005A5BC6">
            <w:pPr>
              <w:jc w:val="right"/>
              <w:rPr>
                <w:rFonts w:ascii="Arial" w:hAnsi="Arial" w:cs="Arial"/>
                <w:b/>
                <w:sz w:val="20"/>
                <w:szCs w:val="22"/>
                <w:u w:val="single"/>
              </w:rPr>
            </w:pPr>
          </w:p>
          <w:p w:rsidR="00566241" w:rsidRPr="00D352EF" w:rsidRDefault="00566241">
            <w:pPr>
              <w:jc w:val="right"/>
              <w:rPr>
                <w:rFonts w:ascii="Arial" w:hAnsi="Arial" w:cs="Arial"/>
                <w:b/>
                <w:sz w:val="20"/>
                <w:szCs w:val="22"/>
                <w:u w:val="single"/>
              </w:rPr>
            </w:pPr>
            <w:r w:rsidRPr="00D352EF">
              <w:rPr>
                <w:rFonts w:ascii="Arial" w:hAnsi="Arial" w:cs="Arial"/>
                <w:b/>
                <w:sz w:val="20"/>
                <w:szCs w:val="22"/>
                <w:u w:val="single"/>
              </w:rPr>
              <w:t>4Q 2017</w:t>
            </w:r>
          </w:p>
        </w:tc>
      </w:tr>
      <w:tr w:rsidR="00566241" w:rsidRPr="00D352EF" w:rsidTr="00723799">
        <w:tc>
          <w:tcPr>
            <w:tcW w:w="2961" w:type="dxa"/>
          </w:tcPr>
          <w:p w:rsidR="00566241" w:rsidRPr="00D352EF" w:rsidRDefault="00566241" w:rsidP="005A5BC6">
            <w:pPr>
              <w:rPr>
                <w:rFonts w:ascii="Arial" w:hAnsi="Arial" w:cs="Arial"/>
                <w:sz w:val="20"/>
                <w:szCs w:val="22"/>
              </w:rPr>
            </w:pPr>
            <w:r w:rsidRPr="00D352EF">
              <w:rPr>
                <w:rFonts w:ascii="Arial" w:hAnsi="Arial" w:cs="Arial"/>
                <w:sz w:val="20"/>
                <w:szCs w:val="22"/>
              </w:rPr>
              <w:t>Revenue</w:t>
            </w:r>
          </w:p>
        </w:tc>
        <w:tc>
          <w:tcPr>
            <w:tcW w:w="1436" w:type="dxa"/>
          </w:tcPr>
          <w:p w:rsidR="00566241" w:rsidRPr="00D352EF" w:rsidRDefault="00566241">
            <w:pPr>
              <w:jc w:val="right"/>
              <w:rPr>
                <w:rFonts w:ascii="Arial" w:hAnsi="Arial" w:cs="Arial"/>
                <w:sz w:val="20"/>
                <w:szCs w:val="22"/>
              </w:rPr>
            </w:pPr>
            <w:r w:rsidRPr="00D352EF">
              <w:rPr>
                <w:rFonts w:ascii="Arial" w:hAnsi="Arial" w:cs="Arial"/>
                <w:sz w:val="20"/>
                <w:szCs w:val="22"/>
              </w:rPr>
              <w:t>$3,444 M</w:t>
            </w:r>
          </w:p>
        </w:tc>
        <w:tc>
          <w:tcPr>
            <w:tcW w:w="1529" w:type="dxa"/>
          </w:tcPr>
          <w:p w:rsidR="00566241" w:rsidRPr="00D352EF" w:rsidRDefault="00566241">
            <w:pPr>
              <w:jc w:val="right"/>
              <w:rPr>
                <w:rFonts w:ascii="Arial" w:hAnsi="Arial" w:cs="Arial"/>
                <w:sz w:val="20"/>
                <w:szCs w:val="22"/>
              </w:rPr>
            </w:pPr>
            <w:r w:rsidRPr="00D352EF">
              <w:rPr>
                <w:rFonts w:ascii="Arial" w:hAnsi="Arial" w:cs="Arial"/>
                <w:sz w:val="20"/>
                <w:szCs w:val="22"/>
              </w:rPr>
              <w:t>$3,421 M</w:t>
            </w:r>
          </w:p>
        </w:tc>
      </w:tr>
      <w:tr w:rsidR="00566241" w:rsidRPr="00D352EF" w:rsidTr="00723799">
        <w:tc>
          <w:tcPr>
            <w:tcW w:w="2961" w:type="dxa"/>
          </w:tcPr>
          <w:p w:rsidR="00566241" w:rsidRPr="00D352EF" w:rsidRDefault="00566241" w:rsidP="00382368">
            <w:pPr>
              <w:rPr>
                <w:rFonts w:ascii="Arial" w:hAnsi="Arial" w:cs="Arial"/>
                <w:sz w:val="20"/>
                <w:szCs w:val="22"/>
              </w:rPr>
            </w:pPr>
            <w:r w:rsidRPr="00D352EF">
              <w:rPr>
                <w:rFonts w:ascii="Arial" w:hAnsi="Arial" w:cs="Arial"/>
                <w:sz w:val="20"/>
                <w:szCs w:val="22"/>
              </w:rPr>
              <w:t xml:space="preserve">Operating profit </w:t>
            </w:r>
          </w:p>
        </w:tc>
        <w:tc>
          <w:tcPr>
            <w:tcW w:w="1436" w:type="dxa"/>
          </w:tcPr>
          <w:p w:rsidR="00566241" w:rsidRPr="00D352EF" w:rsidRDefault="00566241">
            <w:pPr>
              <w:jc w:val="right"/>
              <w:rPr>
                <w:rFonts w:ascii="Arial" w:hAnsi="Arial" w:cs="Arial"/>
                <w:sz w:val="20"/>
                <w:szCs w:val="22"/>
              </w:rPr>
            </w:pPr>
            <w:r w:rsidRPr="00D352EF">
              <w:rPr>
                <w:rFonts w:ascii="Arial" w:hAnsi="Arial" w:cs="Arial"/>
                <w:sz w:val="20"/>
                <w:szCs w:val="22"/>
              </w:rPr>
              <w:t>$224 M</w:t>
            </w:r>
          </w:p>
        </w:tc>
        <w:tc>
          <w:tcPr>
            <w:tcW w:w="1529" w:type="dxa"/>
          </w:tcPr>
          <w:p w:rsidR="00566241" w:rsidRPr="00D352EF" w:rsidRDefault="00566241">
            <w:pPr>
              <w:jc w:val="right"/>
              <w:rPr>
                <w:rFonts w:ascii="Arial" w:hAnsi="Arial" w:cs="Arial"/>
                <w:sz w:val="20"/>
                <w:szCs w:val="22"/>
              </w:rPr>
            </w:pPr>
            <w:r w:rsidRPr="00D352EF">
              <w:rPr>
                <w:rFonts w:ascii="Arial" w:hAnsi="Arial" w:cs="Arial"/>
                <w:sz w:val="20"/>
                <w:szCs w:val="22"/>
              </w:rPr>
              <w:t>$241 M</w:t>
            </w:r>
          </w:p>
        </w:tc>
      </w:tr>
    </w:tbl>
    <w:p w:rsidR="005A5BC6" w:rsidRPr="00D352EF" w:rsidRDefault="005A5BC6" w:rsidP="00B47CCC">
      <w:pPr>
        <w:ind w:left="720" w:hanging="720"/>
        <w:rPr>
          <w:rFonts w:ascii="Arial" w:hAnsi="Arial" w:cs="Arial"/>
          <w:szCs w:val="22"/>
        </w:rPr>
      </w:pPr>
    </w:p>
    <w:p w:rsidR="00B47CCC" w:rsidRPr="00D352EF" w:rsidRDefault="00B47CCC" w:rsidP="00B47CCC">
      <w:pPr>
        <w:ind w:left="720" w:hanging="720"/>
        <w:rPr>
          <w:rFonts w:ascii="Arial" w:hAnsi="Arial" w:cs="Arial"/>
          <w:szCs w:val="22"/>
        </w:rPr>
      </w:pPr>
      <w:r w:rsidRPr="00D352EF">
        <w:rPr>
          <w:rFonts w:ascii="Arial" w:hAnsi="Arial" w:cs="Arial"/>
          <w:sz w:val="22"/>
          <w:szCs w:val="22"/>
        </w:rPr>
        <w:t xml:space="preserve">For the Supply Chain and Freight segment in </w:t>
      </w:r>
      <w:r w:rsidR="005A5BC6" w:rsidRPr="00D352EF">
        <w:rPr>
          <w:rFonts w:ascii="Arial" w:hAnsi="Arial" w:cs="Arial"/>
          <w:sz w:val="22"/>
          <w:szCs w:val="22"/>
        </w:rPr>
        <w:t>4</w:t>
      </w:r>
      <w:r w:rsidRPr="00D352EF">
        <w:rPr>
          <w:rFonts w:ascii="Arial" w:hAnsi="Arial" w:cs="Arial"/>
          <w:sz w:val="22"/>
          <w:szCs w:val="22"/>
        </w:rPr>
        <w:t xml:space="preserve">Q </w:t>
      </w:r>
      <w:r w:rsidR="00ED7561" w:rsidRPr="00D352EF">
        <w:rPr>
          <w:rFonts w:ascii="Arial" w:hAnsi="Arial" w:cs="Arial"/>
          <w:sz w:val="22"/>
          <w:szCs w:val="22"/>
        </w:rPr>
        <w:t>2018</w:t>
      </w:r>
      <w:r w:rsidRPr="00D352EF">
        <w:rPr>
          <w:rFonts w:ascii="Arial" w:hAnsi="Arial" w:cs="Arial"/>
          <w:szCs w:val="22"/>
        </w:rPr>
        <w:t>:</w:t>
      </w:r>
    </w:p>
    <w:p w:rsidR="0059740C" w:rsidRPr="00D352EF" w:rsidRDefault="00FB2093">
      <w:pPr>
        <w:pStyle w:val="ListParagraph"/>
        <w:numPr>
          <w:ilvl w:val="0"/>
          <w:numId w:val="37"/>
        </w:numPr>
        <w:rPr>
          <w:rFonts w:ascii="Arial" w:hAnsi="Arial" w:cs="Arial"/>
          <w:sz w:val="22"/>
        </w:rPr>
      </w:pPr>
      <w:r>
        <w:rPr>
          <w:rFonts w:ascii="Arial" w:hAnsi="Arial" w:cs="Arial"/>
          <w:sz w:val="22"/>
        </w:rPr>
        <w:t>The</w:t>
      </w:r>
      <w:r w:rsidR="00797F7E" w:rsidRPr="00D352EF">
        <w:rPr>
          <w:rFonts w:ascii="Arial" w:hAnsi="Arial" w:cs="Arial"/>
          <w:sz w:val="22"/>
        </w:rPr>
        <w:t xml:space="preserve"> business units </w:t>
      </w:r>
      <w:r w:rsidR="00D352EF">
        <w:rPr>
          <w:rFonts w:ascii="Arial" w:hAnsi="Arial" w:cs="Arial"/>
          <w:sz w:val="22"/>
        </w:rPr>
        <w:t>demonstrated continued growth</w:t>
      </w:r>
      <w:r w:rsidR="00B45461" w:rsidRPr="00D352EF">
        <w:rPr>
          <w:rFonts w:ascii="Arial" w:hAnsi="Arial" w:cs="Arial"/>
          <w:sz w:val="22"/>
        </w:rPr>
        <w:t xml:space="preserve"> as </w:t>
      </w:r>
      <w:r w:rsidR="00690801" w:rsidRPr="00D352EF">
        <w:rPr>
          <w:rFonts w:ascii="Arial" w:hAnsi="Arial" w:cs="Arial"/>
          <w:sz w:val="22"/>
        </w:rPr>
        <w:t xml:space="preserve">the result of </w:t>
      </w:r>
      <w:r w:rsidR="002B1C2F">
        <w:rPr>
          <w:rFonts w:ascii="Arial" w:hAnsi="Arial" w:cs="Arial"/>
          <w:sz w:val="22"/>
        </w:rPr>
        <w:t>greater</w:t>
      </w:r>
      <w:r w:rsidR="002B1C2F" w:rsidRPr="00D352EF">
        <w:rPr>
          <w:rFonts w:ascii="Arial" w:hAnsi="Arial" w:cs="Arial"/>
          <w:sz w:val="22"/>
        </w:rPr>
        <w:t xml:space="preserve"> </w:t>
      </w:r>
      <w:r w:rsidR="00690801" w:rsidRPr="00D352EF">
        <w:rPr>
          <w:rFonts w:ascii="Arial" w:hAnsi="Arial" w:cs="Arial"/>
          <w:sz w:val="22"/>
        </w:rPr>
        <w:t xml:space="preserve">alignment with </w:t>
      </w:r>
      <w:r w:rsidR="008B4EED" w:rsidRPr="00D352EF">
        <w:rPr>
          <w:rFonts w:ascii="Arial" w:hAnsi="Arial" w:cs="Arial"/>
          <w:sz w:val="22"/>
        </w:rPr>
        <w:t xml:space="preserve">small and medium-sized </w:t>
      </w:r>
      <w:r w:rsidR="00690801" w:rsidRPr="00D352EF">
        <w:rPr>
          <w:rFonts w:ascii="Arial" w:hAnsi="Arial" w:cs="Arial"/>
          <w:sz w:val="22"/>
        </w:rPr>
        <w:t>customers</w:t>
      </w:r>
      <w:r w:rsidR="00745839" w:rsidRPr="00D352EF">
        <w:rPr>
          <w:rFonts w:ascii="Arial" w:hAnsi="Arial" w:cs="Arial"/>
          <w:sz w:val="22"/>
        </w:rPr>
        <w:t>.</w:t>
      </w:r>
    </w:p>
    <w:p w:rsidR="00D70F3F" w:rsidRPr="00D352EF" w:rsidRDefault="00A066FC">
      <w:pPr>
        <w:pStyle w:val="ListParagraph"/>
        <w:numPr>
          <w:ilvl w:val="0"/>
          <w:numId w:val="37"/>
        </w:numPr>
        <w:rPr>
          <w:rFonts w:ascii="Arial" w:hAnsi="Arial" w:cs="Arial"/>
          <w:sz w:val="22"/>
        </w:rPr>
      </w:pPr>
      <w:r w:rsidRPr="00D352EF">
        <w:rPr>
          <w:rFonts w:ascii="Arial" w:hAnsi="Arial" w:cs="Arial"/>
          <w:sz w:val="22"/>
        </w:rPr>
        <w:t xml:space="preserve">Coyote, brokerage and </w:t>
      </w:r>
      <w:r w:rsidR="0059740C" w:rsidRPr="00D352EF">
        <w:rPr>
          <w:rFonts w:ascii="Arial" w:hAnsi="Arial" w:cs="Arial"/>
          <w:sz w:val="22"/>
        </w:rPr>
        <w:t>in</w:t>
      </w:r>
      <w:r w:rsidRPr="00D352EF">
        <w:rPr>
          <w:rFonts w:ascii="Arial" w:hAnsi="Arial" w:cs="Arial"/>
          <w:sz w:val="22"/>
        </w:rPr>
        <w:t>ternational air and</w:t>
      </w:r>
      <w:r w:rsidR="0059740C" w:rsidRPr="00D352EF">
        <w:rPr>
          <w:rFonts w:ascii="Arial" w:hAnsi="Arial" w:cs="Arial"/>
          <w:sz w:val="22"/>
        </w:rPr>
        <w:t xml:space="preserve"> ocean freight </w:t>
      </w:r>
      <w:r w:rsidRPr="00D352EF">
        <w:rPr>
          <w:rFonts w:ascii="Arial" w:hAnsi="Arial" w:cs="Arial"/>
          <w:sz w:val="22"/>
        </w:rPr>
        <w:t>ma</w:t>
      </w:r>
      <w:r w:rsidR="00745839" w:rsidRPr="00D352EF">
        <w:rPr>
          <w:rFonts w:ascii="Arial" w:hAnsi="Arial" w:cs="Arial"/>
          <w:sz w:val="22"/>
        </w:rPr>
        <w:t>de</w:t>
      </w:r>
      <w:r w:rsidR="0059740C" w:rsidRPr="00D352EF">
        <w:rPr>
          <w:rFonts w:ascii="Arial" w:hAnsi="Arial" w:cs="Arial"/>
          <w:sz w:val="22"/>
        </w:rPr>
        <w:t xml:space="preserve"> significant contributions </w:t>
      </w:r>
      <w:r w:rsidR="00FB2093">
        <w:rPr>
          <w:rFonts w:ascii="Arial" w:hAnsi="Arial" w:cs="Arial"/>
          <w:sz w:val="22"/>
        </w:rPr>
        <w:t xml:space="preserve">to </w:t>
      </w:r>
      <w:r w:rsidR="00F33DE0">
        <w:rPr>
          <w:rFonts w:ascii="Arial" w:hAnsi="Arial" w:cs="Arial"/>
          <w:sz w:val="22"/>
        </w:rPr>
        <w:t>operating profit within Forwarding</w:t>
      </w:r>
      <w:r w:rsidR="00745839" w:rsidRPr="00D352EF">
        <w:rPr>
          <w:rFonts w:ascii="Arial" w:hAnsi="Arial" w:cs="Arial"/>
          <w:sz w:val="22"/>
        </w:rPr>
        <w:t xml:space="preserve">, </w:t>
      </w:r>
      <w:r w:rsidRPr="00D352EF">
        <w:rPr>
          <w:rFonts w:ascii="Arial" w:hAnsi="Arial" w:cs="Arial"/>
          <w:sz w:val="22"/>
        </w:rPr>
        <w:t>demonstrating</w:t>
      </w:r>
      <w:r w:rsidR="0059740C" w:rsidRPr="00D352EF">
        <w:rPr>
          <w:rFonts w:ascii="Arial" w:hAnsi="Arial" w:cs="Arial"/>
          <w:sz w:val="22"/>
        </w:rPr>
        <w:t xml:space="preserve"> value to customers across the world. </w:t>
      </w:r>
    </w:p>
    <w:p w:rsidR="00A066FC" w:rsidRPr="008B7B4C" w:rsidRDefault="00A066FC" w:rsidP="00A066FC">
      <w:pPr>
        <w:pStyle w:val="ListParagraph"/>
        <w:numPr>
          <w:ilvl w:val="0"/>
          <w:numId w:val="37"/>
        </w:numPr>
        <w:rPr>
          <w:rFonts w:ascii="Arial" w:hAnsi="Arial" w:cs="Arial"/>
          <w:sz w:val="22"/>
        </w:rPr>
      </w:pPr>
      <w:r w:rsidRPr="008B7B4C">
        <w:rPr>
          <w:rFonts w:ascii="Arial" w:hAnsi="Arial" w:cs="Arial"/>
          <w:sz w:val="22"/>
        </w:rPr>
        <w:t xml:space="preserve">Logistics revenue increased </w:t>
      </w:r>
      <w:r w:rsidR="0071664B" w:rsidRPr="008B7B4C">
        <w:rPr>
          <w:rFonts w:ascii="Arial" w:hAnsi="Arial" w:cs="Arial"/>
          <w:sz w:val="22"/>
        </w:rPr>
        <w:t>almost 7%</w:t>
      </w:r>
      <w:r w:rsidRPr="008B7B4C">
        <w:rPr>
          <w:rFonts w:ascii="Arial" w:hAnsi="Arial" w:cs="Arial"/>
          <w:sz w:val="22"/>
        </w:rPr>
        <w:t xml:space="preserve"> from growth in the Healthcare, Aerospace</w:t>
      </w:r>
      <w:r w:rsidR="00A80038">
        <w:rPr>
          <w:rFonts w:ascii="Arial" w:hAnsi="Arial" w:cs="Arial"/>
          <w:sz w:val="22"/>
        </w:rPr>
        <w:t>, Retail</w:t>
      </w:r>
      <w:r w:rsidRPr="008B7B4C">
        <w:rPr>
          <w:rFonts w:ascii="Arial" w:hAnsi="Arial" w:cs="Arial"/>
          <w:sz w:val="22"/>
        </w:rPr>
        <w:t xml:space="preserve"> and Manufacturing sectors.</w:t>
      </w:r>
    </w:p>
    <w:p w:rsidR="00594601" w:rsidRPr="008B7B4C" w:rsidRDefault="00C86F56" w:rsidP="00A066FC">
      <w:pPr>
        <w:pStyle w:val="ListParagraph"/>
        <w:numPr>
          <w:ilvl w:val="0"/>
          <w:numId w:val="37"/>
        </w:numPr>
        <w:rPr>
          <w:rFonts w:ascii="Arial" w:hAnsi="Arial" w:cs="Arial"/>
          <w:sz w:val="22"/>
        </w:rPr>
      </w:pPr>
      <w:r w:rsidRPr="001549E0">
        <w:rPr>
          <w:rFonts w:ascii="Arial" w:hAnsi="Arial" w:cs="Arial"/>
          <w:sz w:val="22"/>
        </w:rPr>
        <w:t>UPS Freight increased</w:t>
      </w:r>
      <w:r w:rsidR="00594601" w:rsidRPr="001549E0">
        <w:rPr>
          <w:rFonts w:ascii="Arial" w:hAnsi="Arial" w:cs="Arial"/>
          <w:sz w:val="22"/>
        </w:rPr>
        <w:t xml:space="preserve"> revenue per LTL </w:t>
      </w:r>
      <w:r w:rsidRPr="001549E0">
        <w:rPr>
          <w:rFonts w:ascii="Arial" w:hAnsi="Arial" w:cs="Arial"/>
          <w:sz w:val="22"/>
        </w:rPr>
        <w:t xml:space="preserve">(less-than-truckload) </w:t>
      </w:r>
      <w:r w:rsidR="00594601" w:rsidRPr="001549E0">
        <w:rPr>
          <w:rFonts w:ascii="Arial" w:hAnsi="Arial" w:cs="Arial"/>
          <w:sz w:val="22"/>
        </w:rPr>
        <w:t>hundredweight</w:t>
      </w:r>
      <w:r w:rsidRPr="001549E0">
        <w:rPr>
          <w:rFonts w:ascii="Arial" w:hAnsi="Arial" w:cs="Arial"/>
          <w:sz w:val="22"/>
        </w:rPr>
        <w:t xml:space="preserve"> by 6.</w:t>
      </w:r>
      <w:r w:rsidR="007E0DA8">
        <w:rPr>
          <w:rFonts w:ascii="Arial" w:hAnsi="Arial" w:cs="Arial"/>
          <w:sz w:val="22"/>
        </w:rPr>
        <w:t>9</w:t>
      </w:r>
      <w:r w:rsidRPr="001549E0">
        <w:rPr>
          <w:rFonts w:ascii="Arial" w:hAnsi="Arial" w:cs="Arial"/>
          <w:sz w:val="22"/>
        </w:rPr>
        <w:t>%</w:t>
      </w:r>
      <w:r w:rsidR="00DB44C4">
        <w:rPr>
          <w:rFonts w:ascii="Arial" w:hAnsi="Arial" w:cs="Arial"/>
          <w:sz w:val="22"/>
        </w:rPr>
        <w:t>,</w:t>
      </w:r>
      <w:r w:rsidR="00B9318E" w:rsidRPr="001549E0">
        <w:rPr>
          <w:rFonts w:ascii="Arial" w:hAnsi="Arial" w:cs="Arial"/>
          <w:sz w:val="22"/>
        </w:rPr>
        <w:t xml:space="preserve"> </w:t>
      </w:r>
      <w:r w:rsidR="008E3975">
        <w:rPr>
          <w:rFonts w:ascii="Arial" w:hAnsi="Arial" w:cs="Arial"/>
          <w:sz w:val="22"/>
        </w:rPr>
        <w:t>with its</w:t>
      </w:r>
      <w:r w:rsidR="008E3975" w:rsidRPr="001549E0">
        <w:rPr>
          <w:rFonts w:ascii="Arial" w:hAnsi="Arial" w:cs="Arial"/>
          <w:sz w:val="22"/>
        </w:rPr>
        <w:t xml:space="preserve"> </w:t>
      </w:r>
      <w:r w:rsidR="00B9318E" w:rsidRPr="001549E0">
        <w:rPr>
          <w:rFonts w:ascii="Arial" w:hAnsi="Arial" w:cs="Arial"/>
          <w:sz w:val="22"/>
        </w:rPr>
        <w:t>continu</w:t>
      </w:r>
      <w:r w:rsidR="008E3975">
        <w:rPr>
          <w:rFonts w:ascii="Arial" w:hAnsi="Arial" w:cs="Arial"/>
          <w:sz w:val="22"/>
        </w:rPr>
        <w:t>ed</w:t>
      </w:r>
      <w:r w:rsidR="00B9318E" w:rsidRPr="001549E0">
        <w:rPr>
          <w:rFonts w:ascii="Arial" w:hAnsi="Arial" w:cs="Arial"/>
          <w:sz w:val="22"/>
        </w:rPr>
        <w:t xml:space="preserve"> focus on revenue </w:t>
      </w:r>
      <w:r w:rsidR="008B7B4C">
        <w:rPr>
          <w:rFonts w:ascii="Arial" w:hAnsi="Arial" w:cs="Arial"/>
          <w:sz w:val="22"/>
        </w:rPr>
        <w:t>quality</w:t>
      </w:r>
      <w:r w:rsidR="00B9318E" w:rsidRPr="001549E0">
        <w:rPr>
          <w:rFonts w:ascii="Arial" w:hAnsi="Arial" w:cs="Arial"/>
          <w:sz w:val="22"/>
        </w:rPr>
        <w:t>.</w:t>
      </w:r>
    </w:p>
    <w:p w:rsidR="005A5BC6" w:rsidRPr="00D352EF" w:rsidRDefault="005A5BC6" w:rsidP="00382B8D">
      <w:pPr>
        <w:pStyle w:val="ListParagraph"/>
        <w:ind w:left="360"/>
        <w:rPr>
          <w:rFonts w:ascii="Arial" w:hAnsi="Arial" w:cs="Arial"/>
          <w:sz w:val="22"/>
          <w:szCs w:val="22"/>
        </w:rPr>
      </w:pPr>
    </w:p>
    <w:p w:rsidR="005A5BC6" w:rsidRPr="00D352EF" w:rsidRDefault="005A5BC6" w:rsidP="005A5BC6">
      <w:pPr>
        <w:rPr>
          <w:rFonts w:ascii="Arial" w:hAnsi="Arial" w:cs="Arial"/>
          <w:b/>
          <w:sz w:val="22"/>
          <w:u w:val="single"/>
        </w:rPr>
      </w:pPr>
      <w:r w:rsidRPr="00D352EF">
        <w:rPr>
          <w:rFonts w:ascii="Arial" w:hAnsi="Arial" w:cs="Arial"/>
          <w:b/>
          <w:sz w:val="22"/>
          <w:u w:val="single"/>
        </w:rPr>
        <w:t xml:space="preserve">Full-year </w:t>
      </w:r>
      <w:r w:rsidR="00ED7561" w:rsidRPr="00D352EF">
        <w:rPr>
          <w:rFonts w:ascii="Arial" w:hAnsi="Arial" w:cs="Arial"/>
          <w:b/>
          <w:sz w:val="22"/>
          <w:u w:val="single"/>
        </w:rPr>
        <w:t xml:space="preserve">2018 </w:t>
      </w:r>
      <w:r w:rsidRPr="00D352EF">
        <w:rPr>
          <w:rFonts w:ascii="Arial" w:hAnsi="Arial" w:cs="Arial"/>
          <w:b/>
          <w:sz w:val="22"/>
          <w:u w:val="single"/>
        </w:rPr>
        <w:t>Consolidated Results</w:t>
      </w:r>
    </w:p>
    <w:p w:rsidR="005A5BC6" w:rsidRPr="00D352EF" w:rsidRDefault="005A5BC6" w:rsidP="005A5BC6">
      <w:pPr>
        <w:rPr>
          <w:rFonts w:ascii="Arial" w:hAnsi="Arial" w:cs="Arial"/>
          <w:sz w:val="22"/>
        </w:rPr>
      </w:pPr>
    </w:p>
    <w:p w:rsidR="0068023F" w:rsidRPr="00D352EF" w:rsidRDefault="005E2E01" w:rsidP="00E466EA">
      <w:pPr>
        <w:pStyle w:val="ListParagraph"/>
        <w:numPr>
          <w:ilvl w:val="0"/>
          <w:numId w:val="37"/>
        </w:numPr>
        <w:rPr>
          <w:rFonts w:ascii="Arial" w:hAnsi="Arial" w:cs="Arial"/>
          <w:sz w:val="22"/>
        </w:rPr>
      </w:pPr>
      <w:r w:rsidRPr="00D352EF">
        <w:rPr>
          <w:rFonts w:ascii="Arial" w:hAnsi="Arial" w:cs="Arial"/>
          <w:sz w:val="22"/>
        </w:rPr>
        <w:t>Tot</w:t>
      </w:r>
      <w:r w:rsidR="0068023F" w:rsidRPr="00D352EF">
        <w:rPr>
          <w:rFonts w:ascii="Arial" w:hAnsi="Arial" w:cs="Arial"/>
          <w:sz w:val="22"/>
        </w:rPr>
        <w:t xml:space="preserve">al revenue increased </w:t>
      </w:r>
      <w:r w:rsidR="00BA060A" w:rsidRPr="00D352EF">
        <w:rPr>
          <w:rFonts w:ascii="Arial" w:hAnsi="Arial" w:cs="Arial"/>
          <w:sz w:val="22"/>
        </w:rPr>
        <w:t>7.9</w:t>
      </w:r>
      <w:r w:rsidR="0068023F" w:rsidRPr="00D352EF">
        <w:rPr>
          <w:rFonts w:ascii="Arial" w:hAnsi="Arial" w:cs="Arial"/>
          <w:sz w:val="22"/>
        </w:rPr>
        <w:t>% to $</w:t>
      </w:r>
      <w:r w:rsidR="00BA060A" w:rsidRPr="00D352EF">
        <w:rPr>
          <w:rFonts w:ascii="Arial" w:hAnsi="Arial" w:cs="Arial"/>
          <w:sz w:val="22"/>
        </w:rPr>
        <w:t>71.9</w:t>
      </w:r>
      <w:r w:rsidR="0068023F" w:rsidRPr="00D352EF">
        <w:rPr>
          <w:rFonts w:ascii="Arial" w:hAnsi="Arial" w:cs="Arial"/>
          <w:sz w:val="22"/>
        </w:rPr>
        <w:t xml:space="preserve"> billion on shipment growth</w:t>
      </w:r>
      <w:r w:rsidR="008E3975">
        <w:rPr>
          <w:rFonts w:ascii="Arial" w:hAnsi="Arial" w:cs="Arial"/>
          <w:sz w:val="22"/>
        </w:rPr>
        <w:t>;</w:t>
      </w:r>
      <w:r w:rsidR="0068023F" w:rsidRPr="00D352EF">
        <w:rPr>
          <w:rFonts w:ascii="Arial" w:hAnsi="Arial" w:cs="Arial"/>
          <w:sz w:val="22"/>
        </w:rPr>
        <w:t xml:space="preserve"> </w:t>
      </w:r>
      <w:r w:rsidR="008A3908" w:rsidRPr="00D352EF">
        <w:rPr>
          <w:rFonts w:ascii="Arial" w:hAnsi="Arial" w:cs="Arial"/>
          <w:sz w:val="22"/>
        </w:rPr>
        <w:t>revenue</w:t>
      </w:r>
      <w:r w:rsidR="008E3975">
        <w:rPr>
          <w:rFonts w:ascii="Arial" w:hAnsi="Arial" w:cs="Arial"/>
          <w:sz w:val="22"/>
        </w:rPr>
        <w:t>-</w:t>
      </w:r>
      <w:r w:rsidR="0068023F" w:rsidRPr="00D352EF">
        <w:rPr>
          <w:rFonts w:ascii="Arial" w:hAnsi="Arial" w:cs="Arial"/>
          <w:sz w:val="22"/>
        </w:rPr>
        <w:t>yield expansion</w:t>
      </w:r>
      <w:r w:rsidR="001136B8" w:rsidRPr="00D352EF">
        <w:rPr>
          <w:rFonts w:ascii="Arial" w:hAnsi="Arial" w:cs="Arial"/>
          <w:sz w:val="22"/>
        </w:rPr>
        <w:t xml:space="preserve"> of 4.3% surpassed 2017 yield by 200 basis points</w:t>
      </w:r>
      <w:r w:rsidR="0068023F" w:rsidRPr="00D352EF">
        <w:rPr>
          <w:rFonts w:ascii="Arial" w:hAnsi="Arial" w:cs="Arial"/>
          <w:sz w:val="22"/>
        </w:rPr>
        <w:t>.</w:t>
      </w:r>
    </w:p>
    <w:p w:rsidR="005A5BC6" w:rsidRPr="00D352EF" w:rsidRDefault="005A5BC6" w:rsidP="00E466EA">
      <w:pPr>
        <w:pStyle w:val="ListParagraph"/>
        <w:numPr>
          <w:ilvl w:val="0"/>
          <w:numId w:val="37"/>
        </w:numPr>
        <w:rPr>
          <w:rFonts w:ascii="Arial" w:hAnsi="Arial" w:cs="Arial"/>
          <w:sz w:val="22"/>
        </w:rPr>
      </w:pPr>
      <w:r w:rsidRPr="00D352EF">
        <w:rPr>
          <w:rFonts w:ascii="Arial" w:hAnsi="Arial" w:cs="Arial"/>
          <w:sz w:val="22"/>
        </w:rPr>
        <w:t xml:space="preserve">Full-year </w:t>
      </w:r>
      <w:r w:rsidR="00E2409C" w:rsidRPr="00D352EF">
        <w:rPr>
          <w:rFonts w:ascii="Arial" w:hAnsi="Arial" w:cs="Arial"/>
          <w:sz w:val="22"/>
        </w:rPr>
        <w:t xml:space="preserve">2018 </w:t>
      </w:r>
      <w:r w:rsidRPr="00D352EF">
        <w:rPr>
          <w:rFonts w:ascii="Arial" w:hAnsi="Arial" w:cs="Arial"/>
          <w:sz w:val="22"/>
        </w:rPr>
        <w:t xml:space="preserve">diluted EPS </w:t>
      </w:r>
      <w:r w:rsidR="00E64B7F">
        <w:rPr>
          <w:rFonts w:ascii="Arial" w:hAnsi="Arial" w:cs="Arial"/>
          <w:sz w:val="22"/>
        </w:rPr>
        <w:t>totaled</w:t>
      </w:r>
      <w:r w:rsidR="00E64B7F" w:rsidRPr="00D352EF">
        <w:rPr>
          <w:rFonts w:ascii="Arial" w:hAnsi="Arial" w:cs="Arial"/>
          <w:sz w:val="22"/>
        </w:rPr>
        <w:t xml:space="preserve"> </w:t>
      </w:r>
      <w:r w:rsidRPr="00D352EF">
        <w:rPr>
          <w:rFonts w:ascii="Arial" w:hAnsi="Arial" w:cs="Arial"/>
          <w:sz w:val="22"/>
        </w:rPr>
        <w:t>$</w:t>
      </w:r>
      <w:r w:rsidR="003719E8" w:rsidRPr="00D352EF">
        <w:rPr>
          <w:rFonts w:ascii="Arial" w:hAnsi="Arial" w:cs="Arial"/>
          <w:sz w:val="22"/>
        </w:rPr>
        <w:t>5.51</w:t>
      </w:r>
      <w:r w:rsidRPr="00D352EF">
        <w:rPr>
          <w:rFonts w:ascii="Arial" w:hAnsi="Arial" w:cs="Arial"/>
          <w:sz w:val="22"/>
        </w:rPr>
        <w:t>; adjusted diluted EPS was $</w:t>
      </w:r>
      <w:r w:rsidR="00E2409C" w:rsidRPr="00D352EF">
        <w:rPr>
          <w:rFonts w:ascii="Arial" w:hAnsi="Arial" w:cs="Arial"/>
          <w:sz w:val="22"/>
        </w:rPr>
        <w:t>7.24.</w:t>
      </w:r>
    </w:p>
    <w:p w:rsidR="005A5BC6" w:rsidRPr="00D352EF" w:rsidRDefault="005A5BC6" w:rsidP="005A5BC6">
      <w:pPr>
        <w:pStyle w:val="ListParagraph"/>
        <w:numPr>
          <w:ilvl w:val="0"/>
          <w:numId w:val="37"/>
        </w:numPr>
        <w:rPr>
          <w:rFonts w:ascii="Arial" w:hAnsi="Arial" w:cs="Arial"/>
          <w:sz w:val="22"/>
        </w:rPr>
      </w:pPr>
      <w:r w:rsidRPr="00D352EF">
        <w:rPr>
          <w:rFonts w:ascii="Arial" w:hAnsi="Arial" w:cs="Arial"/>
          <w:sz w:val="22"/>
        </w:rPr>
        <w:t xml:space="preserve">Adjusted diluted EPS excludes the impact of </w:t>
      </w:r>
      <w:r w:rsidR="00B25637" w:rsidRPr="00D352EF">
        <w:rPr>
          <w:rFonts w:ascii="Arial" w:hAnsi="Arial" w:cs="Arial"/>
          <w:sz w:val="22"/>
        </w:rPr>
        <w:t xml:space="preserve">the </w:t>
      </w:r>
      <w:r w:rsidR="001818ED" w:rsidRPr="00D352EF">
        <w:rPr>
          <w:rFonts w:ascii="Arial" w:hAnsi="Arial" w:cs="Arial"/>
          <w:sz w:val="22"/>
        </w:rPr>
        <w:t>MTM</w:t>
      </w:r>
      <w:r w:rsidRPr="00D352EF">
        <w:rPr>
          <w:rFonts w:ascii="Arial" w:hAnsi="Arial" w:cs="Arial"/>
          <w:sz w:val="22"/>
        </w:rPr>
        <w:t xml:space="preserve"> pension</w:t>
      </w:r>
      <w:r w:rsidR="00610124" w:rsidRPr="00D352EF">
        <w:rPr>
          <w:rFonts w:ascii="Arial" w:hAnsi="Arial" w:cs="Arial"/>
          <w:sz w:val="22"/>
        </w:rPr>
        <w:t xml:space="preserve"> charge</w:t>
      </w:r>
      <w:r w:rsidR="00B25637" w:rsidRPr="00D352EF">
        <w:rPr>
          <w:rFonts w:ascii="Arial" w:hAnsi="Arial" w:cs="Arial"/>
          <w:sz w:val="22"/>
        </w:rPr>
        <w:t xml:space="preserve"> and </w:t>
      </w:r>
      <w:r w:rsidR="00C802A4" w:rsidRPr="00D352EF">
        <w:rPr>
          <w:rFonts w:ascii="Arial" w:hAnsi="Arial" w:cs="Arial"/>
          <w:sz w:val="22"/>
        </w:rPr>
        <w:t xml:space="preserve">Transformation </w:t>
      </w:r>
      <w:r w:rsidR="00B25637" w:rsidRPr="00D352EF">
        <w:rPr>
          <w:rFonts w:ascii="Arial" w:hAnsi="Arial" w:cs="Arial"/>
          <w:sz w:val="22"/>
        </w:rPr>
        <w:t>costs.</w:t>
      </w:r>
    </w:p>
    <w:p w:rsidR="005A5BC6" w:rsidRPr="00D352EF" w:rsidRDefault="005A5BC6" w:rsidP="005A5BC6">
      <w:pPr>
        <w:pStyle w:val="ListParagraph"/>
        <w:numPr>
          <w:ilvl w:val="0"/>
          <w:numId w:val="37"/>
        </w:numPr>
        <w:rPr>
          <w:rFonts w:ascii="Arial" w:hAnsi="Arial" w:cs="Arial"/>
          <w:sz w:val="22"/>
        </w:rPr>
      </w:pPr>
      <w:r w:rsidRPr="00D352EF">
        <w:rPr>
          <w:rFonts w:ascii="Arial" w:hAnsi="Arial" w:cs="Arial"/>
          <w:sz w:val="22"/>
        </w:rPr>
        <w:t xml:space="preserve">Paid dividends of </w:t>
      </w:r>
      <w:r w:rsidRPr="001549E0">
        <w:rPr>
          <w:rFonts w:ascii="Arial" w:hAnsi="Arial" w:cs="Arial"/>
          <w:sz w:val="22"/>
        </w:rPr>
        <w:t>$</w:t>
      </w:r>
      <w:r w:rsidR="00284B16">
        <w:rPr>
          <w:rFonts w:ascii="Arial" w:hAnsi="Arial" w:cs="Arial"/>
          <w:sz w:val="22"/>
        </w:rPr>
        <w:t>3.2</w:t>
      </w:r>
      <w:r w:rsidR="00B06694" w:rsidRPr="001549E0">
        <w:rPr>
          <w:rFonts w:ascii="Arial" w:hAnsi="Arial" w:cs="Arial"/>
          <w:sz w:val="22"/>
        </w:rPr>
        <w:t xml:space="preserve"> </w:t>
      </w:r>
      <w:r w:rsidRPr="001549E0">
        <w:rPr>
          <w:rFonts w:ascii="Arial" w:hAnsi="Arial" w:cs="Arial"/>
          <w:sz w:val="22"/>
        </w:rPr>
        <w:t xml:space="preserve">billion, </w:t>
      </w:r>
      <w:r w:rsidRPr="00D352EF">
        <w:rPr>
          <w:rFonts w:ascii="Arial" w:hAnsi="Arial" w:cs="Arial"/>
          <w:sz w:val="22"/>
        </w:rPr>
        <w:t xml:space="preserve">an increase of </w:t>
      </w:r>
      <w:r w:rsidR="009A73EC">
        <w:rPr>
          <w:rFonts w:ascii="Arial" w:hAnsi="Arial" w:cs="Arial"/>
          <w:sz w:val="22"/>
        </w:rPr>
        <w:t>10</w:t>
      </w:r>
      <w:r w:rsidRPr="001549E0">
        <w:rPr>
          <w:rFonts w:ascii="Arial" w:hAnsi="Arial" w:cs="Arial"/>
          <w:sz w:val="22"/>
        </w:rPr>
        <w:t xml:space="preserve">% per share </w:t>
      </w:r>
      <w:r w:rsidRPr="00D352EF">
        <w:rPr>
          <w:rFonts w:ascii="Arial" w:hAnsi="Arial" w:cs="Arial"/>
          <w:sz w:val="22"/>
        </w:rPr>
        <w:t xml:space="preserve">over the prior year.  </w:t>
      </w:r>
    </w:p>
    <w:p w:rsidR="005A5BC6" w:rsidRPr="00D352EF" w:rsidRDefault="005A5BC6" w:rsidP="005A5BC6">
      <w:pPr>
        <w:pStyle w:val="ListParagraph"/>
        <w:numPr>
          <w:ilvl w:val="0"/>
          <w:numId w:val="37"/>
        </w:numPr>
        <w:rPr>
          <w:rFonts w:ascii="Arial" w:hAnsi="Arial" w:cs="Arial"/>
          <w:sz w:val="22"/>
          <w:szCs w:val="22"/>
        </w:rPr>
      </w:pPr>
      <w:r w:rsidRPr="00D352EF">
        <w:rPr>
          <w:rFonts w:ascii="Arial" w:hAnsi="Arial" w:cs="Arial"/>
          <w:sz w:val="22"/>
        </w:rPr>
        <w:t xml:space="preserve">Repurchased </w:t>
      </w:r>
      <w:r w:rsidR="00284B16">
        <w:rPr>
          <w:rFonts w:ascii="Arial" w:hAnsi="Arial" w:cs="Arial"/>
          <w:sz w:val="22"/>
        </w:rPr>
        <w:t>8.9</w:t>
      </w:r>
      <w:r w:rsidR="00B06694" w:rsidRPr="001549E0">
        <w:rPr>
          <w:rFonts w:ascii="Arial" w:hAnsi="Arial" w:cs="Arial"/>
          <w:sz w:val="22"/>
        </w:rPr>
        <w:t xml:space="preserve"> </w:t>
      </w:r>
      <w:r w:rsidRPr="001549E0">
        <w:rPr>
          <w:rFonts w:ascii="Arial" w:hAnsi="Arial" w:cs="Arial"/>
          <w:sz w:val="22"/>
        </w:rPr>
        <w:t xml:space="preserve">million shares </w:t>
      </w:r>
      <w:r w:rsidRPr="00D352EF">
        <w:rPr>
          <w:rFonts w:ascii="Arial" w:hAnsi="Arial" w:cs="Arial"/>
          <w:sz w:val="22"/>
        </w:rPr>
        <w:t xml:space="preserve">for approximately </w:t>
      </w:r>
      <w:r w:rsidRPr="001549E0">
        <w:rPr>
          <w:rFonts w:ascii="Arial" w:hAnsi="Arial" w:cs="Arial"/>
          <w:sz w:val="22"/>
        </w:rPr>
        <w:t>$</w:t>
      </w:r>
      <w:r w:rsidR="00284B16">
        <w:rPr>
          <w:rFonts w:ascii="Arial" w:hAnsi="Arial" w:cs="Arial"/>
          <w:sz w:val="22"/>
        </w:rPr>
        <w:t>1</w:t>
      </w:r>
      <w:r w:rsidR="00B06694" w:rsidRPr="001549E0">
        <w:rPr>
          <w:rFonts w:ascii="Arial" w:hAnsi="Arial" w:cs="Arial"/>
          <w:sz w:val="22"/>
        </w:rPr>
        <w:t xml:space="preserve"> </w:t>
      </w:r>
      <w:r w:rsidRPr="001549E0">
        <w:rPr>
          <w:rFonts w:ascii="Arial" w:hAnsi="Arial" w:cs="Arial"/>
          <w:sz w:val="22"/>
        </w:rPr>
        <w:t>billion</w:t>
      </w:r>
      <w:r w:rsidRPr="00D352EF">
        <w:rPr>
          <w:rFonts w:ascii="Arial" w:hAnsi="Arial" w:cs="Arial"/>
          <w:sz w:val="22"/>
        </w:rPr>
        <w:t xml:space="preserve">. </w:t>
      </w:r>
      <w:r w:rsidRPr="00D352EF">
        <w:rPr>
          <w:rFonts w:ascii="Arial" w:hAnsi="Arial" w:cs="Arial"/>
          <w:sz w:val="22"/>
        </w:rPr>
        <w:br/>
      </w:r>
    </w:p>
    <w:p w:rsidR="005A5BC6" w:rsidRPr="00D352EF" w:rsidRDefault="005A5BC6" w:rsidP="005A5BC6">
      <w:pPr>
        <w:rPr>
          <w:rFonts w:ascii="Arial" w:hAnsi="Arial" w:cs="Arial"/>
          <w:b/>
          <w:u w:val="single"/>
        </w:rPr>
      </w:pPr>
      <w:r w:rsidRPr="00D352EF">
        <w:rPr>
          <w:rFonts w:ascii="Arial" w:hAnsi="Arial" w:cs="Arial"/>
          <w:b/>
          <w:u w:val="single"/>
        </w:rPr>
        <w:t>Outlook</w:t>
      </w:r>
    </w:p>
    <w:p w:rsidR="005A5BC6" w:rsidRPr="00D352EF" w:rsidRDefault="005A5BC6" w:rsidP="005A5BC6">
      <w:pPr>
        <w:ind w:firstLine="720"/>
        <w:rPr>
          <w:rFonts w:ascii="Arial" w:hAnsi="Arial" w:cs="Arial"/>
        </w:rPr>
      </w:pPr>
    </w:p>
    <w:p w:rsidR="005A5BC6" w:rsidRPr="00D352EF" w:rsidRDefault="005A5BC6" w:rsidP="005A5BC6">
      <w:pPr>
        <w:ind w:firstLine="720"/>
        <w:rPr>
          <w:rFonts w:ascii="Arial" w:hAnsi="Arial" w:cs="Arial"/>
          <w:sz w:val="22"/>
          <w:szCs w:val="22"/>
        </w:rPr>
      </w:pPr>
      <w:r w:rsidRPr="00D352EF">
        <w:rPr>
          <w:rFonts w:ascii="Arial" w:hAnsi="Arial" w:cs="Arial"/>
          <w:sz w:val="22"/>
          <w:szCs w:val="22"/>
        </w:rPr>
        <w:t>The company provides guidance on an adjusted (non-GAAP) basis because it is not possible to predict or provide a reconciliation reflecting the impact of future pension mark-to-market adjustments</w:t>
      </w:r>
      <w:r w:rsidR="001D1E65" w:rsidRPr="00D352EF">
        <w:rPr>
          <w:rFonts w:ascii="Arial" w:hAnsi="Arial" w:cs="Arial"/>
          <w:sz w:val="22"/>
          <w:szCs w:val="22"/>
        </w:rPr>
        <w:t xml:space="preserve"> or other unanticipated events</w:t>
      </w:r>
      <w:r w:rsidRPr="00D352EF">
        <w:rPr>
          <w:rFonts w:ascii="Arial" w:hAnsi="Arial" w:cs="Arial"/>
          <w:sz w:val="22"/>
          <w:szCs w:val="22"/>
        </w:rPr>
        <w:t>, which would be included in reported (GAAP) results and could be material.</w:t>
      </w:r>
    </w:p>
    <w:p w:rsidR="005A5BC6" w:rsidRPr="00D352EF" w:rsidRDefault="005A5BC6" w:rsidP="005A5BC6">
      <w:pPr>
        <w:ind w:firstLine="720"/>
        <w:rPr>
          <w:rFonts w:ascii="Arial" w:hAnsi="Arial" w:cs="Arial"/>
          <w:sz w:val="22"/>
          <w:szCs w:val="22"/>
        </w:rPr>
      </w:pPr>
    </w:p>
    <w:p w:rsidR="006B626C" w:rsidRPr="001549E0" w:rsidRDefault="006B626C" w:rsidP="006B626C">
      <w:pPr>
        <w:ind w:firstLine="720"/>
        <w:rPr>
          <w:rFonts w:ascii="Arial" w:hAnsi="Arial" w:cs="Arial"/>
          <w:sz w:val="22"/>
        </w:rPr>
      </w:pPr>
      <w:r w:rsidRPr="001549E0">
        <w:rPr>
          <w:rFonts w:ascii="Arial" w:hAnsi="Arial" w:cs="Arial"/>
          <w:sz w:val="22"/>
        </w:rPr>
        <w:t>“</w:t>
      </w:r>
      <w:r>
        <w:rPr>
          <w:rFonts w:ascii="Arial" w:hAnsi="Arial" w:cs="Arial"/>
          <w:sz w:val="22"/>
        </w:rPr>
        <w:t>UPS executed very well during the quarter in a challenging environment,</w:t>
      </w:r>
      <w:r w:rsidRPr="001549E0">
        <w:rPr>
          <w:rFonts w:ascii="Arial" w:hAnsi="Arial" w:cs="Arial"/>
          <w:sz w:val="22"/>
        </w:rPr>
        <w:t>” said Richard Peretz, UPS chief financial officer.</w:t>
      </w:r>
      <w:r>
        <w:rPr>
          <w:rFonts w:ascii="Arial" w:hAnsi="Arial" w:cs="Arial"/>
          <w:sz w:val="22"/>
        </w:rPr>
        <w:t xml:space="preserve"> “In 2019, we </w:t>
      </w:r>
      <w:r w:rsidR="004D1969">
        <w:rPr>
          <w:rFonts w:ascii="Arial" w:hAnsi="Arial" w:cs="Arial"/>
          <w:sz w:val="22"/>
        </w:rPr>
        <w:t>plan to</w:t>
      </w:r>
      <w:r>
        <w:rPr>
          <w:rFonts w:ascii="Arial" w:hAnsi="Arial" w:cs="Arial"/>
          <w:sz w:val="22"/>
        </w:rPr>
        <w:t xml:space="preserve"> generate substantial increases in operating profit growth in all three business units.”</w:t>
      </w:r>
      <w:r w:rsidRPr="001549E0" w:rsidDel="00411C13">
        <w:rPr>
          <w:rFonts w:ascii="Arial" w:hAnsi="Arial" w:cs="Arial"/>
          <w:sz w:val="22"/>
        </w:rPr>
        <w:t xml:space="preserve"> </w:t>
      </w:r>
    </w:p>
    <w:p w:rsidR="006B626C" w:rsidRPr="001549E0" w:rsidRDefault="006B626C" w:rsidP="006B626C">
      <w:pPr>
        <w:ind w:firstLine="720"/>
        <w:rPr>
          <w:rFonts w:ascii="Arial" w:hAnsi="Arial" w:cs="Arial"/>
          <w:sz w:val="22"/>
          <w:szCs w:val="22"/>
        </w:rPr>
      </w:pPr>
    </w:p>
    <w:p w:rsidR="00893DEA" w:rsidRPr="00A10844" w:rsidRDefault="006B626C" w:rsidP="006B626C">
      <w:pPr>
        <w:pStyle w:val="ListParagraph"/>
        <w:numPr>
          <w:ilvl w:val="0"/>
          <w:numId w:val="37"/>
        </w:numPr>
        <w:rPr>
          <w:rFonts w:ascii="Arial" w:hAnsi="Arial" w:cs="Arial"/>
          <w:sz w:val="22"/>
        </w:rPr>
      </w:pPr>
      <w:r w:rsidRPr="004D420C">
        <w:rPr>
          <w:rFonts w:ascii="Arial" w:hAnsi="Arial" w:cs="Arial"/>
          <w:sz w:val="22"/>
        </w:rPr>
        <w:t>UPS expects</w:t>
      </w:r>
      <w:r w:rsidR="00364A66" w:rsidRPr="00A10844">
        <w:rPr>
          <w:rFonts w:ascii="Arial" w:hAnsi="Arial" w:cs="Arial"/>
          <w:sz w:val="22"/>
        </w:rPr>
        <w:t xml:space="preserve"> </w:t>
      </w:r>
      <w:r w:rsidR="00CF062B" w:rsidRPr="0062623C">
        <w:rPr>
          <w:rFonts w:ascii="Arial" w:hAnsi="Arial" w:cs="Arial"/>
          <w:sz w:val="22"/>
        </w:rPr>
        <w:t xml:space="preserve">total </w:t>
      </w:r>
      <w:r w:rsidR="00557A55" w:rsidRPr="0062623C">
        <w:rPr>
          <w:rFonts w:ascii="Arial" w:hAnsi="Arial" w:cs="Arial"/>
          <w:sz w:val="22"/>
        </w:rPr>
        <w:t xml:space="preserve">adjusted </w:t>
      </w:r>
      <w:r w:rsidR="00364A66" w:rsidRPr="004D420C">
        <w:rPr>
          <w:rFonts w:ascii="Arial" w:hAnsi="Arial" w:cs="Arial"/>
          <w:sz w:val="22"/>
        </w:rPr>
        <w:t>operating profit growth</w:t>
      </w:r>
      <w:r w:rsidR="00CF062B" w:rsidRPr="00A10844">
        <w:rPr>
          <w:rFonts w:ascii="Arial" w:hAnsi="Arial" w:cs="Arial"/>
          <w:sz w:val="22"/>
        </w:rPr>
        <w:t xml:space="preserve"> in the low</w:t>
      </w:r>
      <w:r w:rsidR="00950052" w:rsidRPr="0062623C">
        <w:rPr>
          <w:rFonts w:ascii="Arial" w:hAnsi="Arial" w:cs="Arial"/>
          <w:sz w:val="22"/>
        </w:rPr>
        <w:t>-</w:t>
      </w:r>
      <w:r w:rsidR="00CF062B" w:rsidRPr="004D420C">
        <w:rPr>
          <w:rFonts w:ascii="Arial" w:hAnsi="Arial" w:cs="Arial"/>
          <w:sz w:val="22"/>
        </w:rPr>
        <w:t>teens</w:t>
      </w:r>
      <w:r w:rsidR="00950052" w:rsidRPr="00A10844">
        <w:rPr>
          <w:rFonts w:ascii="Arial" w:hAnsi="Arial" w:cs="Arial"/>
          <w:sz w:val="22"/>
        </w:rPr>
        <w:t xml:space="preserve"> with all segments up double-digits</w:t>
      </w:r>
      <w:r w:rsidR="00893DEA" w:rsidRPr="00A10844">
        <w:rPr>
          <w:rFonts w:ascii="Arial" w:hAnsi="Arial" w:cs="Arial"/>
          <w:sz w:val="22"/>
        </w:rPr>
        <w:t>.</w:t>
      </w:r>
    </w:p>
    <w:p w:rsidR="002B2F4F" w:rsidRDefault="00893DEA" w:rsidP="006B626C">
      <w:pPr>
        <w:pStyle w:val="ListParagraph"/>
        <w:numPr>
          <w:ilvl w:val="0"/>
          <w:numId w:val="37"/>
        </w:numPr>
        <w:rPr>
          <w:rFonts w:ascii="Arial" w:hAnsi="Arial" w:cs="Arial"/>
          <w:sz w:val="22"/>
        </w:rPr>
      </w:pPr>
      <w:r w:rsidRPr="002B2F4F">
        <w:rPr>
          <w:rFonts w:ascii="Arial" w:hAnsi="Arial" w:cs="Arial"/>
          <w:sz w:val="22"/>
        </w:rPr>
        <w:t>A</w:t>
      </w:r>
      <w:r w:rsidR="006B626C" w:rsidRPr="002B2F4F">
        <w:rPr>
          <w:rFonts w:ascii="Arial" w:hAnsi="Arial" w:cs="Arial"/>
          <w:sz w:val="22"/>
        </w:rPr>
        <w:t>djusted, diluted earnings per share to be in a range of $</w:t>
      </w:r>
      <w:r w:rsidRPr="002B2F4F">
        <w:rPr>
          <w:rFonts w:ascii="Arial" w:hAnsi="Arial" w:cs="Arial"/>
          <w:sz w:val="22"/>
        </w:rPr>
        <w:t>7.45</w:t>
      </w:r>
      <w:r w:rsidR="006B626C" w:rsidRPr="002B2F4F">
        <w:rPr>
          <w:rFonts w:ascii="Arial" w:hAnsi="Arial" w:cs="Arial"/>
          <w:sz w:val="22"/>
        </w:rPr>
        <w:t xml:space="preserve"> to $</w:t>
      </w:r>
      <w:r w:rsidRPr="002B2F4F">
        <w:rPr>
          <w:rFonts w:ascii="Arial" w:hAnsi="Arial" w:cs="Arial"/>
          <w:sz w:val="22"/>
        </w:rPr>
        <w:t>7.75</w:t>
      </w:r>
      <w:r w:rsidR="006B626C" w:rsidRPr="002B2F4F">
        <w:rPr>
          <w:rFonts w:ascii="Arial" w:hAnsi="Arial" w:cs="Arial"/>
          <w:sz w:val="22"/>
        </w:rPr>
        <w:t xml:space="preserve">, </w:t>
      </w:r>
      <w:r w:rsidRPr="002B2F4F">
        <w:rPr>
          <w:rFonts w:ascii="Arial" w:hAnsi="Arial" w:cs="Arial"/>
          <w:sz w:val="22"/>
        </w:rPr>
        <w:t xml:space="preserve">which includes pension </w:t>
      </w:r>
      <w:r w:rsidR="00273BC7">
        <w:rPr>
          <w:rFonts w:ascii="Arial" w:hAnsi="Arial" w:cs="Arial"/>
          <w:sz w:val="22"/>
        </w:rPr>
        <w:t xml:space="preserve">financing costs </w:t>
      </w:r>
      <w:r w:rsidRPr="002B2F4F">
        <w:rPr>
          <w:rFonts w:ascii="Arial" w:hAnsi="Arial" w:cs="Arial"/>
          <w:sz w:val="22"/>
        </w:rPr>
        <w:t xml:space="preserve">headwinds </w:t>
      </w:r>
      <w:r w:rsidR="00273BC7">
        <w:rPr>
          <w:rFonts w:ascii="Arial" w:hAnsi="Arial" w:cs="Arial"/>
          <w:sz w:val="22"/>
        </w:rPr>
        <w:t xml:space="preserve">of about </w:t>
      </w:r>
      <w:r w:rsidR="00875F2D" w:rsidRPr="002B2F4F">
        <w:rPr>
          <w:rFonts w:ascii="Arial" w:hAnsi="Arial" w:cs="Arial"/>
          <w:sz w:val="22"/>
        </w:rPr>
        <w:t>$</w:t>
      </w:r>
      <w:r w:rsidR="00273BC7">
        <w:rPr>
          <w:rFonts w:ascii="Arial" w:hAnsi="Arial" w:cs="Arial"/>
          <w:sz w:val="22"/>
        </w:rPr>
        <w:t>325</w:t>
      </w:r>
      <w:r w:rsidR="00875F2D" w:rsidRPr="002B2F4F">
        <w:rPr>
          <w:rFonts w:ascii="Arial" w:hAnsi="Arial" w:cs="Arial"/>
          <w:sz w:val="22"/>
        </w:rPr>
        <w:t xml:space="preserve"> million</w:t>
      </w:r>
      <w:r w:rsidR="002B2F4F" w:rsidRPr="002B2F4F">
        <w:rPr>
          <w:rFonts w:ascii="Arial" w:hAnsi="Arial" w:cs="Arial"/>
          <w:sz w:val="22"/>
        </w:rPr>
        <w:t>.</w:t>
      </w:r>
      <w:r w:rsidR="00875F2D" w:rsidRPr="002B2F4F">
        <w:rPr>
          <w:rFonts w:ascii="Arial" w:hAnsi="Arial" w:cs="Arial"/>
          <w:sz w:val="22"/>
        </w:rPr>
        <w:t xml:space="preserve"> </w:t>
      </w:r>
    </w:p>
    <w:p w:rsidR="006B626C" w:rsidRPr="006B626C" w:rsidRDefault="006B626C" w:rsidP="006B626C">
      <w:pPr>
        <w:pStyle w:val="ListParagraph"/>
        <w:numPr>
          <w:ilvl w:val="0"/>
          <w:numId w:val="37"/>
        </w:numPr>
      </w:pPr>
      <w:r w:rsidRPr="006B626C">
        <w:rPr>
          <w:rFonts w:ascii="Arial" w:hAnsi="Arial" w:cs="Arial"/>
          <w:sz w:val="22"/>
        </w:rPr>
        <w:t xml:space="preserve">The 2019 effective tax rate should be between 23 and 24 percent.  </w:t>
      </w:r>
    </w:p>
    <w:p w:rsidR="00D54D52" w:rsidRDefault="006B626C" w:rsidP="006B626C">
      <w:pPr>
        <w:pStyle w:val="ListParagraph"/>
        <w:numPr>
          <w:ilvl w:val="0"/>
          <w:numId w:val="37"/>
        </w:numPr>
        <w:rPr>
          <w:rFonts w:ascii="Arial" w:hAnsi="Arial" w:cs="Arial"/>
          <w:sz w:val="22"/>
        </w:rPr>
      </w:pPr>
      <w:r w:rsidRPr="006B626C">
        <w:rPr>
          <w:rFonts w:ascii="Arial" w:hAnsi="Arial" w:cs="Arial"/>
          <w:sz w:val="22"/>
        </w:rPr>
        <w:t>Capital expenditures are planned between 8.5% and 10% of 2019 consolidated revenue.</w:t>
      </w:r>
    </w:p>
    <w:p w:rsidR="00BB0A88" w:rsidRPr="006B626C" w:rsidRDefault="00BB0A88" w:rsidP="006B626C">
      <w:pPr>
        <w:pStyle w:val="ListParagraph"/>
        <w:numPr>
          <w:ilvl w:val="0"/>
          <w:numId w:val="37"/>
        </w:numPr>
        <w:rPr>
          <w:rFonts w:ascii="Arial" w:hAnsi="Arial" w:cs="Arial"/>
          <w:sz w:val="22"/>
        </w:rPr>
      </w:pPr>
      <w:r>
        <w:rPr>
          <w:rFonts w:ascii="Arial" w:hAnsi="Arial" w:cs="Arial"/>
          <w:sz w:val="22"/>
        </w:rPr>
        <w:t>Transformation charges are excluded from guidance.</w:t>
      </w:r>
    </w:p>
    <w:p w:rsidR="00BB0A88" w:rsidRDefault="00BB0A88" w:rsidP="006B626C">
      <w:pPr>
        <w:jc w:val="center"/>
        <w:rPr>
          <w:rFonts w:ascii="Arial" w:hAnsi="Arial" w:cs="Arial"/>
          <w:color w:val="003436"/>
          <w:sz w:val="22"/>
          <w:szCs w:val="22"/>
        </w:rPr>
      </w:pPr>
    </w:p>
    <w:p w:rsidR="0092416D" w:rsidRPr="00867759" w:rsidRDefault="0092416D" w:rsidP="006B626C">
      <w:pPr>
        <w:jc w:val="center"/>
        <w:rPr>
          <w:rFonts w:ascii="Arial" w:hAnsi="Arial" w:cs="Arial"/>
          <w:color w:val="003436"/>
          <w:sz w:val="22"/>
          <w:szCs w:val="22"/>
        </w:rPr>
      </w:pPr>
      <w:r w:rsidRPr="00867759">
        <w:rPr>
          <w:rFonts w:ascii="Arial" w:hAnsi="Arial" w:cs="Arial"/>
          <w:color w:val="003436"/>
          <w:sz w:val="22"/>
          <w:szCs w:val="22"/>
        </w:rPr>
        <w:t># # #</w:t>
      </w:r>
    </w:p>
    <w:p w:rsidR="00B0128F" w:rsidRPr="00D352EF" w:rsidRDefault="00B0128F" w:rsidP="00B86C7E">
      <w:pPr>
        <w:rPr>
          <w:rFonts w:ascii="Arial" w:hAnsi="Arial" w:cs="Arial"/>
          <w:color w:val="003436"/>
          <w:sz w:val="22"/>
          <w:szCs w:val="22"/>
        </w:rPr>
      </w:pPr>
    </w:p>
    <w:p w:rsidR="00B0128F" w:rsidRPr="00D352EF" w:rsidRDefault="00B0128F" w:rsidP="00B86C7E">
      <w:pPr>
        <w:rPr>
          <w:rFonts w:ascii="Arial" w:hAnsi="Arial" w:cs="Arial"/>
          <w:color w:val="003436"/>
          <w:sz w:val="22"/>
          <w:szCs w:val="22"/>
        </w:rPr>
      </w:pPr>
    </w:p>
    <w:p w:rsidR="00B86C7E" w:rsidRPr="00D352EF" w:rsidRDefault="00B86C7E" w:rsidP="00B86C7E">
      <w:pPr>
        <w:rPr>
          <w:rFonts w:ascii="Arial" w:hAnsi="Arial" w:cs="Arial"/>
          <w:sz w:val="22"/>
          <w:szCs w:val="22"/>
          <w:u w:val="single"/>
        </w:rPr>
      </w:pPr>
      <w:r w:rsidRPr="00D352EF">
        <w:rPr>
          <w:rFonts w:ascii="Arial" w:hAnsi="Arial" w:cs="Arial"/>
          <w:b/>
          <w:sz w:val="22"/>
          <w:szCs w:val="22"/>
          <w:u w:val="single"/>
        </w:rPr>
        <w:t>Conference Call Information</w:t>
      </w:r>
    </w:p>
    <w:p w:rsidR="00B86C7E" w:rsidRPr="00D352EF" w:rsidRDefault="00B86C7E" w:rsidP="00B86C7E">
      <w:pPr>
        <w:rPr>
          <w:rFonts w:ascii="Arial" w:hAnsi="Arial" w:cs="Arial"/>
          <w:sz w:val="22"/>
          <w:szCs w:val="22"/>
        </w:rPr>
      </w:pPr>
      <w:r w:rsidRPr="00D352EF">
        <w:rPr>
          <w:rFonts w:ascii="Arial" w:hAnsi="Arial" w:cs="Arial"/>
          <w:sz w:val="22"/>
          <w:szCs w:val="22"/>
        </w:rPr>
        <w:tab/>
      </w:r>
    </w:p>
    <w:p w:rsidR="00B86C7E" w:rsidRPr="00D352EF" w:rsidRDefault="00B86C7E" w:rsidP="00B86C7E">
      <w:pPr>
        <w:ind w:firstLine="720"/>
        <w:rPr>
          <w:rFonts w:ascii="Arial" w:hAnsi="Arial" w:cs="Arial"/>
          <w:sz w:val="22"/>
          <w:szCs w:val="22"/>
        </w:rPr>
      </w:pPr>
      <w:r w:rsidRPr="00D352EF">
        <w:rPr>
          <w:rFonts w:ascii="Arial" w:hAnsi="Arial" w:cs="Arial"/>
          <w:sz w:val="22"/>
          <w:szCs w:val="22"/>
        </w:rPr>
        <w:t xml:space="preserve">UPS CEO David Abney and CFO Richard Peretz will discuss </w:t>
      </w:r>
      <w:r w:rsidR="00CD4B34" w:rsidRPr="00D352EF">
        <w:rPr>
          <w:rFonts w:ascii="Arial" w:hAnsi="Arial" w:cs="Arial"/>
          <w:sz w:val="22"/>
          <w:szCs w:val="22"/>
        </w:rPr>
        <w:t>fourth</w:t>
      </w:r>
      <w:r w:rsidR="00DA5007" w:rsidRPr="00D352EF">
        <w:rPr>
          <w:rFonts w:ascii="Arial" w:hAnsi="Arial" w:cs="Arial"/>
          <w:sz w:val="22"/>
          <w:szCs w:val="22"/>
        </w:rPr>
        <w:t>-</w:t>
      </w:r>
      <w:r w:rsidRPr="00D352EF">
        <w:rPr>
          <w:rFonts w:ascii="Arial" w:hAnsi="Arial" w:cs="Arial"/>
          <w:sz w:val="22"/>
          <w:szCs w:val="22"/>
        </w:rPr>
        <w:t xml:space="preserve">quarter results with investors and analysts during a conference call at 8:30 a.m. ET, </w:t>
      </w:r>
      <w:r w:rsidR="00ED7561" w:rsidRPr="00D352EF">
        <w:rPr>
          <w:rFonts w:ascii="Arial" w:hAnsi="Arial" w:cs="Arial"/>
          <w:sz w:val="22"/>
          <w:szCs w:val="22"/>
        </w:rPr>
        <w:t>January 31</w:t>
      </w:r>
      <w:r w:rsidRPr="00D352EF">
        <w:rPr>
          <w:rFonts w:ascii="Arial" w:hAnsi="Arial" w:cs="Arial"/>
          <w:sz w:val="22"/>
          <w:szCs w:val="22"/>
        </w:rPr>
        <w:t>, 201</w:t>
      </w:r>
      <w:r w:rsidR="00ED7561" w:rsidRPr="00D352EF">
        <w:rPr>
          <w:rFonts w:ascii="Arial" w:hAnsi="Arial" w:cs="Arial"/>
          <w:sz w:val="22"/>
          <w:szCs w:val="22"/>
        </w:rPr>
        <w:t>9</w:t>
      </w:r>
      <w:r w:rsidRPr="00D352EF">
        <w:rPr>
          <w:rFonts w:ascii="Arial" w:hAnsi="Arial" w:cs="Arial"/>
          <w:sz w:val="22"/>
          <w:szCs w:val="22"/>
        </w:rPr>
        <w:t xml:space="preserve">.  That call </w:t>
      </w:r>
      <w:r w:rsidR="00C802A4" w:rsidRPr="00D352EF">
        <w:rPr>
          <w:rFonts w:ascii="Arial" w:hAnsi="Arial" w:cs="Arial"/>
          <w:sz w:val="22"/>
          <w:szCs w:val="22"/>
        </w:rPr>
        <w:t>will be</w:t>
      </w:r>
      <w:r w:rsidRPr="00D352EF">
        <w:rPr>
          <w:rFonts w:ascii="Arial" w:hAnsi="Arial" w:cs="Arial"/>
          <w:sz w:val="22"/>
          <w:szCs w:val="22"/>
        </w:rPr>
        <w:t xml:space="preserve"> open to </w:t>
      </w:r>
      <w:r w:rsidR="00DA5007" w:rsidRPr="00D352EF">
        <w:rPr>
          <w:rFonts w:ascii="Arial" w:hAnsi="Arial" w:cs="Arial"/>
          <w:sz w:val="22"/>
          <w:szCs w:val="22"/>
        </w:rPr>
        <w:t xml:space="preserve">others </w:t>
      </w:r>
      <w:r w:rsidRPr="00D352EF">
        <w:rPr>
          <w:rFonts w:ascii="Arial" w:hAnsi="Arial" w:cs="Arial"/>
          <w:sz w:val="22"/>
          <w:szCs w:val="22"/>
        </w:rPr>
        <w:t xml:space="preserve">through a live Webcast.  To access the call, go to </w:t>
      </w:r>
      <w:hyperlink r:id="rId9" w:history="1">
        <w:r w:rsidRPr="00D352EF">
          <w:rPr>
            <w:rStyle w:val="Hyperlink"/>
            <w:rFonts w:ascii="Arial" w:hAnsi="Arial" w:cs="Arial"/>
            <w:sz w:val="22"/>
            <w:szCs w:val="22"/>
          </w:rPr>
          <w:t>www.investors.ups.com</w:t>
        </w:r>
      </w:hyperlink>
      <w:r w:rsidRPr="00D352EF">
        <w:rPr>
          <w:rFonts w:ascii="Arial" w:hAnsi="Arial" w:cs="Arial"/>
          <w:sz w:val="22"/>
          <w:szCs w:val="22"/>
          <w:u w:val="single"/>
        </w:rPr>
        <w:t xml:space="preserve"> </w:t>
      </w:r>
      <w:r w:rsidRPr="00D352EF">
        <w:rPr>
          <w:rFonts w:ascii="Arial" w:hAnsi="Arial" w:cs="Arial"/>
          <w:sz w:val="22"/>
          <w:szCs w:val="22"/>
        </w:rPr>
        <w:t>and click on “Earnings Webcast.”</w:t>
      </w:r>
      <w:r w:rsidR="00B80BB7">
        <w:rPr>
          <w:rFonts w:ascii="Arial" w:hAnsi="Arial" w:cs="Arial"/>
          <w:sz w:val="22"/>
          <w:szCs w:val="22"/>
        </w:rPr>
        <w:t xml:space="preserve"> Additional financial information is included in the detailed financial schedules being posted on </w:t>
      </w:r>
      <w:hyperlink r:id="rId10" w:history="1">
        <w:r w:rsidR="00B80BB7" w:rsidRPr="00BA6445">
          <w:rPr>
            <w:rStyle w:val="Hyperlink"/>
            <w:rFonts w:ascii="Arial" w:hAnsi="Arial" w:cs="Arial"/>
            <w:sz w:val="22"/>
            <w:szCs w:val="22"/>
          </w:rPr>
          <w:t>www.investors.ups.com</w:t>
        </w:r>
      </w:hyperlink>
      <w:r w:rsidR="00B80BB7">
        <w:rPr>
          <w:rFonts w:ascii="Arial" w:hAnsi="Arial" w:cs="Arial"/>
          <w:sz w:val="22"/>
          <w:szCs w:val="22"/>
        </w:rPr>
        <w:t xml:space="preserve"> under “Financials” and as filed with the SEC as an exhibit to our Current Report on Form 8-K.</w:t>
      </w:r>
    </w:p>
    <w:p w:rsidR="00B86C7E" w:rsidRPr="00D352EF" w:rsidRDefault="00B86C7E" w:rsidP="00B86C7E">
      <w:pPr>
        <w:autoSpaceDE w:val="0"/>
        <w:autoSpaceDN w:val="0"/>
        <w:adjustRightInd w:val="0"/>
        <w:ind w:firstLine="720"/>
        <w:rPr>
          <w:rFonts w:ascii="Arial" w:hAnsi="Arial" w:cs="Arial"/>
          <w:sz w:val="22"/>
          <w:szCs w:val="22"/>
        </w:rPr>
      </w:pPr>
    </w:p>
    <w:p w:rsidR="000C3C38" w:rsidRPr="00D352EF" w:rsidRDefault="000C3C38" w:rsidP="000C3C38">
      <w:pPr>
        <w:rPr>
          <w:rFonts w:ascii="Arial" w:hAnsi="Arial" w:cs="Arial"/>
          <w:b/>
          <w:bCs/>
          <w:sz w:val="22"/>
          <w:szCs w:val="22"/>
          <w:u w:val="single"/>
        </w:rPr>
      </w:pPr>
      <w:r w:rsidRPr="00D352EF">
        <w:rPr>
          <w:rFonts w:ascii="Arial" w:hAnsi="Arial" w:cs="Arial"/>
          <w:b/>
          <w:bCs/>
          <w:sz w:val="22"/>
          <w:szCs w:val="22"/>
          <w:u w:val="single"/>
        </w:rPr>
        <w:t>About UPS</w:t>
      </w:r>
    </w:p>
    <w:p w:rsidR="000C3C38" w:rsidRPr="00D352EF" w:rsidRDefault="000C3C38" w:rsidP="000C3C38">
      <w:pPr>
        <w:rPr>
          <w:rFonts w:ascii="Arial" w:hAnsi="Arial" w:cs="Arial"/>
          <w:b/>
          <w:bCs/>
          <w:sz w:val="22"/>
        </w:rPr>
      </w:pPr>
    </w:p>
    <w:p w:rsidR="00173146" w:rsidRPr="00F52D74" w:rsidRDefault="00173146" w:rsidP="00173146">
      <w:pPr>
        <w:ind w:firstLine="720"/>
        <w:rPr>
          <w:rFonts w:ascii="Arial" w:eastAsia="Calibri" w:hAnsi="Arial" w:cs="Arial"/>
          <w:sz w:val="22"/>
          <w:szCs w:val="22"/>
        </w:rPr>
      </w:pPr>
      <w:r w:rsidRPr="00F52D74">
        <w:rPr>
          <w:rFonts w:ascii="Arial" w:eastAsia="Calibri" w:hAnsi="Arial" w:cs="Arial"/>
          <w:sz w:val="22"/>
          <w:szCs w:val="22"/>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1" w:history="1">
        <w:r w:rsidRPr="00F52D74">
          <w:rPr>
            <w:rFonts w:ascii="Arial" w:eastAsia="Calibri" w:hAnsi="Arial" w:cs="Arial"/>
            <w:color w:val="0563C1"/>
            <w:sz w:val="22"/>
            <w:szCs w:val="22"/>
            <w:u w:val="single"/>
          </w:rPr>
          <w:t>America’s Best Customer Service</w:t>
        </w:r>
      </w:hyperlink>
      <w:r w:rsidRPr="00F52D74">
        <w:rPr>
          <w:rFonts w:ascii="Arial" w:eastAsia="Calibri" w:hAnsi="Arial" w:cs="Arial"/>
          <w:sz w:val="22"/>
          <w:szCs w:val="22"/>
        </w:rPr>
        <w:t xml:space="preserve"> company for Shipping and Delivery services by Newsweek magazine; Fortune magazine’s Most Valuable Brand in Transportation; and top rankings on the </w:t>
      </w:r>
      <w:hyperlink r:id="rId12" w:anchor="4309ad3b2bf0" w:history="1">
        <w:r w:rsidRPr="00F52D74">
          <w:rPr>
            <w:rFonts w:ascii="Arial" w:eastAsia="Calibri" w:hAnsi="Arial" w:cs="Arial"/>
            <w:color w:val="0563C1"/>
            <w:sz w:val="22"/>
            <w:szCs w:val="22"/>
            <w:u w:val="single"/>
          </w:rPr>
          <w:t>JUST 100</w:t>
        </w:r>
      </w:hyperlink>
      <w:r w:rsidRPr="00F52D74">
        <w:rPr>
          <w:rFonts w:ascii="Arial" w:eastAsia="Calibri" w:hAnsi="Arial" w:cs="Arial"/>
          <w:sz w:val="22"/>
          <w:szCs w:val="22"/>
        </w:rPr>
        <w:t xml:space="preserve"> list for social responsibility, the Dow Jones Sustainability World Index, and the Harris Poll Reputation Quotient, among other prestigious rankings and awards. The company can be found on the web at </w:t>
      </w:r>
      <w:hyperlink r:id="rId13" w:tgtFrame="_blank" w:history="1">
        <w:r w:rsidRPr="00F52D74">
          <w:rPr>
            <w:rFonts w:ascii="Arial" w:eastAsia="Calibri" w:hAnsi="Arial" w:cs="Arial"/>
            <w:color w:val="0563C1"/>
            <w:sz w:val="22"/>
            <w:szCs w:val="22"/>
            <w:u w:val="single"/>
          </w:rPr>
          <w:t>ups.com</w:t>
        </w:r>
      </w:hyperlink>
      <w:r w:rsidRPr="00F52D74">
        <w:rPr>
          <w:rFonts w:ascii="Arial" w:eastAsia="Calibri" w:hAnsi="Arial" w:cs="Arial"/>
          <w:sz w:val="22"/>
          <w:szCs w:val="22"/>
        </w:rPr>
        <w:t xml:space="preserve"> or </w:t>
      </w:r>
      <w:hyperlink r:id="rId14" w:tgtFrame="_blank" w:history="1">
        <w:r w:rsidRPr="00F52D74">
          <w:rPr>
            <w:rFonts w:ascii="Arial" w:eastAsia="Calibri" w:hAnsi="Arial" w:cs="Arial"/>
            <w:color w:val="0563C1"/>
            <w:sz w:val="22"/>
            <w:szCs w:val="22"/>
            <w:u w:val="single"/>
          </w:rPr>
          <w:t>pressroom.ups.com</w:t>
        </w:r>
      </w:hyperlink>
      <w:r w:rsidRPr="00F52D74">
        <w:rPr>
          <w:rFonts w:ascii="Arial" w:eastAsia="Calibri" w:hAnsi="Arial" w:cs="Arial"/>
          <w:sz w:val="22"/>
          <w:szCs w:val="22"/>
        </w:rPr>
        <w:t xml:space="preserve"> and its corporate blog can be found at </w:t>
      </w:r>
      <w:hyperlink r:id="rId15" w:tgtFrame="_blank" w:history="1">
        <w:r w:rsidRPr="00F52D74">
          <w:rPr>
            <w:rFonts w:ascii="Arial" w:eastAsia="Calibri" w:hAnsi="Arial" w:cs="Arial"/>
            <w:color w:val="0563C1"/>
            <w:sz w:val="22"/>
            <w:szCs w:val="22"/>
            <w:u w:val="single"/>
          </w:rPr>
          <w:t>longitudes.ups.com</w:t>
        </w:r>
      </w:hyperlink>
      <w:r w:rsidRPr="00F52D74">
        <w:rPr>
          <w:rFonts w:ascii="Arial" w:eastAsia="Calibri" w:hAnsi="Arial" w:cs="Arial"/>
          <w:sz w:val="22"/>
          <w:szCs w:val="22"/>
        </w:rPr>
        <w:t xml:space="preserve">. </w:t>
      </w:r>
      <w:r w:rsidRPr="00F52D74">
        <w:rPr>
          <w:rFonts w:ascii="Arial" w:eastAsia="Calibri" w:hAnsi="Arial" w:cs="Arial"/>
          <w:color w:val="340500"/>
          <w:sz w:val="22"/>
          <w:szCs w:val="22"/>
        </w:rPr>
        <w:t xml:space="preserve">The company’s sustainability </w:t>
      </w:r>
      <w:proofErr w:type="spellStart"/>
      <w:r w:rsidRPr="00F52D74">
        <w:rPr>
          <w:rFonts w:ascii="Arial" w:eastAsia="Calibri" w:hAnsi="Arial" w:cs="Arial"/>
          <w:color w:val="340500"/>
          <w:sz w:val="22"/>
          <w:szCs w:val="22"/>
        </w:rPr>
        <w:t>eNewsletter</w:t>
      </w:r>
      <w:proofErr w:type="spellEnd"/>
      <w:r w:rsidRPr="00F52D74">
        <w:rPr>
          <w:rFonts w:ascii="Arial" w:eastAsia="Calibri" w:hAnsi="Arial" w:cs="Arial"/>
          <w:color w:val="340500"/>
          <w:sz w:val="22"/>
          <w:szCs w:val="22"/>
        </w:rPr>
        <w:t>, </w:t>
      </w:r>
      <w:r w:rsidRPr="00F52D74">
        <w:rPr>
          <w:rFonts w:ascii="Arial" w:eastAsia="Calibri" w:hAnsi="Arial" w:cs="Arial"/>
          <w:i/>
          <w:iCs/>
          <w:color w:val="340500"/>
          <w:sz w:val="22"/>
          <w:szCs w:val="22"/>
        </w:rPr>
        <w:t>UPS Horizons</w:t>
      </w:r>
      <w:r w:rsidRPr="00F52D74">
        <w:rPr>
          <w:rFonts w:ascii="Arial" w:eastAsia="Calibri" w:hAnsi="Arial" w:cs="Arial"/>
          <w:color w:val="340500"/>
          <w:sz w:val="22"/>
          <w:szCs w:val="22"/>
        </w:rPr>
        <w:t xml:space="preserve">, can be found at </w:t>
      </w:r>
      <w:hyperlink r:id="rId16" w:history="1">
        <w:r w:rsidRPr="00F52D74">
          <w:rPr>
            <w:rFonts w:ascii="Arial" w:eastAsia="Calibri" w:hAnsi="Arial" w:cs="Arial"/>
            <w:color w:val="0563C1"/>
            <w:sz w:val="22"/>
            <w:szCs w:val="22"/>
            <w:u w:val="single"/>
          </w:rPr>
          <w:t>ups.com/</w:t>
        </w:r>
        <w:proofErr w:type="spellStart"/>
        <w:r w:rsidRPr="00F52D74">
          <w:rPr>
            <w:rFonts w:ascii="Arial" w:eastAsia="Calibri" w:hAnsi="Arial" w:cs="Arial"/>
            <w:color w:val="0563C1"/>
            <w:sz w:val="22"/>
            <w:szCs w:val="22"/>
            <w:u w:val="single"/>
          </w:rPr>
          <w:t>sustainabilitynewsletter</w:t>
        </w:r>
        <w:proofErr w:type="spellEnd"/>
      </w:hyperlink>
      <w:r w:rsidRPr="00F52D74">
        <w:rPr>
          <w:rFonts w:ascii="Arial" w:eastAsia="Calibri" w:hAnsi="Arial" w:cs="Arial"/>
          <w:color w:val="340500"/>
          <w:sz w:val="22"/>
          <w:szCs w:val="22"/>
        </w:rPr>
        <w:t>.</w:t>
      </w:r>
      <w:r w:rsidRPr="00F52D74">
        <w:rPr>
          <w:rFonts w:ascii="Arial" w:eastAsia="Calibri" w:hAnsi="Arial" w:cs="Arial"/>
          <w:color w:val="340500"/>
          <w:sz w:val="22"/>
          <w:szCs w:val="22"/>
          <w:shd w:val="clear" w:color="auto" w:fill="FFFFFF"/>
        </w:rPr>
        <w:t> </w:t>
      </w:r>
      <w:r w:rsidRPr="00F52D74">
        <w:rPr>
          <w:rFonts w:ascii="Arial" w:eastAsia="Calibri" w:hAnsi="Arial" w:cs="Arial"/>
          <w:sz w:val="22"/>
          <w:szCs w:val="22"/>
        </w:rPr>
        <w:t>To get UPS news direct, follow </w:t>
      </w:r>
      <w:hyperlink r:id="rId17" w:tgtFrame="_blank" w:tooltip="@UPS_News" w:history="1">
        <w:r w:rsidRPr="00F52D74">
          <w:rPr>
            <w:rFonts w:ascii="Arial" w:eastAsia="Calibri" w:hAnsi="Arial" w:cs="Arial"/>
            <w:bCs/>
            <w:color w:val="0563C1"/>
            <w:sz w:val="22"/>
            <w:szCs w:val="22"/>
            <w:u w:val="single"/>
          </w:rPr>
          <w:t>@</w:t>
        </w:r>
        <w:proofErr w:type="spellStart"/>
        <w:r w:rsidRPr="00F52D74">
          <w:rPr>
            <w:rFonts w:ascii="Arial" w:eastAsia="Calibri" w:hAnsi="Arial" w:cs="Arial"/>
            <w:bCs/>
            <w:color w:val="0563C1"/>
            <w:sz w:val="22"/>
            <w:szCs w:val="22"/>
            <w:u w:val="single"/>
          </w:rPr>
          <w:t>UPS_News</w:t>
        </w:r>
        <w:proofErr w:type="spellEnd"/>
      </w:hyperlink>
      <w:r w:rsidRPr="00F52D74">
        <w:rPr>
          <w:rFonts w:ascii="Arial" w:eastAsia="Calibri" w:hAnsi="Arial" w:cs="Arial"/>
          <w:sz w:val="22"/>
          <w:szCs w:val="22"/>
        </w:rPr>
        <w:t xml:space="preserve"> on Twitter.</w:t>
      </w:r>
    </w:p>
    <w:p w:rsidR="00BE1820" w:rsidRDefault="00BE1820" w:rsidP="000C3C38">
      <w:pPr>
        <w:ind w:firstLine="720"/>
        <w:rPr>
          <w:rStyle w:val="Hyperlink"/>
          <w:rFonts w:ascii="Arial" w:hAnsi="Arial" w:cs="Arial"/>
          <w:b/>
          <w:color w:val="auto"/>
          <w:sz w:val="22"/>
          <w:szCs w:val="22"/>
          <w:u w:val="none"/>
          <w:shd w:val="clear" w:color="auto" w:fill="FFFFFF"/>
        </w:rPr>
      </w:pPr>
    </w:p>
    <w:p w:rsidR="00BE1820" w:rsidRPr="00E466EA" w:rsidRDefault="00BE1820" w:rsidP="000C3C38">
      <w:pPr>
        <w:ind w:firstLine="720"/>
        <w:rPr>
          <w:rFonts w:ascii="Arial" w:hAnsi="Arial" w:cs="Arial"/>
          <w:b/>
          <w:bCs/>
          <w:sz w:val="22"/>
          <w:szCs w:val="22"/>
          <w:lang w:val="en-GB"/>
        </w:rPr>
      </w:pPr>
    </w:p>
    <w:p w:rsidR="00BE1820" w:rsidRPr="009E5710" w:rsidRDefault="00BE1820" w:rsidP="00BE1820">
      <w:pPr>
        <w:spacing w:line="288" w:lineRule="auto"/>
        <w:rPr>
          <w:rFonts w:ascii="Arial" w:eastAsia="Arial" w:hAnsi="Arial"/>
          <w:b/>
          <w:sz w:val="22"/>
        </w:rPr>
      </w:pPr>
      <w:r w:rsidRPr="009E5710">
        <w:rPr>
          <w:rFonts w:ascii="Arial" w:eastAsia="Arial" w:hAnsi="Arial"/>
          <w:b/>
          <w:color w:val="000000"/>
          <w:sz w:val="22"/>
          <w:u w:val="single" w:color="000000"/>
        </w:rPr>
        <w:t>Forward-Looking Statements</w:t>
      </w:r>
    </w:p>
    <w:p w:rsidR="00BE1820" w:rsidRPr="009E5710" w:rsidRDefault="00BE1820" w:rsidP="00BE1820">
      <w:pPr>
        <w:spacing w:line="288" w:lineRule="auto"/>
      </w:pPr>
    </w:p>
    <w:p w:rsidR="00BE1820" w:rsidRDefault="00BE1820" w:rsidP="00BE1820">
      <w:pPr>
        <w:spacing w:after="240" w:line="288" w:lineRule="auto"/>
        <w:ind w:firstLine="720"/>
        <w:rPr>
          <w:rFonts w:ascii="Arial" w:eastAsia="Arial" w:hAnsi="Arial" w:cs="Arial"/>
          <w:sz w:val="22"/>
        </w:rPr>
      </w:pPr>
      <w:r>
        <w:rPr>
          <w:rFonts w:ascii="Arial" w:eastAsia="Arial" w:hAnsi="Arial" w:cs="Arial"/>
          <w:sz w:val="22"/>
        </w:rPr>
        <w:t>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 prospects and future results, involve certain risks and uncertainties.</w:t>
      </w:r>
    </w:p>
    <w:p w:rsidR="00BE1820" w:rsidRPr="009E5710" w:rsidRDefault="00BE1820" w:rsidP="00BE1820">
      <w:pPr>
        <w:spacing w:after="240" w:line="288" w:lineRule="auto"/>
        <w:ind w:firstLine="720"/>
        <w:rPr>
          <w:rFonts w:ascii="Arial" w:eastAsia="Arial" w:hAnsi="Arial"/>
          <w:sz w:val="22"/>
        </w:rPr>
      </w:pPr>
      <w:r>
        <w:rPr>
          <w:rFonts w:ascii="Arial" w:eastAsia="Arial" w:hAnsi="Arial" w:cs="Arial"/>
          <w:sz w:val="22"/>
        </w:rPr>
        <w:t>Certain factors may cause actual results to differ materially from those contained in the forward-looking statements, including changes in economic and other conditions in the markets in which we operate, governmental regulations (including tax laws and regulations), our competitive environment, in the facts or assumptions underlying our health and pension benefit funding obligations, results of negotiation and ratification of labor contracts, the impact of any strikes, work stoppages or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BE1820" w:rsidRDefault="00BE1820" w:rsidP="00BE1820">
      <w:pPr>
        <w:spacing w:after="240" w:line="288" w:lineRule="auto"/>
        <w:ind w:firstLine="720"/>
        <w:rPr>
          <w:rFonts w:ascii="Arial" w:eastAsia="Arial" w:hAnsi="Arial" w:cs="Arial"/>
          <w:sz w:val="22"/>
        </w:rPr>
      </w:pPr>
    </w:p>
    <w:p w:rsidR="00BE1820" w:rsidRPr="009E5710" w:rsidRDefault="00BE1820" w:rsidP="00BE1820">
      <w:pPr>
        <w:spacing w:line="288" w:lineRule="auto"/>
        <w:rPr>
          <w:rFonts w:ascii="Arial" w:eastAsia="Arial" w:hAnsi="Arial"/>
          <w:b/>
          <w:sz w:val="22"/>
        </w:rPr>
      </w:pPr>
      <w:r w:rsidRPr="009E5710">
        <w:rPr>
          <w:rFonts w:ascii="Arial" w:eastAsia="Arial" w:hAnsi="Arial"/>
          <w:b/>
          <w:color w:val="000000"/>
          <w:sz w:val="22"/>
          <w:u w:val="single" w:color="000000"/>
        </w:rPr>
        <w:t>Reconciliation of GAAP and non-GAAP Financial Measures</w:t>
      </w:r>
    </w:p>
    <w:p w:rsidR="00BE1820" w:rsidRPr="009E5710" w:rsidRDefault="00BE1820" w:rsidP="00BE1820">
      <w:pPr>
        <w:spacing w:line="288" w:lineRule="auto"/>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We supplement the reporting of our financial information determined under generally accepted accounting principles ("GAAP") with certain non-GAAP financial measures, including, as applicable, "as adjusted" operating profit, operating margin, other income (expense), pre-tax income, net income and earnings per share. The equivalent measures determined in accordance with GAAP are also referred to as "reported" or "unadjusted.” Additionally, we periodically disclose free cash flow, free cash flow excluding discretionary pension contributions, as well as currency-neutral revenue, revenue per piece and operating profit.</w:t>
      </w:r>
    </w:p>
    <w:p w:rsidR="00BE1820" w:rsidRPr="009E5710" w:rsidRDefault="00BE1820" w:rsidP="00BE1820">
      <w:pPr>
        <w:spacing w:line="288" w:lineRule="auto"/>
        <w:ind w:firstLine="720"/>
      </w:pPr>
    </w:p>
    <w:p w:rsidR="00BE1820" w:rsidRPr="009E5710" w:rsidRDefault="00BE1820" w:rsidP="00BE1820">
      <w:pPr>
        <w:spacing w:line="288" w:lineRule="auto"/>
      </w:pPr>
      <w:r w:rsidRPr="009E5710">
        <w:tab/>
      </w:r>
      <w:r>
        <w:rPr>
          <w:rFonts w:ascii="Arial" w:eastAsia="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impact from any hedging activities; other pension and postretirement related items; and debt modifications.</w:t>
      </w:r>
    </w:p>
    <w:p w:rsidR="00BE1820" w:rsidRPr="009E5710" w:rsidRDefault="00BE1820" w:rsidP="00BE1820">
      <w:pPr>
        <w:spacing w:line="288" w:lineRule="auto"/>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rsidR="00BE1820" w:rsidRPr="009E5710" w:rsidRDefault="00BE1820" w:rsidP="00BE1820">
      <w:pPr>
        <w:spacing w:line="288" w:lineRule="auto"/>
        <w:ind w:firstLine="720"/>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rsidR="00BE1820" w:rsidRPr="009E5710" w:rsidRDefault="00BE1820" w:rsidP="00BE1820">
      <w:pPr>
        <w:spacing w:line="288" w:lineRule="auto"/>
      </w:pPr>
    </w:p>
    <w:p w:rsidR="00BE1820" w:rsidRPr="003C1268" w:rsidRDefault="00BE1820" w:rsidP="00BE1820">
      <w:pPr>
        <w:spacing w:after="240" w:line="288" w:lineRule="auto"/>
        <w:rPr>
          <w:rFonts w:ascii="Arial" w:eastAsia="Arial" w:hAnsi="Arial" w:cs="Arial"/>
          <w:i/>
          <w:sz w:val="22"/>
        </w:rPr>
      </w:pPr>
      <w:r w:rsidRPr="003C1268">
        <w:rPr>
          <w:rFonts w:ascii="Arial" w:eastAsia="Arial" w:hAnsi="Arial" w:cs="Arial"/>
          <w:i/>
          <w:sz w:val="22"/>
        </w:rPr>
        <w:t>Mark-To-Market Pension and Postretirement Adjustments</w:t>
      </w:r>
    </w:p>
    <w:p w:rsidR="00BE1820" w:rsidRPr="003C1268" w:rsidRDefault="00BE1820" w:rsidP="00BE1820">
      <w:pPr>
        <w:spacing w:after="240" w:line="288" w:lineRule="auto"/>
        <w:ind w:firstLine="720"/>
        <w:rPr>
          <w:rFonts w:ascii="Arial" w:eastAsia="Arial" w:hAnsi="Arial" w:cs="Arial"/>
          <w:sz w:val="22"/>
        </w:rPr>
      </w:pPr>
      <w:r w:rsidRPr="003C1268">
        <w:rPr>
          <w:rFonts w:ascii="Arial" w:eastAsia="Arial" w:hAnsi="Arial" w:cs="Arial"/>
          <w:sz w:val="22"/>
        </w:rPr>
        <w:t xml:space="preserve">We recognize changes in the fair value of plan assets and net actuarial gains and losses in excess of a 10% corridor for company-sponsored pension and post-retirement obligations immediately as part of net periodic benefit cost. We supplement the presentation of our operating profit, operating margin, pre-tax income, net income and earnings per share with similar non-GAAP measures that exclude the impact of the portion of net periodic benefit cost represented by the gains and losses recognized in excess of the 10% corridor and the related income tax effects. We believe this adjusted net periodic benefit cost provides important supplemental information that reflects the anticipated long-term cost of our defined benefit </w:t>
      </w:r>
      <w:r w:rsidRPr="003C1268">
        <w:rPr>
          <w:rFonts w:ascii="Arial" w:eastAsia="Arial" w:hAnsi="Arial" w:cs="Arial"/>
          <w:sz w:val="22"/>
        </w:rPr>
        <w:lastRenderedPageBreak/>
        <w:t>plans, and provides a benchmark for historical defined benefit cost trends that may provide useful comparison of year-to-year financial performance without considering the short-term impact of changes in market interest rates, equity prices, and similar factors.</w:t>
      </w:r>
    </w:p>
    <w:p w:rsidR="00BE1820" w:rsidRPr="003C1268" w:rsidRDefault="00BE1820" w:rsidP="00BE1820">
      <w:pPr>
        <w:spacing w:after="240" w:line="288" w:lineRule="auto"/>
        <w:ind w:firstLine="720"/>
        <w:rPr>
          <w:rFonts w:ascii="Arial" w:eastAsia="Arial" w:hAnsi="Arial" w:cs="Arial"/>
          <w:sz w:val="22"/>
        </w:rPr>
      </w:pPr>
      <w:r w:rsidRPr="003C1268">
        <w:rPr>
          <w:rFonts w:ascii="Arial" w:eastAsia="Arial" w:hAnsi="Arial" w:cs="Arial"/>
          <w:sz w:val="22"/>
        </w:rPr>
        <w:t>This adjusted net periodic benefit cost ($615 million in 2018 and $843 million in 2017) is comparable to the accounting for our defined benefit plans in our quarterly reporting under U.S. GAAP, utilizing the expected return on plan assets (7.68% in 2018 and 8.65% in 2017) and the discount rate used to determine net periodic benefit cost (3.81% in 2018 and 4.34% in 2017).  The non-adjusted net periodic benefit cost reflects the actual return on plan assets (-2.38% in 2018 and 14.25% in 2017) and the discount rate used to measure the projected benefit obligation at the December 31 measurement date (4.45% in 2018 and 3.81% in 2017).</w:t>
      </w:r>
    </w:p>
    <w:p w:rsidR="00BE1820" w:rsidRPr="003C1268" w:rsidRDefault="00BE1820" w:rsidP="00BE1820">
      <w:pPr>
        <w:spacing w:after="240" w:line="288" w:lineRule="auto"/>
        <w:ind w:firstLine="720"/>
        <w:rPr>
          <w:rFonts w:ascii="Arial" w:eastAsia="Arial" w:hAnsi="Arial" w:cs="Arial"/>
          <w:sz w:val="22"/>
        </w:rPr>
      </w:pPr>
      <w:r w:rsidRPr="003C1268">
        <w:rPr>
          <w:rFonts w:ascii="Arial" w:eastAsia="Arial" w:hAnsi="Arial" w:cs="Arial"/>
          <w:sz w:val="22"/>
        </w:rPr>
        <w:t>The deferred income tax effects of these mark-to-market pension and postretirement adjustments are calculated by multiplying the statutory tax rates applicable in each tax jurisdiction, including the U.S. federal jurisdiction and various U.S. state and non-U.S. jurisdictions, by the adjustments. The blended average of the applicable statutory t</w:t>
      </w:r>
      <w:r>
        <w:rPr>
          <w:rFonts w:ascii="Arial" w:eastAsia="Arial" w:hAnsi="Arial" w:cs="Arial"/>
          <w:sz w:val="22"/>
        </w:rPr>
        <w:t>ax rates in 2018 and 2017 was 24.0% and 24.1</w:t>
      </w:r>
      <w:r w:rsidRPr="003C1268">
        <w:rPr>
          <w:rFonts w:ascii="Arial" w:eastAsia="Arial" w:hAnsi="Arial" w:cs="Arial"/>
          <w:sz w:val="22"/>
        </w:rPr>
        <w:t>%, respectively.</w:t>
      </w:r>
    </w:p>
    <w:p w:rsidR="00BE1820" w:rsidRDefault="00BE1820" w:rsidP="00BE1820">
      <w:pPr>
        <w:spacing w:line="288" w:lineRule="auto"/>
        <w:rPr>
          <w:rFonts w:ascii="Arial" w:eastAsia="Arial" w:hAnsi="Arial" w:cs="Arial"/>
          <w:i/>
          <w:sz w:val="22"/>
        </w:rPr>
      </w:pPr>
      <w:r>
        <w:rPr>
          <w:rFonts w:ascii="Arial" w:eastAsia="Arial" w:hAnsi="Arial" w:cs="Arial"/>
          <w:i/>
          <w:sz w:val="22"/>
        </w:rPr>
        <w:t>Costs Related to Restructuring Programs; Transformation Strategy Costs</w:t>
      </w:r>
    </w:p>
    <w:p w:rsidR="00BE1820" w:rsidRPr="009E5710" w:rsidRDefault="00BE1820" w:rsidP="00BE1820">
      <w:pPr>
        <w:spacing w:line="288" w:lineRule="auto"/>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We supplement the presentation of our operating profit, operating margin, pre-tax income, net income and earnings per share with similar non-GAAP measures that exclude the impact of costs related to restructuring programs, including transformation strategy costs.  We believe this adjusted information provides a useful comparison of year-to-year financial performance without considering the short-term impact of restructuring costs. We evaluate the performance of our businesses on a</w:t>
      </w:r>
      <w:r w:rsidR="001C5443">
        <w:rPr>
          <w:rFonts w:ascii="Arial" w:eastAsia="Arial" w:hAnsi="Arial" w:cs="Arial"/>
          <w:sz w:val="22"/>
        </w:rPr>
        <w:t>n</w:t>
      </w:r>
      <w:r>
        <w:rPr>
          <w:rFonts w:ascii="Arial" w:eastAsia="Arial" w:hAnsi="Arial" w:cs="Arial"/>
          <w:sz w:val="22"/>
        </w:rPr>
        <w:t xml:space="preserve"> adjusted basis.</w:t>
      </w:r>
    </w:p>
    <w:p w:rsidR="00BE1820" w:rsidRPr="009E5710" w:rsidRDefault="00BE1820" w:rsidP="00BE1820">
      <w:pPr>
        <w:spacing w:line="288" w:lineRule="auto"/>
        <w:ind w:firstLine="720"/>
      </w:pPr>
    </w:p>
    <w:p w:rsidR="00BE1820" w:rsidRDefault="00BE1820" w:rsidP="00BE1820">
      <w:pPr>
        <w:spacing w:line="288" w:lineRule="auto"/>
        <w:rPr>
          <w:rFonts w:ascii="Arial" w:eastAsia="Arial" w:hAnsi="Arial" w:cs="Arial"/>
          <w:i/>
          <w:sz w:val="22"/>
        </w:rPr>
      </w:pPr>
      <w:r>
        <w:rPr>
          <w:rFonts w:ascii="Arial" w:eastAsia="Arial" w:hAnsi="Arial" w:cs="Arial"/>
          <w:i/>
          <w:sz w:val="22"/>
        </w:rPr>
        <w:t>Impact of Changes in Foreign Currency Exchange Rates and Hedging Activities</w:t>
      </w:r>
    </w:p>
    <w:p w:rsidR="00BE1820" w:rsidRPr="009E5710" w:rsidRDefault="00BE1820" w:rsidP="00BE1820">
      <w:pPr>
        <w:spacing w:line="288" w:lineRule="auto"/>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businesses on this currency-neutral basis.</w:t>
      </w:r>
    </w:p>
    <w:p w:rsidR="00BE1820" w:rsidRDefault="00BE1820" w:rsidP="00BE1820">
      <w:pPr>
        <w:spacing w:line="288" w:lineRule="auto"/>
        <w:ind w:firstLine="720"/>
        <w:rPr>
          <w:rFonts w:ascii="Arial" w:eastAsia="Arial" w:hAnsi="Arial" w:cs="Arial"/>
          <w:sz w:val="22"/>
        </w:rPr>
      </w:pPr>
    </w:p>
    <w:p w:rsidR="00BE1820" w:rsidRDefault="00BE1820" w:rsidP="00BE1820">
      <w:pPr>
        <w:spacing w:line="288" w:lineRule="auto"/>
        <w:ind w:firstLine="720"/>
        <w:rPr>
          <w:rFonts w:ascii="Arial" w:eastAsia="Arial" w:hAnsi="Arial" w:cs="Arial"/>
          <w:sz w:val="22"/>
        </w:rPr>
      </w:pPr>
      <w:r>
        <w:rPr>
          <w:rFonts w:ascii="Arial" w:eastAsia="Arial" w:hAnsi="Arial" w:cs="Arial"/>
          <w:sz w:val="22"/>
        </w:rPr>
        <w:t xml:space="preserve">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w:t>
      </w:r>
      <w:r>
        <w:rPr>
          <w:rFonts w:ascii="Arial" w:eastAsia="Arial" w:hAnsi="Arial" w:cs="Arial"/>
          <w:sz w:val="22"/>
        </w:rPr>
        <w:lastRenderedPageBreak/>
        <w:t>and the derived current period U.S. dollar revenue, revenue per piece and operating profit is the period over period impact of currency fluctuations.</w:t>
      </w:r>
    </w:p>
    <w:p w:rsidR="00BE1820" w:rsidRPr="009E5710" w:rsidRDefault="00BE1820" w:rsidP="00BE1820">
      <w:pPr>
        <w:spacing w:line="288" w:lineRule="auto"/>
        <w:rPr>
          <w:rFonts w:ascii="Arial" w:eastAsia="Arial" w:hAnsi="Arial"/>
          <w:i/>
          <w:sz w:val="22"/>
        </w:rPr>
      </w:pPr>
    </w:p>
    <w:p w:rsidR="00BE1820" w:rsidRPr="003B639B" w:rsidRDefault="00BE1820" w:rsidP="00BE1820">
      <w:pPr>
        <w:spacing w:line="288" w:lineRule="auto"/>
        <w:rPr>
          <w:rFonts w:ascii="Arial" w:eastAsia="Arial" w:hAnsi="Arial" w:cs="Arial"/>
          <w:i/>
          <w:sz w:val="22"/>
        </w:rPr>
      </w:pPr>
      <w:r w:rsidRPr="003B639B">
        <w:rPr>
          <w:rFonts w:ascii="Arial" w:eastAsia="Arial" w:hAnsi="Arial" w:cs="Arial"/>
          <w:i/>
          <w:sz w:val="22"/>
        </w:rPr>
        <w:t>Free Cash Flow and Adjusted Capital Expenditures</w:t>
      </w:r>
    </w:p>
    <w:p w:rsidR="00BE1820" w:rsidRPr="009E5710" w:rsidRDefault="00BE1820" w:rsidP="00BE1820">
      <w:pPr>
        <w:spacing w:line="288" w:lineRule="auto"/>
        <w:rPr>
          <w:rFonts w:ascii="Arial" w:eastAsia="Arial" w:hAnsi="Arial"/>
          <w:sz w:val="22"/>
        </w:rPr>
      </w:pPr>
    </w:p>
    <w:p w:rsidR="003B4B07" w:rsidRDefault="00BE1820" w:rsidP="00BE1820">
      <w:pPr>
        <w:spacing w:line="288" w:lineRule="auto"/>
        <w:ind w:firstLine="720"/>
        <w:rPr>
          <w:rFonts w:ascii="Arial" w:eastAsia="Arial" w:hAnsi="Arial" w:cs="Arial"/>
          <w:sz w:val="22"/>
        </w:rPr>
      </w:pPr>
      <w:r w:rsidRPr="003B639B">
        <w:rPr>
          <w:rFonts w:ascii="Arial" w:eastAsia="Arial" w:hAnsi="Arial" w:cs="Arial"/>
          <w:sz w:val="22"/>
        </w:rPr>
        <w:t xml:space="preserve">We supplement the reporting of cash flows from operating activities with free cash flow, free cash flow excluding discretionary pension contributions and free cash flow plus principal repayments of capital lease obligations, non-GAAP liquidity measures. We believe </w:t>
      </w:r>
      <w:r>
        <w:rPr>
          <w:rFonts w:ascii="Arial" w:eastAsia="Arial" w:hAnsi="Arial" w:cs="Arial"/>
          <w:sz w:val="22"/>
        </w:rPr>
        <w:t xml:space="preserve">these </w:t>
      </w:r>
      <w:r w:rsidRPr="003B639B">
        <w:rPr>
          <w:rFonts w:ascii="Arial" w:eastAsia="Arial" w:hAnsi="Arial" w:cs="Arial"/>
          <w:sz w:val="22"/>
        </w:rPr>
        <w:t xml:space="preserve">free cash flow </w:t>
      </w:r>
      <w:r>
        <w:rPr>
          <w:rFonts w:ascii="Arial" w:eastAsia="Arial" w:hAnsi="Arial" w:cs="Arial"/>
          <w:sz w:val="22"/>
        </w:rPr>
        <w:t>measures are</w:t>
      </w:r>
      <w:r w:rsidRPr="003B639B">
        <w:rPr>
          <w:rFonts w:ascii="Arial" w:eastAsia="Arial" w:hAnsi="Arial" w:cs="Arial"/>
          <w:sz w:val="22"/>
        </w:rPr>
        <w:t xml:space="preserve"> important indicator</w:t>
      </w:r>
      <w:r>
        <w:rPr>
          <w:rFonts w:ascii="Arial" w:eastAsia="Arial" w:hAnsi="Arial" w:cs="Arial"/>
          <w:sz w:val="22"/>
        </w:rPr>
        <w:t>s</w:t>
      </w:r>
      <w:r w:rsidRPr="003B639B">
        <w:rPr>
          <w:rFonts w:ascii="Arial" w:eastAsia="Arial" w:hAnsi="Arial" w:cs="Arial"/>
          <w:sz w:val="22"/>
        </w:rPr>
        <w:t xml:space="preserve"> of how much cash is generated by regular business operations and we use it as a measure of incremental cash available to invest in our business, meet our debt obligations and return cash to shareowners. Additionally, we believe that adjusting ca</w:t>
      </w:r>
      <w:r>
        <w:rPr>
          <w:rFonts w:ascii="Arial" w:eastAsia="Arial" w:hAnsi="Arial" w:cs="Arial"/>
          <w:sz w:val="22"/>
        </w:rPr>
        <w:t>pital expenditures for principal</w:t>
      </w:r>
      <w:r w:rsidRPr="003B639B">
        <w:rPr>
          <w:rFonts w:ascii="Arial" w:eastAsia="Arial" w:hAnsi="Arial" w:cs="Arial"/>
          <w:sz w:val="22"/>
        </w:rPr>
        <w:t xml:space="preserve"> repayments of capital lease obligations </w:t>
      </w:r>
      <w:r>
        <w:rPr>
          <w:rFonts w:ascii="Arial" w:eastAsia="Arial" w:hAnsi="Arial" w:cs="Arial"/>
          <w:sz w:val="22"/>
        </w:rPr>
        <w:t xml:space="preserve">more appropriately </w:t>
      </w:r>
      <w:r w:rsidRPr="003B639B">
        <w:rPr>
          <w:rFonts w:ascii="Arial" w:eastAsia="Arial" w:hAnsi="Arial" w:cs="Arial"/>
          <w:sz w:val="22"/>
        </w:rPr>
        <w:t>reflects the overall cash that we have invested in capital assets.</w:t>
      </w:r>
      <w:r>
        <w:rPr>
          <w:i/>
          <w:sz w:val="16"/>
        </w:rPr>
        <w:t xml:space="preserve">   </w:t>
      </w:r>
      <w:r w:rsidRPr="003B639B">
        <w:rPr>
          <w:rFonts w:ascii="Arial" w:eastAsia="Arial" w:hAnsi="Arial" w:cs="Arial"/>
          <w:sz w:val="22"/>
        </w:rPr>
        <w:t xml:space="preserve">We calculate free cash flow as cash flows from operating activities less capital expenditures, proceeds from disposals of property, plant and equipment, and plus or minus the net changes in finance receivables </w:t>
      </w:r>
      <w:r>
        <w:rPr>
          <w:rFonts w:ascii="Arial" w:eastAsia="Arial" w:hAnsi="Arial" w:cs="Arial"/>
          <w:sz w:val="22"/>
        </w:rPr>
        <w:t>and other investing activities</w:t>
      </w:r>
      <w:r w:rsidRPr="003B639B">
        <w:rPr>
          <w:rFonts w:ascii="Arial" w:eastAsia="Arial" w:hAnsi="Arial" w:cs="Arial"/>
          <w:sz w:val="22"/>
        </w:rPr>
        <w:t xml:space="preserve">. </w:t>
      </w:r>
      <w:r>
        <w:rPr>
          <w:rFonts w:ascii="Arial" w:eastAsia="Arial" w:hAnsi="Arial" w:cs="Arial"/>
          <w:sz w:val="22"/>
        </w:rPr>
        <w:t xml:space="preserve">Free cash flow excluding discretionary pension contributions adds back any discretionary pension contributions made during the period. </w:t>
      </w:r>
    </w:p>
    <w:p w:rsidR="003B4B07" w:rsidRDefault="003B4B07">
      <w:pPr>
        <w:rPr>
          <w:rFonts w:ascii="Arial" w:eastAsia="Arial" w:hAnsi="Arial" w:cs="Arial"/>
          <w:sz w:val="22"/>
        </w:rPr>
      </w:pPr>
      <w:r>
        <w:rPr>
          <w:rFonts w:ascii="Arial" w:eastAsia="Arial" w:hAnsi="Arial" w:cs="Arial"/>
          <w:sz w:val="22"/>
        </w:rPr>
        <w:br w:type="page"/>
      </w:r>
    </w:p>
    <w:p w:rsidR="00BE1820" w:rsidRPr="009E5710" w:rsidRDefault="00BE1820" w:rsidP="00BE1820">
      <w:pPr>
        <w:spacing w:line="288" w:lineRule="auto"/>
        <w:ind w:firstLine="720"/>
        <w:rPr>
          <w:i/>
          <w:sz w:val="16"/>
        </w:rPr>
      </w:pPr>
      <w:r>
        <w:rPr>
          <w:rFonts w:ascii="Arial" w:eastAsia="Arial" w:hAnsi="Arial" w:cs="Arial"/>
          <w:sz w:val="22"/>
        </w:rPr>
        <w:lastRenderedPageBreak/>
        <w:t xml:space="preserve"> </w:t>
      </w:r>
      <w:r w:rsidR="003B4B07" w:rsidRPr="003B4B07">
        <w:rPr>
          <w:rFonts w:eastAsia="Arial"/>
          <w:noProof/>
        </w:rPr>
        <w:drawing>
          <wp:inline distT="0" distB="0" distL="0" distR="0">
            <wp:extent cx="5943600" cy="6764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764542"/>
                    </a:xfrm>
                    <a:prstGeom prst="rect">
                      <a:avLst/>
                    </a:prstGeom>
                    <a:noFill/>
                    <a:ln>
                      <a:noFill/>
                    </a:ln>
                  </pic:spPr>
                </pic:pic>
              </a:graphicData>
            </a:graphic>
          </wp:inline>
        </w:drawing>
      </w:r>
    </w:p>
    <w:p w:rsidR="00BE1820" w:rsidRPr="009E5710" w:rsidRDefault="00BE1820" w:rsidP="00BE1820">
      <w:pPr>
        <w:spacing w:line="288" w:lineRule="auto"/>
        <w:rPr>
          <w:i/>
          <w:sz w:val="16"/>
        </w:rPr>
      </w:pPr>
    </w:p>
    <w:p w:rsidR="00BE1820" w:rsidRPr="009E5710" w:rsidRDefault="00BE1820" w:rsidP="00BE1820">
      <w:pPr>
        <w:spacing w:line="288" w:lineRule="auto"/>
        <w:rPr>
          <w:i/>
          <w:sz w:val="16"/>
        </w:rPr>
      </w:pPr>
    </w:p>
    <w:p w:rsidR="00BE1820" w:rsidRPr="009E5710" w:rsidRDefault="00BE1820" w:rsidP="00BE1820">
      <w:pPr>
        <w:spacing w:line="288" w:lineRule="auto"/>
        <w:rPr>
          <w:i/>
          <w:sz w:val="16"/>
        </w:rPr>
      </w:pPr>
    </w:p>
    <w:p w:rsidR="00BE1820" w:rsidRPr="009E5710" w:rsidRDefault="00BE1820" w:rsidP="00BE1820">
      <w:pPr>
        <w:spacing w:line="288" w:lineRule="auto"/>
        <w:rPr>
          <w:sz w:val="15"/>
        </w:rPr>
      </w:pPr>
    </w:p>
    <w:p w:rsidR="00DA084F" w:rsidRDefault="003B4B07" w:rsidP="00DA084F">
      <w:pPr>
        <w:autoSpaceDE w:val="0"/>
        <w:autoSpaceDN w:val="0"/>
        <w:adjustRightInd w:val="0"/>
        <w:ind w:firstLine="720"/>
        <w:rPr>
          <w:rFonts w:ascii="Arial" w:hAnsi="Arial" w:cs="Arial"/>
          <w:sz w:val="22"/>
          <w:szCs w:val="22"/>
        </w:rPr>
      </w:pPr>
      <w:r w:rsidRPr="003B4B07">
        <w:rPr>
          <w:noProof/>
        </w:rPr>
        <w:lastRenderedPageBreak/>
        <w:drawing>
          <wp:inline distT="0" distB="0" distL="0" distR="0">
            <wp:extent cx="5468730" cy="46431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8454" cy="4659867"/>
                    </a:xfrm>
                    <a:prstGeom prst="rect">
                      <a:avLst/>
                    </a:prstGeom>
                    <a:noFill/>
                    <a:ln>
                      <a:noFill/>
                    </a:ln>
                  </pic:spPr>
                </pic:pic>
              </a:graphicData>
            </a:graphic>
          </wp:inline>
        </w:drawing>
      </w:r>
    </w:p>
    <w:p w:rsidR="003B4B07" w:rsidRPr="00E466EA" w:rsidRDefault="003B4B07" w:rsidP="00DA084F">
      <w:pPr>
        <w:autoSpaceDE w:val="0"/>
        <w:autoSpaceDN w:val="0"/>
        <w:adjustRightInd w:val="0"/>
        <w:ind w:firstLine="720"/>
        <w:rPr>
          <w:rFonts w:ascii="Arial" w:hAnsi="Arial" w:cs="Arial"/>
          <w:sz w:val="22"/>
          <w:szCs w:val="22"/>
        </w:rPr>
      </w:pPr>
      <w:r w:rsidRPr="003B4B07">
        <w:rPr>
          <w:noProof/>
        </w:rPr>
        <w:lastRenderedPageBreak/>
        <w:drawing>
          <wp:inline distT="0" distB="0" distL="0" distR="0">
            <wp:extent cx="5526156" cy="46278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3001" cy="4633613"/>
                    </a:xfrm>
                    <a:prstGeom prst="rect">
                      <a:avLst/>
                    </a:prstGeom>
                    <a:noFill/>
                    <a:ln>
                      <a:noFill/>
                    </a:ln>
                  </pic:spPr>
                </pic:pic>
              </a:graphicData>
            </a:graphic>
          </wp:inline>
        </w:drawing>
      </w:r>
    </w:p>
    <w:p w:rsidR="001B2EED" w:rsidRDefault="001B2EED" w:rsidP="000731C1">
      <w:pPr>
        <w:autoSpaceDE w:val="0"/>
        <w:autoSpaceDN w:val="0"/>
        <w:adjustRightInd w:val="0"/>
        <w:rPr>
          <w:rFonts w:ascii="Arial" w:hAnsi="Arial" w:cs="Arial"/>
          <w:sz w:val="22"/>
          <w:szCs w:val="22"/>
        </w:rPr>
      </w:pPr>
    </w:p>
    <w:p w:rsidR="00774DB9" w:rsidRDefault="003B4B07" w:rsidP="000731C1">
      <w:pPr>
        <w:autoSpaceDE w:val="0"/>
        <w:autoSpaceDN w:val="0"/>
        <w:adjustRightInd w:val="0"/>
        <w:rPr>
          <w:rFonts w:ascii="Arial" w:hAnsi="Arial" w:cs="Arial"/>
          <w:sz w:val="22"/>
          <w:szCs w:val="22"/>
        </w:rPr>
      </w:pPr>
      <w:r w:rsidRPr="003B4B07">
        <w:rPr>
          <w:noProof/>
        </w:rPr>
        <w:lastRenderedPageBreak/>
        <w:drawing>
          <wp:inline distT="0" distB="0" distL="0" distR="0">
            <wp:extent cx="5305425" cy="493839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5425" cy="4938395"/>
                    </a:xfrm>
                    <a:prstGeom prst="rect">
                      <a:avLst/>
                    </a:prstGeom>
                    <a:noFill/>
                    <a:ln>
                      <a:noFill/>
                    </a:ln>
                  </pic:spPr>
                </pic:pic>
              </a:graphicData>
            </a:graphic>
          </wp:inline>
        </w:drawing>
      </w:r>
    </w:p>
    <w:p w:rsidR="00774DB9" w:rsidRDefault="00774DB9" w:rsidP="000731C1">
      <w:pPr>
        <w:autoSpaceDE w:val="0"/>
        <w:autoSpaceDN w:val="0"/>
        <w:adjustRightInd w:val="0"/>
        <w:rPr>
          <w:rFonts w:ascii="Arial" w:hAnsi="Arial" w:cs="Arial"/>
          <w:sz w:val="22"/>
          <w:szCs w:val="22"/>
        </w:rPr>
      </w:pPr>
    </w:p>
    <w:sectPr w:rsidR="00774DB9" w:rsidSect="000346B8">
      <w:headerReference w:type="default" r:id="rId22"/>
      <w:footerReference w:type="default" r:id="rId23"/>
      <w:headerReference w:type="first" r:id="rId24"/>
      <w:footerReference w:type="first" r:id="rId2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04" w:rsidRDefault="00CF3204">
      <w:r>
        <w:separator/>
      </w:r>
    </w:p>
  </w:endnote>
  <w:endnote w:type="continuationSeparator" w:id="0">
    <w:p w:rsidR="00CF3204" w:rsidRDefault="00CF3204">
      <w:r>
        <w:continuationSeparator/>
      </w:r>
    </w:p>
  </w:endnote>
  <w:endnote w:type="continuationNotice" w:id="1">
    <w:p w:rsidR="00CF3204" w:rsidRDefault="00CF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74" w:rsidRPr="00034414" w:rsidRDefault="00023E74" w:rsidP="00034414">
    <w:pPr>
      <w:pStyle w:val="Footer"/>
      <w:rPr>
        <w:rFonts w:ascii="Arial" w:hAnsi="Arial" w:cs="Arial"/>
      </w:rPr>
    </w:pPr>
    <w:r>
      <w:rPr>
        <w:rFonts w:ascii="Arial" w:hAnsi="Arial" w:cs="Arial"/>
      </w:rPr>
      <w:tab/>
    </w:r>
    <w:r>
      <w:rPr>
        <w:rFonts w:ascii="Arial" w:hAnsi="Arial" w:cs="Arial"/>
      </w:rPr>
      <w:tab/>
    </w:r>
  </w:p>
  <w:p w:rsidR="00023E74" w:rsidRDefault="0002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74" w:rsidRPr="00034414" w:rsidRDefault="00023E74"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04" w:rsidRDefault="00CF3204">
      <w:r>
        <w:separator/>
      </w:r>
    </w:p>
  </w:footnote>
  <w:footnote w:type="continuationSeparator" w:id="0">
    <w:p w:rsidR="00CF3204" w:rsidRDefault="00CF3204">
      <w:r>
        <w:continuationSeparator/>
      </w:r>
    </w:p>
  </w:footnote>
  <w:footnote w:type="continuationNotice" w:id="1">
    <w:p w:rsidR="00CF3204" w:rsidRDefault="00CF3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74" w:rsidRPr="00AC447A" w:rsidRDefault="00B072C6" w:rsidP="000346B8">
    <w:pPr>
      <w:pStyle w:val="Header"/>
      <w:tabs>
        <w:tab w:val="clear" w:pos="4320"/>
        <w:tab w:val="center" w:pos="0"/>
        <w:tab w:val="left" w:pos="4665"/>
      </w:tabs>
      <w:ind w:left="3240" w:hanging="34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74" w:rsidRPr="004B2151" w:rsidRDefault="005E79B7" w:rsidP="000346B8">
    <w:pPr>
      <w:pStyle w:val="Header"/>
      <w:tabs>
        <w:tab w:val="clear" w:pos="4320"/>
        <w:tab w:val="center" w:pos="0"/>
        <w:tab w:val="left" w:pos="4665"/>
      </w:tabs>
      <w:ind w:left="3240" w:hanging="3420"/>
      <w:rPr>
        <w:rFonts w:ascii="Arial" w:hAnsi="Arial" w:cs="Arial"/>
        <w:b/>
        <w:color w:val="FF0000"/>
        <w:sz w:val="18"/>
      </w:rPr>
    </w:pPr>
    <w:r>
      <w:rPr>
        <w:rFonts w:ascii="Arial" w:hAnsi="Arial" w:cs="Arial"/>
        <w:noProof/>
        <w:sz w:val="20"/>
        <w:szCs w:val="20"/>
      </w:rPr>
      <w:drawing>
        <wp:anchor distT="0" distB="0" distL="114300" distR="114300" simplePos="0" relativeHeight="251659264" behindDoc="0" locked="0" layoutInCell="1" allowOverlap="1" wp14:anchorId="744AECEB" wp14:editId="796FE5B5">
          <wp:simplePos x="0" y="0"/>
          <wp:positionH relativeFrom="margin">
            <wp:posOffset>5418893</wp:posOffset>
          </wp:positionH>
          <wp:positionV relativeFrom="paragraph">
            <wp:posOffset>196411</wp:posOffset>
          </wp:positionV>
          <wp:extent cx="5715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023E74">
      <w:rPr>
        <w:rFonts w:ascii="Arial" w:hAnsi="Arial" w:cs="Arial"/>
        <w:b/>
      </w:rPr>
      <w:tab/>
    </w:r>
    <w:r w:rsidR="00023E74">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4"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333CD"/>
    <w:multiLevelType w:val="hybridMultilevel"/>
    <w:tmpl w:val="766CA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0"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8"/>
  </w:num>
  <w:num w:numId="3">
    <w:abstractNumId w:val="26"/>
  </w:num>
  <w:num w:numId="4">
    <w:abstractNumId w:val="21"/>
  </w:num>
  <w:num w:numId="5">
    <w:abstractNumId w:val="18"/>
  </w:num>
  <w:num w:numId="6">
    <w:abstractNumId w:val="7"/>
  </w:num>
  <w:num w:numId="7">
    <w:abstractNumId w:val="10"/>
  </w:num>
  <w:num w:numId="8">
    <w:abstractNumId w:val="35"/>
  </w:num>
  <w:num w:numId="9">
    <w:abstractNumId w:val="32"/>
  </w:num>
  <w:num w:numId="10">
    <w:abstractNumId w:val="31"/>
  </w:num>
  <w:num w:numId="11">
    <w:abstractNumId w:val="29"/>
  </w:num>
  <w:num w:numId="12">
    <w:abstractNumId w:val="40"/>
  </w:num>
  <w:num w:numId="13">
    <w:abstractNumId w:val="36"/>
  </w:num>
  <w:num w:numId="14">
    <w:abstractNumId w:val="6"/>
  </w:num>
  <w:num w:numId="15">
    <w:abstractNumId w:val="24"/>
  </w:num>
  <w:num w:numId="16">
    <w:abstractNumId w:val="0"/>
  </w:num>
  <w:num w:numId="17">
    <w:abstractNumId w:val="16"/>
  </w:num>
  <w:num w:numId="18">
    <w:abstractNumId w:val="20"/>
  </w:num>
  <w:num w:numId="19">
    <w:abstractNumId w:val="13"/>
  </w:num>
  <w:num w:numId="20">
    <w:abstractNumId w:val="25"/>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39"/>
  </w:num>
  <w:num w:numId="32">
    <w:abstractNumId w:val="37"/>
  </w:num>
  <w:num w:numId="33">
    <w:abstractNumId w:val="41"/>
  </w:num>
  <w:num w:numId="34">
    <w:abstractNumId w:val="19"/>
  </w:num>
  <w:num w:numId="35">
    <w:abstractNumId w:val="14"/>
  </w:num>
  <w:num w:numId="36">
    <w:abstractNumId w:val="17"/>
  </w:num>
  <w:num w:numId="37">
    <w:abstractNumId w:val="34"/>
  </w:num>
  <w:num w:numId="38">
    <w:abstractNumId w:val="3"/>
  </w:num>
  <w:num w:numId="39">
    <w:abstractNumId w:val="12"/>
  </w:num>
  <w:num w:numId="40">
    <w:abstractNumId w:val="30"/>
  </w:num>
  <w:num w:numId="41">
    <w:abstractNumId w:val="28"/>
  </w:num>
  <w:num w:numId="42">
    <w:abstractNumId w:val="11"/>
  </w:num>
  <w:num w:numId="43">
    <w:abstractNumId w:val="33"/>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US" w:vendorID="64" w:dllVersion="6" w:nlCheck="1" w:checkStyle="1"/>
  <w:activeWritingStyle w:appName="MSWord" w:lang="en-US" w:vendorID="64" w:dllVersion="4096"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38AB"/>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39"/>
    <w:rsid w:val="00013EA6"/>
    <w:rsid w:val="00014512"/>
    <w:rsid w:val="000152E7"/>
    <w:rsid w:val="00015BC1"/>
    <w:rsid w:val="00016177"/>
    <w:rsid w:val="00016298"/>
    <w:rsid w:val="00016A51"/>
    <w:rsid w:val="00017619"/>
    <w:rsid w:val="00017624"/>
    <w:rsid w:val="000209FE"/>
    <w:rsid w:val="00020EE2"/>
    <w:rsid w:val="00021289"/>
    <w:rsid w:val="0002227F"/>
    <w:rsid w:val="000223B2"/>
    <w:rsid w:val="00023555"/>
    <w:rsid w:val="000238FA"/>
    <w:rsid w:val="00023E74"/>
    <w:rsid w:val="000243F0"/>
    <w:rsid w:val="00024A62"/>
    <w:rsid w:val="00024AC7"/>
    <w:rsid w:val="00025957"/>
    <w:rsid w:val="00025ECA"/>
    <w:rsid w:val="000270C6"/>
    <w:rsid w:val="00030419"/>
    <w:rsid w:val="0003069C"/>
    <w:rsid w:val="00030EE2"/>
    <w:rsid w:val="00030F0B"/>
    <w:rsid w:val="000314AD"/>
    <w:rsid w:val="000314D4"/>
    <w:rsid w:val="00031BA6"/>
    <w:rsid w:val="00032756"/>
    <w:rsid w:val="0003277E"/>
    <w:rsid w:val="00032B7A"/>
    <w:rsid w:val="00032F33"/>
    <w:rsid w:val="00033409"/>
    <w:rsid w:val="00033412"/>
    <w:rsid w:val="00033574"/>
    <w:rsid w:val="00034084"/>
    <w:rsid w:val="00034414"/>
    <w:rsid w:val="000346B8"/>
    <w:rsid w:val="00034F95"/>
    <w:rsid w:val="00035AB9"/>
    <w:rsid w:val="000366A1"/>
    <w:rsid w:val="000368E2"/>
    <w:rsid w:val="00036A2B"/>
    <w:rsid w:val="00036D8B"/>
    <w:rsid w:val="000370F6"/>
    <w:rsid w:val="000378FA"/>
    <w:rsid w:val="00037CBD"/>
    <w:rsid w:val="0004026C"/>
    <w:rsid w:val="000403BB"/>
    <w:rsid w:val="00041C86"/>
    <w:rsid w:val="0004240D"/>
    <w:rsid w:val="000430CB"/>
    <w:rsid w:val="0004424A"/>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B00"/>
    <w:rsid w:val="00066E53"/>
    <w:rsid w:val="00066EC9"/>
    <w:rsid w:val="0006734E"/>
    <w:rsid w:val="00070311"/>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79"/>
    <w:rsid w:val="0008447A"/>
    <w:rsid w:val="00084CBC"/>
    <w:rsid w:val="00085354"/>
    <w:rsid w:val="00085810"/>
    <w:rsid w:val="000866E0"/>
    <w:rsid w:val="00086F86"/>
    <w:rsid w:val="000903AC"/>
    <w:rsid w:val="00090BCB"/>
    <w:rsid w:val="00090C7C"/>
    <w:rsid w:val="00090CFB"/>
    <w:rsid w:val="0009111F"/>
    <w:rsid w:val="00091121"/>
    <w:rsid w:val="000913F0"/>
    <w:rsid w:val="00091710"/>
    <w:rsid w:val="00091C9D"/>
    <w:rsid w:val="00093487"/>
    <w:rsid w:val="00094F32"/>
    <w:rsid w:val="0009544A"/>
    <w:rsid w:val="000954C0"/>
    <w:rsid w:val="000959E5"/>
    <w:rsid w:val="00095A24"/>
    <w:rsid w:val="00097D20"/>
    <w:rsid w:val="00097F41"/>
    <w:rsid w:val="00097FCE"/>
    <w:rsid w:val="000A0456"/>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B0B29"/>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E02"/>
    <w:rsid w:val="000D19DD"/>
    <w:rsid w:val="000D1DDA"/>
    <w:rsid w:val="000D2521"/>
    <w:rsid w:val="000D4493"/>
    <w:rsid w:val="000D4587"/>
    <w:rsid w:val="000D584D"/>
    <w:rsid w:val="000D66BE"/>
    <w:rsid w:val="000D6778"/>
    <w:rsid w:val="000D6DF8"/>
    <w:rsid w:val="000D7811"/>
    <w:rsid w:val="000D78F7"/>
    <w:rsid w:val="000D7979"/>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24D"/>
    <w:rsid w:val="000E6D0D"/>
    <w:rsid w:val="000E7712"/>
    <w:rsid w:val="000F03F7"/>
    <w:rsid w:val="000F1CE4"/>
    <w:rsid w:val="000F2042"/>
    <w:rsid w:val="000F2273"/>
    <w:rsid w:val="000F2933"/>
    <w:rsid w:val="000F2B05"/>
    <w:rsid w:val="000F2FEA"/>
    <w:rsid w:val="000F383E"/>
    <w:rsid w:val="000F41A5"/>
    <w:rsid w:val="000F59EF"/>
    <w:rsid w:val="000F5B11"/>
    <w:rsid w:val="000F5B30"/>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6B8"/>
    <w:rsid w:val="00113F78"/>
    <w:rsid w:val="0011448C"/>
    <w:rsid w:val="00114FED"/>
    <w:rsid w:val="00115A17"/>
    <w:rsid w:val="00115FD4"/>
    <w:rsid w:val="0011639D"/>
    <w:rsid w:val="0011667E"/>
    <w:rsid w:val="001170A5"/>
    <w:rsid w:val="001179E3"/>
    <w:rsid w:val="0012056F"/>
    <w:rsid w:val="0012084A"/>
    <w:rsid w:val="00120BAB"/>
    <w:rsid w:val="00120EF6"/>
    <w:rsid w:val="00121323"/>
    <w:rsid w:val="001214B2"/>
    <w:rsid w:val="001215D4"/>
    <w:rsid w:val="00121A07"/>
    <w:rsid w:val="00122485"/>
    <w:rsid w:val="001228D4"/>
    <w:rsid w:val="00123815"/>
    <w:rsid w:val="00123A5B"/>
    <w:rsid w:val="00124D39"/>
    <w:rsid w:val="00126151"/>
    <w:rsid w:val="001262B3"/>
    <w:rsid w:val="0012670D"/>
    <w:rsid w:val="00126BB6"/>
    <w:rsid w:val="00126DED"/>
    <w:rsid w:val="00127993"/>
    <w:rsid w:val="00127D26"/>
    <w:rsid w:val="001303EA"/>
    <w:rsid w:val="00130B44"/>
    <w:rsid w:val="00131B97"/>
    <w:rsid w:val="00131BA1"/>
    <w:rsid w:val="00132068"/>
    <w:rsid w:val="00132DF4"/>
    <w:rsid w:val="00133D62"/>
    <w:rsid w:val="0013469F"/>
    <w:rsid w:val="001375F9"/>
    <w:rsid w:val="00137C83"/>
    <w:rsid w:val="00137E23"/>
    <w:rsid w:val="001410EB"/>
    <w:rsid w:val="00141755"/>
    <w:rsid w:val="001423E9"/>
    <w:rsid w:val="00142542"/>
    <w:rsid w:val="001427D7"/>
    <w:rsid w:val="00142850"/>
    <w:rsid w:val="001436B0"/>
    <w:rsid w:val="00143EEF"/>
    <w:rsid w:val="0014456D"/>
    <w:rsid w:val="00144BC1"/>
    <w:rsid w:val="00144E1A"/>
    <w:rsid w:val="0014511D"/>
    <w:rsid w:val="001457EA"/>
    <w:rsid w:val="00145A21"/>
    <w:rsid w:val="00147835"/>
    <w:rsid w:val="001478CF"/>
    <w:rsid w:val="00150193"/>
    <w:rsid w:val="00150D05"/>
    <w:rsid w:val="0015137D"/>
    <w:rsid w:val="00151563"/>
    <w:rsid w:val="00151D74"/>
    <w:rsid w:val="001521FA"/>
    <w:rsid w:val="0015257B"/>
    <w:rsid w:val="00152718"/>
    <w:rsid w:val="00152FBD"/>
    <w:rsid w:val="001532F3"/>
    <w:rsid w:val="00153395"/>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0BE7"/>
    <w:rsid w:val="00171A92"/>
    <w:rsid w:val="001729EB"/>
    <w:rsid w:val="00173146"/>
    <w:rsid w:val="001737D8"/>
    <w:rsid w:val="0017498A"/>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3F2F"/>
    <w:rsid w:val="001840E8"/>
    <w:rsid w:val="00184748"/>
    <w:rsid w:val="001847DD"/>
    <w:rsid w:val="00184CC5"/>
    <w:rsid w:val="00185C6D"/>
    <w:rsid w:val="00185F6B"/>
    <w:rsid w:val="00187E21"/>
    <w:rsid w:val="00190155"/>
    <w:rsid w:val="0019052C"/>
    <w:rsid w:val="00190B42"/>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400D"/>
    <w:rsid w:val="001B4031"/>
    <w:rsid w:val="001B5FF8"/>
    <w:rsid w:val="001B6575"/>
    <w:rsid w:val="001B6FA5"/>
    <w:rsid w:val="001B7B24"/>
    <w:rsid w:val="001C04E5"/>
    <w:rsid w:val="001C076A"/>
    <w:rsid w:val="001C0C20"/>
    <w:rsid w:val="001C0E47"/>
    <w:rsid w:val="001C10FD"/>
    <w:rsid w:val="001C186B"/>
    <w:rsid w:val="001C21A9"/>
    <w:rsid w:val="001C267F"/>
    <w:rsid w:val="001C437D"/>
    <w:rsid w:val="001C458D"/>
    <w:rsid w:val="001C4A87"/>
    <w:rsid w:val="001C525A"/>
    <w:rsid w:val="001C5443"/>
    <w:rsid w:val="001C5786"/>
    <w:rsid w:val="001C5BE1"/>
    <w:rsid w:val="001C5DFB"/>
    <w:rsid w:val="001C6304"/>
    <w:rsid w:val="001C6BD2"/>
    <w:rsid w:val="001C6BFF"/>
    <w:rsid w:val="001C7B5B"/>
    <w:rsid w:val="001C7F78"/>
    <w:rsid w:val="001D0226"/>
    <w:rsid w:val="001D0C17"/>
    <w:rsid w:val="001D1CA7"/>
    <w:rsid w:val="001D1E65"/>
    <w:rsid w:val="001D269F"/>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1F8A"/>
    <w:rsid w:val="001E2211"/>
    <w:rsid w:val="001E2751"/>
    <w:rsid w:val="001E2B01"/>
    <w:rsid w:val="001E2BC9"/>
    <w:rsid w:val="001E32CA"/>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2990"/>
    <w:rsid w:val="001F35A2"/>
    <w:rsid w:val="001F3AEF"/>
    <w:rsid w:val="001F405F"/>
    <w:rsid w:val="001F4335"/>
    <w:rsid w:val="001F4769"/>
    <w:rsid w:val="001F4E0D"/>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3B"/>
    <w:rsid w:val="00213A8A"/>
    <w:rsid w:val="002147BD"/>
    <w:rsid w:val="00214CFB"/>
    <w:rsid w:val="00214F9F"/>
    <w:rsid w:val="00215286"/>
    <w:rsid w:val="002159CE"/>
    <w:rsid w:val="00216AD0"/>
    <w:rsid w:val="00216AFF"/>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F9D"/>
    <w:rsid w:val="00241228"/>
    <w:rsid w:val="00241657"/>
    <w:rsid w:val="0024184D"/>
    <w:rsid w:val="00241D35"/>
    <w:rsid w:val="00242034"/>
    <w:rsid w:val="002421D3"/>
    <w:rsid w:val="002422D7"/>
    <w:rsid w:val="002441DE"/>
    <w:rsid w:val="002445FB"/>
    <w:rsid w:val="00244948"/>
    <w:rsid w:val="002449A5"/>
    <w:rsid w:val="00245DCF"/>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635"/>
    <w:rsid w:val="00263CC4"/>
    <w:rsid w:val="002645E7"/>
    <w:rsid w:val="00264711"/>
    <w:rsid w:val="002660F8"/>
    <w:rsid w:val="00266BBB"/>
    <w:rsid w:val="00266C36"/>
    <w:rsid w:val="0026708F"/>
    <w:rsid w:val="002670A9"/>
    <w:rsid w:val="00267368"/>
    <w:rsid w:val="00267997"/>
    <w:rsid w:val="00271904"/>
    <w:rsid w:val="0027286F"/>
    <w:rsid w:val="0027295C"/>
    <w:rsid w:val="0027337C"/>
    <w:rsid w:val="00273BC7"/>
    <w:rsid w:val="00273EF1"/>
    <w:rsid w:val="002740F5"/>
    <w:rsid w:val="00274794"/>
    <w:rsid w:val="00274920"/>
    <w:rsid w:val="00275B6F"/>
    <w:rsid w:val="002760EE"/>
    <w:rsid w:val="00276347"/>
    <w:rsid w:val="0027664C"/>
    <w:rsid w:val="0027702C"/>
    <w:rsid w:val="00277285"/>
    <w:rsid w:val="00277397"/>
    <w:rsid w:val="00280494"/>
    <w:rsid w:val="0028053D"/>
    <w:rsid w:val="00280BE3"/>
    <w:rsid w:val="002812FA"/>
    <w:rsid w:val="00281492"/>
    <w:rsid w:val="00282A71"/>
    <w:rsid w:val="00282E42"/>
    <w:rsid w:val="00283D40"/>
    <w:rsid w:val="00284120"/>
    <w:rsid w:val="00284372"/>
    <w:rsid w:val="0028470C"/>
    <w:rsid w:val="00284B16"/>
    <w:rsid w:val="00285167"/>
    <w:rsid w:val="002851AC"/>
    <w:rsid w:val="00286555"/>
    <w:rsid w:val="00287C0A"/>
    <w:rsid w:val="00290263"/>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6337"/>
    <w:rsid w:val="0029677C"/>
    <w:rsid w:val="00296A00"/>
    <w:rsid w:val="00296D70"/>
    <w:rsid w:val="00296E9C"/>
    <w:rsid w:val="00297045"/>
    <w:rsid w:val="00297048"/>
    <w:rsid w:val="00297BF7"/>
    <w:rsid w:val="002A0B48"/>
    <w:rsid w:val="002A0FBC"/>
    <w:rsid w:val="002A0FDD"/>
    <w:rsid w:val="002A2042"/>
    <w:rsid w:val="002A2323"/>
    <w:rsid w:val="002A27F4"/>
    <w:rsid w:val="002A515E"/>
    <w:rsid w:val="002A5271"/>
    <w:rsid w:val="002A572E"/>
    <w:rsid w:val="002A58B2"/>
    <w:rsid w:val="002A7F95"/>
    <w:rsid w:val="002B04DE"/>
    <w:rsid w:val="002B0864"/>
    <w:rsid w:val="002B0A1D"/>
    <w:rsid w:val="002B0D25"/>
    <w:rsid w:val="002B1882"/>
    <w:rsid w:val="002B1C2F"/>
    <w:rsid w:val="002B1E09"/>
    <w:rsid w:val="002B1E47"/>
    <w:rsid w:val="002B2779"/>
    <w:rsid w:val="002B2931"/>
    <w:rsid w:val="002B2F4F"/>
    <w:rsid w:val="002B368D"/>
    <w:rsid w:val="002B3B76"/>
    <w:rsid w:val="002B3B98"/>
    <w:rsid w:val="002B3FA3"/>
    <w:rsid w:val="002B4324"/>
    <w:rsid w:val="002B435A"/>
    <w:rsid w:val="002B4570"/>
    <w:rsid w:val="002B4663"/>
    <w:rsid w:val="002B482C"/>
    <w:rsid w:val="002B5013"/>
    <w:rsid w:val="002B6068"/>
    <w:rsid w:val="002B60BC"/>
    <w:rsid w:val="002B66FB"/>
    <w:rsid w:val="002B6C9F"/>
    <w:rsid w:val="002B6FC1"/>
    <w:rsid w:val="002B76E5"/>
    <w:rsid w:val="002B7D6A"/>
    <w:rsid w:val="002C0AD0"/>
    <w:rsid w:val="002C0B11"/>
    <w:rsid w:val="002C0D11"/>
    <w:rsid w:val="002C10A9"/>
    <w:rsid w:val="002C1C46"/>
    <w:rsid w:val="002C3A21"/>
    <w:rsid w:val="002C3C90"/>
    <w:rsid w:val="002C3E0A"/>
    <w:rsid w:val="002C4A3E"/>
    <w:rsid w:val="002C6F3C"/>
    <w:rsid w:val="002C79D9"/>
    <w:rsid w:val="002C7BAF"/>
    <w:rsid w:val="002C7BF5"/>
    <w:rsid w:val="002C7FEB"/>
    <w:rsid w:val="002D0446"/>
    <w:rsid w:val="002D24F9"/>
    <w:rsid w:val="002D25D2"/>
    <w:rsid w:val="002D304B"/>
    <w:rsid w:val="002D462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4199"/>
    <w:rsid w:val="002F6B1D"/>
    <w:rsid w:val="002F6C16"/>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814"/>
    <w:rsid w:val="00306FF6"/>
    <w:rsid w:val="0030747A"/>
    <w:rsid w:val="003074E3"/>
    <w:rsid w:val="003124EC"/>
    <w:rsid w:val="00312912"/>
    <w:rsid w:val="00312CCC"/>
    <w:rsid w:val="003139BF"/>
    <w:rsid w:val="00314276"/>
    <w:rsid w:val="00315EE8"/>
    <w:rsid w:val="00315FBD"/>
    <w:rsid w:val="00316A2C"/>
    <w:rsid w:val="00317653"/>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687"/>
    <w:rsid w:val="00327104"/>
    <w:rsid w:val="00327A64"/>
    <w:rsid w:val="00327DB0"/>
    <w:rsid w:val="00330FB1"/>
    <w:rsid w:val="00331927"/>
    <w:rsid w:val="00331983"/>
    <w:rsid w:val="003319EB"/>
    <w:rsid w:val="00331C20"/>
    <w:rsid w:val="003320A1"/>
    <w:rsid w:val="003321D6"/>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E20"/>
    <w:rsid w:val="00347F13"/>
    <w:rsid w:val="00350267"/>
    <w:rsid w:val="00350D66"/>
    <w:rsid w:val="00350F88"/>
    <w:rsid w:val="00351062"/>
    <w:rsid w:val="00351A7E"/>
    <w:rsid w:val="00351AF2"/>
    <w:rsid w:val="00351E15"/>
    <w:rsid w:val="003523FB"/>
    <w:rsid w:val="003535C6"/>
    <w:rsid w:val="0035394A"/>
    <w:rsid w:val="0035428A"/>
    <w:rsid w:val="003546F4"/>
    <w:rsid w:val="00354DEA"/>
    <w:rsid w:val="00356447"/>
    <w:rsid w:val="003576A7"/>
    <w:rsid w:val="00360288"/>
    <w:rsid w:val="00360A57"/>
    <w:rsid w:val="00360BAE"/>
    <w:rsid w:val="00361A91"/>
    <w:rsid w:val="00362756"/>
    <w:rsid w:val="00362ACC"/>
    <w:rsid w:val="003642C3"/>
    <w:rsid w:val="003644EA"/>
    <w:rsid w:val="0036461C"/>
    <w:rsid w:val="00364A66"/>
    <w:rsid w:val="00364B8F"/>
    <w:rsid w:val="00365000"/>
    <w:rsid w:val="0036726F"/>
    <w:rsid w:val="00367A93"/>
    <w:rsid w:val="00370A24"/>
    <w:rsid w:val="00370B43"/>
    <w:rsid w:val="00371983"/>
    <w:rsid w:val="003719E8"/>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06B"/>
    <w:rsid w:val="00382368"/>
    <w:rsid w:val="00382798"/>
    <w:rsid w:val="00382B8D"/>
    <w:rsid w:val="00383269"/>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7E0"/>
    <w:rsid w:val="003968EE"/>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DF0"/>
    <w:rsid w:val="003B0EAC"/>
    <w:rsid w:val="003B113D"/>
    <w:rsid w:val="003B117B"/>
    <w:rsid w:val="003B1C05"/>
    <w:rsid w:val="003B26AB"/>
    <w:rsid w:val="003B28AD"/>
    <w:rsid w:val="003B30B4"/>
    <w:rsid w:val="003B365C"/>
    <w:rsid w:val="003B3E75"/>
    <w:rsid w:val="003B3F01"/>
    <w:rsid w:val="003B4545"/>
    <w:rsid w:val="003B48B6"/>
    <w:rsid w:val="003B4B07"/>
    <w:rsid w:val="003B5DD4"/>
    <w:rsid w:val="003B686F"/>
    <w:rsid w:val="003B6974"/>
    <w:rsid w:val="003B6D07"/>
    <w:rsid w:val="003B6D23"/>
    <w:rsid w:val="003B76D7"/>
    <w:rsid w:val="003C04B5"/>
    <w:rsid w:val="003C0B68"/>
    <w:rsid w:val="003C1BBF"/>
    <w:rsid w:val="003C230F"/>
    <w:rsid w:val="003C2475"/>
    <w:rsid w:val="003C2AFF"/>
    <w:rsid w:val="003C4003"/>
    <w:rsid w:val="003C4861"/>
    <w:rsid w:val="003C51E7"/>
    <w:rsid w:val="003C728E"/>
    <w:rsid w:val="003C77B5"/>
    <w:rsid w:val="003C7809"/>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EDB"/>
    <w:rsid w:val="003E0627"/>
    <w:rsid w:val="003E08A7"/>
    <w:rsid w:val="003E0D67"/>
    <w:rsid w:val="003E199F"/>
    <w:rsid w:val="003E3D42"/>
    <w:rsid w:val="003E447F"/>
    <w:rsid w:val="003E4E31"/>
    <w:rsid w:val="003E55E6"/>
    <w:rsid w:val="003E66C5"/>
    <w:rsid w:val="003E7116"/>
    <w:rsid w:val="003E7BDA"/>
    <w:rsid w:val="003E7E12"/>
    <w:rsid w:val="003F02CC"/>
    <w:rsid w:val="003F0361"/>
    <w:rsid w:val="003F0A0C"/>
    <w:rsid w:val="003F0D56"/>
    <w:rsid w:val="003F1617"/>
    <w:rsid w:val="003F1672"/>
    <w:rsid w:val="003F1BC5"/>
    <w:rsid w:val="003F1E41"/>
    <w:rsid w:val="003F20D3"/>
    <w:rsid w:val="003F3821"/>
    <w:rsid w:val="003F4945"/>
    <w:rsid w:val="003F4A21"/>
    <w:rsid w:val="003F4D95"/>
    <w:rsid w:val="003F5055"/>
    <w:rsid w:val="003F5126"/>
    <w:rsid w:val="003F52DB"/>
    <w:rsid w:val="003F5322"/>
    <w:rsid w:val="003F693D"/>
    <w:rsid w:val="003F7B7C"/>
    <w:rsid w:val="0040016C"/>
    <w:rsid w:val="00400311"/>
    <w:rsid w:val="00400C12"/>
    <w:rsid w:val="00401285"/>
    <w:rsid w:val="00402550"/>
    <w:rsid w:val="00402E49"/>
    <w:rsid w:val="004033E4"/>
    <w:rsid w:val="00403F0E"/>
    <w:rsid w:val="0040408A"/>
    <w:rsid w:val="00404AFC"/>
    <w:rsid w:val="00404C6B"/>
    <w:rsid w:val="00404D37"/>
    <w:rsid w:val="004068B0"/>
    <w:rsid w:val="00407024"/>
    <w:rsid w:val="00407985"/>
    <w:rsid w:val="004109FD"/>
    <w:rsid w:val="00410B71"/>
    <w:rsid w:val="00411C13"/>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380"/>
    <w:rsid w:val="004226CA"/>
    <w:rsid w:val="00423266"/>
    <w:rsid w:val="00423BEC"/>
    <w:rsid w:val="004250D7"/>
    <w:rsid w:val="00425824"/>
    <w:rsid w:val="00426303"/>
    <w:rsid w:val="00426804"/>
    <w:rsid w:val="00426CAB"/>
    <w:rsid w:val="00427516"/>
    <w:rsid w:val="00427ECF"/>
    <w:rsid w:val="004309E0"/>
    <w:rsid w:val="00430C3A"/>
    <w:rsid w:val="00430D60"/>
    <w:rsid w:val="00430F86"/>
    <w:rsid w:val="00431FD6"/>
    <w:rsid w:val="004320DC"/>
    <w:rsid w:val="00432854"/>
    <w:rsid w:val="00432C40"/>
    <w:rsid w:val="00433270"/>
    <w:rsid w:val="004335E5"/>
    <w:rsid w:val="00433995"/>
    <w:rsid w:val="004348F4"/>
    <w:rsid w:val="004359E0"/>
    <w:rsid w:val="00435A3A"/>
    <w:rsid w:val="00435ABD"/>
    <w:rsid w:val="00435ECF"/>
    <w:rsid w:val="00436410"/>
    <w:rsid w:val="00436B1F"/>
    <w:rsid w:val="00437ABF"/>
    <w:rsid w:val="00440C3E"/>
    <w:rsid w:val="00440D51"/>
    <w:rsid w:val="00441A0B"/>
    <w:rsid w:val="0044304B"/>
    <w:rsid w:val="00443251"/>
    <w:rsid w:val="00443631"/>
    <w:rsid w:val="00443ED4"/>
    <w:rsid w:val="00444A8F"/>
    <w:rsid w:val="004469AC"/>
    <w:rsid w:val="00446ADF"/>
    <w:rsid w:val="00446EC6"/>
    <w:rsid w:val="004476F1"/>
    <w:rsid w:val="00447B63"/>
    <w:rsid w:val="00447C76"/>
    <w:rsid w:val="004501E1"/>
    <w:rsid w:val="004503E4"/>
    <w:rsid w:val="00451F11"/>
    <w:rsid w:val="004520D5"/>
    <w:rsid w:val="004528BA"/>
    <w:rsid w:val="00452F5A"/>
    <w:rsid w:val="00453183"/>
    <w:rsid w:val="00453378"/>
    <w:rsid w:val="00453D67"/>
    <w:rsid w:val="00453DAD"/>
    <w:rsid w:val="00455024"/>
    <w:rsid w:val="00456224"/>
    <w:rsid w:val="004562DC"/>
    <w:rsid w:val="00456544"/>
    <w:rsid w:val="00457A87"/>
    <w:rsid w:val="00457C69"/>
    <w:rsid w:val="00457D59"/>
    <w:rsid w:val="00460E1B"/>
    <w:rsid w:val="0046121D"/>
    <w:rsid w:val="00461E52"/>
    <w:rsid w:val="0046290C"/>
    <w:rsid w:val="00463149"/>
    <w:rsid w:val="00463359"/>
    <w:rsid w:val="00463403"/>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2A3"/>
    <w:rsid w:val="00480509"/>
    <w:rsid w:val="00480592"/>
    <w:rsid w:val="00480633"/>
    <w:rsid w:val="004806F6"/>
    <w:rsid w:val="004807FE"/>
    <w:rsid w:val="00480E3F"/>
    <w:rsid w:val="0048171B"/>
    <w:rsid w:val="004818E6"/>
    <w:rsid w:val="00481DE5"/>
    <w:rsid w:val="004822D0"/>
    <w:rsid w:val="00482D96"/>
    <w:rsid w:val="004837C0"/>
    <w:rsid w:val="00483908"/>
    <w:rsid w:val="0048454C"/>
    <w:rsid w:val="00484C92"/>
    <w:rsid w:val="00485163"/>
    <w:rsid w:val="004858F3"/>
    <w:rsid w:val="004858F7"/>
    <w:rsid w:val="004872C4"/>
    <w:rsid w:val="00491019"/>
    <w:rsid w:val="00491269"/>
    <w:rsid w:val="004914AA"/>
    <w:rsid w:val="00491534"/>
    <w:rsid w:val="004917E0"/>
    <w:rsid w:val="00492BF7"/>
    <w:rsid w:val="00494034"/>
    <w:rsid w:val="004940A3"/>
    <w:rsid w:val="00494292"/>
    <w:rsid w:val="00494295"/>
    <w:rsid w:val="00494452"/>
    <w:rsid w:val="00494F43"/>
    <w:rsid w:val="00494F87"/>
    <w:rsid w:val="00495C19"/>
    <w:rsid w:val="00496E59"/>
    <w:rsid w:val="004972A4"/>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47A"/>
    <w:rsid w:val="004A75E8"/>
    <w:rsid w:val="004A7D94"/>
    <w:rsid w:val="004B0F42"/>
    <w:rsid w:val="004B1B99"/>
    <w:rsid w:val="004B2151"/>
    <w:rsid w:val="004B2AB9"/>
    <w:rsid w:val="004B2EC7"/>
    <w:rsid w:val="004B45A3"/>
    <w:rsid w:val="004B488D"/>
    <w:rsid w:val="004B62BA"/>
    <w:rsid w:val="004B63AD"/>
    <w:rsid w:val="004B63D7"/>
    <w:rsid w:val="004B7E87"/>
    <w:rsid w:val="004B7FD8"/>
    <w:rsid w:val="004C0123"/>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969"/>
    <w:rsid w:val="004D1B0F"/>
    <w:rsid w:val="004D1DFE"/>
    <w:rsid w:val="004D28E4"/>
    <w:rsid w:val="004D2D33"/>
    <w:rsid w:val="004D3353"/>
    <w:rsid w:val="004D420C"/>
    <w:rsid w:val="004D4EF9"/>
    <w:rsid w:val="004D5AB8"/>
    <w:rsid w:val="004D5C56"/>
    <w:rsid w:val="004D5CD1"/>
    <w:rsid w:val="004D5D65"/>
    <w:rsid w:val="004D666E"/>
    <w:rsid w:val="004D6A86"/>
    <w:rsid w:val="004D6B37"/>
    <w:rsid w:val="004D7BB1"/>
    <w:rsid w:val="004D7DF2"/>
    <w:rsid w:val="004E1433"/>
    <w:rsid w:val="004E1D2C"/>
    <w:rsid w:val="004E1DC2"/>
    <w:rsid w:val="004E22EA"/>
    <w:rsid w:val="004E29EC"/>
    <w:rsid w:val="004E2D9B"/>
    <w:rsid w:val="004E2F2D"/>
    <w:rsid w:val="004E2FFD"/>
    <w:rsid w:val="004E4046"/>
    <w:rsid w:val="004E54BF"/>
    <w:rsid w:val="004E57D3"/>
    <w:rsid w:val="004E5AE0"/>
    <w:rsid w:val="004E6A1E"/>
    <w:rsid w:val="004E7682"/>
    <w:rsid w:val="004E76EC"/>
    <w:rsid w:val="004E79DA"/>
    <w:rsid w:val="004F01D4"/>
    <w:rsid w:val="004F149B"/>
    <w:rsid w:val="004F188B"/>
    <w:rsid w:val="004F19C4"/>
    <w:rsid w:val="004F1A8D"/>
    <w:rsid w:val="004F2DB0"/>
    <w:rsid w:val="004F41BD"/>
    <w:rsid w:val="004F4E4D"/>
    <w:rsid w:val="004F4FA0"/>
    <w:rsid w:val="004F564B"/>
    <w:rsid w:val="004F570B"/>
    <w:rsid w:val="004F58B8"/>
    <w:rsid w:val="004F5D05"/>
    <w:rsid w:val="004F5D76"/>
    <w:rsid w:val="004F5DA4"/>
    <w:rsid w:val="004F66FF"/>
    <w:rsid w:val="004F7544"/>
    <w:rsid w:val="004F7BE1"/>
    <w:rsid w:val="00501A3B"/>
    <w:rsid w:val="00501B5C"/>
    <w:rsid w:val="0050336C"/>
    <w:rsid w:val="00503AB6"/>
    <w:rsid w:val="00503F57"/>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2E39"/>
    <w:rsid w:val="00513898"/>
    <w:rsid w:val="005144E2"/>
    <w:rsid w:val="005147E8"/>
    <w:rsid w:val="00514BC7"/>
    <w:rsid w:val="00514FC2"/>
    <w:rsid w:val="005150D3"/>
    <w:rsid w:val="00515543"/>
    <w:rsid w:val="00515B4E"/>
    <w:rsid w:val="00516C64"/>
    <w:rsid w:val="00516FA6"/>
    <w:rsid w:val="005173E7"/>
    <w:rsid w:val="00517AC1"/>
    <w:rsid w:val="00520112"/>
    <w:rsid w:val="00520807"/>
    <w:rsid w:val="00520AAB"/>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752"/>
    <w:rsid w:val="00526F93"/>
    <w:rsid w:val="0052761B"/>
    <w:rsid w:val="00527BC7"/>
    <w:rsid w:val="00531124"/>
    <w:rsid w:val="005313A2"/>
    <w:rsid w:val="00531A13"/>
    <w:rsid w:val="005323C4"/>
    <w:rsid w:val="005326E6"/>
    <w:rsid w:val="0053284E"/>
    <w:rsid w:val="0053294F"/>
    <w:rsid w:val="005329AE"/>
    <w:rsid w:val="00534F31"/>
    <w:rsid w:val="00535CA2"/>
    <w:rsid w:val="00535D0E"/>
    <w:rsid w:val="00535F99"/>
    <w:rsid w:val="00535FBC"/>
    <w:rsid w:val="005372CD"/>
    <w:rsid w:val="00537344"/>
    <w:rsid w:val="005373EA"/>
    <w:rsid w:val="0054067A"/>
    <w:rsid w:val="005407C2"/>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9E9"/>
    <w:rsid w:val="00551F9F"/>
    <w:rsid w:val="005525C8"/>
    <w:rsid w:val="00552830"/>
    <w:rsid w:val="00552993"/>
    <w:rsid w:val="005533ED"/>
    <w:rsid w:val="005542B0"/>
    <w:rsid w:val="005547D0"/>
    <w:rsid w:val="00554C5D"/>
    <w:rsid w:val="00554EC5"/>
    <w:rsid w:val="005555D8"/>
    <w:rsid w:val="00555AFB"/>
    <w:rsid w:val="00555BA5"/>
    <w:rsid w:val="00556C3F"/>
    <w:rsid w:val="00556EC5"/>
    <w:rsid w:val="005576FD"/>
    <w:rsid w:val="00557941"/>
    <w:rsid w:val="005579D4"/>
    <w:rsid w:val="00557A55"/>
    <w:rsid w:val="00560592"/>
    <w:rsid w:val="00561166"/>
    <w:rsid w:val="00561212"/>
    <w:rsid w:val="00561798"/>
    <w:rsid w:val="00561D5C"/>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679"/>
    <w:rsid w:val="00572906"/>
    <w:rsid w:val="00572913"/>
    <w:rsid w:val="00573B50"/>
    <w:rsid w:val="00573DA7"/>
    <w:rsid w:val="00574702"/>
    <w:rsid w:val="005751EE"/>
    <w:rsid w:val="005761EA"/>
    <w:rsid w:val="00576472"/>
    <w:rsid w:val="00576749"/>
    <w:rsid w:val="00576866"/>
    <w:rsid w:val="00581821"/>
    <w:rsid w:val="00581C75"/>
    <w:rsid w:val="005833DB"/>
    <w:rsid w:val="005836EA"/>
    <w:rsid w:val="005848E0"/>
    <w:rsid w:val="00584CD5"/>
    <w:rsid w:val="0058509A"/>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3B36"/>
    <w:rsid w:val="005A3BE4"/>
    <w:rsid w:val="005A3D45"/>
    <w:rsid w:val="005A4ADF"/>
    <w:rsid w:val="005A5A79"/>
    <w:rsid w:val="005A5BC6"/>
    <w:rsid w:val="005A693E"/>
    <w:rsid w:val="005A7296"/>
    <w:rsid w:val="005B0150"/>
    <w:rsid w:val="005B01EE"/>
    <w:rsid w:val="005B02BE"/>
    <w:rsid w:val="005B02F3"/>
    <w:rsid w:val="005B2079"/>
    <w:rsid w:val="005B2E38"/>
    <w:rsid w:val="005B3713"/>
    <w:rsid w:val="005B4779"/>
    <w:rsid w:val="005B5735"/>
    <w:rsid w:val="005B5E46"/>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D0A"/>
    <w:rsid w:val="005D2391"/>
    <w:rsid w:val="005D385D"/>
    <w:rsid w:val="005D3B25"/>
    <w:rsid w:val="005D4337"/>
    <w:rsid w:val="005D5A41"/>
    <w:rsid w:val="005D7342"/>
    <w:rsid w:val="005D7529"/>
    <w:rsid w:val="005D77DE"/>
    <w:rsid w:val="005D7836"/>
    <w:rsid w:val="005D7C5C"/>
    <w:rsid w:val="005E03C5"/>
    <w:rsid w:val="005E0688"/>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E79B7"/>
    <w:rsid w:val="005F1292"/>
    <w:rsid w:val="005F129D"/>
    <w:rsid w:val="005F1ACE"/>
    <w:rsid w:val="005F1C79"/>
    <w:rsid w:val="005F1D44"/>
    <w:rsid w:val="005F2BB9"/>
    <w:rsid w:val="005F3119"/>
    <w:rsid w:val="005F3487"/>
    <w:rsid w:val="005F3585"/>
    <w:rsid w:val="005F3777"/>
    <w:rsid w:val="005F45E8"/>
    <w:rsid w:val="005F4C25"/>
    <w:rsid w:val="005F514B"/>
    <w:rsid w:val="005F55DA"/>
    <w:rsid w:val="005F6AE2"/>
    <w:rsid w:val="00600621"/>
    <w:rsid w:val="006010F4"/>
    <w:rsid w:val="006013E6"/>
    <w:rsid w:val="0060142A"/>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124"/>
    <w:rsid w:val="0061073C"/>
    <w:rsid w:val="00610DB7"/>
    <w:rsid w:val="006113E1"/>
    <w:rsid w:val="00611EF4"/>
    <w:rsid w:val="00612401"/>
    <w:rsid w:val="00613473"/>
    <w:rsid w:val="00613828"/>
    <w:rsid w:val="0061452D"/>
    <w:rsid w:val="006148E3"/>
    <w:rsid w:val="00615614"/>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F7F"/>
    <w:rsid w:val="00630170"/>
    <w:rsid w:val="006305F8"/>
    <w:rsid w:val="00630717"/>
    <w:rsid w:val="00630E22"/>
    <w:rsid w:val="00631159"/>
    <w:rsid w:val="0063196F"/>
    <w:rsid w:val="006325CA"/>
    <w:rsid w:val="00633827"/>
    <w:rsid w:val="00635123"/>
    <w:rsid w:val="00635A36"/>
    <w:rsid w:val="00636013"/>
    <w:rsid w:val="00636FC8"/>
    <w:rsid w:val="006376D6"/>
    <w:rsid w:val="0063772E"/>
    <w:rsid w:val="00637754"/>
    <w:rsid w:val="00637C81"/>
    <w:rsid w:val="00637EC2"/>
    <w:rsid w:val="00640B90"/>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DF"/>
    <w:rsid w:val="00666830"/>
    <w:rsid w:val="006669EF"/>
    <w:rsid w:val="00666CFA"/>
    <w:rsid w:val="00667D9F"/>
    <w:rsid w:val="00670CAA"/>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141"/>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6C"/>
    <w:rsid w:val="006B62D6"/>
    <w:rsid w:val="006B7007"/>
    <w:rsid w:val="006B706B"/>
    <w:rsid w:val="006B75BB"/>
    <w:rsid w:val="006C01C1"/>
    <w:rsid w:val="006C097A"/>
    <w:rsid w:val="006C1F54"/>
    <w:rsid w:val="006C2872"/>
    <w:rsid w:val="006C29D3"/>
    <w:rsid w:val="006C29DC"/>
    <w:rsid w:val="006C2BBD"/>
    <w:rsid w:val="006C356E"/>
    <w:rsid w:val="006C378F"/>
    <w:rsid w:val="006C3ADE"/>
    <w:rsid w:val="006C4BE3"/>
    <w:rsid w:val="006C4EC9"/>
    <w:rsid w:val="006C5142"/>
    <w:rsid w:val="006C53CF"/>
    <w:rsid w:val="006C5790"/>
    <w:rsid w:val="006C5C35"/>
    <w:rsid w:val="006C6383"/>
    <w:rsid w:val="006C656F"/>
    <w:rsid w:val="006C6D01"/>
    <w:rsid w:val="006C710A"/>
    <w:rsid w:val="006D03C6"/>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3401"/>
    <w:rsid w:val="007035DD"/>
    <w:rsid w:val="00703F61"/>
    <w:rsid w:val="0070445A"/>
    <w:rsid w:val="007045FC"/>
    <w:rsid w:val="007047F5"/>
    <w:rsid w:val="00705451"/>
    <w:rsid w:val="007059C4"/>
    <w:rsid w:val="00705B1E"/>
    <w:rsid w:val="00705E05"/>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4357"/>
    <w:rsid w:val="007144B9"/>
    <w:rsid w:val="0071456F"/>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320E"/>
    <w:rsid w:val="00723799"/>
    <w:rsid w:val="00724149"/>
    <w:rsid w:val="007241CD"/>
    <w:rsid w:val="00725069"/>
    <w:rsid w:val="007250D9"/>
    <w:rsid w:val="00725F95"/>
    <w:rsid w:val="007260C2"/>
    <w:rsid w:val="00726583"/>
    <w:rsid w:val="00726DB1"/>
    <w:rsid w:val="00727C98"/>
    <w:rsid w:val="00730FFA"/>
    <w:rsid w:val="00732696"/>
    <w:rsid w:val="00732A94"/>
    <w:rsid w:val="00732FCE"/>
    <w:rsid w:val="0073314A"/>
    <w:rsid w:val="007338CE"/>
    <w:rsid w:val="00734501"/>
    <w:rsid w:val="0073474E"/>
    <w:rsid w:val="00734953"/>
    <w:rsid w:val="00735346"/>
    <w:rsid w:val="007357D9"/>
    <w:rsid w:val="00735A3C"/>
    <w:rsid w:val="007366A1"/>
    <w:rsid w:val="0073678C"/>
    <w:rsid w:val="00736BD5"/>
    <w:rsid w:val="00736C1B"/>
    <w:rsid w:val="00740302"/>
    <w:rsid w:val="00740C41"/>
    <w:rsid w:val="00740EF2"/>
    <w:rsid w:val="00741BDE"/>
    <w:rsid w:val="00742479"/>
    <w:rsid w:val="007433FF"/>
    <w:rsid w:val="00743673"/>
    <w:rsid w:val="007436B6"/>
    <w:rsid w:val="007436CE"/>
    <w:rsid w:val="00743742"/>
    <w:rsid w:val="0074397A"/>
    <w:rsid w:val="00743D43"/>
    <w:rsid w:val="007444B6"/>
    <w:rsid w:val="00744658"/>
    <w:rsid w:val="00744C36"/>
    <w:rsid w:val="00745839"/>
    <w:rsid w:val="00745F32"/>
    <w:rsid w:val="00746CB8"/>
    <w:rsid w:val="007470DE"/>
    <w:rsid w:val="00747682"/>
    <w:rsid w:val="00747D68"/>
    <w:rsid w:val="00750424"/>
    <w:rsid w:val="00750542"/>
    <w:rsid w:val="00750BF7"/>
    <w:rsid w:val="00750DA4"/>
    <w:rsid w:val="00751000"/>
    <w:rsid w:val="007513BF"/>
    <w:rsid w:val="007515E0"/>
    <w:rsid w:val="00751948"/>
    <w:rsid w:val="0075229F"/>
    <w:rsid w:val="00752589"/>
    <w:rsid w:val="007527B7"/>
    <w:rsid w:val="0075336D"/>
    <w:rsid w:val="00753AB2"/>
    <w:rsid w:val="00754C98"/>
    <w:rsid w:val="0075603B"/>
    <w:rsid w:val="0075654B"/>
    <w:rsid w:val="0076073F"/>
    <w:rsid w:val="00760937"/>
    <w:rsid w:val="0076096B"/>
    <w:rsid w:val="00760A3D"/>
    <w:rsid w:val="007617B4"/>
    <w:rsid w:val="007628DC"/>
    <w:rsid w:val="007630C1"/>
    <w:rsid w:val="0076377D"/>
    <w:rsid w:val="00763DE7"/>
    <w:rsid w:val="007643B4"/>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984"/>
    <w:rsid w:val="00774A2D"/>
    <w:rsid w:val="00774DB9"/>
    <w:rsid w:val="00775806"/>
    <w:rsid w:val="00775D61"/>
    <w:rsid w:val="00776478"/>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516C"/>
    <w:rsid w:val="007951D3"/>
    <w:rsid w:val="00795D04"/>
    <w:rsid w:val="00796A5C"/>
    <w:rsid w:val="00796CD2"/>
    <w:rsid w:val="00797DFF"/>
    <w:rsid w:val="00797F7E"/>
    <w:rsid w:val="007A11C8"/>
    <w:rsid w:val="007A19CD"/>
    <w:rsid w:val="007A23CC"/>
    <w:rsid w:val="007A2E5C"/>
    <w:rsid w:val="007A4DA7"/>
    <w:rsid w:val="007A533B"/>
    <w:rsid w:val="007A55B5"/>
    <w:rsid w:val="007A59E2"/>
    <w:rsid w:val="007A5A58"/>
    <w:rsid w:val="007A5BD8"/>
    <w:rsid w:val="007A62C4"/>
    <w:rsid w:val="007A6787"/>
    <w:rsid w:val="007A6A25"/>
    <w:rsid w:val="007A77C9"/>
    <w:rsid w:val="007A79A6"/>
    <w:rsid w:val="007A7FD3"/>
    <w:rsid w:val="007B0C53"/>
    <w:rsid w:val="007B1F33"/>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C09CD"/>
    <w:rsid w:val="007C338C"/>
    <w:rsid w:val="007C37EA"/>
    <w:rsid w:val="007C4BBF"/>
    <w:rsid w:val="007C4D9A"/>
    <w:rsid w:val="007C6789"/>
    <w:rsid w:val="007C70B5"/>
    <w:rsid w:val="007C70E1"/>
    <w:rsid w:val="007C7992"/>
    <w:rsid w:val="007C7BF2"/>
    <w:rsid w:val="007C7DEE"/>
    <w:rsid w:val="007D0A9F"/>
    <w:rsid w:val="007D16B9"/>
    <w:rsid w:val="007D3C11"/>
    <w:rsid w:val="007D4ACD"/>
    <w:rsid w:val="007D4D2A"/>
    <w:rsid w:val="007D61EA"/>
    <w:rsid w:val="007D65E4"/>
    <w:rsid w:val="007D7855"/>
    <w:rsid w:val="007D7949"/>
    <w:rsid w:val="007D7987"/>
    <w:rsid w:val="007D7B04"/>
    <w:rsid w:val="007D7D02"/>
    <w:rsid w:val="007E0B9B"/>
    <w:rsid w:val="007E0CA6"/>
    <w:rsid w:val="007E0CAB"/>
    <w:rsid w:val="007E0DA8"/>
    <w:rsid w:val="007E0E73"/>
    <w:rsid w:val="007E2A0B"/>
    <w:rsid w:val="007E2B1A"/>
    <w:rsid w:val="007E3277"/>
    <w:rsid w:val="007E35B2"/>
    <w:rsid w:val="007E36AC"/>
    <w:rsid w:val="007E412A"/>
    <w:rsid w:val="007E502F"/>
    <w:rsid w:val="007E53D3"/>
    <w:rsid w:val="007E5954"/>
    <w:rsid w:val="007E5D88"/>
    <w:rsid w:val="007E5F41"/>
    <w:rsid w:val="007E5F87"/>
    <w:rsid w:val="007E733A"/>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62E"/>
    <w:rsid w:val="00803770"/>
    <w:rsid w:val="00805EF1"/>
    <w:rsid w:val="008063F3"/>
    <w:rsid w:val="00807497"/>
    <w:rsid w:val="0081004B"/>
    <w:rsid w:val="008101D3"/>
    <w:rsid w:val="008101EC"/>
    <w:rsid w:val="00810F3E"/>
    <w:rsid w:val="00811D29"/>
    <w:rsid w:val="00811F89"/>
    <w:rsid w:val="008125A0"/>
    <w:rsid w:val="00814946"/>
    <w:rsid w:val="00815345"/>
    <w:rsid w:val="008169A2"/>
    <w:rsid w:val="00816BAD"/>
    <w:rsid w:val="0081777B"/>
    <w:rsid w:val="008179B5"/>
    <w:rsid w:val="00821927"/>
    <w:rsid w:val="00821BD4"/>
    <w:rsid w:val="00822684"/>
    <w:rsid w:val="008244D3"/>
    <w:rsid w:val="00824AD9"/>
    <w:rsid w:val="00825A62"/>
    <w:rsid w:val="00826BE1"/>
    <w:rsid w:val="008271EE"/>
    <w:rsid w:val="00827D31"/>
    <w:rsid w:val="00827EFA"/>
    <w:rsid w:val="00830145"/>
    <w:rsid w:val="0083138F"/>
    <w:rsid w:val="00832233"/>
    <w:rsid w:val="00832759"/>
    <w:rsid w:val="00832CB9"/>
    <w:rsid w:val="00832F1A"/>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06C"/>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640"/>
    <w:rsid w:val="008632C2"/>
    <w:rsid w:val="00863344"/>
    <w:rsid w:val="00863491"/>
    <w:rsid w:val="00863593"/>
    <w:rsid w:val="008642CF"/>
    <w:rsid w:val="00865E87"/>
    <w:rsid w:val="008673BD"/>
    <w:rsid w:val="00867759"/>
    <w:rsid w:val="00871F5B"/>
    <w:rsid w:val="008726AD"/>
    <w:rsid w:val="00872BC4"/>
    <w:rsid w:val="00872CA1"/>
    <w:rsid w:val="008734B9"/>
    <w:rsid w:val="0087364A"/>
    <w:rsid w:val="00873C71"/>
    <w:rsid w:val="00873D35"/>
    <w:rsid w:val="00874706"/>
    <w:rsid w:val="00874B17"/>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66EE"/>
    <w:rsid w:val="0088716B"/>
    <w:rsid w:val="008871E6"/>
    <w:rsid w:val="00891746"/>
    <w:rsid w:val="00891CF6"/>
    <w:rsid w:val="008921E3"/>
    <w:rsid w:val="008922D9"/>
    <w:rsid w:val="00893DD6"/>
    <w:rsid w:val="00893DEA"/>
    <w:rsid w:val="00894915"/>
    <w:rsid w:val="008959D7"/>
    <w:rsid w:val="0089611A"/>
    <w:rsid w:val="00896396"/>
    <w:rsid w:val="008A0771"/>
    <w:rsid w:val="008A0E14"/>
    <w:rsid w:val="008A1CBD"/>
    <w:rsid w:val="008A1D38"/>
    <w:rsid w:val="008A1F7F"/>
    <w:rsid w:val="008A2393"/>
    <w:rsid w:val="008A29E7"/>
    <w:rsid w:val="008A2A70"/>
    <w:rsid w:val="008A2FD0"/>
    <w:rsid w:val="008A383E"/>
    <w:rsid w:val="008A3908"/>
    <w:rsid w:val="008A397B"/>
    <w:rsid w:val="008A3E32"/>
    <w:rsid w:val="008A3E52"/>
    <w:rsid w:val="008A41F0"/>
    <w:rsid w:val="008A4A62"/>
    <w:rsid w:val="008A52AB"/>
    <w:rsid w:val="008A59BF"/>
    <w:rsid w:val="008A5AA9"/>
    <w:rsid w:val="008A61BF"/>
    <w:rsid w:val="008A6668"/>
    <w:rsid w:val="008A7C3C"/>
    <w:rsid w:val="008A7D8D"/>
    <w:rsid w:val="008A7FBC"/>
    <w:rsid w:val="008B005F"/>
    <w:rsid w:val="008B02E6"/>
    <w:rsid w:val="008B09C8"/>
    <w:rsid w:val="008B0B3C"/>
    <w:rsid w:val="008B0F64"/>
    <w:rsid w:val="008B135B"/>
    <w:rsid w:val="008B16FD"/>
    <w:rsid w:val="008B174E"/>
    <w:rsid w:val="008B3F7E"/>
    <w:rsid w:val="008B447F"/>
    <w:rsid w:val="008B4D10"/>
    <w:rsid w:val="008B4EED"/>
    <w:rsid w:val="008B53DC"/>
    <w:rsid w:val="008B61BA"/>
    <w:rsid w:val="008B6679"/>
    <w:rsid w:val="008B6B8F"/>
    <w:rsid w:val="008B737A"/>
    <w:rsid w:val="008B7B4C"/>
    <w:rsid w:val="008B7BB3"/>
    <w:rsid w:val="008C0F29"/>
    <w:rsid w:val="008C1315"/>
    <w:rsid w:val="008C1955"/>
    <w:rsid w:val="008C1CB6"/>
    <w:rsid w:val="008C2071"/>
    <w:rsid w:val="008C30D5"/>
    <w:rsid w:val="008C36DE"/>
    <w:rsid w:val="008C53D4"/>
    <w:rsid w:val="008C5D48"/>
    <w:rsid w:val="008C5DEC"/>
    <w:rsid w:val="008C695E"/>
    <w:rsid w:val="008C71E2"/>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166B"/>
    <w:rsid w:val="008F1782"/>
    <w:rsid w:val="008F19DD"/>
    <w:rsid w:val="008F1CDB"/>
    <w:rsid w:val="008F210E"/>
    <w:rsid w:val="008F2DE0"/>
    <w:rsid w:val="008F415C"/>
    <w:rsid w:val="008F4E90"/>
    <w:rsid w:val="008F4EE9"/>
    <w:rsid w:val="008F53EF"/>
    <w:rsid w:val="008F6EBA"/>
    <w:rsid w:val="008F7AAB"/>
    <w:rsid w:val="00900E91"/>
    <w:rsid w:val="00901059"/>
    <w:rsid w:val="009010EF"/>
    <w:rsid w:val="00901D1D"/>
    <w:rsid w:val="0090288A"/>
    <w:rsid w:val="009036A3"/>
    <w:rsid w:val="00903AEE"/>
    <w:rsid w:val="00904396"/>
    <w:rsid w:val="00910158"/>
    <w:rsid w:val="009101E9"/>
    <w:rsid w:val="009104B2"/>
    <w:rsid w:val="00911004"/>
    <w:rsid w:val="009115D5"/>
    <w:rsid w:val="009120DD"/>
    <w:rsid w:val="009130E8"/>
    <w:rsid w:val="00913255"/>
    <w:rsid w:val="00913834"/>
    <w:rsid w:val="00914127"/>
    <w:rsid w:val="00914C73"/>
    <w:rsid w:val="009156B7"/>
    <w:rsid w:val="00915B38"/>
    <w:rsid w:val="00915CD8"/>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6E2"/>
    <w:rsid w:val="00930D58"/>
    <w:rsid w:val="00930F1A"/>
    <w:rsid w:val="00931013"/>
    <w:rsid w:val="00931214"/>
    <w:rsid w:val="009318E1"/>
    <w:rsid w:val="00932367"/>
    <w:rsid w:val="00933116"/>
    <w:rsid w:val="009332B9"/>
    <w:rsid w:val="00933519"/>
    <w:rsid w:val="00933CBE"/>
    <w:rsid w:val="00933E7F"/>
    <w:rsid w:val="00933FEB"/>
    <w:rsid w:val="009342C2"/>
    <w:rsid w:val="00934587"/>
    <w:rsid w:val="00934CD5"/>
    <w:rsid w:val="00935495"/>
    <w:rsid w:val="009356E8"/>
    <w:rsid w:val="00936461"/>
    <w:rsid w:val="0093659E"/>
    <w:rsid w:val="00937234"/>
    <w:rsid w:val="0093787F"/>
    <w:rsid w:val="00940241"/>
    <w:rsid w:val="009403C9"/>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C81"/>
    <w:rsid w:val="00950052"/>
    <w:rsid w:val="0095048E"/>
    <w:rsid w:val="00950D38"/>
    <w:rsid w:val="009514EF"/>
    <w:rsid w:val="009516F2"/>
    <w:rsid w:val="009518EB"/>
    <w:rsid w:val="009527CC"/>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70D3"/>
    <w:rsid w:val="00970832"/>
    <w:rsid w:val="00970A20"/>
    <w:rsid w:val="00971197"/>
    <w:rsid w:val="009712B6"/>
    <w:rsid w:val="00971549"/>
    <w:rsid w:val="009718F8"/>
    <w:rsid w:val="009720B9"/>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F1B"/>
    <w:rsid w:val="00982752"/>
    <w:rsid w:val="00982843"/>
    <w:rsid w:val="009829C2"/>
    <w:rsid w:val="00983FD9"/>
    <w:rsid w:val="00984F8F"/>
    <w:rsid w:val="00984FF4"/>
    <w:rsid w:val="00985236"/>
    <w:rsid w:val="00985CDF"/>
    <w:rsid w:val="009862AC"/>
    <w:rsid w:val="0099081E"/>
    <w:rsid w:val="009916CF"/>
    <w:rsid w:val="00991BC7"/>
    <w:rsid w:val="009921AA"/>
    <w:rsid w:val="009925A5"/>
    <w:rsid w:val="00992E10"/>
    <w:rsid w:val="00993D55"/>
    <w:rsid w:val="00994576"/>
    <w:rsid w:val="009945CE"/>
    <w:rsid w:val="00994718"/>
    <w:rsid w:val="009949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5CEF"/>
    <w:rsid w:val="009A7264"/>
    <w:rsid w:val="009A73EC"/>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1F2B"/>
    <w:rsid w:val="009C2375"/>
    <w:rsid w:val="009C243A"/>
    <w:rsid w:val="009C2BEB"/>
    <w:rsid w:val="009C4080"/>
    <w:rsid w:val="009C548B"/>
    <w:rsid w:val="009C5536"/>
    <w:rsid w:val="009C60A0"/>
    <w:rsid w:val="009C66BA"/>
    <w:rsid w:val="009C6A36"/>
    <w:rsid w:val="009C75D0"/>
    <w:rsid w:val="009D0481"/>
    <w:rsid w:val="009D0C8C"/>
    <w:rsid w:val="009D0E69"/>
    <w:rsid w:val="009D0F6B"/>
    <w:rsid w:val="009D1E1F"/>
    <w:rsid w:val="009D21DD"/>
    <w:rsid w:val="009D2476"/>
    <w:rsid w:val="009D311B"/>
    <w:rsid w:val="009D3E47"/>
    <w:rsid w:val="009D3F11"/>
    <w:rsid w:val="009D452D"/>
    <w:rsid w:val="009D4AD6"/>
    <w:rsid w:val="009D516D"/>
    <w:rsid w:val="009D5377"/>
    <w:rsid w:val="009D62D6"/>
    <w:rsid w:val="009D72E9"/>
    <w:rsid w:val="009D756C"/>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8BB"/>
    <w:rsid w:val="009E620E"/>
    <w:rsid w:val="009E712D"/>
    <w:rsid w:val="009E75C2"/>
    <w:rsid w:val="009E7DA3"/>
    <w:rsid w:val="009E7EED"/>
    <w:rsid w:val="009F04B2"/>
    <w:rsid w:val="009F04FB"/>
    <w:rsid w:val="009F10E6"/>
    <w:rsid w:val="009F118B"/>
    <w:rsid w:val="009F1551"/>
    <w:rsid w:val="009F192E"/>
    <w:rsid w:val="009F1D1B"/>
    <w:rsid w:val="009F1FCA"/>
    <w:rsid w:val="009F29DC"/>
    <w:rsid w:val="009F33FC"/>
    <w:rsid w:val="009F4637"/>
    <w:rsid w:val="009F5286"/>
    <w:rsid w:val="009F59A0"/>
    <w:rsid w:val="009F5DB1"/>
    <w:rsid w:val="009F5F69"/>
    <w:rsid w:val="009F66E7"/>
    <w:rsid w:val="009F76D6"/>
    <w:rsid w:val="009F77A9"/>
    <w:rsid w:val="009F7DD6"/>
    <w:rsid w:val="00A00066"/>
    <w:rsid w:val="00A00BBA"/>
    <w:rsid w:val="00A00C0F"/>
    <w:rsid w:val="00A00CA3"/>
    <w:rsid w:val="00A01903"/>
    <w:rsid w:val="00A01B74"/>
    <w:rsid w:val="00A021EE"/>
    <w:rsid w:val="00A02499"/>
    <w:rsid w:val="00A024D8"/>
    <w:rsid w:val="00A0283F"/>
    <w:rsid w:val="00A0296C"/>
    <w:rsid w:val="00A03DC3"/>
    <w:rsid w:val="00A04642"/>
    <w:rsid w:val="00A04C1C"/>
    <w:rsid w:val="00A0600F"/>
    <w:rsid w:val="00A063EE"/>
    <w:rsid w:val="00A066FC"/>
    <w:rsid w:val="00A06D28"/>
    <w:rsid w:val="00A06D5D"/>
    <w:rsid w:val="00A07295"/>
    <w:rsid w:val="00A073CF"/>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7696"/>
    <w:rsid w:val="00A200DB"/>
    <w:rsid w:val="00A20181"/>
    <w:rsid w:val="00A201EE"/>
    <w:rsid w:val="00A20E87"/>
    <w:rsid w:val="00A22732"/>
    <w:rsid w:val="00A23497"/>
    <w:rsid w:val="00A24D43"/>
    <w:rsid w:val="00A25571"/>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42C9"/>
    <w:rsid w:val="00A34339"/>
    <w:rsid w:val="00A358DF"/>
    <w:rsid w:val="00A366FC"/>
    <w:rsid w:val="00A36AA7"/>
    <w:rsid w:val="00A37C93"/>
    <w:rsid w:val="00A37FB6"/>
    <w:rsid w:val="00A40297"/>
    <w:rsid w:val="00A40640"/>
    <w:rsid w:val="00A4095E"/>
    <w:rsid w:val="00A41388"/>
    <w:rsid w:val="00A41583"/>
    <w:rsid w:val="00A41751"/>
    <w:rsid w:val="00A41E54"/>
    <w:rsid w:val="00A42057"/>
    <w:rsid w:val="00A43389"/>
    <w:rsid w:val="00A43D44"/>
    <w:rsid w:val="00A43DDB"/>
    <w:rsid w:val="00A43F10"/>
    <w:rsid w:val="00A440BE"/>
    <w:rsid w:val="00A4431B"/>
    <w:rsid w:val="00A44560"/>
    <w:rsid w:val="00A4464E"/>
    <w:rsid w:val="00A44671"/>
    <w:rsid w:val="00A4496C"/>
    <w:rsid w:val="00A44E3B"/>
    <w:rsid w:val="00A4567E"/>
    <w:rsid w:val="00A45996"/>
    <w:rsid w:val="00A46B7B"/>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BF6"/>
    <w:rsid w:val="00A57C78"/>
    <w:rsid w:val="00A60067"/>
    <w:rsid w:val="00A603F1"/>
    <w:rsid w:val="00A61BF2"/>
    <w:rsid w:val="00A61C61"/>
    <w:rsid w:val="00A62458"/>
    <w:rsid w:val="00A62D79"/>
    <w:rsid w:val="00A63566"/>
    <w:rsid w:val="00A637D3"/>
    <w:rsid w:val="00A64A0C"/>
    <w:rsid w:val="00A64C55"/>
    <w:rsid w:val="00A662B8"/>
    <w:rsid w:val="00A6688E"/>
    <w:rsid w:val="00A6715C"/>
    <w:rsid w:val="00A67C72"/>
    <w:rsid w:val="00A70C44"/>
    <w:rsid w:val="00A7132A"/>
    <w:rsid w:val="00A71457"/>
    <w:rsid w:val="00A718C9"/>
    <w:rsid w:val="00A71921"/>
    <w:rsid w:val="00A7210D"/>
    <w:rsid w:val="00A725AE"/>
    <w:rsid w:val="00A7263A"/>
    <w:rsid w:val="00A72B86"/>
    <w:rsid w:val="00A73401"/>
    <w:rsid w:val="00A738B7"/>
    <w:rsid w:val="00A73FBF"/>
    <w:rsid w:val="00A7465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5056"/>
    <w:rsid w:val="00A85F1D"/>
    <w:rsid w:val="00A879AA"/>
    <w:rsid w:val="00A9119C"/>
    <w:rsid w:val="00A9178C"/>
    <w:rsid w:val="00A92922"/>
    <w:rsid w:val="00A9346A"/>
    <w:rsid w:val="00A93D14"/>
    <w:rsid w:val="00A941AE"/>
    <w:rsid w:val="00A9420F"/>
    <w:rsid w:val="00A94F2F"/>
    <w:rsid w:val="00A953A1"/>
    <w:rsid w:val="00A95DA6"/>
    <w:rsid w:val="00A96497"/>
    <w:rsid w:val="00A967CB"/>
    <w:rsid w:val="00A96924"/>
    <w:rsid w:val="00A96ACD"/>
    <w:rsid w:val="00A9703B"/>
    <w:rsid w:val="00AA176F"/>
    <w:rsid w:val="00AA2931"/>
    <w:rsid w:val="00AA2C16"/>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0D"/>
    <w:rsid w:val="00AC1F74"/>
    <w:rsid w:val="00AC206E"/>
    <w:rsid w:val="00AC29A5"/>
    <w:rsid w:val="00AC367E"/>
    <w:rsid w:val="00AC394D"/>
    <w:rsid w:val="00AC3ABC"/>
    <w:rsid w:val="00AC4396"/>
    <w:rsid w:val="00AC447A"/>
    <w:rsid w:val="00AC57F9"/>
    <w:rsid w:val="00AC6324"/>
    <w:rsid w:val="00AC647D"/>
    <w:rsid w:val="00AC65C1"/>
    <w:rsid w:val="00AC6632"/>
    <w:rsid w:val="00AC7142"/>
    <w:rsid w:val="00AD0646"/>
    <w:rsid w:val="00AD070F"/>
    <w:rsid w:val="00AD1969"/>
    <w:rsid w:val="00AD279C"/>
    <w:rsid w:val="00AD2A30"/>
    <w:rsid w:val="00AD3589"/>
    <w:rsid w:val="00AD3A86"/>
    <w:rsid w:val="00AD407D"/>
    <w:rsid w:val="00AD46A1"/>
    <w:rsid w:val="00AD476E"/>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2300"/>
    <w:rsid w:val="00AE299B"/>
    <w:rsid w:val="00AE2DF0"/>
    <w:rsid w:val="00AE3D3F"/>
    <w:rsid w:val="00AE4990"/>
    <w:rsid w:val="00AE4C23"/>
    <w:rsid w:val="00AE4E6F"/>
    <w:rsid w:val="00AE556B"/>
    <w:rsid w:val="00AE59A0"/>
    <w:rsid w:val="00AE5CDF"/>
    <w:rsid w:val="00AE5ED4"/>
    <w:rsid w:val="00AE5F32"/>
    <w:rsid w:val="00AE7014"/>
    <w:rsid w:val="00AE7403"/>
    <w:rsid w:val="00AE7E86"/>
    <w:rsid w:val="00AF057D"/>
    <w:rsid w:val="00AF2159"/>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35FB"/>
    <w:rsid w:val="00B0367B"/>
    <w:rsid w:val="00B04319"/>
    <w:rsid w:val="00B047A3"/>
    <w:rsid w:val="00B048C3"/>
    <w:rsid w:val="00B05385"/>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510"/>
    <w:rsid w:val="00B25637"/>
    <w:rsid w:val="00B264B0"/>
    <w:rsid w:val="00B26C42"/>
    <w:rsid w:val="00B27662"/>
    <w:rsid w:val="00B30670"/>
    <w:rsid w:val="00B31530"/>
    <w:rsid w:val="00B3160D"/>
    <w:rsid w:val="00B316DA"/>
    <w:rsid w:val="00B31E3F"/>
    <w:rsid w:val="00B32686"/>
    <w:rsid w:val="00B33945"/>
    <w:rsid w:val="00B341C8"/>
    <w:rsid w:val="00B351D7"/>
    <w:rsid w:val="00B366C7"/>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540"/>
    <w:rsid w:val="00B46836"/>
    <w:rsid w:val="00B46E02"/>
    <w:rsid w:val="00B47330"/>
    <w:rsid w:val="00B47CCC"/>
    <w:rsid w:val="00B47F01"/>
    <w:rsid w:val="00B500A0"/>
    <w:rsid w:val="00B50478"/>
    <w:rsid w:val="00B51654"/>
    <w:rsid w:val="00B518E7"/>
    <w:rsid w:val="00B51E24"/>
    <w:rsid w:val="00B51F1E"/>
    <w:rsid w:val="00B52EAC"/>
    <w:rsid w:val="00B534DA"/>
    <w:rsid w:val="00B538C0"/>
    <w:rsid w:val="00B53A21"/>
    <w:rsid w:val="00B53C36"/>
    <w:rsid w:val="00B53F13"/>
    <w:rsid w:val="00B54057"/>
    <w:rsid w:val="00B54509"/>
    <w:rsid w:val="00B54A23"/>
    <w:rsid w:val="00B55419"/>
    <w:rsid w:val="00B55718"/>
    <w:rsid w:val="00B55A71"/>
    <w:rsid w:val="00B55DA4"/>
    <w:rsid w:val="00B56152"/>
    <w:rsid w:val="00B5666E"/>
    <w:rsid w:val="00B57761"/>
    <w:rsid w:val="00B57E40"/>
    <w:rsid w:val="00B61810"/>
    <w:rsid w:val="00B61F7C"/>
    <w:rsid w:val="00B63062"/>
    <w:rsid w:val="00B6322E"/>
    <w:rsid w:val="00B63678"/>
    <w:rsid w:val="00B6395C"/>
    <w:rsid w:val="00B64145"/>
    <w:rsid w:val="00B64B2B"/>
    <w:rsid w:val="00B64F36"/>
    <w:rsid w:val="00B654EA"/>
    <w:rsid w:val="00B67356"/>
    <w:rsid w:val="00B67465"/>
    <w:rsid w:val="00B674AC"/>
    <w:rsid w:val="00B708AB"/>
    <w:rsid w:val="00B708F6"/>
    <w:rsid w:val="00B7094B"/>
    <w:rsid w:val="00B70BA5"/>
    <w:rsid w:val="00B71814"/>
    <w:rsid w:val="00B71B34"/>
    <w:rsid w:val="00B71BD1"/>
    <w:rsid w:val="00B720B0"/>
    <w:rsid w:val="00B732A3"/>
    <w:rsid w:val="00B73442"/>
    <w:rsid w:val="00B73783"/>
    <w:rsid w:val="00B75974"/>
    <w:rsid w:val="00B75E09"/>
    <w:rsid w:val="00B75F16"/>
    <w:rsid w:val="00B7649F"/>
    <w:rsid w:val="00B7675D"/>
    <w:rsid w:val="00B76E37"/>
    <w:rsid w:val="00B76FF1"/>
    <w:rsid w:val="00B771B0"/>
    <w:rsid w:val="00B77423"/>
    <w:rsid w:val="00B775B3"/>
    <w:rsid w:val="00B779CE"/>
    <w:rsid w:val="00B80BB7"/>
    <w:rsid w:val="00B81CB9"/>
    <w:rsid w:val="00B81D30"/>
    <w:rsid w:val="00B8229C"/>
    <w:rsid w:val="00B845C4"/>
    <w:rsid w:val="00B853AA"/>
    <w:rsid w:val="00B85CCD"/>
    <w:rsid w:val="00B86319"/>
    <w:rsid w:val="00B86C7E"/>
    <w:rsid w:val="00B87B14"/>
    <w:rsid w:val="00B87D0B"/>
    <w:rsid w:val="00B91167"/>
    <w:rsid w:val="00B92228"/>
    <w:rsid w:val="00B9318E"/>
    <w:rsid w:val="00B932F8"/>
    <w:rsid w:val="00B93D37"/>
    <w:rsid w:val="00B93F32"/>
    <w:rsid w:val="00B94943"/>
    <w:rsid w:val="00B94C6C"/>
    <w:rsid w:val="00B94CAF"/>
    <w:rsid w:val="00B95034"/>
    <w:rsid w:val="00B95506"/>
    <w:rsid w:val="00B95C5D"/>
    <w:rsid w:val="00B96583"/>
    <w:rsid w:val="00BA060A"/>
    <w:rsid w:val="00BA12D8"/>
    <w:rsid w:val="00BA1C19"/>
    <w:rsid w:val="00BA2280"/>
    <w:rsid w:val="00BA38A4"/>
    <w:rsid w:val="00BA38AF"/>
    <w:rsid w:val="00BA3F05"/>
    <w:rsid w:val="00BA4900"/>
    <w:rsid w:val="00BA5F92"/>
    <w:rsid w:val="00BA63E9"/>
    <w:rsid w:val="00BA6C65"/>
    <w:rsid w:val="00BB025D"/>
    <w:rsid w:val="00BB0902"/>
    <w:rsid w:val="00BB0A88"/>
    <w:rsid w:val="00BB0ED4"/>
    <w:rsid w:val="00BB1444"/>
    <w:rsid w:val="00BB1AB9"/>
    <w:rsid w:val="00BB29EE"/>
    <w:rsid w:val="00BB2A80"/>
    <w:rsid w:val="00BB3168"/>
    <w:rsid w:val="00BB3223"/>
    <w:rsid w:val="00BB393B"/>
    <w:rsid w:val="00BB46C1"/>
    <w:rsid w:val="00BB4C9E"/>
    <w:rsid w:val="00BB50E4"/>
    <w:rsid w:val="00BB53C5"/>
    <w:rsid w:val="00BB5970"/>
    <w:rsid w:val="00BB62D1"/>
    <w:rsid w:val="00BB6FFE"/>
    <w:rsid w:val="00BC0583"/>
    <w:rsid w:val="00BC22F4"/>
    <w:rsid w:val="00BC25A7"/>
    <w:rsid w:val="00BC2708"/>
    <w:rsid w:val="00BC29D0"/>
    <w:rsid w:val="00BC2A7C"/>
    <w:rsid w:val="00BC2D3A"/>
    <w:rsid w:val="00BC2EC4"/>
    <w:rsid w:val="00BC38EC"/>
    <w:rsid w:val="00BC3B8B"/>
    <w:rsid w:val="00BC3E9F"/>
    <w:rsid w:val="00BC45BE"/>
    <w:rsid w:val="00BC461D"/>
    <w:rsid w:val="00BC4F57"/>
    <w:rsid w:val="00BC5CF7"/>
    <w:rsid w:val="00BC6106"/>
    <w:rsid w:val="00BC6FC0"/>
    <w:rsid w:val="00BC7049"/>
    <w:rsid w:val="00BC7D50"/>
    <w:rsid w:val="00BD0611"/>
    <w:rsid w:val="00BD1519"/>
    <w:rsid w:val="00BD1F2A"/>
    <w:rsid w:val="00BD41CC"/>
    <w:rsid w:val="00BD42C6"/>
    <w:rsid w:val="00BD436C"/>
    <w:rsid w:val="00BD4763"/>
    <w:rsid w:val="00BD48C4"/>
    <w:rsid w:val="00BD4DB8"/>
    <w:rsid w:val="00BD564B"/>
    <w:rsid w:val="00BD5A74"/>
    <w:rsid w:val="00BD6427"/>
    <w:rsid w:val="00BD65EE"/>
    <w:rsid w:val="00BD6760"/>
    <w:rsid w:val="00BD7BA9"/>
    <w:rsid w:val="00BE06FB"/>
    <w:rsid w:val="00BE0830"/>
    <w:rsid w:val="00BE0D54"/>
    <w:rsid w:val="00BE0DAF"/>
    <w:rsid w:val="00BE0F9A"/>
    <w:rsid w:val="00BE1820"/>
    <w:rsid w:val="00BE24B9"/>
    <w:rsid w:val="00BE293B"/>
    <w:rsid w:val="00BE2B43"/>
    <w:rsid w:val="00BE2C4D"/>
    <w:rsid w:val="00BE3322"/>
    <w:rsid w:val="00BE3635"/>
    <w:rsid w:val="00BE48D5"/>
    <w:rsid w:val="00BE4CA7"/>
    <w:rsid w:val="00BE74C8"/>
    <w:rsid w:val="00BE76CC"/>
    <w:rsid w:val="00BE7BA7"/>
    <w:rsid w:val="00BF26E5"/>
    <w:rsid w:val="00BF3CAA"/>
    <w:rsid w:val="00BF3E79"/>
    <w:rsid w:val="00BF46EF"/>
    <w:rsid w:val="00BF4BFB"/>
    <w:rsid w:val="00BF5A66"/>
    <w:rsid w:val="00BF6102"/>
    <w:rsid w:val="00BF65C0"/>
    <w:rsid w:val="00BF6754"/>
    <w:rsid w:val="00BF688D"/>
    <w:rsid w:val="00BF73A7"/>
    <w:rsid w:val="00BF77CE"/>
    <w:rsid w:val="00C0026F"/>
    <w:rsid w:val="00C00566"/>
    <w:rsid w:val="00C016FC"/>
    <w:rsid w:val="00C01A20"/>
    <w:rsid w:val="00C01D88"/>
    <w:rsid w:val="00C02A7A"/>
    <w:rsid w:val="00C0333D"/>
    <w:rsid w:val="00C0385C"/>
    <w:rsid w:val="00C03955"/>
    <w:rsid w:val="00C039B9"/>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69E"/>
    <w:rsid w:val="00C20FFF"/>
    <w:rsid w:val="00C210E8"/>
    <w:rsid w:val="00C22275"/>
    <w:rsid w:val="00C22881"/>
    <w:rsid w:val="00C23509"/>
    <w:rsid w:val="00C23CD1"/>
    <w:rsid w:val="00C242FD"/>
    <w:rsid w:val="00C244C5"/>
    <w:rsid w:val="00C24D53"/>
    <w:rsid w:val="00C254A4"/>
    <w:rsid w:val="00C258CB"/>
    <w:rsid w:val="00C259E6"/>
    <w:rsid w:val="00C261F3"/>
    <w:rsid w:val="00C2688D"/>
    <w:rsid w:val="00C2742D"/>
    <w:rsid w:val="00C277D4"/>
    <w:rsid w:val="00C27ECC"/>
    <w:rsid w:val="00C303B9"/>
    <w:rsid w:val="00C30A56"/>
    <w:rsid w:val="00C31199"/>
    <w:rsid w:val="00C31C95"/>
    <w:rsid w:val="00C323BA"/>
    <w:rsid w:val="00C32749"/>
    <w:rsid w:val="00C332EE"/>
    <w:rsid w:val="00C35882"/>
    <w:rsid w:val="00C35A5F"/>
    <w:rsid w:val="00C35AC6"/>
    <w:rsid w:val="00C35E33"/>
    <w:rsid w:val="00C36109"/>
    <w:rsid w:val="00C36185"/>
    <w:rsid w:val="00C366F2"/>
    <w:rsid w:val="00C36CA7"/>
    <w:rsid w:val="00C3724C"/>
    <w:rsid w:val="00C40079"/>
    <w:rsid w:val="00C406DE"/>
    <w:rsid w:val="00C41234"/>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D71"/>
    <w:rsid w:val="00C82EFA"/>
    <w:rsid w:val="00C83190"/>
    <w:rsid w:val="00C83C5C"/>
    <w:rsid w:val="00C844C9"/>
    <w:rsid w:val="00C84519"/>
    <w:rsid w:val="00C867D9"/>
    <w:rsid w:val="00C86F56"/>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3158"/>
    <w:rsid w:val="00CA32C0"/>
    <w:rsid w:val="00CA33EE"/>
    <w:rsid w:val="00CA3849"/>
    <w:rsid w:val="00CA3A90"/>
    <w:rsid w:val="00CA47DE"/>
    <w:rsid w:val="00CA4942"/>
    <w:rsid w:val="00CA4E0C"/>
    <w:rsid w:val="00CA5ECF"/>
    <w:rsid w:val="00CA60C5"/>
    <w:rsid w:val="00CA6ED4"/>
    <w:rsid w:val="00CA7B06"/>
    <w:rsid w:val="00CB040A"/>
    <w:rsid w:val="00CB07C1"/>
    <w:rsid w:val="00CB0D07"/>
    <w:rsid w:val="00CB15DB"/>
    <w:rsid w:val="00CB1AEA"/>
    <w:rsid w:val="00CB22C0"/>
    <w:rsid w:val="00CB37F1"/>
    <w:rsid w:val="00CB4083"/>
    <w:rsid w:val="00CB426C"/>
    <w:rsid w:val="00CB5096"/>
    <w:rsid w:val="00CB5755"/>
    <w:rsid w:val="00CB6140"/>
    <w:rsid w:val="00CB6E25"/>
    <w:rsid w:val="00CB7049"/>
    <w:rsid w:val="00CB71D1"/>
    <w:rsid w:val="00CB7B06"/>
    <w:rsid w:val="00CC0900"/>
    <w:rsid w:val="00CC13C8"/>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E5"/>
    <w:rsid w:val="00CC70D3"/>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D4E"/>
    <w:rsid w:val="00CD653B"/>
    <w:rsid w:val="00CD6B4B"/>
    <w:rsid w:val="00CD6C42"/>
    <w:rsid w:val="00CD77C1"/>
    <w:rsid w:val="00CD7F12"/>
    <w:rsid w:val="00CD7F56"/>
    <w:rsid w:val="00CE14C2"/>
    <w:rsid w:val="00CE1A62"/>
    <w:rsid w:val="00CE1CFD"/>
    <w:rsid w:val="00CE1E9D"/>
    <w:rsid w:val="00CE254C"/>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62B"/>
    <w:rsid w:val="00CF0C2A"/>
    <w:rsid w:val="00CF10B7"/>
    <w:rsid w:val="00CF1D4B"/>
    <w:rsid w:val="00CF233A"/>
    <w:rsid w:val="00CF2B2F"/>
    <w:rsid w:val="00CF2E61"/>
    <w:rsid w:val="00CF31F5"/>
    <w:rsid w:val="00CF3204"/>
    <w:rsid w:val="00CF39AC"/>
    <w:rsid w:val="00CF3E71"/>
    <w:rsid w:val="00CF5000"/>
    <w:rsid w:val="00CF51E7"/>
    <w:rsid w:val="00CF5A5A"/>
    <w:rsid w:val="00CF5EB1"/>
    <w:rsid w:val="00CF69FC"/>
    <w:rsid w:val="00CF6BC6"/>
    <w:rsid w:val="00CF7657"/>
    <w:rsid w:val="00CF79C0"/>
    <w:rsid w:val="00D02362"/>
    <w:rsid w:val="00D03012"/>
    <w:rsid w:val="00D03884"/>
    <w:rsid w:val="00D039CD"/>
    <w:rsid w:val="00D057A2"/>
    <w:rsid w:val="00D05840"/>
    <w:rsid w:val="00D05AA9"/>
    <w:rsid w:val="00D05E8A"/>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2355"/>
    <w:rsid w:val="00D235FD"/>
    <w:rsid w:val="00D23A03"/>
    <w:rsid w:val="00D25661"/>
    <w:rsid w:val="00D2568E"/>
    <w:rsid w:val="00D264B0"/>
    <w:rsid w:val="00D266F8"/>
    <w:rsid w:val="00D27AC5"/>
    <w:rsid w:val="00D30195"/>
    <w:rsid w:val="00D30DFB"/>
    <w:rsid w:val="00D31243"/>
    <w:rsid w:val="00D31426"/>
    <w:rsid w:val="00D31BF4"/>
    <w:rsid w:val="00D3230F"/>
    <w:rsid w:val="00D3265B"/>
    <w:rsid w:val="00D32C2D"/>
    <w:rsid w:val="00D33CF0"/>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75"/>
    <w:rsid w:val="00D42096"/>
    <w:rsid w:val="00D428F5"/>
    <w:rsid w:val="00D42F4F"/>
    <w:rsid w:val="00D43A9D"/>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6676"/>
    <w:rsid w:val="00D56B52"/>
    <w:rsid w:val="00D56C78"/>
    <w:rsid w:val="00D56F3B"/>
    <w:rsid w:val="00D576F8"/>
    <w:rsid w:val="00D57777"/>
    <w:rsid w:val="00D579A1"/>
    <w:rsid w:val="00D57D92"/>
    <w:rsid w:val="00D60D92"/>
    <w:rsid w:val="00D612AF"/>
    <w:rsid w:val="00D61BCF"/>
    <w:rsid w:val="00D61C85"/>
    <w:rsid w:val="00D62147"/>
    <w:rsid w:val="00D6222A"/>
    <w:rsid w:val="00D62B35"/>
    <w:rsid w:val="00D62CC8"/>
    <w:rsid w:val="00D62CF8"/>
    <w:rsid w:val="00D62D9D"/>
    <w:rsid w:val="00D62DFC"/>
    <w:rsid w:val="00D63B3E"/>
    <w:rsid w:val="00D63DFD"/>
    <w:rsid w:val="00D65509"/>
    <w:rsid w:val="00D6619E"/>
    <w:rsid w:val="00D66288"/>
    <w:rsid w:val="00D67B72"/>
    <w:rsid w:val="00D67BF7"/>
    <w:rsid w:val="00D70045"/>
    <w:rsid w:val="00D700B5"/>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22D"/>
    <w:rsid w:val="00D81563"/>
    <w:rsid w:val="00D824B5"/>
    <w:rsid w:val="00D833FA"/>
    <w:rsid w:val="00D8397A"/>
    <w:rsid w:val="00D83F27"/>
    <w:rsid w:val="00D841BE"/>
    <w:rsid w:val="00D84E10"/>
    <w:rsid w:val="00D84EA9"/>
    <w:rsid w:val="00D84EC1"/>
    <w:rsid w:val="00D8561E"/>
    <w:rsid w:val="00D8587D"/>
    <w:rsid w:val="00D86289"/>
    <w:rsid w:val="00D86F8A"/>
    <w:rsid w:val="00D90F2E"/>
    <w:rsid w:val="00D91499"/>
    <w:rsid w:val="00D922EC"/>
    <w:rsid w:val="00D9270E"/>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670"/>
    <w:rsid w:val="00DB09BF"/>
    <w:rsid w:val="00DB1213"/>
    <w:rsid w:val="00DB1ED7"/>
    <w:rsid w:val="00DB2F31"/>
    <w:rsid w:val="00DB340B"/>
    <w:rsid w:val="00DB3865"/>
    <w:rsid w:val="00DB39FF"/>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0EE"/>
    <w:rsid w:val="00DD7244"/>
    <w:rsid w:val="00DE0883"/>
    <w:rsid w:val="00DE1100"/>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B4B"/>
    <w:rsid w:val="00DF32FA"/>
    <w:rsid w:val="00DF38DC"/>
    <w:rsid w:val="00DF3AD8"/>
    <w:rsid w:val="00DF3B51"/>
    <w:rsid w:val="00DF4B67"/>
    <w:rsid w:val="00DF4CC7"/>
    <w:rsid w:val="00DF60EA"/>
    <w:rsid w:val="00DF641D"/>
    <w:rsid w:val="00DF6878"/>
    <w:rsid w:val="00DF6F68"/>
    <w:rsid w:val="00DF72D6"/>
    <w:rsid w:val="00DF7392"/>
    <w:rsid w:val="00DF758D"/>
    <w:rsid w:val="00DF77EB"/>
    <w:rsid w:val="00DF7902"/>
    <w:rsid w:val="00DF7C84"/>
    <w:rsid w:val="00E00EDC"/>
    <w:rsid w:val="00E011E7"/>
    <w:rsid w:val="00E016BE"/>
    <w:rsid w:val="00E0249C"/>
    <w:rsid w:val="00E0261C"/>
    <w:rsid w:val="00E02D12"/>
    <w:rsid w:val="00E02D38"/>
    <w:rsid w:val="00E037D2"/>
    <w:rsid w:val="00E03B2C"/>
    <w:rsid w:val="00E03C04"/>
    <w:rsid w:val="00E03D9C"/>
    <w:rsid w:val="00E03DD0"/>
    <w:rsid w:val="00E045EE"/>
    <w:rsid w:val="00E04FAE"/>
    <w:rsid w:val="00E051DB"/>
    <w:rsid w:val="00E057C3"/>
    <w:rsid w:val="00E10001"/>
    <w:rsid w:val="00E1052E"/>
    <w:rsid w:val="00E10BC1"/>
    <w:rsid w:val="00E10C20"/>
    <w:rsid w:val="00E10FC6"/>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50D7"/>
    <w:rsid w:val="00E25916"/>
    <w:rsid w:val="00E2620B"/>
    <w:rsid w:val="00E26477"/>
    <w:rsid w:val="00E26B31"/>
    <w:rsid w:val="00E30387"/>
    <w:rsid w:val="00E30897"/>
    <w:rsid w:val="00E30903"/>
    <w:rsid w:val="00E311BC"/>
    <w:rsid w:val="00E329D5"/>
    <w:rsid w:val="00E334AB"/>
    <w:rsid w:val="00E340C6"/>
    <w:rsid w:val="00E34422"/>
    <w:rsid w:val="00E34908"/>
    <w:rsid w:val="00E35A87"/>
    <w:rsid w:val="00E35BCA"/>
    <w:rsid w:val="00E35D21"/>
    <w:rsid w:val="00E369F1"/>
    <w:rsid w:val="00E36FDC"/>
    <w:rsid w:val="00E37475"/>
    <w:rsid w:val="00E37DD2"/>
    <w:rsid w:val="00E4007D"/>
    <w:rsid w:val="00E40131"/>
    <w:rsid w:val="00E40569"/>
    <w:rsid w:val="00E40AC6"/>
    <w:rsid w:val="00E40F22"/>
    <w:rsid w:val="00E413D5"/>
    <w:rsid w:val="00E41770"/>
    <w:rsid w:val="00E44691"/>
    <w:rsid w:val="00E44A70"/>
    <w:rsid w:val="00E45618"/>
    <w:rsid w:val="00E4625D"/>
    <w:rsid w:val="00E465B3"/>
    <w:rsid w:val="00E466EA"/>
    <w:rsid w:val="00E46E99"/>
    <w:rsid w:val="00E4792A"/>
    <w:rsid w:val="00E504D5"/>
    <w:rsid w:val="00E50C82"/>
    <w:rsid w:val="00E523D9"/>
    <w:rsid w:val="00E524E4"/>
    <w:rsid w:val="00E52928"/>
    <w:rsid w:val="00E52BFC"/>
    <w:rsid w:val="00E549DD"/>
    <w:rsid w:val="00E54D73"/>
    <w:rsid w:val="00E55255"/>
    <w:rsid w:val="00E55AC7"/>
    <w:rsid w:val="00E56FE0"/>
    <w:rsid w:val="00E57561"/>
    <w:rsid w:val="00E576A6"/>
    <w:rsid w:val="00E57851"/>
    <w:rsid w:val="00E6004D"/>
    <w:rsid w:val="00E60232"/>
    <w:rsid w:val="00E60F9C"/>
    <w:rsid w:val="00E612B1"/>
    <w:rsid w:val="00E61699"/>
    <w:rsid w:val="00E61E56"/>
    <w:rsid w:val="00E62F1D"/>
    <w:rsid w:val="00E6412E"/>
    <w:rsid w:val="00E642C3"/>
    <w:rsid w:val="00E6473F"/>
    <w:rsid w:val="00E64B7F"/>
    <w:rsid w:val="00E64FBF"/>
    <w:rsid w:val="00E654CE"/>
    <w:rsid w:val="00E6557C"/>
    <w:rsid w:val="00E65980"/>
    <w:rsid w:val="00E65C5A"/>
    <w:rsid w:val="00E65FB9"/>
    <w:rsid w:val="00E664EA"/>
    <w:rsid w:val="00E6700B"/>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F3A"/>
    <w:rsid w:val="00E8036C"/>
    <w:rsid w:val="00E80845"/>
    <w:rsid w:val="00E8103A"/>
    <w:rsid w:val="00E810FA"/>
    <w:rsid w:val="00E815E3"/>
    <w:rsid w:val="00E81732"/>
    <w:rsid w:val="00E81D5D"/>
    <w:rsid w:val="00E81E52"/>
    <w:rsid w:val="00E82D07"/>
    <w:rsid w:val="00E84074"/>
    <w:rsid w:val="00E84F4E"/>
    <w:rsid w:val="00E858D9"/>
    <w:rsid w:val="00E86212"/>
    <w:rsid w:val="00E86369"/>
    <w:rsid w:val="00E86A52"/>
    <w:rsid w:val="00E86B94"/>
    <w:rsid w:val="00E876CA"/>
    <w:rsid w:val="00E8795E"/>
    <w:rsid w:val="00E90849"/>
    <w:rsid w:val="00E90B30"/>
    <w:rsid w:val="00E90C45"/>
    <w:rsid w:val="00E91D7C"/>
    <w:rsid w:val="00E930A5"/>
    <w:rsid w:val="00E93C1B"/>
    <w:rsid w:val="00E93F92"/>
    <w:rsid w:val="00E94439"/>
    <w:rsid w:val="00E95588"/>
    <w:rsid w:val="00E971BE"/>
    <w:rsid w:val="00EA004C"/>
    <w:rsid w:val="00EA01DB"/>
    <w:rsid w:val="00EA0759"/>
    <w:rsid w:val="00EA0B78"/>
    <w:rsid w:val="00EA0C8A"/>
    <w:rsid w:val="00EA14C1"/>
    <w:rsid w:val="00EA1688"/>
    <w:rsid w:val="00EA1DC5"/>
    <w:rsid w:val="00EA1F7D"/>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288"/>
    <w:rsid w:val="00EC5E00"/>
    <w:rsid w:val="00EC5F2B"/>
    <w:rsid w:val="00EC6408"/>
    <w:rsid w:val="00EC65EE"/>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75"/>
    <w:rsid w:val="00ED6AAA"/>
    <w:rsid w:val="00ED7561"/>
    <w:rsid w:val="00ED7A11"/>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A28"/>
    <w:rsid w:val="00EE6CF1"/>
    <w:rsid w:val="00EE72BE"/>
    <w:rsid w:val="00EE7503"/>
    <w:rsid w:val="00EE7A56"/>
    <w:rsid w:val="00EE7F76"/>
    <w:rsid w:val="00EF0343"/>
    <w:rsid w:val="00EF0688"/>
    <w:rsid w:val="00EF185B"/>
    <w:rsid w:val="00EF448E"/>
    <w:rsid w:val="00EF44DB"/>
    <w:rsid w:val="00EF4A6C"/>
    <w:rsid w:val="00EF6405"/>
    <w:rsid w:val="00EF6F7B"/>
    <w:rsid w:val="00EF71E7"/>
    <w:rsid w:val="00EF7421"/>
    <w:rsid w:val="00EF78CD"/>
    <w:rsid w:val="00F00506"/>
    <w:rsid w:val="00F007E5"/>
    <w:rsid w:val="00F021EC"/>
    <w:rsid w:val="00F027A1"/>
    <w:rsid w:val="00F02963"/>
    <w:rsid w:val="00F02A59"/>
    <w:rsid w:val="00F03792"/>
    <w:rsid w:val="00F03D28"/>
    <w:rsid w:val="00F04038"/>
    <w:rsid w:val="00F04395"/>
    <w:rsid w:val="00F0450B"/>
    <w:rsid w:val="00F047EC"/>
    <w:rsid w:val="00F052BA"/>
    <w:rsid w:val="00F05303"/>
    <w:rsid w:val="00F05609"/>
    <w:rsid w:val="00F061AB"/>
    <w:rsid w:val="00F07957"/>
    <w:rsid w:val="00F106EC"/>
    <w:rsid w:val="00F1116E"/>
    <w:rsid w:val="00F1206E"/>
    <w:rsid w:val="00F127FD"/>
    <w:rsid w:val="00F1291B"/>
    <w:rsid w:val="00F129AF"/>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931"/>
    <w:rsid w:val="00F306B8"/>
    <w:rsid w:val="00F310C3"/>
    <w:rsid w:val="00F31F1A"/>
    <w:rsid w:val="00F320A3"/>
    <w:rsid w:val="00F33DE0"/>
    <w:rsid w:val="00F349B4"/>
    <w:rsid w:val="00F3665D"/>
    <w:rsid w:val="00F36923"/>
    <w:rsid w:val="00F406CC"/>
    <w:rsid w:val="00F40C5A"/>
    <w:rsid w:val="00F40D47"/>
    <w:rsid w:val="00F41413"/>
    <w:rsid w:val="00F41846"/>
    <w:rsid w:val="00F419BE"/>
    <w:rsid w:val="00F41A85"/>
    <w:rsid w:val="00F423C4"/>
    <w:rsid w:val="00F43453"/>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4184"/>
    <w:rsid w:val="00F545E3"/>
    <w:rsid w:val="00F54FC0"/>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5D37"/>
    <w:rsid w:val="00F661D0"/>
    <w:rsid w:val="00F66E50"/>
    <w:rsid w:val="00F70342"/>
    <w:rsid w:val="00F709BD"/>
    <w:rsid w:val="00F71174"/>
    <w:rsid w:val="00F711FF"/>
    <w:rsid w:val="00F719D4"/>
    <w:rsid w:val="00F72BF7"/>
    <w:rsid w:val="00F72DE1"/>
    <w:rsid w:val="00F744B4"/>
    <w:rsid w:val="00F74A08"/>
    <w:rsid w:val="00F74A33"/>
    <w:rsid w:val="00F74BCF"/>
    <w:rsid w:val="00F75204"/>
    <w:rsid w:val="00F75BD2"/>
    <w:rsid w:val="00F765BA"/>
    <w:rsid w:val="00F767EC"/>
    <w:rsid w:val="00F76CA8"/>
    <w:rsid w:val="00F8001F"/>
    <w:rsid w:val="00F80C6E"/>
    <w:rsid w:val="00F81127"/>
    <w:rsid w:val="00F81AAF"/>
    <w:rsid w:val="00F81E59"/>
    <w:rsid w:val="00F81EA1"/>
    <w:rsid w:val="00F825F0"/>
    <w:rsid w:val="00F82687"/>
    <w:rsid w:val="00F841D9"/>
    <w:rsid w:val="00F849DD"/>
    <w:rsid w:val="00F84F68"/>
    <w:rsid w:val="00F867D0"/>
    <w:rsid w:val="00F8741F"/>
    <w:rsid w:val="00F874AA"/>
    <w:rsid w:val="00F875F4"/>
    <w:rsid w:val="00F878A9"/>
    <w:rsid w:val="00F87E74"/>
    <w:rsid w:val="00F9024E"/>
    <w:rsid w:val="00F9088C"/>
    <w:rsid w:val="00F90C05"/>
    <w:rsid w:val="00F911D7"/>
    <w:rsid w:val="00F911FB"/>
    <w:rsid w:val="00F932B1"/>
    <w:rsid w:val="00F93D6E"/>
    <w:rsid w:val="00F94709"/>
    <w:rsid w:val="00F97BCD"/>
    <w:rsid w:val="00F97E6F"/>
    <w:rsid w:val="00FA017D"/>
    <w:rsid w:val="00FA01F0"/>
    <w:rsid w:val="00FA0951"/>
    <w:rsid w:val="00FA18C6"/>
    <w:rsid w:val="00FA1B31"/>
    <w:rsid w:val="00FA24FA"/>
    <w:rsid w:val="00FA4901"/>
    <w:rsid w:val="00FA56D1"/>
    <w:rsid w:val="00FA6E64"/>
    <w:rsid w:val="00FA770C"/>
    <w:rsid w:val="00FA7A64"/>
    <w:rsid w:val="00FA7CB6"/>
    <w:rsid w:val="00FA7FF3"/>
    <w:rsid w:val="00FB02CE"/>
    <w:rsid w:val="00FB040E"/>
    <w:rsid w:val="00FB0B7F"/>
    <w:rsid w:val="00FB0E54"/>
    <w:rsid w:val="00FB129E"/>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1FEC"/>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868"/>
    <w:rsid w:val="00FD3F74"/>
    <w:rsid w:val="00FD4B43"/>
    <w:rsid w:val="00FD5384"/>
    <w:rsid w:val="00FD7411"/>
    <w:rsid w:val="00FD77D0"/>
    <w:rsid w:val="00FD7B3B"/>
    <w:rsid w:val="00FE19ED"/>
    <w:rsid w:val="00FE1A45"/>
    <w:rsid w:val="00FE279E"/>
    <w:rsid w:val="00FE2DF2"/>
    <w:rsid w:val="00FE3879"/>
    <w:rsid w:val="00FE3B8B"/>
    <w:rsid w:val="00FE3C0A"/>
    <w:rsid w:val="00FE41A4"/>
    <w:rsid w:val="00FE4559"/>
    <w:rsid w:val="00FE5BB6"/>
    <w:rsid w:val="00FE6606"/>
    <w:rsid w:val="00FE6A00"/>
    <w:rsid w:val="00FE79CB"/>
    <w:rsid w:val="00FF09EE"/>
    <w:rsid w:val="00FF0B90"/>
    <w:rsid w:val="00FF0C18"/>
    <w:rsid w:val="00FF1519"/>
    <w:rsid w:val="00FF2045"/>
    <w:rsid w:val="00FF2C86"/>
    <w:rsid w:val="00FF2FB8"/>
    <w:rsid w:val="00FF2FF5"/>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05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20"/>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b w:val="0"/>
      <w:i w:val="0"/>
      <w:caps w:val="0"/>
      <w:vanish w:val="0"/>
      <w:color w:val="000000"/>
      <w:sz w:val="16"/>
      <w:szCs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rsid w:val="00DE18FB"/>
    <w:rPr>
      <w:sz w:val="20"/>
      <w:szCs w:val="20"/>
    </w:rPr>
  </w:style>
  <w:style w:type="character" w:styleId="FootnoteReference">
    <w:name w:val="footnote reference"/>
    <w:basedOn w:val="DefaultParagraphFont"/>
    <w:uiPriority w:val="99"/>
    <w:semiHidden/>
    <w:unhideWhenUsed/>
    <w:rsid w:val="00DE18FB"/>
    <w:rPr>
      <w:vertAlign w:val="superscript"/>
    </w:rPr>
  </w:style>
  <w:style w:type="character" w:customStyle="1" w:styleId="UnresolvedMention1">
    <w:name w:val="Unresolved Mention1"/>
    <w:basedOn w:val="DefaultParagraphFont"/>
    <w:uiPriority w:val="99"/>
    <w:semiHidden/>
    <w:unhideWhenUsed/>
    <w:rsid w:val="009862AC"/>
    <w:rPr>
      <w:color w:val="605E5C"/>
      <w:shd w:val="clear" w:color="auto" w:fill="E1DFDD"/>
    </w:rPr>
  </w:style>
  <w:style w:type="paragraph" w:customStyle="1" w:styleId="msonospacing0">
    <w:name w:val="msonospacing"/>
    <w:uiPriority w:val="99"/>
    <w:rsid w:val="005E79B7"/>
    <w:pPr>
      <w:suppressAutoHyphens/>
      <w:spacing w:line="100" w:lineRule="atLeast"/>
    </w:pPr>
    <w:rPr>
      <w:rFonts w:ascii="Calibri"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585841682">
      <w:bodyDiv w:val="1"/>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 w:id="1996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hyperlink" Target="http://www.ups.com/"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forbes.com/just-companies/" TargetMode="External"/><Relationship Id="rId17" Type="http://schemas.openxmlformats.org/officeDocument/2006/relationships/hyperlink" Target="https://twitter.com/UPS_New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stainability.ups.com/resources/sustainability-newsletter/"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week.com/americas-best-customer-service-2019/services-transportation-trave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ongitudes.ups.com/" TargetMode="External"/><Relationship Id="rId23" Type="http://schemas.openxmlformats.org/officeDocument/2006/relationships/footer" Target="footer1.xml"/><Relationship Id="rId10" Type="http://schemas.openxmlformats.org/officeDocument/2006/relationships/hyperlink" Target="http://www.investors.ups.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nvestors.ups.com" TargetMode="External"/><Relationship Id="rId14" Type="http://schemas.openxmlformats.org/officeDocument/2006/relationships/hyperlink" Target="https://pressroom.ups.com/pressroom/Home.pag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2B24-9A75-4E51-84F8-726F7B0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2620</Words>
  <Characters>16217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2019-01-30T21:55:00Z</dcterms:created>
  <dcterms:modified xsi:type="dcterms:W3CDTF">2019-01-31T13:42:00Z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