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0CD8" w14:textId="77777777" w:rsidR="000E75D7" w:rsidRPr="00620BC7" w:rsidRDefault="00850BA1" w:rsidP="000E75D7">
      <w:pPr>
        <w:rPr>
          <w:rFonts w:ascii="Arial" w:hAnsi="Arial" w:cs="Arial"/>
          <w:sz w:val="20"/>
        </w:rPr>
      </w:pPr>
      <w:r w:rsidRPr="00620BC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8EA731" wp14:editId="19B0E5C9">
            <wp:simplePos x="0" y="0"/>
            <wp:positionH relativeFrom="margin">
              <wp:posOffset>4467225</wp:posOffset>
            </wp:positionH>
            <wp:positionV relativeFrom="paragraph">
              <wp:posOffset>-57150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C7" w:rsidRPr="00620BC7">
        <w:rPr>
          <w:rFonts w:ascii="Arial" w:hAnsi="Arial" w:cs="Arial"/>
          <w:sz w:val="20"/>
        </w:rPr>
        <w:t>Kontakty</w:t>
      </w:r>
      <w:r w:rsidR="000E75D7" w:rsidRPr="00620BC7">
        <w:rPr>
          <w:rFonts w:ascii="Arial" w:hAnsi="Arial" w:cs="Arial"/>
          <w:sz w:val="20"/>
        </w:rPr>
        <w:t>:</w:t>
      </w:r>
      <w:r w:rsidR="00D30B92" w:rsidRPr="00620BC7">
        <w:rPr>
          <w:rFonts w:ascii="Arial" w:hAnsi="Arial" w:cs="Arial"/>
          <w:sz w:val="16"/>
          <w:szCs w:val="16"/>
        </w:rPr>
        <w:tab/>
      </w:r>
      <w:r w:rsidR="000E75D7" w:rsidRPr="00620BC7">
        <w:rPr>
          <w:rFonts w:ascii="Arial" w:hAnsi="Arial" w:cs="Arial"/>
          <w:sz w:val="20"/>
        </w:rPr>
        <w:t xml:space="preserve">Glenn Zaccara, Public Relations </w:t>
      </w:r>
    </w:p>
    <w:p w14:paraId="665B914F" w14:textId="77777777" w:rsidR="000E75D7" w:rsidRPr="00620BC7" w:rsidRDefault="000E75D7" w:rsidP="00D30B92">
      <w:pPr>
        <w:ind w:left="720" w:firstLine="720"/>
        <w:rPr>
          <w:rFonts w:ascii="Arial" w:hAnsi="Arial" w:cs="Arial"/>
          <w:sz w:val="20"/>
        </w:rPr>
      </w:pPr>
      <w:r w:rsidRPr="00620BC7">
        <w:rPr>
          <w:rFonts w:ascii="Arial" w:hAnsi="Arial" w:cs="Arial"/>
          <w:sz w:val="20"/>
        </w:rPr>
        <w:t>+1 404-828-4663</w:t>
      </w:r>
      <w:r w:rsidR="00D30B92" w:rsidRPr="00620BC7">
        <w:rPr>
          <w:rFonts w:ascii="Arial" w:hAnsi="Arial" w:cs="Arial"/>
          <w:sz w:val="20"/>
        </w:rPr>
        <w:t>¨</w:t>
      </w:r>
    </w:p>
    <w:p w14:paraId="61E2718B" w14:textId="77777777" w:rsidR="00D30B92" w:rsidRPr="00620BC7" w:rsidRDefault="00D30B92" w:rsidP="00D30B92">
      <w:pPr>
        <w:ind w:left="720" w:firstLine="720"/>
        <w:rPr>
          <w:rFonts w:ascii="Arial" w:hAnsi="Arial" w:cs="Arial"/>
          <w:sz w:val="20"/>
        </w:rPr>
      </w:pPr>
    </w:p>
    <w:p w14:paraId="472AC646" w14:textId="77777777" w:rsidR="000E75D7" w:rsidRPr="00620BC7" w:rsidRDefault="000E75D7" w:rsidP="0050450E">
      <w:pPr>
        <w:ind w:left="720" w:firstLine="720"/>
        <w:rPr>
          <w:rFonts w:ascii="Arial" w:hAnsi="Arial" w:cs="Arial"/>
          <w:sz w:val="20"/>
        </w:rPr>
      </w:pPr>
      <w:r w:rsidRPr="00620BC7">
        <w:rPr>
          <w:rFonts w:ascii="Arial" w:hAnsi="Arial" w:cs="Arial"/>
          <w:sz w:val="20"/>
        </w:rPr>
        <w:t>Scott Childress, Investor Relations</w:t>
      </w:r>
    </w:p>
    <w:p w14:paraId="4F055108" w14:textId="77777777" w:rsidR="00D30B92" w:rsidRPr="00620BC7" w:rsidRDefault="000E75D7" w:rsidP="00D30B92">
      <w:pPr>
        <w:ind w:left="720" w:firstLine="720"/>
        <w:rPr>
          <w:rFonts w:ascii="Arial" w:hAnsi="Arial" w:cs="Arial"/>
          <w:sz w:val="20"/>
        </w:rPr>
      </w:pPr>
      <w:r w:rsidRPr="00620BC7">
        <w:rPr>
          <w:rFonts w:ascii="Arial" w:hAnsi="Arial" w:cs="Arial"/>
          <w:sz w:val="20"/>
        </w:rPr>
        <w:t>+1 404-828-7957 </w:t>
      </w:r>
    </w:p>
    <w:p w14:paraId="1A028570" w14:textId="77777777" w:rsidR="0050450E" w:rsidRPr="00620BC7" w:rsidRDefault="0050450E" w:rsidP="00D30B92">
      <w:pPr>
        <w:ind w:left="720" w:firstLine="720"/>
        <w:rPr>
          <w:rFonts w:ascii="Arial" w:hAnsi="Arial" w:cs="Arial"/>
          <w:sz w:val="20"/>
        </w:rPr>
      </w:pPr>
    </w:p>
    <w:p w14:paraId="6DC5D1E2" w14:textId="77777777" w:rsidR="0050450E" w:rsidRPr="00620BC7" w:rsidRDefault="0050450E" w:rsidP="0050450E">
      <w:pPr>
        <w:ind w:left="720" w:firstLine="720"/>
        <w:rPr>
          <w:rFonts w:ascii="Arial" w:hAnsi="Arial" w:cs="Arial"/>
          <w:sz w:val="20"/>
        </w:rPr>
      </w:pPr>
      <w:r w:rsidRPr="00620BC7">
        <w:rPr>
          <w:rFonts w:ascii="Arial" w:hAnsi="Arial" w:cs="Arial"/>
          <w:sz w:val="20"/>
        </w:rPr>
        <w:t xml:space="preserve">Karla Krejčí, Donath Business &amp; Media </w:t>
      </w:r>
    </w:p>
    <w:p w14:paraId="5911ADC8" w14:textId="77777777" w:rsidR="0050450E" w:rsidRPr="00620BC7" w:rsidRDefault="0050450E" w:rsidP="0050450E">
      <w:pPr>
        <w:ind w:left="720" w:firstLine="720"/>
        <w:rPr>
          <w:rFonts w:ascii="Arial" w:hAnsi="Arial" w:cs="Arial"/>
          <w:sz w:val="20"/>
        </w:rPr>
      </w:pPr>
      <w:r w:rsidRPr="00620BC7">
        <w:rPr>
          <w:rFonts w:ascii="Arial" w:hAnsi="Arial" w:cs="Arial"/>
          <w:sz w:val="20"/>
        </w:rPr>
        <w:t>+420 224 211 220</w:t>
      </w:r>
    </w:p>
    <w:p w14:paraId="1644B40A" w14:textId="77777777" w:rsidR="0050450E" w:rsidRPr="00620BC7" w:rsidRDefault="00241399" w:rsidP="0050450E">
      <w:pPr>
        <w:ind w:left="1134" w:firstLine="306"/>
        <w:rPr>
          <w:rFonts w:ascii="Arial" w:hAnsi="Arial" w:cs="Arial"/>
          <w:sz w:val="20"/>
        </w:rPr>
      </w:pPr>
      <w:hyperlink r:id="rId7" w:history="1">
        <w:r w:rsidR="0050450E" w:rsidRPr="00620BC7">
          <w:rPr>
            <w:rStyle w:val="Hypertextovodkaz"/>
            <w:rFonts w:ascii="Arial" w:hAnsi="Arial" w:cs="Arial"/>
            <w:sz w:val="20"/>
          </w:rPr>
          <w:t>karla.krejci@dbm.cz</w:t>
        </w:r>
      </w:hyperlink>
    </w:p>
    <w:p w14:paraId="64BBAA10" w14:textId="77777777" w:rsidR="000E75D7" w:rsidRPr="00620BC7" w:rsidRDefault="000E75D7" w:rsidP="000E75D7">
      <w:pPr>
        <w:rPr>
          <w:rFonts w:ascii="Arial" w:hAnsi="Arial" w:cs="Arial"/>
          <w:sz w:val="18"/>
          <w:szCs w:val="18"/>
        </w:rPr>
      </w:pPr>
    </w:p>
    <w:p w14:paraId="0E781E21" w14:textId="77777777" w:rsidR="000E75D7" w:rsidRPr="00620BC7" w:rsidRDefault="000E75D7" w:rsidP="000E75D7">
      <w:pPr>
        <w:rPr>
          <w:rFonts w:ascii="Arial" w:hAnsi="Arial" w:cs="Arial"/>
          <w:sz w:val="18"/>
          <w:szCs w:val="18"/>
        </w:rPr>
      </w:pPr>
    </w:p>
    <w:p w14:paraId="31288432" w14:textId="77777777" w:rsidR="00E20694" w:rsidRPr="00620BC7" w:rsidRDefault="00E20694" w:rsidP="00E2069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0BC7">
        <w:rPr>
          <w:rFonts w:ascii="Arial" w:hAnsi="Arial" w:cs="Arial"/>
          <w:b/>
          <w:bCs/>
          <w:sz w:val="32"/>
          <w:szCs w:val="32"/>
        </w:rPr>
        <w:t xml:space="preserve">Finanční výsledky </w:t>
      </w:r>
      <w:r w:rsidR="00836AF5" w:rsidRPr="00620BC7">
        <w:rPr>
          <w:rFonts w:ascii="Arial" w:hAnsi="Arial" w:cs="Arial"/>
          <w:b/>
          <w:bCs/>
          <w:sz w:val="32"/>
          <w:szCs w:val="32"/>
        </w:rPr>
        <w:t xml:space="preserve">UPS </w:t>
      </w:r>
      <w:r w:rsidRPr="00620BC7">
        <w:rPr>
          <w:rFonts w:ascii="Arial" w:hAnsi="Arial" w:cs="Arial"/>
          <w:b/>
          <w:bCs/>
          <w:sz w:val="32"/>
          <w:szCs w:val="32"/>
        </w:rPr>
        <w:t>za 1. kvartál 2020</w:t>
      </w:r>
    </w:p>
    <w:p w14:paraId="7A645272" w14:textId="77777777" w:rsidR="00E20694" w:rsidRPr="00620BC7" w:rsidRDefault="00836AF5" w:rsidP="00E20694">
      <w:pPr>
        <w:ind w:left="90"/>
        <w:jc w:val="center"/>
        <w:rPr>
          <w:rFonts w:ascii="Arial" w:hAnsi="Arial" w:cs="Arial"/>
          <w:i/>
          <w:iCs/>
          <w:szCs w:val="22"/>
        </w:rPr>
      </w:pPr>
      <w:r w:rsidRPr="00620BC7">
        <w:rPr>
          <w:rFonts w:ascii="Arial" w:hAnsi="Arial" w:cs="Arial"/>
          <w:i/>
          <w:iCs/>
          <w:szCs w:val="22"/>
        </w:rPr>
        <w:t xml:space="preserve">Odbornost </w:t>
      </w:r>
      <w:r w:rsidR="00E20694" w:rsidRPr="00620BC7">
        <w:rPr>
          <w:rFonts w:ascii="Arial" w:hAnsi="Arial" w:cs="Arial"/>
          <w:i/>
          <w:iCs/>
          <w:szCs w:val="22"/>
        </w:rPr>
        <w:t xml:space="preserve">a pružná globální síť </w:t>
      </w:r>
      <w:r w:rsidRPr="00620BC7">
        <w:rPr>
          <w:rFonts w:ascii="Arial" w:hAnsi="Arial" w:cs="Arial"/>
          <w:i/>
          <w:iCs/>
          <w:szCs w:val="22"/>
        </w:rPr>
        <w:t xml:space="preserve">UPS </w:t>
      </w:r>
      <w:r w:rsidR="00E20694" w:rsidRPr="00620BC7">
        <w:rPr>
          <w:rFonts w:ascii="Arial" w:hAnsi="Arial" w:cs="Arial"/>
          <w:i/>
          <w:iCs/>
          <w:szCs w:val="22"/>
        </w:rPr>
        <w:t>udržují přepravní řetězce v chodu</w:t>
      </w:r>
    </w:p>
    <w:p w14:paraId="75BBC8E9" w14:textId="77777777" w:rsidR="00E20694" w:rsidRPr="00620BC7" w:rsidRDefault="00E20694" w:rsidP="00E20694">
      <w:pPr>
        <w:ind w:left="90"/>
        <w:jc w:val="center"/>
        <w:rPr>
          <w:rFonts w:ascii="Arial" w:hAnsi="Arial" w:cs="Arial"/>
          <w:i/>
          <w:iCs/>
          <w:szCs w:val="22"/>
        </w:rPr>
      </w:pPr>
    </w:p>
    <w:p w14:paraId="40178942" w14:textId="77777777" w:rsidR="00E20694" w:rsidRPr="00620BC7" w:rsidRDefault="00E20694" w:rsidP="00E20694">
      <w:pPr>
        <w:numPr>
          <w:ilvl w:val="0"/>
          <w:numId w:val="28"/>
        </w:numPr>
        <w:ind w:left="450"/>
        <w:contextualSpacing/>
        <w:rPr>
          <w:rFonts w:ascii="Arial" w:hAnsi="Arial" w:cs="Arial"/>
          <w:b/>
          <w:bCs/>
          <w:i/>
          <w:iCs/>
          <w:sz w:val="20"/>
        </w:rPr>
      </w:pPr>
      <w:r w:rsidRPr="00620BC7">
        <w:rPr>
          <w:rFonts w:ascii="Arial" w:hAnsi="Arial" w:cs="Arial"/>
          <w:b/>
          <w:bCs/>
          <w:i/>
          <w:iCs/>
          <w:sz w:val="20"/>
        </w:rPr>
        <w:t>Společnost se zaměřila na zdraví a bezpečnost zaměstnanců i veřejnosti</w:t>
      </w:r>
    </w:p>
    <w:p w14:paraId="61F97121" w14:textId="77777777" w:rsidR="00E20694" w:rsidRPr="00620BC7" w:rsidRDefault="00E20694" w:rsidP="00E20694">
      <w:pPr>
        <w:numPr>
          <w:ilvl w:val="0"/>
          <w:numId w:val="28"/>
        </w:numPr>
        <w:ind w:left="450"/>
        <w:contextualSpacing/>
        <w:rPr>
          <w:rFonts w:ascii="Arial" w:hAnsi="Arial" w:cs="Arial"/>
          <w:b/>
          <w:bCs/>
          <w:i/>
          <w:iCs/>
          <w:sz w:val="20"/>
        </w:rPr>
      </w:pPr>
      <w:r w:rsidRPr="00620BC7">
        <w:rPr>
          <w:rFonts w:ascii="Arial" w:hAnsi="Arial" w:cs="Arial"/>
          <w:b/>
          <w:bCs/>
          <w:i/>
          <w:iCs/>
          <w:sz w:val="20"/>
        </w:rPr>
        <w:t>Obsluha zákazníků službou On-Time dosáhla téměř rekordní úrovně</w:t>
      </w:r>
    </w:p>
    <w:p w14:paraId="3975FC1F" w14:textId="77777777" w:rsidR="00E20694" w:rsidRPr="00620BC7" w:rsidRDefault="00E20694" w:rsidP="00E20694">
      <w:pPr>
        <w:numPr>
          <w:ilvl w:val="0"/>
          <w:numId w:val="28"/>
        </w:numPr>
        <w:ind w:left="450"/>
        <w:contextualSpacing/>
        <w:rPr>
          <w:rFonts w:ascii="Arial" w:hAnsi="Arial" w:cs="Arial"/>
          <w:b/>
          <w:bCs/>
          <w:i/>
          <w:iCs/>
          <w:sz w:val="20"/>
        </w:rPr>
      </w:pPr>
      <w:r w:rsidRPr="00620BC7">
        <w:rPr>
          <w:rFonts w:ascii="Arial" w:hAnsi="Arial" w:cs="Arial"/>
          <w:b/>
          <w:bCs/>
          <w:i/>
          <w:iCs/>
          <w:sz w:val="20"/>
        </w:rPr>
        <w:t xml:space="preserve">Na výsledcích </w:t>
      </w:r>
      <w:r w:rsidR="00422B30" w:rsidRPr="00620BC7">
        <w:rPr>
          <w:rFonts w:ascii="Arial" w:hAnsi="Arial" w:cs="Arial"/>
          <w:b/>
          <w:bCs/>
          <w:i/>
          <w:iCs/>
          <w:sz w:val="20"/>
        </w:rPr>
        <w:t>1.</w:t>
      </w:r>
      <w:r w:rsidRPr="00620BC7">
        <w:rPr>
          <w:rFonts w:ascii="Arial" w:hAnsi="Arial" w:cs="Arial"/>
          <w:b/>
          <w:bCs/>
          <w:i/>
          <w:iCs/>
          <w:sz w:val="20"/>
        </w:rPr>
        <w:t xml:space="preserve"> kvartálu se projevil nepříznivý vliv COVID-19</w:t>
      </w:r>
    </w:p>
    <w:p w14:paraId="7E55F1C6" w14:textId="72D2A027" w:rsidR="00E20694" w:rsidRPr="00620BC7" w:rsidRDefault="00E20694" w:rsidP="00E20694">
      <w:pPr>
        <w:numPr>
          <w:ilvl w:val="0"/>
          <w:numId w:val="28"/>
        </w:numPr>
        <w:ind w:left="450"/>
        <w:contextualSpacing/>
        <w:rPr>
          <w:rFonts w:ascii="Arial" w:hAnsi="Arial" w:cs="Arial"/>
          <w:b/>
          <w:bCs/>
          <w:i/>
          <w:iCs/>
          <w:sz w:val="20"/>
        </w:rPr>
      </w:pPr>
      <w:r w:rsidRPr="00620BC7">
        <w:rPr>
          <w:rFonts w:ascii="Arial" w:hAnsi="Arial" w:cs="Arial"/>
          <w:b/>
          <w:bCs/>
          <w:i/>
          <w:iCs/>
          <w:sz w:val="20"/>
        </w:rPr>
        <w:t>Provozní hotovost dosáhla 2,</w:t>
      </w:r>
      <w:r w:rsidR="000F772C">
        <w:rPr>
          <w:rFonts w:ascii="Arial" w:hAnsi="Arial" w:cs="Arial"/>
          <w:b/>
          <w:bCs/>
          <w:i/>
          <w:iCs/>
          <w:sz w:val="20"/>
        </w:rPr>
        <w:t>6</w:t>
      </w:r>
      <w:bookmarkStart w:id="0" w:name="_GoBack"/>
      <w:bookmarkEnd w:id="0"/>
      <w:r w:rsidRPr="00620BC7">
        <w:rPr>
          <w:rFonts w:ascii="Arial" w:hAnsi="Arial" w:cs="Arial"/>
          <w:b/>
          <w:bCs/>
          <w:i/>
          <w:iCs/>
          <w:sz w:val="20"/>
        </w:rPr>
        <w:t xml:space="preserve"> mld</w:t>
      </w:r>
      <w:r w:rsidR="00422B30" w:rsidRPr="00620BC7">
        <w:rPr>
          <w:rFonts w:ascii="Arial" w:hAnsi="Arial" w:cs="Arial"/>
          <w:b/>
          <w:bCs/>
          <w:i/>
          <w:iCs/>
          <w:sz w:val="20"/>
        </w:rPr>
        <w:t>.</w:t>
      </w:r>
      <w:r w:rsidRPr="00620BC7">
        <w:rPr>
          <w:rFonts w:ascii="Arial" w:hAnsi="Arial" w:cs="Arial"/>
          <w:b/>
          <w:bCs/>
          <w:i/>
          <w:iCs/>
          <w:sz w:val="20"/>
        </w:rPr>
        <w:t xml:space="preserve"> USD, upravené cash flow 1,6 mld</w:t>
      </w:r>
      <w:r w:rsidR="00422B30" w:rsidRPr="00620BC7">
        <w:rPr>
          <w:rFonts w:ascii="Arial" w:hAnsi="Arial" w:cs="Arial"/>
          <w:b/>
          <w:bCs/>
          <w:i/>
          <w:iCs/>
          <w:sz w:val="20"/>
        </w:rPr>
        <w:t>.</w:t>
      </w:r>
      <w:r w:rsidRPr="00620BC7">
        <w:rPr>
          <w:rFonts w:ascii="Arial" w:hAnsi="Arial" w:cs="Arial"/>
          <w:b/>
          <w:bCs/>
          <w:i/>
          <w:iCs/>
          <w:sz w:val="20"/>
        </w:rPr>
        <w:t xml:space="preserve"> USD</w:t>
      </w:r>
    </w:p>
    <w:p w14:paraId="422921D4" w14:textId="77777777" w:rsidR="00E20694" w:rsidRPr="00620BC7" w:rsidRDefault="00E20694" w:rsidP="00E20694">
      <w:pPr>
        <w:numPr>
          <w:ilvl w:val="0"/>
          <w:numId w:val="28"/>
        </w:numPr>
        <w:ind w:left="450"/>
        <w:contextualSpacing/>
        <w:rPr>
          <w:rFonts w:ascii="Arial" w:hAnsi="Arial" w:cs="Arial"/>
          <w:b/>
          <w:bCs/>
          <w:i/>
          <w:iCs/>
          <w:sz w:val="20"/>
        </w:rPr>
      </w:pPr>
      <w:r w:rsidRPr="00620BC7">
        <w:rPr>
          <w:rFonts w:ascii="Arial" w:hAnsi="Arial" w:cs="Arial"/>
          <w:b/>
          <w:bCs/>
          <w:i/>
          <w:iCs/>
          <w:sz w:val="20"/>
        </w:rPr>
        <w:t xml:space="preserve">Finanční </w:t>
      </w:r>
      <w:r w:rsidR="00422B30" w:rsidRPr="00620BC7">
        <w:rPr>
          <w:rFonts w:ascii="Arial" w:hAnsi="Arial" w:cs="Arial"/>
          <w:b/>
          <w:bCs/>
          <w:i/>
          <w:iCs/>
          <w:sz w:val="20"/>
        </w:rPr>
        <w:t>situace</w:t>
      </w:r>
      <w:r w:rsidRPr="00620BC7">
        <w:rPr>
          <w:rFonts w:ascii="Arial" w:hAnsi="Arial" w:cs="Arial"/>
          <w:b/>
          <w:bCs/>
          <w:i/>
          <w:iCs/>
          <w:sz w:val="20"/>
        </w:rPr>
        <w:t xml:space="preserve"> a likvidita UPS jsou stále ve výborném stavu</w:t>
      </w:r>
    </w:p>
    <w:p w14:paraId="3F03A73E" w14:textId="77777777" w:rsidR="00E20694" w:rsidRPr="00620BC7" w:rsidRDefault="00E20694" w:rsidP="00E20694">
      <w:pPr>
        <w:ind w:left="450"/>
        <w:contextualSpacing/>
        <w:rPr>
          <w:rFonts w:ascii="Arial" w:hAnsi="Arial" w:cs="Arial"/>
          <w:b/>
          <w:bCs/>
          <w:i/>
          <w:iCs/>
          <w:sz w:val="20"/>
        </w:rPr>
      </w:pPr>
    </w:p>
    <w:p w14:paraId="0A33DE94" w14:textId="77777777" w:rsidR="00E20694" w:rsidRPr="00620BC7" w:rsidRDefault="00E20694" w:rsidP="00E20694">
      <w:pPr>
        <w:rPr>
          <w:rFonts w:ascii="Arial" w:hAnsi="Arial" w:cs="Arial"/>
          <w:b/>
          <w:bCs/>
          <w:szCs w:val="22"/>
        </w:rPr>
      </w:pPr>
    </w:p>
    <w:p w14:paraId="02EE7A35" w14:textId="77777777" w:rsidR="00E20694" w:rsidRPr="00620BC7" w:rsidRDefault="00E20694" w:rsidP="00E20694">
      <w:pPr>
        <w:rPr>
          <w:rFonts w:ascii="Arial" w:hAnsi="Arial" w:cs="Arial"/>
          <w:bCs/>
          <w:szCs w:val="22"/>
        </w:rPr>
      </w:pPr>
      <w:r w:rsidRPr="00620BC7">
        <w:rPr>
          <w:rFonts w:ascii="Arial" w:hAnsi="Arial" w:cs="Arial"/>
          <w:b/>
          <w:bCs/>
          <w:szCs w:val="22"/>
        </w:rPr>
        <w:t>ATLANTA, 28. dubna 2020</w:t>
      </w:r>
      <w:r w:rsidRPr="00620BC7">
        <w:rPr>
          <w:rFonts w:ascii="Arial" w:hAnsi="Arial" w:cs="Arial"/>
          <w:bCs/>
          <w:szCs w:val="22"/>
        </w:rPr>
        <w:t xml:space="preserve"> – Společnost UPS (NYSE:UPS) dnes oznámila </w:t>
      </w:r>
      <w:r w:rsidR="00FE1528" w:rsidRPr="00620BC7">
        <w:rPr>
          <w:rFonts w:ascii="Arial" w:hAnsi="Arial" w:cs="Arial"/>
          <w:bCs/>
          <w:szCs w:val="22"/>
        </w:rPr>
        <w:t>zředěný</w:t>
      </w:r>
      <w:r w:rsidRPr="00620BC7">
        <w:rPr>
          <w:rFonts w:ascii="Arial" w:hAnsi="Arial" w:cs="Arial"/>
          <w:bCs/>
          <w:szCs w:val="22"/>
        </w:rPr>
        <w:t xml:space="preserve"> zisk na akcii za první kvartál 202</w:t>
      </w:r>
      <w:r w:rsidR="00FE1528" w:rsidRPr="00620BC7">
        <w:rPr>
          <w:rFonts w:ascii="Arial" w:hAnsi="Arial" w:cs="Arial"/>
          <w:bCs/>
          <w:szCs w:val="22"/>
        </w:rPr>
        <w:t xml:space="preserve">0 ve výši 1,11 USD a upravený </w:t>
      </w:r>
      <w:r w:rsidRPr="00620BC7">
        <w:rPr>
          <w:rFonts w:ascii="Arial" w:hAnsi="Arial" w:cs="Arial"/>
          <w:bCs/>
          <w:szCs w:val="22"/>
        </w:rPr>
        <w:t>zředěný zisk na akcii 1,15 USD. Finanční výsledky firmy byly negativně ovlivněny problémy, které mají zákazníci s globální pandemií koronaviru.</w:t>
      </w:r>
    </w:p>
    <w:p w14:paraId="11D2FDB3" w14:textId="77777777" w:rsidR="00A3467F" w:rsidRPr="00620BC7" w:rsidRDefault="00A3467F" w:rsidP="00E20694">
      <w:pPr>
        <w:rPr>
          <w:rFonts w:ascii="Arial" w:hAnsi="Arial" w:cs="Arial"/>
          <w:bCs/>
          <w:szCs w:val="22"/>
        </w:rPr>
      </w:pPr>
    </w:p>
    <w:p w14:paraId="665B8994" w14:textId="7329BA24" w:rsidR="00A3467F" w:rsidRPr="00620BC7" w:rsidRDefault="00A3467F" w:rsidP="00A3467F">
      <w:pPr>
        <w:rPr>
          <w:rFonts w:ascii="Arial" w:hAnsi="Arial" w:cs="Arial"/>
          <w:bCs/>
          <w:szCs w:val="22"/>
        </w:rPr>
      </w:pPr>
      <w:r w:rsidRPr="00620BC7">
        <w:rPr>
          <w:rFonts w:ascii="Arial" w:hAnsi="Arial" w:cs="Arial"/>
          <w:bCs/>
          <w:szCs w:val="22"/>
        </w:rPr>
        <w:t xml:space="preserve">Společnost UPS byla vládami po celém světě označena za podnik kritické infrastruktury a pokračuje v </w:t>
      </w:r>
      <w:r w:rsidR="00213FA1" w:rsidRPr="00620BC7">
        <w:rPr>
          <w:rFonts w:ascii="Arial" w:hAnsi="Arial" w:cs="Arial"/>
          <w:bCs/>
          <w:szCs w:val="22"/>
        </w:rPr>
        <w:t>aktivitách</w:t>
      </w:r>
      <w:r w:rsidRPr="00620BC7">
        <w:rPr>
          <w:rFonts w:ascii="Arial" w:hAnsi="Arial" w:cs="Arial"/>
          <w:bCs/>
          <w:szCs w:val="22"/>
        </w:rPr>
        <w:t xml:space="preserve"> ve všech významných zemích</w:t>
      </w:r>
      <w:r w:rsidR="00213FA1" w:rsidRPr="00620BC7">
        <w:rPr>
          <w:rFonts w:ascii="Arial" w:hAnsi="Arial" w:cs="Arial"/>
          <w:bCs/>
          <w:szCs w:val="22"/>
        </w:rPr>
        <w:t>, v souladu s navazujícími regulačními požadavky</w:t>
      </w:r>
      <w:r w:rsidRPr="00620BC7">
        <w:rPr>
          <w:rFonts w:ascii="Arial" w:hAnsi="Arial" w:cs="Arial"/>
          <w:bCs/>
          <w:szCs w:val="22"/>
        </w:rPr>
        <w:t>. Ve Spojených státech je společnost UPS zároveň jednou z nejdůležitějších společností</w:t>
      </w:r>
      <w:r w:rsidR="00213FA1" w:rsidRPr="00620BC7">
        <w:rPr>
          <w:rFonts w:ascii="Arial" w:hAnsi="Arial" w:cs="Arial"/>
          <w:bCs/>
          <w:szCs w:val="22"/>
        </w:rPr>
        <w:t>,</w:t>
      </w:r>
      <w:r w:rsidRPr="00620BC7">
        <w:rPr>
          <w:rFonts w:ascii="Arial" w:hAnsi="Arial" w:cs="Arial"/>
          <w:bCs/>
          <w:szCs w:val="22"/>
        </w:rPr>
        <w:t xml:space="preserve"> zajišťujících logistiku pro Federální agenturu pro krizové události (FEMA) a další federální a státní vládní agentury. Jako vedoucí logistická firma zajišťuje UPS pro FEMA a jejich projekt Airbridge charterové lety po celém světě. Pro FEMA dodala UPS </w:t>
      </w:r>
      <w:r w:rsidR="00213FA1" w:rsidRPr="00620BC7">
        <w:rPr>
          <w:rFonts w:ascii="Arial" w:hAnsi="Arial" w:cs="Arial"/>
          <w:bCs/>
          <w:szCs w:val="22"/>
        </w:rPr>
        <w:t xml:space="preserve">také </w:t>
      </w:r>
      <w:r w:rsidRPr="00620BC7">
        <w:rPr>
          <w:rFonts w:ascii="Arial" w:hAnsi="Arial" w:cs="Arial"/>
          <w:bCs/>
          <w:szCs w:val="22"/>
        </w:rPr>
        <w:t xml:space="preserve">několik milionů liber ochranného vybavení </w:t>
      </w:r>
      <w:r w:rsidR="00213FA1" w:rsidRPr="00620BC7">
        <w:rPr>
          <w:rFonts w:ascii="Arial" w:hAnsi="Arial" w:cs="Arial"/>
          <w:bCs/>
          <w:szCs w:val="22"/>
        </w:rPr>
        <w:t xml:space="preserve">pro </w:t>
      </w:r>
      <w:r w:rsidRPr="00620BC7">
        <w:rPr>
          <w:rFonts w:ascii="Arial" w:hAnsi="Arial" w:cs="Arial"/>
          <w:bCs/>
          <w:szCs w:val="22"/>
        </w:rPr>
        <w:t>osob</w:t>
      </w:r>
      <w:r w:rsidR="00213FA1" w:rsidRPr="00620BC7">
        <w:rPr>
          <w:rFonts w:ascii="Arial" w:hAnsi="Arial" w:cs="Arial"/>
          <w:bCs/>
          <w:szCs w:val="22"/>
        </w:rPr>
        <w:t>y do vybraného distribučního</w:t>
      </w:r>
      <w:r w:rsidR="00E6755B" w:rsidRPr="00620BC7">
        <w:rPr>
          <w:rFonts w:ascii="Arial" w:hAnsi="Arial" w:cs="Arial"/>
          <w:bCs/>
          <w:szCs w:val="22"/>
        </w:rPr>
        <w:t xml:space="preserve"> centra UPS. Sou</w:t>
      </w:r>
      <w:r w:rsidRPr="00620BC7">
        <w:rPr>
          <w:rFonts w:ascii="Arial" w:hAnsi="Arial" w:cs="Arial"/>
          <w:bCs/>
          <w:szCs w:val="22"/>
        </w:rPr>
        <w:t>část</w:t>
      </w:r>
      <w:r w:rsidR="00E6755B" w:rsidRPr="00620BC7">
        <w:rPr>
          <w:rFonts w:ascii="Arial" w:hAnsi="Arial" w:cs="Arial"/>
          <w:bCs/>
          <w:szCs w:val="22"/>
        </w:rPr>
        <w:t>í</w:t>
      </w:r>
      <w:r w:rsidRPr="00620BC7">
        <w:rPr>
          <w:rFonts w:ascii="Arial" w:hAnsi="Arial" w:cs="Arial"/>
          <w:bCs/>
          <w:szCs w:val="22"/>
        </w:rPr>
        <w:t xml:space="preserve"> projektu FEMA Airbridge a dalších </w:t>
      </w:r>
      <w:r w:rsidR="00E6755B" w:rsidRPr="00620BC7">
        <w:rPr>
          <w:rFonts w:ascii="Arial" w:hAnsi="Arial" w:cs="Arial"/>
          <w:bCs/>
          <w:szCs w:val="22"/>
        </w:rPr>
        <w:t xml:space="preserve">zdravotnických </w:t>
      </w:r>
      <w:r w:rsidRPr="00620BC7">
        <w:rPr>
          <w:rFonts w:ascii="Arial" w:hAnsi="Arial" w:cs="Arial"/>
          <w:bCs/>
          <w:szCs w:val="22"/>
        </w:rPr>
        <w:t xml:space="preserve">projektů </w:t>
      </w:r>
      <w:r w:rsidR="00E6755B" w:rsidRPr="00620BC7">
        <w:rPr>
          <w:rFonts w:ascii="Arial" w:hAnsi="Arial" w:cs="Arial"/>
          <w:bCs/>
          <w:szCs w:val="22"/>
        </w:rPr>
        <w:t>bylo také na</w:t>
      </w:r>
      <w:r w:rsidRPr="00620BC7">
        <w:rPr>
          <w:rFonts w:ascii="Arial" w:hAnsi="Arial" w:cs="Arial"/>
          <w:bCs/>
          <w:szCs w:val="22"/>
        </w:rPr>
        <w:t>výš</w:t>
      </w:r>
      <w:r w:rsidR="00E6755B" w:rsidRPr="00620BC7">
        <w:rPr>
          <w:rFonts w:ascii="Arial" w:hAnsi="Arial" w:cs="Arial"/>
          <w:bCs/>
          <w:szCs w:val="22"/>
        </w:rPr>
        <w:t>ení</w:t>
      </w:r>
      <w:r w:rsidRPr="00620BC7">
        <w:rPr>
          <w:rFonts w:ascii="Arial" w:hAnsi="Arial" w:cs="Arial"/>
          <w:bCs/>
          <w:szCs w:val="22"/>
        </w:rPr>
        <w:t xml:space="preserve"> </w:t>
      </w:r>
      <w:r w:rsidR="00EA3848">
        <w:rPr>
          <w:rFonts w:ascii="Arial" w:hAnsi="Arial" w:cs="Arial"/>
          <w:bCs/>
          <w:szCs w:val="22"/>
        </w:rPr>
        <w:t xml:space="preserve">počtu </w:t>
      </w:r>
      <w:r w:rsidRPr="00620BC7">
        <w:rPr>
          <w:rFonts w:ascii="Arial" w:hAnsi="Arial" w:cs="Arial"/>
          <w:bCs/>
          <w:szCs w:val="22"/>
        </w:rPr>
        <w:t>letů se život zachraňujícím nákladem do USA a Evropy</w:t>
      </w:r>
      <w:r w:rsidR="00E6755B" w:rsidRPr="00620BC7">
        <w:rPr>
          <w:rFonts w:ascii="Arial" w:hAnsi="Arial" w:cs="Arial"/>
          <w:bCs/>
          <w:szCs w:val="22"/>
        </w:rPr>
        <w:t xml:space="preserve"> o více než 200 v dubnu</w:t>
      </w:r>
      <w:r w:rsidRPr="00620BC7">
        <w:rPr>
          <w:rFonts w:ascii="Arial" w:hAnsi="Arial" w:cs="Arial"/>
          <w:bCs/>
          <w:szCs w:val="22"/>
        </w:rPr>
        <w:t>.</w:t>
      </w:r>
    </w:p>
    <w:p w14:paraId="60B9E388" w14:textId="77777777" w:rsidR="00620BC7" w:rsidRPr="00620BC7" w:rsidRDefault="00620BC7" w:rsidP="00620BC7">
      <w:pPr>
        <w:rPr>
          <w:rFonts w:ascii="Arial" w:hAnsi="Arial" w:cs="Arial"/>
          <w:szCs w:val="22"/>
        </w:rPr>
      </w:pPr>
    </w:p>
    <w:p w14:paraId="565AC068" w14:textId="77777777" w:rsidR="00A3467F" w:rsidRPr="00620BC7" w:rsidRDefault="00A3467F" w:rsidP="00620BC7">
      <w:pPr>
        <w:rPr>
          <w:rFonts w:ascii="Arial" w:hAnsi="Arial" w:cs="Arial"/>
          <w:bCs/>
          <w:szCs w:val="22"/>
        </w:rPr>
      </w:pPr>
      <w:r w:rsidRPr="00620BC7">
        <w:rPr>
          <w:rFonts w:ascii="Arial" w:hAnsi="Arial" w:cs="Arial"/>
          <w:bCs/>
          <w:szCs w:val="22"/>
        </w:rPr>
        <w:t xml:space="preserve">„Chtěl bych poděkovat všem 495 tisícům zaměstnanců UPS za jejich mimořádné úsilí k využití plného potenciálu naší globální sítě v boji proti koronavirové pandemii zajištěním </w:t>
      </w:r>
      <w:r w:rsidR="00E6755B" w:rsidRPr="00620BC7">
        <w:rPr>
          <w:rFonts w:ascii="Arial" w:hAnsi="Arial" w:cs="Arial"/>
          <w:bCs/>
          <w:szCs w:val="22"/>
        </w:rPr>
        <w:t>přepravy</w:t>
      </w:r>
      <w:r w:rsidRPr="00620BC7">
        <w:rPr>
          <w:rFonts w:ascii="Arial" w:hAnsi="Arial" w:cs="Arial"/>
          <w:bCs/>
          <w:szCs w:val="22"/>
        </w:rPr>
        <w:t xml:space="preserve"> kriticky důležitého zboží pro podniky na celém světě,“ </w:t>
      </w:r>
      <w:r w:rsidR="00E6755B" w:rsidRPr="00620BC7">
        <w:rPr>
          <w:rFonts w:ascii="Arial" w:hAnsi="Arial" w:cs="Arial"/>
          <w:bCs/>
          <w:szCs w:val="22"/>
        </w:rPr>
        <w:t xml:space="preserve">uvedl </w:t>
      </w:r>
      <w:r w:rsidRPr="00620BC7">
        <w:rPr>
          <w:rFonts w:ascii="Arial" w:hAnsi="Arial" w:cs="Arial"/>
          <w:bCs/>
          <w:szCs w:val="22"/>
        </w:rPr>
        <w:t xml:space="preserve">David Abney, generální ředitel UPS. „Svět počítá více než kdy dřív s tím, že UPS podpoří lidi v první linii boje s touto krizí a </w:t>
      </w:r>
      <w:r w:rsidR="00E6755B" w:rsidRPr="00620BC7">
        <w:rPr>
          <w:rFonts w:ascii="Arial" w:hAnsi="Arial" w:cs="Arial"/>
          <w:bCs/>
          <w:szCs w:val="22"/>
        </w:rPr>
        <w:t xml:space="preserve">svou rychlostí, důmyslností a spolehlivostí bude oporou pro </w:t>
      </w:r>
      <w:r w:rsidRPr="00620BC7">
        <w:rPr>
          <w:rFonts w:ascii="Arial" w:hAnsi="Arial" w:cs="Arial"/>
          <w:bCs/>
          <w:szCs w:val="22"/>
        </w:rPr>
        <w:t>naše zákazníky.“</w:t>
      </w:r>
    </w:p>
    <w:p w14:paraId="7294341D" w14:textId="77777777" w:rsidR="00620BC7" w:rsidRPr="00620BC7" w:rsidRDefault="00620BC7" w:rsidP="00620BC7">
      <w:pPr>
        <w:rPr>
          <w:rFonts w:ascii="Arial" w:hAnsi="Arial" w:cs="Arial"/>
          <w:szCs w:val="22"/>
        </w:rPr>
      </w:pPr>
    </w:p>
    <w:p w14:paraId="3AA030AD" w14:textId="77777777" w:rsidR="00A3467F" w:rsidRPr="00620BC7" w:rsidRDefault="00A3467F" w:rsidP="00A3467F">
      <w:pPr>
        <w:rPr>
          <w:rFonts w:ascii="Arial" w:hAnsi="Arial" w:cs="Arial"/>
          <w:bCs/>
          <w:szCs w:val="22"/>
        </w:rPr>
      </w:pPr>
      <w:r w:rsidRPr="00620BC7">
        <w:rPr>
          <w:rFonts w:ascii="Arial" w:hAnsi="Arial" w:cs="Arial"/>
          <w:bCs/>
          <w:szCs w:val="22"/>
        </w:rPr>
        <w:t>V</w:t>
      </w:r>
      <w:r w:rsidR="00E6755B" w:rsidRPr="00620BC7">
        <w:rPr>
          <w:rFonts w:ascii="Arial" w:hAnsi="Arial" w:cs="Arial"/>
          <w:bCs/>
          <w:szCs w:val="22"/>
        </w:rPr>
        <w:t> prvním</w:t>
      </w:r>
      <w:r w:rsidRPr="00620BC7">
        <w:rPr>
          <w:rFonts w:ascii="Arial" w:hAnsi="Arial" w:cs="Arial"/>
          <w:bCs/>
          <w:szCs w:val="22"/>
        </w:rPr>
        <w:t xml:space="preserve"> kvartálu 2020 společnost UPS zaznamenala transformační náklady ve výši 45 mil. USD před zdaněním, tj. 0,04 USD na akcii po </w:t>
      </w:r>
      <w:r w:rsidR="00E6755B" w:rsidRPr="00620BC7">
        <w:rPr>
          <w:rFonts w:ascii="Arial" w:hAnsi="Arial" w:cs="Arial"/>
          <w:bCs/>
          <w:szCs w:val="22"/>
        </w:rPr>
        <w:t>zdanění. Upravené výsledky za první</w:t>
      </w:r>
      <w:r w:rsidRPr="00620BC7">
        <w:rPr>
          <w:rFonts w:ascii="Arial" w:hAnsi="Arial" w:cs="Arial"/>
          <w:bCs/>
          <w:szCs w:val="22"/>
        </w:rPr>
        <w:t xml:space="preserve"> kvartál 2019 nezahrnovaly náklady na transformaci ve výši 123 mil. USD před zdaněním, resp. 0,11 USD na akcii po zdanění.</w:t>
      </w:r>
    </w:p>
    <w:p w14:paraId="2E78254E" w14:textId="77777777" w:rsidR="00F21D97" w:rsidRPr="00620BC7" w:rsidRDefault="00F21D97" w:rsidP="00A3467F">
      <w:pPr>
        <w:rPr>
          <w:rFonts w:ascii="Arial" w:hAnsi="Arial" w:cs="Arial"/>
          <w:bCs/>
          <w:szCs w:val="22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701"/>
        <w:gridCol w:w="1701"/>
      </w:tblGrid>
      <w:tr w:rsidR="00820FA0" w:rsidRPr="00620BC7" w14:paraId="13F19EB2" w14:textId="77777777" w:rsidTr="00422B30">
        <w:trPr>
          <w:trHeight w:val="50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ED9D" w14:textId="77777777" w:rsidR="00820FA0" w:rsidRPr="00620BC7" w:rsidRDefault="00820FA0" w:rsidP="00422B3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Konsolidované výsledky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766D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7F271DFE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96C8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69C333B8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1B79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32BEAD93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B838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54491D30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</w:tr>
      <w:tr w:rsidR="00820FA0" w:rsidRPr="00620BC7" w14:paraId="580B88A6" w14:textId="77777777" w:rsidTr="00422B30">
        <w:trPr>
          <w:trHeight w:val="246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C77D" w14:textId="77777777" w:rsidR="00820FA0" w:rsidRPr="00620BC7" w:rsidRDefault="00820FA0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Příjmy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E26C" w14:textId="77777777" w:rsidR="00820FA0" w:rsidRPr="00620BC7" w:rsidRDefault="00820FA0" w:rsidP="00422B30">
            <w:pPr>
              <w:ind w:left="-249" w:firstLine="283"/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18 035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252C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DDF5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17 160 mil.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B2BB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20FA0" w:rsidRPr="00620BC7" w14:paraId="4A8B1A57" w14:textId="77777777" w:rsidTr="00422B30">
        <w:trPr>
          <w:trHeight w:val="246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248A" w14:textId="77777777" w:rsidR="00820FA0" w:rsidRPr="00620BC7" w:rsidRDefault="00820FA0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Čistý příjem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B2FA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965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E96D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1 000 mil.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D4CF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1 111 mil.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FDB7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1 204 mil. USD</w:t>
            </w:r>
          </w:p>
        </w:tc>
      </w:tr>
      <w:tr w:rsidR="00820FA0" w:rsidRPr="00620BC7" w14:paraId="58C51C27" w14:textId="77777777" w:rsidTr="00422B30">
        <w:trPr>
          <w:trHeight w:val="246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52AC" w14:textId="77777777" w:rsidR="00820FA0" w:rsidRPr="00620BC7" w:rsidRDefault="00820FA0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Upravený zisk na akcii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6CDE" w14:textId="77777777" w:rsidR="00820FA0" w:rsidRPr="00620BC7" w:rsidRDefault="00820FA0" w:rsidP="00820FA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1,11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7F6D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1,15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5F52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1,28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CE1D" w14:textId="77777777" w:rsidR="00820FA0" w:rsidRPr="00620BC7" w:rsidRDefault="00820FA0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1.39 USD</w:t>
            </w:r>
          </w:p>
        </w:tc>
      </w:tr>
    </w:tbl>
    <w:p w14:paraId="1CD5FA68" w14:textId="77777777" w:rsidR="00820FA0" w:rsidRPr="00620BC7" w:rsidRDefault="00820FA0" w:rsidP="00820FA0">
      <w:pPr>
        <w:rPr>
          <w:rFonts w:ascii="Arial" w:hAnsi="Arial" w:cs="Arial"/>
          <w:szCs w:val="22"/>
        </w:rPr>
      </w:pPr>
    </w:p>
    <w:p w14:paraId="57F43362" w14:textId="77777777" w:rsidR="00820FA0" w:rsidRPr="00620BC7" w:rsidRDefault="00820FA0" w:rsidP="000E75D7">
      <w:pPr>
        <w:rPr>
          <w:rFonts w:ascii="Arial" w:hAnsi="Arial" w:cs="Arial"/>
          <w:szCs w:val="22"/>
        </w:rPr>
      </w:pPr>
    </w:p>
    <w:p w14:paraId="4E641B01" w14:textId="77777777" w:rsidR="00423ED8" w:rsidRPr="00620BC7" w:rsidRDefault="00423ED8" w:rsidP="00423ED8">
      <w:pPr>
        <w:rPr>
          <w:rFonts w:ascii="Arial" w:hAnsi="Arial" w:cs="Arial"/>
          <w:bCs/>
          <w:sz w:val="18"/>
          <w:szCs w:val="18"/>
          <w:vertAlign w:val="subscript"/>
        </w:rPr>
      </w:pPr>
      <w:r w:rsidRPr="00620BC7">
        <w:rPr>
          <w:rFonts w:ascii="Arial" w:hAnsi="Arial" w:cs="Arial"/>
          <w:bCs/>
          <w:sz w:val="18"/>
          <w:szCs w:val="18"/>
          <w:vertAlign w:val="subscript"/>
        </w:rPr>
        <w:lastRenderedPageBreak/>
        <w:t xml:space="preserve">* „Upravené“ položky uvedené v tiskové zprávě jsou zpracovány bez ohledu na účetní zásady GAAP. </w:t>
      </w:r>
      <w:bookmarkStart w:id="1" w:name="_Hlk536731412"/>
      <w:r w:rsidRPr="00620BC7">
        <w:rPr>
          <w:rFonts w:ascii="Arial" w:hAnsi="Arial" w:cs="Arial"/>
          <w:bCs/>
          <w:sz w:val="18"/>
          <w:szCs w:val="18"/>
          <w:vertAlign w:val="subscript"/>
        </w:rPr>
        <w:t xml:space="preserve">Viz příloha tiskové zprávy pro diskusi o finančních metrikách, jiných než podle zásad GAAP, </w:t>
      </w:r>
      <w:bookmarkEnd w:id="1"/>
      <w:r w:rsidRPr="00620BC7">
        <w:rPr>
          <w:rFonts w:ascii="Arial" w:hAnsi="Arial" w:cs="Arial"/>
          <w:bCs/>
          <w:sz w:val="18"/>
          <w:szCs w:val="18"/>
          <w:vertAlign w:val="subscript"/>
        </w:rPr>
        <w:t>zahrnující sladění, která se snaží uvedeným zásadám co nejvíce přiblížit.</w:t>
      </w:r>
    </w:p>
    <w:p w14:paraId="716CDE7C" w14:textId="77777777" w:rsidR="00620BC7" w:rsidRPr="00620BC7" w:rsidRDefault="00620BC7" w:rsidP="00620BC7">
      <w:pPr>
        <w:rPr>
          <w:rFonts w:ascii="Arial" w:hAnsi="Arial" w:cs="Arial"/>
          <w:szCs w:val="22"/>
        </w:rPr>
      </w:pPr>
    </w:p>
    <w:p w14:paraId="78A0352D" w14:textId="77777777" w:rsidR="00F21D97" w:rsidRPr="00620BC7" w:rsidRDefault="00F21D97" w:rsidP="00F21D97">
      <w:pPr>
        <w:rPr>
          <w:rFonts w:ascii="Arial" w:hAnsi="Arial" w:cs="Arial"/>
          <w:bCs/>
          <w:szCs w:val="22"/>
        </w:rPr>
      </w:pPr>
      <w:r w:rsidRPr="00620BC7">
        <w:rPr>
          <w:rFonts w:ascii="Arial" w:hAnsi="Arial" w:cs="Arial"/>
          <w:bCs/>
          <w:szCs w:val="22"/>
        </w:rPr>
        <w:t xml:space="preserve">Výsledky </w:t>
      </w:r>
      <w:r w:rsidR="00423ED8" w:rsidRPr="00620BC7">
        <w:rPr>
          <w:rFonts w:ascii="Arial" w:hAnsi="Arial" w:cs="Arial"/>
          <w:bCs/>
          <w:szCs w:val="22"/>
        </w:rPr>
        <w:t>za celou společnost UPS v</w:t>
      </w:r>
      <w:r w:rsidRPr="00620BC7">
        <w:rPr>
          <w:rFonts w:ascii="Arial" w:hAnsi="Arial" w:cs="Arial"/>
          <w:bCs/>
          <w:szCs w:val="22"/>
        </w:rPr>
        <w:t xml:space="preserve"> první</w:t>
      </w:r>
      <w:r w:rsidR="00423ED8" w:rsidRPr="00620BC7">
        <w:rPr>
          <w:rFonts w:ascii="Arial" w:hAnsi="Arial" w:cs="Arial"/>
          <w:bCs/>
          <w:szCs w:val="22"/>
        </w:rPr>
        <w:t>m</w:t>
      </w:r>
      <w:r w:rsidRPr="00620BC7">
        <w:rPr>
          <w:rFonts w:ascii="Arial" w:hAnsi="Arial" w:cs="Arial"/>
          <w:bCs/>
          <w:szCs w:val="22"/>
        </w:rPr>
        <w:t xml:space="preserve"> kvartál</w:t>
      </w:r>
      <w:r w:rsidR="00423ED8" w:rsidRPr="00620BC7">
        <w:rPr>
          <w:rFonts w:ascii="Arial" w:hAnsi="Arial" w:cs="Arial"/>
          <w:bCs/>
          <w:szCs w:val="22"/>
        </w:rPr>
        <w:t>u</w:t>
      </w:r>
      <w:r w:rsidRPr="00620BC7">
        <w:rPr>
          <w:rFonts w:ascii="Arial" w:hAnsi="Arial" w:cs="Arial"/>
          <w:bCs/>
          <w:szCs w:val="22"/>
        </w:rPr>
        <w:t xml:space="preserve"> 2020:</w:t>
      </w:r>
    </w:p>
    <w:p w14:paraId="3525028C" w14:textId="77777777" w:rsidR="00F21D97" w:rsidRPr="00620BC7" w:rsidRDefault="00F21D97" w:rsidP="00F21D97">
      <w:pPr>
        <w:rPr>
          <w:rFonts w:ascii="Arial" w:hAnsi="Arial" w:cs="Arial"/>
          <w:bCs/>
          <w:szCs w:val="22"/>
        </w:rPr>
      </w:pPr>
    </w:p>
    <w:p w14:paraId="67DF90CB" w14:textId="77777777" w:rsidR="00F21D97" w:rsidRPr="00620BC7" w:rsidRDefault="00F21D97" w:rsidP="00F21D97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Konsolidované příjmy vzrostly na 18 mld</w:t>
      </w:r>
      <w:r w:rsidR="00423ED8" w:rsidRPr="00620BC7">
        <w:rPr>
          <w:rFonts w:ascii="Arial" w:hAnsi="Arial" w:cs="Arial"/>
        </w:rPr>
        <w:t>.</w:t>
      </w:r>
      <w:r w:rsidRPr="00620BC7">
        <w:rPr>
          <w:rFonts w:ascii="Arial" w:hAnsi="Arial" w:cs="Arial"/>
        </w:rPr>
        <w:t xml:space="preserve"> USD především díky nárůstu zásilek od obchodníků ke koncovým zákazníkům (B2C) a </w:t>
      </w:r>
      <w:r w:rsidR="00423ED8" w:rsidRPr="00620BC7">
        <w:rPr>
          <w:rFonts w:ascii="Arial" w:hAnsi="Arial" w:cs="Arial"/>
        </w:rPr>
        <w:t>nárůstu přepravy</w:t>
      </w:r>
      <w:r w:rsidRPr="00620BC7">
        <w:rPr>
          <w:rFonts w:ascii="Arial" w:hAnsi="Arial" w:cs="Arial"/>
        </w:rPr>
        <w:t xml:space="preserve"> zdravotnického zboží.</w:t>
      </w:r>
    </w:p>
    <w:p w14:paraId="06C2B715" w14:textId="77777777" w:rsidR="00F21D97" w:rsidRPr="00620BC7" w:rsidRDefault="00F21D97" w:rsidP="00F21D97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Čistý příjem dosáhl 965 mil. USD, upravený čistý příjem dosáhl 1 mld</w:t>
      </w:r>
      <w:r w:rsidR="00423ED8" w:rsidRPr="00620BC7">
        <w:rPr>
          <w:rFonts w:ascii="Arial" w:hAnsi="Arial" w:cs="Arial"/>
        </w:rPr>
        <w:t>.</w:t>
      </w:r>
      <w:r w:rsidRPr="00620BC7">
        <w:rPr>
          <w:rFonts w:ascii="Arial" w:hAnsi="Arial" w:cs="Arial"/>
        </w:rPr>
        <w:t xml:space="preserve"> USD.</w:t>
      </w:r>
    </w:p>
    <w:p w14:paraId="76F6535A" w14:textId="77777777" w:rsidR="00F21D97" w:rsidRPr="00620BC7" w:rsidRDefault="00423ED8" w:rsidP="00F21D97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Výše čistého příjmu</w:t>
      </w:r>
      <w:r w:rsidR="00F21D97" w:rsidRPr="00620BC7">
        <w:rPr>
          <w:rFonts w:ascii="Arial" w:hAnsi="Arial" w:cs="Arial"/>
        </w:rPr>
        <w:t xml:space="preserve"> byla negativně ovlivněna m</w:t>
      </w:r>
      <w:r w:rsidRPr="00620BC7">
        <w:rPr>
          <w:rFonts w:ascii="Arial" w:hAnsi="Arial" w:cs="Arial"/>
        </w:rPr>
        <w:t>ateriálovými náklady vzhledem k </w:t>
      </w:r>
      <w:r w:rsidR="00F21D97" w:rsidRPr="00620BC7">
        <w:rPr>
          <w:rFonts w:ascii="Arial" w:hAnsi="Arial" w:cs="Arial"/>
        </w:rPr>
        <w:t>problémům v důsledku koronavirové pandemi</w:t>
      </w:r>
      <w:r w:rsidRPr="00620BC7">
        <w:rPr>
          <w:rFonts w:ascii="Arial" w:hAnsi="Arial" w:cs="Arial"/>
        </w:rPr>
        <w:t>e, vyššími úroky na pojistném a </w:t>
      </w:r>
      <w:r w:rsidR="00F21D97" w:rsidRPr="00620BC7">
        <w:rPr>
          <w:rFonts w:ascii="Arial" w:hAnsi="Arial" w:cs="Arial"/>
        </w:rPr>
        <w:t xml:space="preserve">dalšími </w:t>
      </w:r>
      <w:r w:rsidRPr="00620BC7">
        <w:rPr>
          <w:rFonts w:ascii="Arial" w:hAnsi="Arial" w:cs="Arial"/>
        </w:rPr>
        <w:t>položkami</w:t>
      </w:r>
      <w:r w:rsidR="00F21D97" w:rsidRPr="00620BC7">
        <w:rPr>
          <w:rFonts w:ascii="Arial" w:hAnsi="Arial" w:cs="Arial"/>
        </w:rPr>
        <w:t>.</w:t>
      </w:r>
    </w:p>
    <w:p w14:paraId="62E8A2C6" w14:textId="77777777" w:rsidR="00F21D97" w:rsidRPr="00620BC7" w:rsidRDefault="00F21D97" w:rsidP="00F21D97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Upravené kapitálové výdaje ve výši 939 mil USD </w:t>
      </w:r>
      <w:r w:rsidR="00423ED8" w:rsidRPr="00620BC7">
        <w:rPr>
          <w:rFonts w:ascii="Arial" w:hAnsi="Arial" w:cs="Arial"/>
        </w:rPr>
        <w:t xml:space="preserve">směřovaly </w:t>
      </w:r>
      <w:r w:rsidRPr="00620BC7">
        <w:rPr>
          <w:rFonts w:ascii="Arial" w:hAnsi="Arial" w:cs="Arial"/>
        </w:rPr>
        <w:t>na podporu rozvoje distribuční sítě.</w:t>
      </w:r>
    </w:p>
    <w:p w14:paraId="11B9622B" w14:textId="77777777" w:rsidR="00F21D97" w:rsidRPr="00620BC7" w:rsidRDefault="00F21D97" w:rsidP="00F21D97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Výše dividendy na akcii vzrostla o 5,2 %, přičemž výše dividend zůstává pro společnost prioritou.</w:t>
      </w:r>
    </w:p>
    <w:p w14:paraId="0FF7D61A" w14:textId="77777777" w:rsidR="00F21D97" w:rsidRPr="00620BC7" w:rsidRDefault="00F21D97" w:rsidP="00F21D97">
      <w:pPr>
        <w:rPr>
          <w:rFonts w:ascii="Arial" w:hAnsi="Arial" w:cs="Arial"/>
          <w:bCs/>
          <w:szCs w:val="22"/>
        </w:rPr>
      </w:pPr>
    </w:p>
    <w:p w14:paraId="31DD6C0D" w14:textId="77777777" w:rsidR="00620BC7" w:rsidRPr="00620BC7" w:rsidRDefault="00620BC7" w:rsidP="00F21D97">
      <w:pPr>
        <w:rPr>
          <w:rFonts w:ascii="Arial" w:hAnsi="Arial" w:cs="Arial"/>
          <w:bCs/>
          <w:szCs w:val="22"/>
        </w:rPr>
      </w:pPr>
    </w:p>
    <w:p w14:paraId="168708F0" w14:textId="77777777" w:rsidR="00F21D97" w:rsidRPr="00620BC7" w:rsidRDefault="00F21D97" w:rsidP="00F21D97">
      <w:pPr>
        <w:rPr>
          <w:rFonts w:ascii="Arial" w:hAnsi="Arial" w:cs="Arial"/>
          <w:b/>
          <w:bCs/>
          <w:szCs w:val="22"/>
          <w:u w:val="single"/>
        </w:rPr>
      </w:pPr>
      <w:r w:rsidRPr="00620BC7">
        <w:rPr>
          <w:rFonts w:ascii="Arial" w:hAnsi="Arial" w:cs="Arial"/>
          <w:b/>
          <w:bCs/>
          <w:szCs w:val="22"/>
          <w:u w:val="single"/>
        </w:rPr>
        <w:t>Domácí trh v USA</w:t>
      </w:r>
    </w:p>
    <w:p w14:paraId="556EAD56" w14:textId="77777777" w:rsidR="00F21D97" w:rsidRPr="00620BC7" w:rsidRDefault="00F21D97" w:rsidP="00F21D97">
      <w:pPr>
        <w:rPr>
          <w:rFonts w:ascii="Arial" w:hAnsi="Arial" w:cs="Arial"/>
          <w:bCs/>
          <w:szCs w:val="22"/>
        </w:rPr>
      </w:pPr>
    </w:p>
    <w:p w14:paraId="11FCA765" w14:textId="77777777" w:rsidR="00F21D97" w:rsidRPr="00620BC7" w:rsidRDefault="00F21D97" w:rsidP="00F21D97">
      <w:pPr>
        <w:rPr>
          <w:rFonts w:ascii="Arial" w:hAnsi="Arial" w:cs="Arial"/>
          <w:bCs/>
          <w:szCs w:val="22"/>
        </w:rPr>
      </w:pPr>
      <w:r w:rsidRPr="00620BC7">
        <w:rPr>
          <w:rFonts w:ascii="Arial" w:hAnsi="Arial" w:cs="Arial"/>
          <w:bCs/>
          <w:szCs w:val="22"/>
        </w:rPr>
        <w:t>Opatření k udržení obyvatel doma se postupně r</w:t>
      </w:r>
      <w:r w:rsidR="00423ED8" w:rsidRPr="00620BC7">
        <w:rPr>
          <w:rFonts w:ascii="Arial" w:hAnsi="Arial" w:cs="Arial"/>
          <w:bCs/>
          <w:szCs w:val="22"/>
        </w:rPr>
        <w:t>ozšiřovala po celé zemi spolu s </w:t>
      </w:r>
      <w:r w:rsidRPr="00620BC7">
        <w:rPr>
          <w:rFonts w:ascii="Arial" w:hAnsi="Arial" w:cs="Arial"/>
          <w:bCs/>
          <w:szCs w:val="22"/>
        </w:rPr>
        <w:t xml:space="preserve">uzavíráním firem </w:t>
      </w:r>
      <w:r w:rsidR="006A54A5" w:rsidRPr="00620BC7">
        <w:rPr>
          <w:rFonts w:ascii="Arial" w:hAnsi="Arial" w:cs="Arial"/>
          <w:bCs/>
          <w:szCs w:val="22"/>
        </w:rPr>
        <w:t xml:space="preserve">a </w:t>
      </w:r>
      <w:r w:rsidRPr="00620BC7">
        <w:rPr>
          <w:rFonts w:ascii="Arial" w:hAnsi="Arial" w:cs="Arial"/>
          <w:bCs/>
          <w:szCs w:val="22"/>
        </w:rPr>
        <w:t xml:space="preserve">narušením dodavatelských řetězců kvůli koronaviru. Výsledkem byl bezprecedentní posun v rozložení zákazníků i služeb během kvartálu. Automatizované huby a modernizace služeb přinesly zisky v podobě zefektivnění provozu, </w:t>
      </w:r>
      <w:r w:rsidR="006A54A5" w:rsidRPr="00620BC7">
        <w:rPr>
          <w:rFonts w:ascii="Arial" w:hAnsi="Arial" w:cs="Arial"/>
          <w:bCs/>
          <w:szCs w:val="22"/>
        </w:rPr>
        <w:t>které však nevyrovnaly nepříznivý vliv koronavirové</w:t>
      </w:r>
      <w:r w:rsidRPr="00620BC7">
        <w:rPr>
          <w:rFonts w:ascii="Arial" w:hAnsi="Arial" w:cs="Arial"/>
          <w:bCs/>
          <w:szCs w:val="22"/>
        </w:rPr>
        <w:t xml:space="preserve"> pandemie na zákazníky UPS</w:t>
      </w:r>
      <w:r w:rsidR="006A54A5" w:rsidRPr="00620BC7">
        <w:rPr>
          <w:rFonts w:ascii="Arial" w:hAnsi="Arial" w:cs="Arial"/>
          <w:bCs/>
          <w:szCs w:val="22"/>
        </w:rPr>
        <w:t xml:space="preserve"> a nárůst úroků</w:t>
      </w:r>
      <w:r w:rsidRPr="00620BC7">
        <w:rPr>
          <w:rFonts w:ascii="Arial" w:hAnsi="Arial" w:cs="Arial"/>
          <w:bCs/>
          <w:szCs w:val="22"/>
        </w:rPr>
        <w:t xml:space="preserve"> na pojistném. Společnost UPS pokračuje v adaptaci své sítě na současnou ekonomickou situaci a nadále obsluhuje jak své zákazníky, tak kritické vládní programy.</w:t>
      </w:r>
    </w:p>
    <w:p w14:paraId="24AE776E" w14:textId="77777777" w:rsidR="00811F9A" w:rsidRPr="00620BC7" w:rsidRDefault="00811F9A" w:rsidP="000E75D7">
      <w:pPr>
        <w:rPr>
          <w:rFonts w:ascii="Arial" w:hAnsi="Arial" w:cs="Arial"/>
          <w:szCs w:val="22"/>
        </w:rPr>
      </w:pPr>
    </w:p>
    <w:tbl>
      <w:tblPr>
        <w:tblW w:w="84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01"/>
        <w:gridCol w:w="1493"/>
        <w:gridCol w:w="1709"/>
        <w:gridCol w:w="1493"/>
      </w:tblGrid>
      <w:tr w:rsidR="00811F9A" w:rsidRPr="00620BC7" w14:paraId="283CEBA3" w14:textId="77777777" w:rsidTr="00422B30">
        <w:trPr>
          <w:tblCellSpacing w:w="0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711B" w14:textId="77777777" w:rsidR="00811F9A" w:rsidRPr="00620BC7" w:rsidRDefault="00811F9A" w:rsidP="00422B3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2E87F0DA" w14:textId="77777777" w:rsidR="00811F9A" w:rsidRPr="00620BC7" w:rsidRDefault="00811F9A" w:rsidP="00422B3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9F15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2DF6B1D6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23F9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689E015D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3B02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7A8F769E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82C2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169333F5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</w:tr>
      <w:tr w:rsidR="00811F9A" w:rsidRPr="00620BC7" w14:paraId="168F0136" w14:textId="77777777" w:rsidTr="00422B30">
        <w:trPr>
          <w:tblCellSpacing w:w="0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89771" w14:textId="77777777" w:rsidR="00811F9A" w:rsidRPr="00620BC7" w:rsidRDefault="00811F9A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Příjmy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B1F9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11 456 mil. USD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9B31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5255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10 480 mil. USD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752D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11F9A" w:rsidRPr="00620BC7" w14:paraId="20462C61" w14:textId="77777777" w:rsidTr="00422B30">
        <w:trPr>
          <w:tblCellSpacing w:w="0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417F" w14:textId="77777777" w:rsidR="00811F9A" w:rsidRPr="00620BC7" w:rsidRDefault="00811F9A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Provozní zisk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668D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364 mil. USD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F8A6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401 mil. USD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F8CF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666 mil. USD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E475" w14:textId="77777777" w:rsidR="00811F9A" w:rsidRPr="00620BC7" w:rsidRDefault="00811F9A" w:rsidP="00422B30">
            <w:pPr>
              <w:ind w:left="134" w:hanging="134"/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694 mil. USD</w:t>
            </w:r>
          </w:p>
        </w:tc>
      </w:tr>
    </w:tbl>
    <w:p w14:paraId="3F2150D7" w14:textId="77777777" w:rsidR="00811F9A" w:rsidRPr="00620BC7" w:rsidRDefault="00811F9A" w:rsidP="00811F9A">
      <w:pPr>
        <w:rPr>
          <w:rFonts w:ascii="Arial" w:hAnsi="Arial" w:cs="Arial"/>
          <w:szCs w:val="22"/>
        </w:rPr>
      </w:pPr>
    </w:p>
    <w:p w14:paraId="7C272C82" w14:textId="77777777" w:rsidR="00F21D97" w:rsidRPr="00620BC7" w:rsidRDefault="00F21D97" w:rsidP="00F21D97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Příjmy se zvýšily o 9,3 % a průměrný denní o</w:t>
      </w:r>
      <w:r w:rsidR="00914E49" w:rsidRPr="00620BC7">
        <w:rPr>
          <w:rFonts w:ascii="Arial" w:hAnsi="Arial" w:cs="Arial"/>
        </w:rPr>
        <w:t>bjem přepravy vzrostl o 8,5 % s </w:t>
      </w:r>
      <w:r w:rsidRPr="00620BC7">
        <w:rPr>
          <w:rFonts w:ascii="Arial" w:hAnsi="Arial" w:cs="Arial"/>
        </w:rPr>
        <w:t>nárůstem ve všech segmentech.</w:t>
      </w:r>
    </w:p>
    <w:p w14:paraId="05E3605B" w14:textId="77777777" w:rsidR="00F21D97" w:rsidRPr="00620BC7" w:rsidRDefault="00F21D97" w:rsidP="00F21D97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Průměrný denní objem </w:t>
      </w:r>
      <w:r w:rsidR="00914E49" w:rsidRPr="00620BC7">
        <w:rPr>
          <w:rFonts w:ascii="Arial" w:hAnsi="Arial" w:cs="Arial"/>
        </w:rPr>
        <w:t xml:space="preserve">letecké </w:t>
      </w:r>
      <w:r w:rsidRPr="00620BC7">
        <w:rPr>
          <w:rFonts w:ascii="Arial" w:hAnsi="Arial" w:cs="Arial"/>
        </w:rPr>
        <w:t xml:space="preserve">přepravy Next </w:t>
      </w:r>
      <w:r w:rsidR="00914E49" w:rsidRPr="00620BC7">
        <w:rPr>
          <w:rFonts w:ascii="Arial" w:hAnsi="Arial" w:cs="Arial"/>
        </w:rPr>
        <w:t>Day Air vzrostl o 20,5 %, jde o </w:t>
      </w:r>
      <w:r w:rsidRPr="00620BC7">
        <w:rPr>
          <w:rFonts w:ascii="Arial" w:hAnsi="Arial" w:cs="Arial"/>
        </w:rPr>
        <w:t>čtvrtý kvartál v řadě s dvouciferným nárůstem.</w:t>
      </w:r>
    </w:p>
    <w:p w14:paraId="7EF43089" w14:textId="77777777" w:rsidR="00F21D97" w:rsidRPr="00620BC7" w:rsidRDefault="00F21D97" w:rsidP="00F21D97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Příjem na zásilku poklesl o méně než 1 % kvůl</w:t>
      </w:r>
      <w:r w:rsidR="00914E49" w:rsidRPr="00620BC7">
        <w:rPr>
          <w:rFonts w:ascii="Arial" w:hAnsi="Arial" w:cs="Arial"/>
        </w:rPr>
        <w:t>i změnám ve složení zákazníků a </w:t>
      </w:r>
      <w:r w:rsidRPr="00620BC7">
        <w:rPr>
          <w:rFonts w:ascii="Arial" w:hAnsi="Arial" w:cs="Arial"/>
        </w:rPr>
        <w:t>služeb.</w:t>
      </w:r>
    </w:p>
    <w:p w14:paraId="78F701C9" w14:textId="77777777" w:rsidR="00F21D97" w:rsidRPr="00620BC7" w:rsidRDefault="00F21D97" w:rsidP="00F21D97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Počet zakázek pro komerční subjekty poklesl</w:t>
      </w:r>
      <w:r w:rsidR="00914E49" w:rsidRPr="00620BC7">
        <w:rPr>
          <w:rFonts w:ascii="Arial" w:hAnsi="Arial" w:cs="Arial"/>
        </w:rPr>
        <w:t>,</w:t>
      </w:r>
      <w:r w:rsidRPr="00620BC7">
        <w:rPr>
          <w:rFonts w:ascii="Arial" w:hAnsi="Arial" w:cs="Arial"/>
        </w:rPr>
        <w:t xml:space="preserve"> zatímco přeprava pro koncové zákazníky se zvýšila.</w:t>
      </w:r>
    </w:p>
    <w:p w14:paraId="370C6C57" w14:textId="77777777" w:rsidR="00F21D97" w:rsidRPr="00620BC7" w:rsidRDefault="00F21D97" w:rsidP="00F21D97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Objem přepravy vzrostl především díky velkým zákazníkům.</w:t>
      </w:r>
    </w:p>
    <w:p w14:paraId="72A503DE" w14:textId="77777777" w:rsidR="00F21D97" w:rsidRPr="00620BC7" w:rsidRDefault="00F21D97" w:rsidP="00F21D97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V této velmi dynamické době dosáhla společnost UPS téměř rekordních výsledků v dodávkách zásilek na čas.</w:t>
      </w:r>
    </w:p>
    <w:p w14:paraId="3F9259AE" w14:textId="77777777" w:rsidR="00F21D97" w:rsidRPr="00620BC7" w:rsidRDefault="00F21D97" w:rsidP="00F21D97">
      <w:pPr>
        <w:rPr>
          <w:rFonts w:ascii="Arial" w:hAnsi="Arial" w:cs="Arial"/>
        </w:rPr>
      </w:pPr>
    </w:p>
    <w:p w14:paraId="6C872FC4" w14:textId="77777777" w:rsidR="00F21D97" w:rsidRPr="00620BC7" w:rsidRDefault="00F21D97" w:rsidP="00C64780">
      <w:pPr>
        <w:rPr>
          <w:rFonts w:ascii="Arial" w:hAnsi="Arial" w:cs="Arial"/>
        </w:rPr>
      </w:pPr>
    </w:p>
    <w:p w14:paraId="19405DF4" w14:textId="77777777" w:rsidR="00C64780" w:rsidRPr="00620BC7" w:rsidRDefault="00C64780" w:rsidP="00C64780">
      <w:pPr>
        <w:rPr>
          <w:rFonts w:ascii="Arial" w:hAnsi="Arial" w:cs="Arial"/>
          <w:b/>
          <w:bCs/>
          <w:u w:val="single"/>
        </w:rPr>
      </w:pPr>
      <w:r w:rsidRPr="00620BC7">
        <w:rPr>
          <w:rFonts w:ascii="Arial" w:hAnsi="Arial" w:cs="Arial"/>
          <w:b/>
          <w:bCs/>
          <w:u w:val="single"/>
        </w:rPr>
        <w:t>Mezinárodní přeprava</w:t>
      </w:r>
    </w:p>
    <w:p w14:paraId="556114E8" w14:textId="77777777" w:rsidR="00C64780" w:rsidRPr="00620BC7" w:rsidRDefault="00C64780" w:rsidP="00C64780">
      <w:pPr>
        <w:rPr>
          <w:rFonts w:ascii="Arial" w:hAnsi="Arial" w:cs="Arial"/>
        </w:rPr>
      </w:pPr>
    </w:p>
    <w:p w14:paraId="086BFC20" w14:textId="77777777" w:rsidR="00C64780" w:rsidRPr="00620BC7" w:rsidRDefault="00C64780" w:rsidP="00C64780">
      <w:p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Segment </w:t>
      </w:r>
      <w:r w:rsidR="00914E49" w:rsidRPr="00620BC7">
        <w:rPr>
          <w:rFonts w:ascii="Arial" w:hAnsi="Arial" w:cs="Arial"/>
        </w:rPr>
        <w:t>M</w:t>
      </w:r>
      <w:r w:rsidRPr="00620BC7">
        <w:rPr>
          <w:rFonts w:ascii="Arial" w:hAnsi="Arial" w:cs="Arial"/>
        </w:rPr>
        <w:t xml:space="preserve">ezinárodní přepravy UPS generoval v provozním zisku 551 mil. USD, </w:t>
      </w:r>
      <w:r w:rsidR="00914E49" w:rsidRPr="00620BC7">
        <w:rPr>
          <w:rFonts w:ascii="Arial" w:hAnsi="Arial" w:cs="Arial"/>
        </w:rPr>
        <w:t>respektive</w:t>
      </w:r>
      <w:r w:rsidRPr="00620BC7">
        <w:rPr>
          <w:rFonts w:ascii="Arial" w:hAnsi="Arial" w:cs="Arial"/>
        </w:rPr>
        <w:t xml:space="preserve"> 558 mil. USD na upravené bázi</w:t>
      </w:r>
      <w:r w:rsidR="00E52187" w:rsidRPr="00620BC7">
        <w:rPr>
          <w:rFonts w:ascii="Arial" w:hAnsi="Arial" w:cs="Arial"/>
        </w:rPr>
        <w:t>, a to i přes oslabení celosvětových ekonomických aktivit</w:t>
      </w:r>
      <w:r w:rsidRPr="00620BC7">
        <w:rPr>
          <w:rFonts w:ascii="Arial" w:hAnsi="Arial" w:cs="Arial"/>
        </w:rPr>
        <w:t xml:space="preserve">. Společnost </w:t>
      </w:r>
      <w:r w:rsidR="00E52187" w:rsidRPr="00620BC7">
        <w:rPr>
          <w:rFonts w:ascii="Arial" w:hAnsi="Arial" w:cs="Arial"/>
        </w:rPr>
        <w:t>svými dobrými výkony</w:t>
      </w:r>
      <w:r w:rsidRPr="00620BC7">
        <w:rPr>
          <w:rFonts w:ascii="Arial" w:hAnsi="Arial" w:cs="Arial"/>
        </w:rPr>
        <w:t xml:space="preserve"> dokázala </w:t>
      </w:r>
      <w:r w:rsidR="00E52187" w:rsidRPr="00620BC7">
        <w:rPr>
          <w:rFonts w:ascii="Arial" w:hAnsi="Arial" w:cs="Arial"/>
        </w:rPr>
        <w:t>omezit náklady a </w:t>
      </w:r>
      <w:r w:rsidRPr="00620BC7">
        <w:rPr>
          <w:rFonts w:ascii="Arial" w:hAnsi="Arial" w:cs="Arial"/>
        </w:rPr>
        <w:t xml:space="preserve">zacílit na </w:t>
      </w:r>
      <w:r w:rsidR="00E52187" w:rsidRPr="00620BC7">
        <w:rPr>
          <w:rFonts w:ascii="Arial" w:hAnsi="Arial" w:cs="Arial"/>
        </w:rPr>
        <w:t xml:space="preserve">zákaznické </w:t>
      </w:r>
      <w:r w:rsidRPr="00620BC7">
        <w:rPr>
          <w:rFonts w:ascii="Arial" w:hAnsi="Arial" w:cs="Arial"/>
        </w:rPr>
        <w:t>příležitosti</w:t>
      </w:r>
      <w:r w:rsidR="00E52187" w:rsidRPr="00620BC7">
        <w:rPr>
          <w:rFonts w:ascii="Arial" w:hAnsi="Arial" w:cs="Arial"/>
        </w:rPr>
        <w:t xml:space="preserve"> v </w:t>
      </w:r>
      <w:r w:rsidR="00914E49" w:rsidRPr="00620BC7">
        <w:rPr>
          <w:rFonts w:ascii="Arial" w:hAnsi="Arial" w:cs="Arial"/>
        </w:rPr>
        <w:t>reakci</w:t>
      </w:r>
      <w:r w:rsidR="00E52187" w:rsidRPr="00620BC7">
        <w:rPr>
          <w:rFonts w:ascii="Arial" w:hAnsi="Arial" w:cs="Arial"/>
        </w:rPr>
        <w:t xml:space="preserve"> na </w:t>
      </w:r>
      <w:r w:rsidRPr="00620BC7">
        <w:rPr>
          <w:rFonts w:ascii="Arial" w:hAnsi="Arial" w:cs="Arial"/>
        </w:rPr>
        <w:t>pandemi</w:t>
      </w:r>
      <w:r w:rsidR="00E52187" w:rsidRPr="00620BC7">
        <w:rPr>
          <w:rFonts w:ascii="Arial" w:hAnsi="Arial" w:cs="Arial"/>
        </w:rPr>
        <w:t>i koronaviru, která se</w:t>
      </w:r>
      <w:r w:rsidRPr="00620BC7">
        <w:rPr>
          <w:rFonts w:ascii="Arial" w:hAnsi="Arial" w:cs="Arial"/>
        </w:rPr>
        <w:t xml:space="preserve"> rychle rozšířila z Asie do dalších částí světa.</w:t>
      </w:r>
    </w:p>
    <w:p w14:paraId="31B4040F" w14:textId="77777777" w:rsidR="00EB4A44" w:rsidRPr="00620BC7" w:rsidRDefault="00EB4A44" w:rsidP="00C64780">
      <w:pPr>
        <w:rPr>
          <w:rFonts w:ascii="Arial" w:hAnsi="Arial" w:cs="Arial"/>
        </w:rPr>
      </w:pPr>
    </w:p>
    <w:tbl>
      <w:tblPr>
        <w:tblW w:w="90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1843"/>
      </w:tblGrid>
      <w:tr w:rsidR="00811F9A" w:rsidRPr="00620BC7" w14:paraId="455A6049" w14:textId="77777777" w:rsidTr="00422B30">
        <w:trPr>
          <w:tblCellSpacing w:w="0" w:type="dxa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8246" w14:textId="77777777" w:rsidR="00811F9A" w:rsidRPr="00620BC7" w:rsidRDefault="00811F9A" w:rsidP="00422B3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14EE9492" w14:textId="77777777" w:rsidR="00811F9A" w:rsidRPr="00620BC7" w:rsidRDefault="00811F9A" w:rsidP="00422B3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500D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15F9C03E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C2DF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1A50AF45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9DC5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29914EC8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1BAF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6E9AD7EC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</w:tr>
      <w:tr w:rsidR="00811F9A" w:rsidRPr="00620BC7" w14:paraId="6BBD6AAD" w14:textId="77777777" w:rsidTr="00422B30">
        <w:trPr>
          <w:tblCellSpacing w:w="0" w:type="dxa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AB8F" w14:textId="77777777" w:rsidR="00811F9A" w:rsidRPr="00620BC7" w:rsidRDefault="00811F9A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Příjmy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5B06" w14:textId="77777777" w:rsidR="00811F9A" w:rsidRPr="00620BC7" w:rsidRDefault="00811F9A" w:rsidP="00914E49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3</w:t>
            </w:r>
            <w:r w:rsidR="00914E49" w:rsidRPr="00620BC7">
              <w:rPr>
                <w:rFonts w:ascii="Arial" w:hAnsi="Arial" w:cs="Arial"/>
                <w:sz w:val="20"/>
              </w:rPr>
              <w:t xml:space="preserve"> </w:t>
            </w:r>
            <w:r w:rsidRPr="00620BC7">
              <w:rPr>
                <w:rFonts w:ascii="Arial" w:hAnsi="Arial" w:cs="Arial"/>
                <w:sz w:val="20"/>
              </w:rPr>
              <w:t>383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D95B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72A4" w14:textId="77777777" w:rsidR="00811F9A" w:rsidRPr="00620BC7" w:rsidRDefault="00811F9A" w:rsidP="00914E49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3</w:t>
            </w:r>
            <w:r w:rsidR="00914E49" w:rsidRPr="00620BC7">
              <w:rPr>
                <w:rFonts w:ascii="Arial" w:hAnsi="Arial" w:cs="Arial"/>
                <w:sz w:val="20"/>
              </w:rPr>
              <w:t xml:space="preserve"> </w:t>
            </w:r>
            <w:r w:rsidRPr="00620BC7">
              <w:rPr>
                <w:rFonts w:ascii="Arial" w:hAnsi="Arial" w:cs="Arial"/>
                <w:sz w:val="20"/>
              </w:rPr>
              <w:t>459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DDB7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11F9A" w:rsidRPr="00620BC7" w14:paraId="6F607317" w14:textId="77777777" w:rsidTr="00422B30">
        <w:trPr>
          <w:tblCellSpacing w:w="0" w:type="dxa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6DB3" w14:textId="77777777" w:rsidR="00811F9A" w:rsidRPr="00620BC7" w:rsidRDefault="00811F9A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Provozní zisk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59CC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551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C4EC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558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5518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528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5EDF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612 mil. USD</w:t>
            </w:r>
          </w:p>
        </w:tc>
      </w:tr>
    </w:tbl>
    <w:p w14:paraId="622C30A4" w14:textId="77777777" w:rsidR="00811F9A" w:rsidRPr="00620BC7" w:rsidRDefault="00811F9A" w:rsidP="000E75D7">
      <w:pPr>
        <w:rPr>
          <w:rFonts w:ascii="Arial" w:hAnsi="Arial" w:cs="Arial"/>
          <w:color w:val="000000"/>
          <w:szCs w:val="22"/>
        </w:rPr>
      </w:pPr>
    </w:p>
    <w:p w14:paraId="5452E403" w14:textId="77777777" w:rsidR="00EB4A44" w:rsidRPr="00620BC7" w:rsidRDefault="00EB4A44" w:rsidP="00EB4A4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Průměrný denní objem mezinárodní přepravy </w:t>
      </w:r>
      <w:r w:rsidR="001E47AD" w:rsidRPr="00620BC7">
        <w:rPr>
          <w:rFonts w:ascii="Arial" w:hAnsi="Arial" w:cs="Arial"/>
        </w:rPr>
        <w:t xml:space="preserve">zaznamenal </w:t>
      </w:r>
      <w:r w:rsidRPr="00620BC7">
        <w:rPr>
          <w:rFonts w:ascii="Arial" w:hAnsi="Arial" w:cs="Arial"/>
        </w:rPr>
        <w:t>1,8% pokles</w:t>
      </w:r>
      <w:r w:rsidR="001E47AD" w:rsidRPr="00620BC7">
        <w:rPr>
          <w:rFonts w:ascii="Arial" w:hAnsi="Arial" w:cs="Arial"/>
        </w:rPr>
        <w:t xml:space="preserve">, se snížením přepravy </w:t>
      </w:r>
      <w:r w:rsidRPr="00620BC7">
        <w:rPr>
          <w:rFonts w:ascii="Arial" w:hAnsi="Arial" w:cs="Arial"/>
        </w:rPr>
        <w:t xml:space="preserve">komerčních </w:t>
      </w:r>
      <w:r w:rsidR="001E47AD" w:rsidRPr="00620BC7">
        <w:rPr>
          <w:rFonts w:ascii="Arial" w:hAnsi="Arial" w:cs="Arial"/>
        </w:rPr>
        <w:t>subjektů</w:t>
      </w:r>
      <w:r w:rsidRPr="00620BC7">
        <w:rPr>
          <w:rFonts w:ascii="Arial" w:hAnsi="Arial" w:cs="Arial"/>
        </w:rPr>
        <w:t>.</w:t>
      </w:r>
    </w:p>
    <w:p w14:paraId="0B02182A" w14:textId="69C07684" w:rsidR="00EB4A44" w:rsidRPr="00620BC7" w:rsidRDefault="000B2054" w:rsidP="00EB4A4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Objemy u </w:t>
      </w:r>
      <w:r w:rsidR="00EB4A44" w:rsidRPr="00620BC7">
        <w:rPr>
          <w:rFonts w:ascii="Arial" w:hAnsi="Arial" w:cs="Arial"/>
        </w:rPr>
        <w:t>Číny se v březnu obnovil</w:t>
      </w:r>
      <w:r w:rsidRPr="00620BC7">
        <w:rPr>
          <w:rFonts w:ascii="Arial" w:hAnsi="Arial" w:cs="Arial"/>
        </w:rPr>
        <w:t>y</w:t>
      </w:r>
      <w:r w:rsidR="00EB4A44" w:rsidRPr="00620BC7">
        <w:rPr>
          <w:rFonts w:ascii="Arial" w:hAnsi="Arial" w:cs="Arial"/>
        </w:rPr>
        <w:t xml:space="preserve"> především v důsledku zrychlujícího se hospodářského oživení, které kompenzovalo </w:t>
      </w:r>
      <w:r w:rsidRPr="00620BC7">
        <w:rPr>
          <w:rFonts w:ascii="Arial" w:hAnsi="Arial" w:cs="Arial"/>
        </w:rPr>
        <w:t xml:space="preserve">lednový a únorový </w:t>
      </w:r>
      <w:r w:rsidR="00EB4A44" w:rsidRPr="00620BC7">
        <w:rPr>
          <w:rFonts w:ascii="Arial" w:hAnsi="Arial" w:cs="Arial"/>
        </w:rPr>
        <w:t>pokles.</w:t>
      </w:r>
      <w:r w:rsidRPr="00620BC7">
        <w:rPr>
          <w:rFonts w:ascii="Arial" w:hAnsi="Arial" w:cs="Arial"/>
        </w:rPr>
        <w:t xml:space="preserve"> </w:t>
      </w:r>
      <w:r w:rsidR="00CC4280">
        <w:rPr>
          <w:rFonts w:ascii="Arial" w:hAnsi="Arial" w:cs="Arial"/>
        </w:rPr>
        <w:t>Pozitivně k tomu přispěly</w:t>
      </w:r>
      <w:r w:rsidRPr="00620BC7">
        <w:rPr>
          <w:rFonts w:ascii="Arial" w:hAnsi="Arial" w:cs="Arial"/>
        </w:rPr>
        <w:t xml:space="preserve"> z</w:t>
      </w:r>
      <w:r w:rsidR="00EB4A44" w:rsidRPr="00620BC7">
        <w:rPr>
          <w:rFonts w:ascii="Arial" w:hAnsi="Arial" w:cs="Arial"/>
        </w:rPr>
        <w:t xml:space="preserve">dravotnictví, high-tech a </w:t>
      </w:r>
      <w:r w:rsidRPr="00620BC7">
        <w:rPr>
          <w:rFonts w:ascii="Arial" w:hAnsi="Arial" w:cs="Arial"/>
        </w:rPr>
        <w:t>e-commerce</w:t>
      </w:r>
      <w:r w:rsidR="00EB4A44" w:rsidRPr="00620BC7">
        <w:rPr>
          <w:rFonts w:ascii="Arial" w:hAnsi="Arial" w:cs="Arial"/>
        </w:rPr>
        <w:t>.</w:t>
      </w:r>
    </w:p>
    <w:p w14:paraId="6A65CB43" w14:textId="77777777" w:rsidR="00EB4A44" w:rsidRPr="00620BC7" w:rsidRDefault="000B2054" w:rsidP="00EB4A4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N</w:t>
      </w:r>
      <w:r w:rsidR="00EB4A44" w:rsidRPr="00620BC7">
        <w:rPr>
          <w:rFonts w:ascii="Arial" w:hAnsi="Arial" w:cs="Arial"/>
        </w:rPr>
        <w:t xml:space="preserve">áklady na </w:t>
      </w:r>
      <w:r w:rsidRPr="00620BC7">
        <w:rPr>
          <w:rFonts w:ascii="Arial" w:hAnsi="Arial" w:cs="Arial"/>
        </w:rPr>
        <w:t>jednotku</w:t>
      </w:r>
      <w:r w:rsidR="00EB4A44" w:rsidRPr="00620BC7">
        <w:rPr>
          <w:rFonts w:ascii="Arial" w:hAnsi="Arial" w:cs="Arial"/>
        </w:rPr>
        <w:t xml:space="preserve"> </w:t>
      </w:r>
      <w:r w:rsidRPr="00620BC7">
        <w:rPr>
          <w:rFonts w:ascii="Arial" w:hAnsi="Arial" w:cs="Arial"/>
        </w:rPr>
        <w:t xml:space="preserve">v mezinárodní přepravě zaznamenaly </w:t>
      </w:r>
      <w:r w:rsidR="00EB4A44" w:rsidRPr="00620BC7">
        <w:rPr>
          <w:rFonts w:ascii="Arial" w:hAnsi="Arial" w:cs="Arial"/>
        </w:rPr>
        <w:t>0,5%</w:t>
      </w:r>
      <w:r w:rsidRPr="00620BC7">
        <w:rPr>
          <w:rFonts w:ascii="Arial" w:hAnsi="Arial" w:cs="Arial"/>
        </w:rPr>
        <w:t xml:space="preserve"> pokles</w:t>
      </w:r>
      <w:r w:rsidR="00EB4A44" w:rsidRPr="00620BC7">
        <w:rPr>
          <w:rFonts w:ascii="Arial" w:hAnsi="Arial" w:cs="Arial"/>
        </w:rPr>
        <w:t xml:space="preserve">, především v důsledku dopadu měny. </w:t>
      </w:r>
      <w:r w:rsidR="001E47AD" w:rsidRPr="00620BC7">
        <w:rPr>
          <w:rFonts w:ascii="Arial" w:hAnsi="Arial" w:cs="Arial"/>
        </w:rPr>
        <w:t>V</w:t>
      </w:r>
      <w:r w:rsidR="00EB4A44" w:rsidRPr="00620BC7">
        <w:rPr>
          <w:rFonts w:ascii="Arial" w:hAnsi="Arial" w:cs="Arial"/>
        </w:rPr>
        <w:t>ýznamná změna v</w:t>
      </w:r>
      <w:r w:rsidRPr="00620BC7">
        <w:rPr>
          <w:rFonts w:ascii="Arial" w:hAnsi="Arial" w:cs="Arial"/>
        </w:rPr>
        <w:t xml:space="preserve"> produktové skladbě </w:t>
      </w:r>
      <w:r w:rsidR="001E47AD" w:rsidRPr="00620BC7">
        <w:rPr>
          <w:rFonts w:ascii="Arial" w:hAnsi="Arial" w:cs="Arial"/>
        </w:rPr>
        <w:t xml:space="preserve">byla navíc </w:t>
      </w:r>
      <w:r w:rsidRPr="00620BC7">
        <w:rPr>
          <w:rFonts w:ascii="Arial" w:hAnsi="Arial" w:cs="Arial"/>
        </w:rPr>
        <w:t xml:space="preserve">do značné míry </w:t>
      </w:r>
      <w:r w:rsidR="00EB4A44" w:rsidRPr="00620BC7">
        <w:rPr>
          <w:rFonts w:ascii="Arial" w:hAnsi="Arial" w:cs="Arial"/>
        </w:rPr>
        <w:t>kompenzována úpravami sítě</w:t>
      </w:r>
      <w:r w:rsidR="00007684" w:rsidRPr="00620BC7">
        <w:rPr>
          <w:rFonts w:ascii="Arial" w:hAnsi="Arial" w:cs="Arial"/>
        </w:rPr>
        <w:t xml:space="preserve"> tak</w:t>
      </w:r>
      <w:r w:rsidR="00EB4A44" w:rsidRPr="00620BC7">
        <w:rPr>
          <w:rFonts w:ascii="Arial" w:hAnsi="Arial" w:cs="Arial"/>
        </w:rPr>
        <w:t xml:space="preserve">, aby se </w:t>
      </w:r>
      <w:r w:rsidR="00007684" w:rsidRPr="00620BC7">
        <w:rPr>
          <w:rFonts w:ascii="Arial" w:hAnsi="Arial" w:cs="Arial"/>
        </w:rPr>
        <w:t xml:space="preserve">její </w:t>
      </w:r>
      <w:r w:rsidR="00EB4A44" w:rsidRPr="00620BC7">
        <w:rPr>
          <w:rFonts w:ascii="Arial" w:hAnsi="Arial" w:cs="Arial"/>
        </w:rPr>
        <w:t xml:space="preserve">kapacita </w:t>
      </w:r>
      <w:r w:rsidR="00007684" w:rsidRPr="00620BC7">
        <w:rPr>
          <w:rFonts w:ascii="Arial" w:hAnsi="Arial" w:cs="Arial"/>
        </w:rPr>
        <w:t xml:space="preserve">přizpůsobila </w:t>
      </w:r>
      <w:r w:rsidR="00EB4A44" w:rsidRPr="00620BC7">
        <w:rPr>
          <w:rFonts w:ascii="Arial" w:hAnsi="Arial" w:cs="Arial"/>
        </w:rPr>
        <w:t>měnícím se obchodním vzorcům.</w:t>
      </w:r>
    </w:p>
    <w:p w14:paraId="5E33B888" w14:textId="77777777" w:rsidR="00EB4A44" w:rsidRPr="00620BC7" w:rsidRDefault="00EB4A44" w:rsidP="00EB4A44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Provozní marže </w:t>
      </w:r>
      <w:r w:rsidR="00007684" w:rsidRPr="00620BC7">
        <w:rPr>
          <w:rFonts w:ascii="Arial" w:hAnsi="Arial" w:cs="Arial"/>
        </w:rPr>
        <w:t>dosáhla výše</w:t>
      </w:r>
      <w:r w:rsidRPr="00620BC7">
        <w:rPr>
          <w:rFonts w:ascii="Arial" w:hAnsi="Arial" w:cs="Arial"/>
        </w:rPr>
        <w:t xml:space="preserve"> 16,3</w:t>
      </w:r>
      <w:r w:rsidR="00007684" w:rsidRPr="00620BC7">
        <w:rPr>
          <w:rFonts w:ascii="Arial" w:hAnsi="Arial" w:cs="Arial"/>
        </w:rPr>
        <w:t xml:space="preserve"> </w:t>
      </w:r>
      <w:r w:rsidRPr="00620BC7">
        <w:rPr>
          <w:rFonts w:ascii="Arial" w:hAnsi="Arial" w:cs="Arial"/>
        </w:rPr>
        <w:t>%; upravená provozní marže zůstala silná</w:t>
      </w:r>
      <w:r w:rsidR="00007684" w:rsidRPr="00620BC7">
        <w:rPr>
          <w:rFonts w:ascii="Arial" w:hAnsi="Arial" w:cs="Arial"/>
        </w:rPr>
        <w:t>,</w:t>
      </w:r>
      <w:r w:rsidRPr="00620BC7">
        <w:rPr>
          <w:rFonts w:ascii="Arial" w:hAnsi="Arial" w:cs="Arial"/>
        </w:rPr>
        <w:t xml:space="preserve"> na 16,5</w:t>
      </w:r>
      <w:r w:rsidR="00007684" w:rsidRPr="00620BC7">
        <w:rPr>
          <w:rFonts w:ascii="Arial" w:hAnsi="Arial" w:cs="Arial"/>
        </w:rPr>
        <w:t xml:space="preserve"> </w:t>
      </w:r>
      <w:r w:rsidRPr="00620BC7">
        <w:rPr>
          <w:rFonts w:ascii="Arial" w:hAnsi="Arial" w:cs="Arial"/>
        </w:rPr>
        <w:t>%.</w:t>
      </w:r>
    </w:p>
    <w:p w14:paraId="013B2887" w14:textId="77777777" w:rsidR="000E75D7" w:rsidRPr="00620BC7" w:rsidRDefault="000E75D7" w:rsidP="000E75D7">
      <w:pPr>
        <w:rPr>
          <w:rFonts w:ascii="Arial" w:hAnsi="Arial" w:cs="Arial"/>
        </w:rPr>
      </w:pPr>
    </w:p>
    <w:p w14:paraId="558E84D4" w14:textId="77777777" w:rsidR="000E75D7" w:rsidRPr="00620BC7" w:rsidRDefault="000E75D7" w:rsidP="000E75D7">
      <w:pPr>
        <w:rPr>
          <w:rFonts w:ascii="Arial" w:hAnsi="Arial" w:cs="Arial"/>
        </w:rPr>
      </w:pPr>
    </w:p>
    <w:p w14:paraId="578AA549" w14:textId="77777777" w:rsidR="00DD2C05" w:rsidRPr="00620BC7" w:rsidRDefault="00DD2C05" w:rsidP="00DD2C05">
      <w:pPr>
        <w:rPr>
          <w:rFonts w:ascii="Arial" w:hAnsi="Arial" w:cs="Arial"/>
          <w:b/>
          <w:u w:val="single"/>
        </w:rPr>
      </w:pPr>
      <w:r w:rsidRPr="00620BC7">
        <w:rPr>
          <w:rFonts w:ascii="Arial" w:hAnsi="Arial" w:cs="Arial"/>
          <w:b/>
          <w:u w:val="single"/>
        </w:rPr>
        <w:t>Dodavatelské řetězce a nákladní přeprava</w:t>
      </w:r>
    </w:p>
    <w:p w14:paraId="7CF3D8E0" w14:textId="77777777" w:rsidR="00DD2C05" w:rsidRPr="00620BC7" w:rsidRDefault="00DD2C05" w:rsidP="00DD2C05">
      <w:pPr>
        <w:rPr>
          <w:rFonts w:ascii="Arial" w:hAnsi="Arial" w:cs="Arial"/>
        </w:rPr>
      </w:pPr>
    </w:p>
    <w:p w14:paraId="31D41724" w14:textId="77777777" w:rsidR="00DD2C05" w:rsidRPr="00620BC7" w:rsidRDefault="00DD2C05" w:rsidP="00DD2C05">
      <w:p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Segment Dodavatelské řetězce a nákladní přeprava vytvořil provozní zisk ve výši 157 mil. USD, </w:t>
      </w:r>
      <w:r w:rsidR="009E6997" w:rsidRPr="00620BC7">
        <w:rPr>
          <w:rFonts w:ascii="Arial" w:hAnsi="Arial" w:cs="Arial"/>
        </w:rPr>
        <w:t>respektive</w:t>
      </w:r>
      <w:r w:rsidRPr="00620BC7">
        <w:rPr>
          <w:rFonts w:ascii="Arial" w:hAnsi="Arial" w:cs="Arial"/>
        </w:rPr>
        <w:t xml:space="preserve"> 158 mil. USD na upravené bázi, a to navzdory významným ekonomickým obtížím způsobeným pandemií koronaviru. Příjmy byly negativně ovlivněny rozsáhlým poklesem celosvětových ekonomických aktivit. Tento segment podniká řadu opatření, aby pomohl zákazníkům a zlepšil finanční výkonnost při </w:t>
      </w:r>
      <w:r w:rsidR="00686D0D" w:rsidRPr="00620BC7">
        <w:rPr>
          <w:rFonts w:ascii="Arial" w:hAnsi="Arial" w:cs="Arial"/>
        </w:rPr>
        <w:t>obnovení</w:t>
      </w:r>
      <w:r w:rsidRPr="00620BC7">
        <w:rPr>
          <w:rFonts w:ascii="Arial" w:hAnsi="Arial" w:cs="Arial"/>
        </w:rPr>
        <w:t xml:space="preserve"> poptávky</w:t>
      </w:r>
      <w:r w:rsidR="000A26CA" w:rsidRPr="00620BC7">
        <w:rPr>
          <w:rFonts w:ascii="Arial" w:hAnsi="Arial" w:cs="Arial"/>
        </w:rPr>
        <w:t>. To zahrnuje rovněž zprovoznění</w:t>
      </w:r>
      <w:r w:rsidRPr="00620BC7">
        <w:rPr>
          <w:rFonts w:ascii="Arial" w:hAnsi="Arial" w:cs="Arial"/>
        </w:rPr>
        <w:t xml:space="preserve"> charterových </w:t>
      </w:r>
      <w:r w:rsidR="000A26CA" w:rsidRPr="00620BC7">
        <w:rPr>
          <w:rFonts w:ascii="Arial" w:hAnsi="Arial" w:cs="Arial"/>
        </w:rPr>
        <w:t>letů</w:t>
      </w:r>
      <w:r w:rsidRPr="00620BC7">
        <w:rPr>
          <w:rFonts w:ascii="Arial" w:hAnsi="Arial" w:cs="Arial"/>
        </w:rPr>
        <w:t xml:space="preserve"> z Asie, </w:t>
      </w:r>
      <w:r w:rsidR="000A26CA" w:rsidRPr="00620BC7">
        <w:rPr>
          <w:rFonts w:ascii="Arial" w:hAnsi="Arial" w:cs="Arial"/>
        </w:rPr>
        <w:t xml:space="preserve">prohlubování </w:t>
      </w:r>
      <w:r w:rsidRPr="00620BC7">
        <w:rPr>
          <w:rFonts w:ascii="Arial" w:hAnsi="Arial" w:cs="Arial"/>
        </w:rPr>
        <w:t xml:space="preserve">vztahů se zákazníky v sektoru zdravotnictví a </w:t>
      </w:r>
      <w:r w:rsidR="000A26CA" w:rsidRPr="00620BC7">
        <w:rPr>
          <w:rFonts w:ascii="Arial" w:hAnsi="Arial" w:cs="Arial"/>
        </w:rPr>
        <w:t>uplatnění sezonních po</w:t>
      </w:r>
      <w:r w:rsidRPr="00620BC7">
        <w:rPr>
          <w:rFonts w:ascii="Arial" w:hAnsi="Arial" w:cs="Arial"/>
        </w:rPr>
        <w:t>platků</w:t>
      </w:r>
      <w:r w:rsidR="000A26CA" w:rsidRPr="00620BC7">
        <w:rPr>
          <w:rFonts w:ascii="Arial" w:hAnsi="Arial" w:cs="Arial"/>
        </w:rPr>
        <w:t xml:space="preserve"> v případě potřeby</w:t>
      </w:r>
      <w:r w:rsidRPr="00620BC7">
        <w:rPr>
          <w:rFonts w:ascii="Arial" w:hAnsi="Arial" w:cs="Arial"/>
        </w:rPr>
        <w:t>.</w:t>
      </w:r>
    </w:p>
    <w:p w14:paraId="30888D08" w14:textId="77777777" w:rsidR="000E75D7" w:rsidRPr="00620BC7" w:rsidRDefault="000E75D7" w:rsidP="000E75D7">
      <w:pPr>
        <w:rPr>
          <w:rFonts w:ascii="Arial" w:hAnsi="Arial" w:cs="Arial"/>
          <w:b/>
          <w:bCs/>
          <w:szCs w:val="22"/>
          <w:u w:val="single"/>
        </w:rPr>
      </w:pP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843"/>
        <w:gridCol w:w="1842"/>
      </w:tblGrid>
      <w:tr w:rsidR="00811F9A" w:rsidRPr="00620BC7" w14:paraId="45A881F8" w14:textId="77777777" w:rsidTr="00422B30">
        <w:trPr>
          <w:tblCellSpacing w:w="0" w:type="dxa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344B" w14:textId="77777777" w:rsidR="00811F9A" w:rsidRPr="00620BC7" w:rsidRDefault="00811F9A" w:rsidP="00422B3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20BDC032" w14:textId="77777777" w:rsidR="00811F9A" w:rsidRPr="00620BC7" w:rsidRDefault="00811F9A" w:rsidP="00422B30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F251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7C96DC96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4FCE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0E9763E3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AAF8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7FAECC13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E8E4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Upravený</w:t>
            </w:r>
          </w:p>
          <w:p w14:paraId="490E538F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20BC7">
              <w:rPr>
                <w:rFonts w:ascii="Arial" w:hAnsi="Arial" w:cs="Arial"/>
                <w:b/>
                <w:bCs/>
                <w:sz w:val="20"/>
                <w:u w:val="single"/>
              </w:rPr>
              <w:t>1Q 2019</w:t>
            </w:r>
          </w:p>
        </w:tc>
      </w:tr>
      <w:tr w:rsidR="00811F9A" w:rsidRPr="00620BC7" w14:paraId="724871B7" w14:textId="77777777" w:rsidTr="00422B30">
        <w:trPr>
          <w:tblCellSpacing w:w="0" w:type="dxa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EBF2" w14:textId="77777777" w:rsidR="00811F9A" w:rsidRPr="00620BC7" w:rsidRDefault="00811F9A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Příjmy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8F7C" w14:textId="77777777" w:rsidR="00811F9A" w:rsidRPr="00620BC7" w:rsidRDefault="00811F9A" w:rsidP="00134F0F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3</w:t>
            </w:r>
            <w:r w:rsidR="00134F0F" w:rsidRPr="00620BC7">
              <w:rPr>
                <w:rFonts w:ascii="Arial" w:hAnsi="Arial" w:cs="Arial"/>
                <w:sz w:val="20"/>
              </w:rPr>
              <w:t xml:space="preserve"> </w:t>
            </w:r>
            <w:r w:rsidRPr="00620BC7">
              <w:rPr>
                <w:rFonts w:ascii="Arial" w:hAnsi="Arial" w:cs="Arial"/>
                <w:sz w:val="20"/>
              </w:rPr>
              <w:t>196 mil.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6987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45F3" w14:textId="77777777" w:rsidR="00811F9A" w:rsidRPr="00620BC7" w:rsidRDefault="00811F9A" w:rsidP="00134F0F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3</w:t>
            </w:r>
            <w:r w:rsidR="00134F0F" w:rsidRPr="00620BC7">
              <w:rPr>
                <w:rFonts w:ascii="Arial" w:hAnsi="Arial" w:cs="Arial"/>
                <w:sz w:val="20"/>
              </w:rPr>
              <w:t xml:space="preserve"> </w:t>
            </w:r>
            <w:r w:rsidRPr="00620BC7">
              <w:rPr>
                <w:rFonts w:ascii="Arial" w:hAnsi="Arial" w:cs="Arial"/>
                <w:sz w:val="20"/>
              </w:rPr>
              <w:t>221 mil. USD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2FF3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11F9A" w:rsidRPr="00620BC7" w14:paraId="6802921E" w14:textId="77777777" w:rsidTr="00422B30">
        <w:trPr>
          <w:tblCellSpacing w:w="0" w:type="dxa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5DCF" w14:textId="77777777" w:rsidR="00811F9A" w:rsidRPr="00620BC7" w:rsidRDefault="00811F9A" w:rsidP="00422B30">
            <w:pPr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Provozní zisk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B06D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157 mil.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4AD2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158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32A0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200 mil. USD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2A40" w14:textId="77777777" w:rsidR="00811F9A" w:rsidRPr="00620BC7" w:rsidRDefault="00811F9A" w:rsidP="00422B30">
            <w:pPr>
              <w:jc w:val="right"/>
              <w:rPr>
                <w:rFonts w:ascii="Arial" w:hAnsi="Arial" w:cs="Arial"/>
                <w:sz w:val="20"/>
              </w:rPr>
            </w:pPr>
            <w:r w:rsidRPr="00620BC7">
              <w:rPr>
                <w:rFonts w:ascii="Arial" w:hAnsi="Arial" w:cs="Arial"/>
                <w:sz w:val="20"/>
              </w:rPr>
              <w:t>211 mil. USD</w:t>
            </w:r>
          </w:p>
        </w:tc>
      </w:tr>
    </w:tbl>
    <w:p w14:paraId="45AC83EE" w14:textId="77777777" w:rsidR="00811F9A" w:rsidRPr="00620BC7" w:rsidRDefault="00811F9A" w:rsidP="000E75D7">
      <w:pPr>
        <w:rPr>
          <w:rFonts w:ascii="Arial" w:hAnsi="Arial" w:cs="Arial"/>
          <w:b/>
          <w:bCs/>
          <w:szCs w:val="22"/>
          <w:u w:val="single"/>
        </w:rPr>
      </w:pPr>
    </w:p>
    <w:p w14:paraId="064E250B" w14:textId="77777777" w:rsidR="000A26CA" w:rsidRPr="00620BC7" w:rsidRDefault="000A26CA" w:rsidP="000A26C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Výnosy klesly o </w:t>
      </w:r>
      <w:r w:rsidR="00EF7510" w:rsidRPr="00620BC7">
        <w:rPr>
          <w:rFonts w:ascii="Arial" w:hAnsi="Arial" w:cs="Arial"/>
        </w:rPr>
        <w:t>necelé</w:t>
      </w:r>
      <w:r w:rsidRPr="00620BC7">
        <w:rPr>
          <w:rFonts w:ascii="Arial" w:hAnsi="Arial" w:cs="Arial"/>
        </w:rPr>
        <w:t xml:space="preserve"> 1</w:t>
      </w:r>
      <w:r w:rsidR="00EF7510" w:rsidRPr="00620BC7">
        <w:rPr>
          <w:rFonts w:ascii="Arial" w:hAnsi="Arial" w:cs="Arial"/>
        </w:rPr>
        <w:t xml:space="preserve"> </w:t>
      </w:r>
      <w:r w:rsidRPr="00620BC7">
        <w:rPr>
          <w:rFonts w:ascii="Arial" w:hAnsi="Arial" w:cs="Arial"/>
        </w:rPr>
        <w:t xml:space="preserve">% </w:t>
      </w:r>
      <w:r w:rsidR="00EF7510" w:rsidRPr="00620BC7">
        <w:rPr>
          <w:rFonts w:ascii="Arial" w:hAnsi="Arial" w:cs="Arial"/>
        </w:rPr>
        <w:t xml:space="preserve">díky </w:t>
      </w:r>
      <w:r w:rsidRPr="00620BC7">
        <w:rPr>
          <w:rFonts w:ascii="Arial" w:hAnsi="Arial" w:cs="Arial"/>
        </w:rPr>
        <w:t>disciplinovanému zaměření na růstové příležitosti a široké</w:t>
      </w:r>
      <w:r w:rsidR="00EF7510" w:rsidRPr="00620BC7">
        <w:rPr>
          <w:rFonts w:ascii="Arial" w:hAnsi="Arial" w:cs="Arial"/>
        </w:rPr>
        <w:t>mu</w:t>
      </w:r>
      <w:r w:rsidR="007C42D6" w:rsidRPr="00620BC7">
        <w:rPr>
          <w:rFonts w:ascii="Arial" w:hAnsi="Arial" w:cs="Arial"/>
        </w:rPr>
        <w:t xml:space="preserve"> portfoliu</w:t>
      </w:r>
      <w:r w:rsidRPr="00620BC7">
        <w:rPr>
          <w:rFonts w:ascii="Arial" w:hAnsi="Arial" w:cs="Arial"/>
        </w:rPr>
        <w:t xml:space="preserve"> řešení </w:t>
      </w:r>
      <w:r w:rsidR="00EF7510" w:rsidRPr="00620BC7">
        <w:rPr>
          <w:rFonts w:ascii="Arial" w:hAnsi="Arial" w:cs="Arial"/>
        </w:rPr>
        <w:t xml:space="preserve">v rámci tohoto </w:t>
      </w:r>
      <w:r w:rsidRPr="00620BC7">
        <w:rPr>
          <w:rFonts w:ascii="Arial" w:hAnsi="Arial" w:cs="Arial"/>
        </w:rPr>
        <w:t>segmentu.</w:t>
      </w:r>
    </w:p>
    <w:p w14:paraId="7EEFD9D4" w14:textId="77777777" w:rsidR="000A26CA" w:rsidRPr="00620BC7" w:rsidRDefault="000A26CA" w:rsidP="000A26C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Ke konci čtvrtletí společnosti UPS Freight a Coyote </w:t>
      </w:r>
      <w:r w:rsidR="00EF7510" w:rsidRPr="00620BC7">
        <w:rPr>
          <w:rFonts w:ascii="Arial" w:hAnsi="Arial" w:cs="Arial"/>
        </w:rPr>
        <w:t>zaznamenaly</w:t>
      </w:r>
      <w:r w:rsidRPr="00620BC7">
        <w:rPr>
          <w:rFonts w:ascii="Arial" w:hAnsi="Arial" w:cs="Arial"/>
        </w:rPr>
        <w:t xml:space="preserve"> snížen</w:t>
      </w:r>
      <w:r w:rsidR="00D30FE5" w:rsidRPr="00620BC7">
        <w:rPr>
          <w:rFonts w:ascii="Arial" w:hAnsi="Arial" w:cs="Arial"/>
        </w:rPr>
        <w:t>í objemu</w:t>
      </w:r>
      <w:r w:rsidR="007C42D6" w:rsidRPr="00620BC7">
        <w:rPr>
          <w:rFonts w:ascii="Arial" w:hAnsi="Arial" w:cs="Arial"/>
        </w:rPr>
        <w:t>, který byl</w:t>
      </w:r>
      <w:r w:rsidR="00D30FE5" w:rsidRPr="00620BC7">
        <w:rPr>
          <w:rFonts w:ascii="Arial" w:hAnsi="Arial" w:cs="Arial"/>
        </w:rPr>
        <w:t xml:space="preserve"> způsobený zejména omezením</w:t>
      </w:r>
      <w:r w:rsidRPr="00620BC7">
        <w:rPr>
          <w:rFonts w:ascii="Arial" w:hAnsi="Arial" w:cs="Arial"/>
        </w:rPr>
        <w:t xml:space="preserve"> </w:t>
      </w:r>
      <w:r w:rsidR="00D30FE5" w:rsidRPr="00620BC7">
        <w:rPr>
          <w:rFonts w:ascii="Arial" w:hAnsi="Arial" w:cs="Arial"/>
        </w:rPr>
        <w:t>vycházení</w:t>
      </w:r>
      <w:r w:rsidRPr="00620BC7">
        <w:rPr>
          <w:rFonts w:ascii="Arial" w:hAnsi="Arial" w:cs="Arial"/>
        </w:rPr>
        <w:t xml:space="preserve"> a uzavření</w:t>
      </w:r>
      <w:r w:rsidR="00D30FE5" w:rsidRPr="00620BC7">
        <w:rPr>
          <w:rFonts w:ascii="Arial" w:hAnsi="Arial" w:cs="Arial"/>
        </w:rPr>
        <w:t>m</w:t>
      </w:r>
      <w:r w:rsidRPr="00620BC7">
        <w:rPr>
          <w:rFonts w:ascii="Arial" w:hAnsi="Arial" w:cs="Arial"/>
        </w:rPr>
        <w:t xml:space="preserve"> podniků.</w:t>
      </w:r>
    </w:p>
    <w:p w14:paraId="52849B1E" w14:textId="77777777" w:rsidR="000A26CA" w:rsidRPr="00620BC7" w:rsidRDefault="000A26CA" w:rsidP="000A26C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>Logistika zvýšila tržby</w:t>
      </w:r>
      <w:r w:rsidR="00D30FE5" w:rsidRPr="00620BC7">
        <w:rPr>
          <w:rFonts w:ascii="Arial" w:hAnsi="Arial" w:cs="Arial"/>
        </w:rPr>
        <w:t xml:space="preserve"> i </w:t>
      </w:r>
      <w:r w:rsidRPr="00620BC7">
        <w:rPr>
          <w:rFonts w:ascii="Arial" w:hAnsi="Arial" w:cs="Arial"/>
        </w:rPr>
        <w:t>provozní zisk</w:t>
      </w:r>
      <w:r w:rsidR="00D30FE5" w:rsidRPr="00620BC7">
        <w:rPr>
          <w:rFonts w:ascii="Arial" w:hAnsi="Arial" w:cs="Arial"/>
        </w:rPr>
        <w:t xml:space="preserve">, </w:t>
      </w:r>
      <w:r w:rsidR="007C42D6" w:rsidRPr="00620BC7">
        <w:rPr>
          <w:rFonts w:ascii="Arial" w:hAnsi="Arial" w:cs="Arial"/>
        </w:rPr>
        <w:t>vedené</w:t>
      </w:r>
      <w:r w:rsidR="00D30FE5" w:rsidRPr="00620BC7">
        <w:rPr>
          <w:rFonts w:ascii="Arial" w:hAnsi="Arial" w:cs="Arial"/>
        </w:rPr>
        <w:t xml:space="preserve"> dvojciferným růstem dodavatelského řetězce Marken</w:t>
      </w:r>
      <w:r w:rsidRPr="00620BC7">
        <w:rPr>
          <w:rFonts w:ascii="Arial" w:hAnsi="Arial" w:cs="Arial"/>
        </w:rPr>
        <w:t>.</w:t>
      </w:r>
    </w:p>
    <w:p w14:paraId="443FA68A" w14:textId="77777777" w:rsidR="000A26CA" w:rsidRPr="00620BC7" w:rsidRDefault="000A26CA" w:rsidP="000A26C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V rámci </w:t>
      </w:r>
      <w:r w:rsidR="00D30FE5" w:rsidRPr="00620BC7">
        <w:rPr>
          <w:rFonts w:ascii="Arial" w:hAnsi="Arial" w:cs="Arial"/>
        </w:rPr>
        <w:t>zasilatelství (</w:t>
      </w:r>
      <w:r w:rsidRPr="00620BC7">
        <w:rPr>
          <w:rFonts w:ascii="Arial" w:hAnsi="Arial" w:cs="Arial"/>
        </w:rPr>
        <w:t>Forwarding</w:t>
      </w:r>
      <w:r w:rsidR="00D30FE5" w:rsidRPr="00620BC7">
        <w:rPr>
          <w:rFonts w:ascii="Arial" w:hAnsi="Arial" w:cs="Arial"/>
        </w:rPr>
        <w:t>)</w:t>
      </w:r>
      <w:r w:rsidRPr="00620BC7">
        <w:rPr>
          <w:rFonts w:ascii="Arial" w:hAnsi="Arial" w:cs="Arial"/>
        </w:rPr>
        <w:t xml:space="preserve"> </w:t>
      </w:r>
      <w:r w:rsidR="00D30FE5" w:rsidRPr="00620BC7">
        <w:rPr>
          <w:rFonts w:ascii="Arial" w:hAnsi="Arial" w:cs="Arial"/>
        </w:rPr>
        <w:t>zaznamenala</w:t>
      </w:r>
      <w:r w:rsidRPr="00620BC7">
        <w:rPr>
          <w:rFonts w:ascii="Arial" w:hAnsi="Arial" w:cs="Arial"/>
        </w:rPr>
        <w:t xml:space="preserve"> </w:t>
      </w:r>
      <w:r w:rsidR="00D30FE5" w:rsidRPr="00620BC7">
        <w:rPr>
          <w:rFonts w:ascii="Arial" w:hAnsi="Arial" w:cs="Arial"/>
        </w:rPr>
        <w:t xml:space="preserve">v březnu </w:t>
      </w:r>
      <w:r w:rsidRPr="00620BC7">
        <w:rPr>
          <w:rFonts w:ascii="Arial" w:hAnsi="Arial" w:cs="Arial"/>
        </w:rPr>
        <w:t xml:space="preserve">tonáž </w:t>
      </w:r>
      <w:r w:rsidR="00D30FE5" w:rsidRPr="00620BC7">
        <w:rPr>
          <w:rFonts w:ascii="Arial" w:hAnsi="Arial" w:cs="Arial"/>
        </w:rPr>
        <w:t>u Me</w:t>
      </w:r>
      <w:r w:rsidR="00620BC7" w:rsidRPr="00620BC7">
        <w:rPr>
          <w:rFonts w:ascii="Arial" w:hAnsi="Arial" w:cs="Arial"/>
        </w:rPr>
        <w:t>z</w:t>
      </w:r>
      <w:r w:rsidR="00D30FE5" w:rsidRPr="00620BC7">
        <w:rPr>
          <w:rFonts w:ascii="Arial" w:hAnsi="Arial" w:cs="Arial"/>
        </w:rPr>
        <w:t>inárodní nákladní letecké přepravy (</w:t>
      </w:r>
      <w:r w:rsidRPr="00620BC7">
        <w:rPr>
          <w:rFonts w:ascii="Arial" w:hAnsi="Arial" w:cs="Arial"/>
        </w:rPr>
        <w:t>International Air Freight</w:t>
      </w:r>
      <w:r w:rsidR="00D30FE5" w:rsidRPr="00620BC7">
        <w:rPr>
          <w:rFonts w:ascii="Arial" w:hAnsi="Arial" w:cs="Arial"/>
        </w:rPr>
        <w:t>) oživení, které</w:t>
      </w:r>
      <w:r w:rsidRPr="00620BC7">
        <w:rPr>
          <w:rFonts w:ascii="Arial" w:hAnsi="Arial" w:cs="Arial"/>
        </w:rPr>
        <w:t xml:space="preserve"> v tomto čtvrtletí </w:t>
      </w:r>
      <w:r w:rsidR="00D30FE5" w:rsidRPr="00620BC7">
        <w:rPr>
          <w:rFonts w:ascii="Arial" w:hAnsi="Arial" w:cs="Arial"/>
        </w:rPr>
        <w:t>vedlo k</w:t>
      </w:r>
      <w:r w:rsidRPr="00620BC7">
        <w:rPr>
          <w:rFonts w:ascii="Arial" w:hAnsi="Arial" w:cs="Arial"/>
        </w:rPr>
        <w:t xml:space="preserve"> růstu výnosů a zisku.</w:t>
      </w:r>
    </w:p>
    <w:p w14:paraId="58E4D166" w14:textId="77777777" w:rsidR="00D30FE5" w:rsidRPr="00620BC7" w:rsidRDefault="00D30FE5" w:rsidP="00D30FE5">
      <w:pPr>
        <w:rPr>
          <w:rFonts w:ascii="Arial" w:hAnsi="Arial" w:cs="Arial"/>
        </w:rPr>
      </w:pPr>
    </w:p>
    <w:p w14:paraId="5D422B04" w14:textId="77777777" w:rsidR="00620BC7" w:rsidRPr="00620BC7" w:rsidRDefault="00620BC7" w:rsidP="00D30FE5">
      <w:pPr>
        <w:rPr>
          <w:rFonts w:ascii="Arial" w:hAnsi="Arial" w:cs="Arial"/>
        </w:rPr>
      </w:pPr>
    </w:p>
    <w:p w14:paraId="4E79270C" w14:textId="77777777" w:rsidR="00D30FE5" w:rsidRPr="00620BC7" w:rsidRDefault="00D30FE5" w:rsidP="00D30FE5">
      <w:pPr>
        <w:rPr>
          <w:rFonts w:ascii="Arial" w:hAnsi="Arial" w:cs="Arial"/>
          <w:b/>
          <w:u w:val="single"/>
        </w:rPr>
      </w:pPr>
      <w:r w:rsidRPr="00620BC7">
        <w:rPr>
          <w:rFonts w:ascii="Arial" w:hAnsi="Arial" w:cs="Arial"/>
          <w:b/>
          <w:u w:val="single"/>
        </w:rPr>
        <w:t>Výhled</w:t>
      </w:r>
    </w:p>
    <w:p w14:paraId="18DBD519" w14:textId="77777777" w:rsidR="00D30FE5" w:rsidRPr="00620BC7" w:rsidRDefault="00D30FE5" w:rsidP="00D30FE5">
      <w:pPr>
        <w:rPr>
          <w:rFonts w:ascii="Arial" w:hAnsi="Arial" w:cs="Arial"/>
        </w:rPr>
      </w:pPr>
    </w:p>
    <w:p w14:paraId="448ADC79" w14:textId="77777777" w:rsidR="00D30FE5" w:rsidRPr="00620BC7" w:rsidRDefault="00D30FE5" w:rsidP="00D30FE5">
      <w:p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V tuto chvíli není společnost UPS schopna předvídat rozsah obchodního dopadu </w:t>
      </w:r>
      <w:r w:rsidR="00620BC7" w:rsidRPr="00620BC7">
        <w:rPr>
          <w:rFonts w:ascii="Arial" w:hAnsi="Arial" w:cs="Arial"/>
        </w:rPr>
        <w:t>či</w:t>
      </w:r>
      <w:r w:rsidR="00214EBC" w:rsidRPr="00620BC7">
        <w:rPr>
          <w:rFonts w:ascii="Arial" w:hAnsi="Arial" w:cs="Arial"/>
        </w:rPr>
        <w:t> trvání pandemie koronaviru,</w:t>
      </w:r>
      <w:r w:rsidRPr="00620BC7">
        <w:rPr>
          <w:rFonts w:ascii="Arial" w:hAnsi="Arial" w:cs="Arial"/>
        </w:rPr>
        <w:t xml:space="preserve"> ani přiměřeně </w:t>
      </w:r>
      <w:r w:rsidR="003F6F8E" w:rsidRPr="00620BC7">
        <w:rPr>
          <w:rFonts w:ascii="Arial" w:hAnsi="Arial" w:cs="Arial"/>
        </w:rPr>
        <w:t>odhadnout provozní výkon</w:t>
      </w:r>
      <w:r w:rsidR="00214EBC" w:rsidRPr="00620BC7">
        <w:rPr>
          <w:rFonts w:ascii="Arial" w:hAnsi="Arial" w:cs="Arial"/>
        </w:rPr>
        <w:t xml:space="preserve"> firmy</w:t>
      </w:r>
      <w:r w:rsidR="003F6F8E" w:rsidRPr="00620BC7">
        <w:rPr>
          <w:rFonts w:ascii="Arial" w:hAnsi="Arial" w:cs="Arial"/>
        </w:rPr>
        <w:t xml:space="preserve"> v</w:t>
      </w:r>
      <w:r w:rsidR="00214EBC" w:rsidRPr="00620BC7">
        <w:rPr>
          <w:rFonts w:ascii="Arial" w:hAnsi="Arial" w:cs="Arial"/>
        </w:rPr>
        <w:t xml:space="preserve"> následujících </w:t>
      </w:r>
      <w:r w:rsidRPr="00620BC7">
        <w:rPr>
          <w:rFonts w:ascii="Arial" w:hAnsi="Arial" w:cs="Arial"/>
        </w:rPr>
        <w:t xml:space="preserve">čtvrtletích. </w:t>
      </w:r>
      <w:r w:rsidR="00214EBC" w:rsidRPr="00620BC7">
        <w:rPr>
          <w:rFonts w:ascii="Arial" w:hAnsi="Arial" w:cs="Arial"/>
        </w:rPr>
        <w:t>V důsledku toho</w:t>
      </w:r>
      <w:r w:rsidRPr="00620BC7">
        <w:rPr>
          <w:rFonts w:ascii="Arial" w:hAnsi="Arial" w:cs="Arial"/>
        </w:rPr>
        <w:t xml:space="preserve"> </w:t>
      </w:r>
      <w:r w:rsidR="00214EBC" w:rsidRPr="00620BC7">
        <w:rPr>
          <w:rFonts w:ascii="Arial" w:hAnsi="Arial" w:cs="Arial"/>
        </w:rPr>
        <w:t>firma stahuje svůj</w:t>
      </w:r>
      <w:r w:rsidRPr="00620BC7">
        <w:rPr>
          <w:rFonts w:ascii="Arial" w:hAnsi="Arial" w:cs="Arial"/>
        </w:rPr>
        <w:t xml:space="preserve"> </w:t>
      </w:r>
      <w:r w:rsidR="00214EBC" w:rsidRPr="00620BC7">
        <w:rPr>
          <w:rFonts w:ascii="Arial" w:hAnsi="Arial" w:cs="Arial"/>
        </w:rPr>
        <w:t>dříve zveřejněný roční výhled ohledně příjmů</w:t>
      </w:r>
      <w:r w:rsidRPr="00620BC7">
        <w:rPr>
          <w:rFonts w:ascii="Arial" w:hAnsi="Arial" w:cs="Arial"/>
        </w:rPr>
        <w:t xml:space="preserve"> </w:t>
      </w:r>
      <w:r w:rsidR="00214EBC" w:rsidRPr="00620BC7">
        <w:rPr>
          <w:rFonts w:ascii="Arial" w:hAnsi="Arial" w:cs="Arial"/>
        </w:rPr>
        <w:t>v a zředěného</w:t>
      </w:r>
      <w:r w:rsidRPr="00620BC7">
        <w:rPr>
          <w:rFonts w:ascii="Arial" w:hAnsi="Arial" w:cs="Arial"/>
        </w:rPr>
        <w:t xml:space="preserve"> zisk</w:t>
      </w:r>
      <w:r w:rsidR="00214EBC" w:rsidRPr="00620BC7">
        <w:rPr>
          <w:rFonts w:ascii="Arial" w:hAnsi="Arial" w:cs="Arial"/>
        </w:rPr>
        <w:t>u</w:t>
      </w:r>
      <w:r w:rsidRPr="00620BC7">
        <w:rPr>
          <w:rFonts w:ascii="Arial" w:hAnsi="Arial" w:cs="Arial"/>
        </w:rPr>
        <w:t xml:space="preserve"> na akcii. </w:t>
      </w:r>
      <w:r w:rsidR="004C1641" w:rsidRPr="00620BC7">
        <w:rPr>
          <w:rFonts w:ascii="Arial" w:hAnsi="Arial" w:cs="Arial"/>
        </w:rPr>
        <w:t>Společnost UPS podnik</w:t>
      </w:r>
      <w:r w:rsidR="00620BC7" w:rsidRPr="00620BC7">
        <w:rPr>
          <w:rFonts w:ascii="Arial" w:hAnsi="Arial" w:cs="Arial"/>
        </w:rPr>
        <w:t>á</w:t>
      </w:r>
      <w:r w:rsidR="004C1641" w:rsidRPr="00620BC7">
        <w:rPr>
          <w:rFonts w:ascii="Arial" w:hAnsi="Arial" w:cs="Arial"/>
        </w:rPr>
        <w:t xml:space="preserve"> kroky</w:t>
      </w:r>
      <w:r w:rsidR="00AC26D4" w:rsidRPr="00620BC7">
        <w:rPr>
          <w:rFonts w:ascii="Arial" w:hAnsi="Arial" w:cs="Arial"/>
        </w:rPr>
        <w:t xml:space="preserve">, </w:t>
      </w:r>
      <w:r w:rsidR="00620BC7" w:rsidRPr="00620BC7">
        <w:rPr>
          <w:rFonts w:ascii="Arial" w:hAnsi="Arial" w:cs="Arial"/>
        </w:rPr>
        <w:t>které jí umožní</w:t>
      </w:r>
      <w:r w:rsidRPr="00620BC7">
        <w:rPr>
          <w:rFonts w:ascii="Arial" w:hAnsi="Arial" w:cs="Arial"/>
        </w:rPr>
        <w:t xml:space="preserve">, aby zůstala silná a odolná po celou </w:t>
      </w:r>
      <w:r w:rsidR="00214EBC" w:rsidRPr="00620BC7">
        <w:rPr>
          <w:rFonts w:ascii="Arial" w:hAnsi="Arial" w:cs="Arial"/>
        </w:rPr>
        <w:t xml:space="preserve">krizovou </w:t>
      </w:r>
      <w:r w:rsidR="00620BC7" w:rsidRPr="00620BC7">
        <w:rPr>
          <w:rFonts w:ascii="Arial" w:hAnsi="Arial" w:cs="Arial"/>
        </w:rPr>
        <w:t>dobu. M</w:t>
      </w:r>
      <w:r w:rsidR="00AC26D4" w:rsidRPr="00620BC7">
        <w:rPr>
          <w:rFonts w:ascii="Arial" w:hAnsi="Arial" w:cs="Arial"/>
        </w:rPr>
        <w:t xml:space="preserve">ezi </w:t>
      </w:r>
      <w:r w:rsidR="00620BC7" w:rsidRPr="00620BC7">
        <w:rPr>
          <w:rFonts w:ascii="Arial" w:hAnsi="Arial" w:cs="Arial"/>
        </w:rPr>
        <w:t xml:space="preserve">ně </w:t>
      </w:r>
      <w:r w:rsidR="00AC26D4" w:rsidRPr="00620BC7">
        <w:rPr>
          <w:rFonts w:ascii="Arial" w:hAnsi="Arial" w:cs="Arial"/>
        </w:rPr>
        <w:t>patří</w:t>
      </w:r>
      <w:r w:rsidRPr="00620BC7">
        <w:rPr>
          <w:rFonts w:ascii="Arial" w:hAnsi="Arial" w:cs="Arial"/>
        </w:rPr>
        <w:t>:</w:t>
      </w:r>
    </w:p>
    <w:p w14:paraId="1E38F73C" w14:textId="77777777" w:rsidR="00D30FE5" w:rsidRPr="00620BC7" w:rsidRDefault="00D30FE5" w:rsidP="00D30FE5">
      <w:pPr>
        <w:rPr>
          <w:rFonts w:ascii="Arial" w:hAnsi="Arial" w:cs="Arial"/>
        </w:rPr>
      </w:pPr>
    </w:p>
    <w:p w14:paraId="0A717425" w14:textId="77777777" w:rsidR="00D30FE5" w:rsidRPr="00620BC7" w:rsidRDefault="00214EBC" w:rsidP="00D30FE5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lastRenderedPageBreak/>
        <w:t xml:space="preserve">UPS </w:t>
      </w:r>
      <w:r w:rsidR="00D30FE5" w:rsidRPr="00620BC7">
        <w:rPr>
          <w:rFonts w:ascii="Arial" w:hAnsi="Arial" w:cs="Arial"/>
        </w:rPr>
        <w:t xml:space="preserve">očekává, že kapitálové výdaje do roku 2020 budou oproti předchozím odhadům sníženy o přibližně 1 </w:t>
      </w:r>
      <w:r w:rsidRPr="00620BC7">
        <w:rPr>
          <w:rFonts w:ascii="Arial" w:hAnsi="Arial" w:cs="Arial"/>
        </w:rPr>
        <w:t>mld. USD</w:t>
      </w:r>
      <w:r w:rsidR="00D30FE5" w:rsidRPr="00620BC7">
        <w:rPr>
          <w:rFonts w:ascii="Arial" w:hAnsi="Arial" w:cs="Arial"/>
        </w:rPr>
        <w:t>.</w:t>
      </w:r>
    </w:p>
    <w:p w14:paraId="3D815D86" w14:textId="77777777" w:rsidR="00D30FE5" w:rsidRPr="00620BC7" w:rsidRDefault="00D30FE5" w:rsidP="00D30FE5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UPS pozastavuje zpětné odkupy akcií </w:t>
      </w:r>
      <w:r w:rsidR="00AC26D4" w:rsidRPr="00620BC7">
        <w:rPr>
          <w:rFonts w:ascii="Arial" w:hAnsi="Arial" w:cs="Arial"/>
        </w:rPr>
        <w:t xml:space="preserve">v </w:t>
      </w:r>
      <w:r w:rsidRPr="00620BC7">
        <w:rPr>
          <w:rFonts w:ascii="Arial" w:hAnsi="Arial" w:cs="Arial"/>
        </w:rPr>
        <w:t>ro</w:t>
      </w:r>
      <w:r w:rsidR="00AC26D4" w:rsidRPr="00620BC7">
        <w:rPr>
          <w:rFonts w:ascii="Arial" w:hAnsi="Arial" w:cs="Arial"/>
        </w:rPr>
        <w:t>ce</w:t>
      </w:r>
      <w:r w:rsidRPr="00620BC7">
        <w:rPr>
          <w:rFonts w:ascii="Arial" w:hAnsi="Arial" w:cs="Arial"/>
        </w:rPr>
        <w:t xml:space="preserve"> 2020, čímž snižuje svůj plánovaný celoroční cíl výkupu přibližně o 783 </w:t>
      </w:r>
      <w:r w:rsidR="00214EBC" w:rsidRPr="00620BC7">
        <w:rPr>
          <w:rFonts w:ascii="Arial" w:hAnsi="Arial" w:cs="Arial"/>
        </w:rPr>
        <w:t xml:space="preserve">mil. </w:t>
      </w:r>
      <w:r w:rsidRPr="00620BC7">
        <w:rPr>
          <w:rFonts w:ascii="Arial" w:hAnsi="Arial" w:cs="Arial"/>
        </w:rPr>
        <w:t>USD.</w:t>
      </w:r>
    </w:p>
    <w:p w14:paraId="26EDAC5B" w14:textId="77777777" w:rsidR="00620BC7" w:rsidRPr="00620BC7" w:rsidRDefault="00620BC7" w:rsidP="00620BC7">
      <w:pPr>
        <w:rPr>
          <w:rFonts w:ascii="Arial" w:hAnsi="Arial" w:cs="Arial"/>
          <w:szCs w:val="22"/>
        </w:rPr>
      </w:pPr>
    </w:p>
    <w:p w14:paraId="06F9EE43" w14:textId="77777777" w:rsidR="00DB4C0A" w:rsidRPr="00620BC7" w:rsidRDefault="00DB4C0A" w:rsidP="00620BC7">
      <w:pPr>
        <w:rPr>
          <w:rFonts w:ascii="Arial" w:hAnsi="Arial" w:cs="Arial"/>
        </w:rPr>
      </w:pPr>
      <w:r w:rsidRPr="00620BC7">
        <w:rPr>
          <w:rFonts w:ascii="Arial" w:hAnsi="Arial" w:cs="Arial"/>
        </w:rPr>
        <w:t xml:space="preserve">V tomto náročném období se budeme i nadále přizpůsobovat a upřednostňovat investice a provozní rozhodnutí, </w:t>
      </w:r>
      <w:r w:rsidR="00BA2C90" w:rsidRPr="00620BC7">
        <w:rPr>
          <w:rFonts w:ascii="Arial" w:hAnsi="Arial" w:cs="Arial"/>
        </w:rPr>
        <w:t xml:space="preserve">které umožní </w:t>
      </w:r>
      <w:r w:rsidRPr="00620BC7">
        <w:rPr>
          <w:rFonts w:ascii="Arial" w:hAnsi="Arial" w:cs="Arial"/>
        </w:rPr>
        <w:t xml:space="preserve">UPS </w:t>
      </w:r>
      <w:r w:rsidR="00BA2C90" w:rsidRPr="00620BC7">
        <w:rPr>
          <w:rFonts w:ascii="Arial" w:hAnsi="Arial" w:cs="Arial"/>
        </w:rPr>
        <w:t xml:space="preserve">zůstat </w:t>
      </w:r>
      <w:r w:rsidRPr="00620BC7">
        <w:rPr>
          <w:rFonts w:ascii="Arial" w:hAnsi="Arial" w:cs="Arial"/>
        </w:rPr>
        <w:t xml:space="preserve">v nejlepší finanční pozici.“ </w:t>
      </w:r>
      <w:r w:rsidR="00BA2C90" w:rsidRPr="00620BC7">
        <w:rPr>
          <w:rFonts w:ascii="Arial" w:hAnsi="Arial" w:cs="Arial"/>
        </w:rPr>
        <w:t xml:space="preserve">uvedl </w:t>
      </w:r>
      <w:r w:rsidRPr="00620BC7">
        <w:rPr>
          <w:rFonts w:ascii="Arial" w:hAnsi="Arial" w:cs="Arial"/>
        </w:rPr>
        <w:t>Brian Newman, fin</w:t>
      </w:r>
      <w:r w:rsidR="00BA2C90" w:rsidRPr="00620BC7">
        <w:rPr>
          <w:rFonts w:ascii="Arial" w:hAnsi="Arial" w:cs="Arial"/>
        </w:rPr>
        <w:t>anční ředitel společnosti UPS. „Zaujali jsme disciplinovaný a </w:t>
      </w:r>
      <w:r w:rsidRPr="00620BC7">
        <w:rPr>
          <w:rFonts w:ascii="Arial" w:hAnsi="Arial" w:cs="Arial"/>
        </w:rPr>
        <w:t xml:space="preserve">vyvážený přístup k alokaci kapitálu a věříme v naši likvidní pozici, včetně našich závazků v oblasti správy kapitálu </w:t>
      </w:r>
      <w:r w:rsidR="00BA2C90" w:rsidRPr="00620BC7">
        <w:rPr>
          <w:rFonts w:ascii="Arial" w:hAnsi="Arial" w:cs="Arial"/>
        </w:rPr>
        <w:t>a dividend.“</w:t>
      </w:r>
    </w:p>
    <w:p w14:paraId="3D363397" w14:textId="77777777" w:rsidR="000E75D7" w:rsidRPr="00620BC7" w:rsidRDefault="000E75D7" w:rsidP="000E75D7">
      <w:pPr>
        <w:rPr>
          <w:rFonts w:ascii="Arial" w:hAnsi="Arial" w:cs="Arial"/>
          <w:szCs w:val="22"/>
        </w:rPr>
      </w:pPr>
    </w:p>
    <w:p w14:paraId="63660AFC" w14:textId="77777777" w:rsidR="000E75D7" w:rsidRPr="00620BC7" w:rsidRDefault="000E75D7" w:rsidP="000E75D7">
      <w:pPr>
        <w:rPr>
          <w:rFonts w:ascii="Arial" w:hAnsi="Arial" w:cs="Arial"/>
          <w:szCs w:val="22"/>
        </w:rPr>
      </w:pPr>
    </w:p>
    <w:p w14:paraId="5CC04B4C" w14:textId="77777777" w:rsidR="0050450E" w:rsidRPr="00620BC7" w:rsidRDefault="0050450E" w:rsidP="0050450E">
      <w:pPr>
        <w:pStyle w:val="Zkladntext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620BC7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58159613" w14:textId="77777777" w:rsidR="0050450E" w:rsidRPr="00620BC7" w:rsidRDefault="0050450E" w:rsidP="0050450E">
      <w:pPr>
        <w:rPr>
          <w:rFonts w:ascii="Arial" w:hAnsi="Arial" w:cs="Arial"/>
          <w:szCs w:val="22"/>
        </w:rPr>
      </w:pPr>
    </w:p>
    <w:p w14:paraId="4F2B2D38" w14:textId="77777777" w:rsidR="0050450E" w:rsidRPr="00620BC7" w:rsidRDefault="0050450E" w:rsidP="0050450E">
      <w:pPr>
        <w:ind w:firstLine="720"/>
        <w:rPr>
          <w:rFonts w:ascii="Arial" w:hAnsi="Arial" w:cs="Arial"/>
          <w:szCs w:val="22"/>
        </w:rPr>
      </w:pPr>
      <w:r w:rsidRPr="00620BC7">
        <w:rPr>
          <w:rFonts w:ascii="Arial" w:hAnsi="Arial" w:cs="Arial"/>
          <w:szCs w:val="22"/>
        </w:rPr>
        <w:t>UPS (NYSE:UPS) je světový lídr v oblasti logistiky a nabízí širokou škálu řešení včetně přepravy balíků a 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Společnost UPS byla časopisem Newsweek označena za nejvíce zákaznicky orientovanou americkou firmu (</w:t>
      </w:r>
      <w:hyperlink r:id="rId8" w:history="1">
        <w:r w:rsidRPr="00620BC7">
          <w:rPr>
            <w:rFonts w:ascii="Arial" w:hAnsi="Arial" w:cs="Arial"/>
            <w:color w:val="0000FF"/>
            <w:szCs w:val="22"/>
            <w:u w:val="single"/>
          </w:rPr>
          <w:t>America’s Best Customer Service</w:t>
        </w:r>
      </w:hyperlink>
      <w:r w:rsidRPr="00620BC7">
        <w:rPr>
          <w:rFonts w:ascii="Arial" w:hAnsi="Arial" w:cs="Arial"/>
          <w:szCs w:val="22"/>
        </w:rPr>
        <w:t>) v oblasti zasilatelství a distribuce; podle časopisu Forbes je firma Nejhodnotnější značkou v dopravě (</w:t>
      </w:r>
      <w:hyperlink r:id="rId9" w:anchor="tab:rank_industry:Transportation" w:history="1">
        <w:r w:rsidRPr="00620BC7">
          <w:rPr>
            <w:rStyle w:val="Hypertextovodkaz"/>
            <w:rFonts w:ascii="Arial" w:hAnsi="Arial" w:cs="Arial"/>
            <w:szCs w:val="22"/>
          </w:rPr>
          <w:t>Most Valuable Brand in Transportation</w:t>
        </w:r>
      </w:hyperlink>
      <w:r w:rsidRPr="00620BC7">
        <w:rPr>
          <w:rFonts w:ascii="Arial" w:hAnsi="Arial" w:cs="Arial"/>
          <w:szCs w:val="22"/>
        </w:rPr>
        <w:t>); UPS je vysoce ceněna i podle da</w:t>
      </w:r>
      <w:r w:rsidR="00620BC7" w:rsidRPr="00620BC7">
        <w:rPr>
          <w:rFonts w:ascii="Arial" w:hAnsi="Arial" w:cs="Arial"/>
          <w:szCs w:val="22"/>
        </w:rPr>
        <w:t>lších prestižních hodnocení – v </w:t>
      </w:r>
      <w:r w:rsidRPr="00620BC7">
        <w:rPr>
          <w:rFonts w:ascii="Arial" w:hAnsi="Arial" w:cs="Arial"/>
          <w:szCs w:val="22"/>
        </w:rPr>
        <w:t xml:space="preserve">oblasti sociální odpovědnosti podle žebříčku </w:t>
      </w:r>
      <w:hyperlink r:id="rId10" w:anchor="4309ad3b2bf0" w:history="1">
        <w:r w:rsidRPr="00620BC7">
          <w:rPr>
            <w:rFonts w:ascii="Arial" w:hAnsi="Arial" w:cs="Arial"/>
            <w:color w:val="0000FF"/>
            <w:szCs w:val="22"/>
            <w:u w:val="single"/>
          </w:rPr>
          <w:t>JUST 100</w:t>
        </w:r>
      </w:hyperlink>
      <w:r w:rsidRPr="00620BC7">
        <w:rPr>
          <w:rFonts w:ascii="Arial" w:hAnsi="Arial" w:cs="Arial"/>
          <w:szCs w:val="22"/>
        </w:rPr>
        <w:t xml:space="preserve">, indexu Dow Jones Sustainability World a kvocientu Harris Poll Reputation. Informace o společnosti naleznete na </w:t>
      </w:r>
      <w:r w:rsidRPr="00620BC7">
        <w:rPr>
          <w:rStyle w:val="Internetovodkaz"/>
          <w:rFonts w:ascii="Arial" w:hAnsi="Arial" w:cs="Arial"/>
          <w:color w:val="0070C0"/>
          <w:szCs w:val="22"/>
        </w:rPr>
        <w:t>ups.com</w:t>
      </w:r>
      <w:r w:rsidRPr="00620BC7">
        <w:rPr>
          <w:rFonts w:ascii="Arial" w:hAnsi="Arial" w:cs="Arial"/>
          <w:szCs w:val="22"/>
        </w:rPr>
        <w:t xml:space="preserve"> nebo </w:t>
      </w:r>
      <w:hyperlink r:id="rId11" w:tgtFrame="_blank" w:history="1">
        <w:r w:rsidRPr="00620BC7">
          <w:rPr>
            <w:rFonts w:ascii="Arial" w:hAnsi="Arial" w:cs="Arial"/>
            <w:color w:val="0000FF"/>
            <w:szCs w:val="22"/>
            <w:u w:val="single"/>
          </w:rPr>
          <w:t>pressroom.ups.com</w:t>
        </w:r>
      </w:hyperlink>
      <w:r w:rsidRPr="00620BC7">
        <w:rPr>
          <w:rFonts w:ascii="Arial" w:hAnsi="Arial" w:cs="Arial"/>
          <w:szCs w:val="22"/>
        </w:rPr>
        <w:t xml:space="preserve"> a korporátní blog na </w:t>
      </w:r>
      <w:hyperlink r:id="rId12" w:tgtFrame="_blank" w:history="1">
        <w:r w:rsidRPr="00620BC7">
          <w:rPr>
            <w:rFonts w:ascii="Arial" w:hAnsi="Arial" w:cs="Arial"/>
            <w:color w:val="0000FF"/>
            <w:szCs w:val="22"/>
            <w:u w:val="single"/>
          </w:rPr>
          <w:t>ups.com/longitudes</w:t>
        </w:r>
      </w:hyperlink>
      <w:r w:rsidRPr="00620BC7">
        <w:rPr>
          <w:rFonts w:ascii="Arial" w:hAnsi="Arial" w:cs="Arial"/>
          <w:szCs w:val="22"/>
        </w:rPr>
        <w:t xml:space="preserve">. Firemní online newsletter </w:t>
      </w:r>
      <w:r w:rsidRPr="00620BC7">
        <w:rPr>
          <w:rFonts w:ascii="Arial" w:hAnsi="Arial" w:cs="Arial"/>
          <w:i/>
          <w:iCs/>
          <w:szCs w:val="22"/>
        </w:rPr>
        <w:t>UPS Horizons</w:t>
      </w:r>
      <w:r w:rsidRPr="00620BC7">
        <w:rPr>
          <w:rFonts w:ascii="Arial" w:hAnsi="Arial" w:cs="Arial"/>
          <w:szCs w:val="22"/>
        </w:rPr>
        <w:t xml:space="preserve"> zaměřený na trvalou udržitelnost je na </w:t>
      </w:r>
      <w:hyperlink r:id="rId13" w:history="1">
        <w:r w:rsidRPr="00620BC7">
          <w:rPr>
            <w:rFonts w:ascii="Arial" w:hAnsi="Arial" w:cs="Arial"/>
            <w:color w:val="0000FF"/>
            <w:szCs w:val="22"/>
            <w:u w:val="single"/>
          </w:rPr>
          <w:t>ups.com/sustainabilitynewsletter</w:t>
        </w:r>
      </w:hyperlink>
      <w:r w:rsidRPr="00620BC7">
        <w:rPr>
          <w:rFonts w:ascii="Arial" w:hAnsi="Arial" w:cs="Arial"/>
          <w:color w:val="0000FF"/>
          <w:szCs w:val="22"/>
        </w:rPr>
        <w:t xml:space="preserve">. </w:t>
      </w:r>
      <w:r w:rsidRPr="00620BC7">
        <w:rPr>
          <w:rFonts w:ascii="Arial" w:hAnsi="Arial" w:cs="Arial"/>
          <w:szCs w:val="22"/>
        </w:rPr>
        <w:t xml:space="preserve">Novinky a zprávy UPS jsou k dispozici také prostřednictvím Twitteru na </w:t>
      </w:r>
      <w:hyperlink r:id="rId14" w:history="1">
        <w:r w:rsidRPr="00620BC7">
          <w:rPr>
            <w:rStyle w:val="Hypertextovodkaz"/>
            <w:rFonts w:ascii="Arial" w:hAnsi="Arial" w:cs="Arial"/>
            <w:szCs w:val="22"/>
          </w:rPr>
          <w:t>@UPS_News</w:t>
        </w:r>
      </w:hyperlink>
      <w:r w:rsidRPr="00620BC7">
        <w:rPr>
          <w:rFonts w:ascii="Arial" w:hAnsi="Arial" w:cs="Arial"/>
          <w:szCs w:val="22"/>
        </w:rPr>
        <w:t xml:space="preserve">, poslat zásilku je možné přes </w:t>
      </w:r>
      <w:hyperlink r:id="rId15" w:history="1">
        <w:r w:rsidRPr="00620BC7">
          <w:rPr>
            <w:rFonts w:ascii="Arial" w:hAnsi="Arial" w:cs="Arial"/>
            <w:color w:val="0000FF"/>
            <w:szCs w:val="22"/>
            <w:u w:val="single"/>
          </w:rPr>
          <w:t>ups.com/ship</w:t>
        </w:r>
      </w:hyperlink>
      <w:r w:rsidRPr="00620BC7">
        <w:rPr>
          <w:rFonts w:ascii="Arial" w:hAnsi="Arial" w:cs="Arial"/>
          <w:szCs w:val="22"/>
        </w:rPr>
        <w:t>.</w:t>
      </w:r>
    </w:p>
    <w:p w14:paraId="4672A0C6" w14:textId="77777777" w:rsidR="0050450E" w:rsidRPr="00620BC7" w:rsidRDefault="0050450E" w:rsidP="0050450E">
      <w:pPr>
        <w:rPr>
          <w:rFonts w:ascii="Arial" w:hAnsi="Arial" w:cs="Arial"/>
          <w:b/>
          <w:szCs w:val="22"/>
          <w:u w:val="single"/>
        </w:rPr>
      </w:pPr>
    </w:p>
    <w:sectPr w:rsidR="0050450E" w:rsidRPr="00620BC7" w:rsidSect="00B04B5E">
      <w:pgSz w:w="11906" w:h="16838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B366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C84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7CC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46B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7C8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9E2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76A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5AE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681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C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6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1302F"/>
    <w:multiLevelType w:val="singleLevel"/>
    <w:tmpl w:val="4EDCB124"/>
    <w:lvl w:ilvl="0">
      <w:start w:val="1"/>
      <w:numFmt w:val="lowerLetter"/>
      <w:pStyle w:val="Level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B961D31"/>
    <w:multiLevelType w:val="hybridMultilevel"/>
    <w:tmpl w:val="BB2071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E42F9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7D75AF"/>
    <w:multiLevelType w:val="singleLevel"/>
    <w:tmpl w:val="903AA30A"/>
    <w:lvl w:ilvl="0">
      <w:start w:val="1"/>
      <w:numFmt w:val="decimal"/>
      <w:pStyle w:val="Leve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04E55"/>
    <w:multiLevelType w:val="singleLevel"/>
    <w:tmpl w:val="1F8C99E2"/>
    <w:lvl w:ilvl="0">
      <w:start w:val="1"/>
      <w:numFmt w:val="bullet"/>
      <w:pStyle w:val="Level2inde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5">
    <w:nsid w:val="5B5815C0"/>
    <w:multiLevelType w:val="multilevel"/>
    <w:tmpl w:val="451EDBF8"/>
    <w:styleLink w:val="Style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160C5"/>
    <w:multiLevelType w:val="hybridMultilevel"/>
    <w:tmpl w:val="17F6A6DC"/>
    <w:lvl w:ilvl="0" w:tplc="1C6CB418">
      <w:start w:val="1"/>
      <w:numFmt w:val="bullet"/>
      <w:pStyle w:val="Buletskostikou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position w:val="-10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333CD"/>
    <w:multiLevelType w:val="hybridMultilevel"/>
    <w:tmpl w:val="A64AD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E7176E8"/>
    <w:multiLevelType w:val="singleLevel"/>
    <w:tmpl w:val="F65E1552"/>
    <w:lvl w:ilvl="0">
      <w:start w:val="1"/>
      <w:numFmt w:val="bullet"/>
      <w:pStyle w:val="Level2nopoi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4"/>
  </w:num>
  <w:num w:numId="5">
    <w:abstractNumId w:val="18"/>
  </w:num>
  <w:num w:numId="6">
    <w:abstractNumId w:val="12"/>
  </w:num>
  <w:num w:numId="7">
    <w:abstractNumId w:val="10"/>
  </w:num>
  <w:num w:numId="8">
    <w:abstractNumId w:val="14"/>
  </w:num>
  <w:num w:numId="9">
    <w:abstractNumId w:val="12"/>
  </w:num>
  <w:num w:numId="10">
    <w:abstractNumId w:val="10"/>
  </w:num>
  <w:num w:numId="11">
    <w:abstractNumId w:val="14"/>
  </w:num>
  <w:num w:numId="12">
    <w:abstractNumId w:val="18"/>
  </w:num>
  <w:num w:numId="13">
    <w:abstractNumId w:val="15"/>
  </w:num>
  <w:num w:numId="14">
    <w:abstractNumId w:val="15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7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dling Michael (LSZ1LQC)">
    <w15:presenceInfo w15:providerId="AD" w15:userId="S-1-5-21-1284593569-1342059005-1819421546-632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7"/>
    <w:rsid w:val="00004B07"/>
    <w:rsid w:val="00007684"/>
    <w:rsid w:val="0001405F"/>
    <w:rsid w:val="00014194"/>
    <w:rsid w:val="00014237"/>
    <w:rsid w:val="00015943"/>
    <w:rsid w:val="00017EFE"/>
    <w:rsid w:val="00024DCF"/>
    <w:rsid w:val="00026FA8"/>
    <w:rsid w:val="00031035"/>
    <w:rsid w:val="000353DC"/>
    <w:rsid w:val="00036497"/>
    <w:rsid w:val="000372BD"/>
    <w:rsid w:val="00040F64"/>
    <w:rsid w:val="00043775"/>
    <w:rsid w:val="000851F9"/>
    <w:rsid w:val="00086E64"/>
    <w:rsid w:val="00087D07"/>
    <w:rsid w:val="000A26CA"/>
    <w:rsid w:val="000A5CD7"/>
    <w:rsid w:val="000B2054"/>
    <w:rsid w:val="000B5286"/>
    <w:rsid w:val="000B750D"/>
    <w:rsid w:val="000D3C38"/>
    <w:rsid w:val="000E4BA3"/>
    <w:rsid w:val="000E705F"/>
    <w:rsid w:val="000E75D7"/>
    <w:rsid w:val="000F0324"/>
    <w:rsid w:val="000F772C"/>
    <w:rsid w:val="00106858"/>
    <w:rsid w:val="00111CE8"/>
    <w:rsid w:val="00132FE6"/>
    <w:rsid w:val="00134F0F"/>
    <w:rsid w:val="001410BE"/>
    <w:rsid w:val="00144827"/>
    <w:rsid w:val="00155988"/>
    <w:rsid w:val="00164204"/>
    <w:rsid w:val="0016722B"/>
    <w:rsid w:val="0018414D"/>
    <w:rsid w:val="00184F9E"/>
    <w:rsid w:val="001B23F1"/>
    <w:rsid w:val="001E47AD"/>
    <w:rsid w:val="001F729F"/>
    <w:rsid w:val="0020557D"/>
    <w:rsid w:val="00207F7B"/>
    <w:rsid w:val="00210D38"/>
    <w:rsid w:val="00213FA1"/>
    <w:rsid w:val="00214EBC"/>
    <w:rsid w:val="0024081E"/>
    <w:rsid w:val="00241399"/>
    <w:rsid w:val="00266A6D"/>
    <w:rsid w:val="00272E69"/>
    <w:rsid w:val="00272FBC"/>
    <w:rsid w:val="00291CD0"/>
    <w:rsid w:val="002928AB"/>
    <w:rsid w:val="002A4F89"/>
    <w:rsid w:val="002C08E2"/>
    <w:rsid w:val="002C2742"/>
    <w:rsid w:val="002C2AEF"/>
    <w:rsid w:val="002C536E"/>
    <w:rsid w:val="002F1816"/>
    <w:rsid w:val="002F4CB4"/>
    <w:rsid w:val="00300829"/>
    <w:rsid w:val="00302F85"/>
    <w:rsid w:val="00304104"/>
    <w:rsid w:val="0031123A"/>
    <w:rsid w:val="00322D0D"/>
    <w:rsid w:val="003349B1"/>
    <w:rsid w:val="00344E4C"/>
    <w:rsid w:val="0036461A"/>
    <w:rsid w:val="00373329"/>
    <w:rsid w:val="00376AE4"/>
    <w:rsid w:val="00390F19"/>
    <w:rsid w:val="003927E4"/>
    <w:rsid w:val="0039493B"/>
    <w:rsid w:val="003A00AB"/>
    <w:rsid w:val="003A210E"/>
    <w:rsid w:val="003A425D"/>
    <w:rsid w:val="003B4503"/>
    <w:rsid w:val="003D0B86"/>
    <w:rsid w:val="003D1F4F"/>
    <w:rsid w:val="003D324D"/>
    <w:rsid w:val="003E177D"/>
    <w:rsid w:val="003E2638"/>
    <w:rsid w:val="003E47B2"/>
    <w:rsid w:val="003E5DCA"/>
    <w:rsid w:val="003F6F8E"/>
    <w:rsid w:val="004026C2"/>
    <w:rsid w:val="00405B9A"/>
    <w:rsid w:val="00420D11"/>
    <w:rsid w:val="004219CF"/>
    <w:rsid w:val="00422B30"/>
    <w:rsid w:val="00423ED8"/>
    <w:rsid w:val="0043729B"/>
    <w:rsid w:val="00445861"/>
    <w:rsid w:val="00452434"/>
    <w:rsid w:val="00467438"/>
    <w:rsid w:val="00477098"/>
    <w:rsid w:val="004775AF"/>
    <w:rsid w:val="00487395"/>
    <w:rsid w:val="00487DCF"/>
    <w:rsid w:val="0049600F"/>
    <w:rsid w:val="004A1CFD"/>
    <w:rsid w:val="004B19EF"/>
    <w:rsid w:val="004B7E7E"/>
    <w:rsid w:val="004C1641"/>
    <w:rsid w:val="004C2B43"/>
    <w:rsid w:val="004C7222"/>
    <w:rsid w:val="004D08CD"/>
    <w:rsid w:val="004D2B95"/>
    <w:rsid w:val="004E0689"/>
    <w:rsid w:val="004E3256"/>
    <w:rsid w:val="004E6542"/>
    <w:rsid w:val="004F4CFC"/>
    <w:rsid w:val="0050450E"/>
    <w:rsid w:val="00504A80"/>
    <w:rsid w:val="00524890"/>
    <w:rsid w:val="005274A5"/>
    <w:rsid w:val="00552C30"/>
    <w:rsid w:val="00555F86"/>
    <w:rsid w:val="0056313B"/>
    <w:rsid w:val="00571B77"/>
    <w:rsid w:val="00591652"/>
    <w:rsid w:val="005C06E2"/>
    <w:rsid w:val="005D6937"/>
    <w:rsid w:val="005E0277"/>
    <w:rsid w:val="005E0CA2"/>
    <w:rsid w:val="005E3A44"/>
    <w:rsid w:val="005E628E"/>
    <w:rsid w:val="00613D6D"/>
    <w:rsid w:val="00620BC7"/>
    <w:rsid w:val="006367EE"/>
    <w:rsid w:val="00642880"/>
    <w:rsid w:val="00647351"/>
    <w:rsid w:val="00650E91"/>
    <w:rsid w:val="00664F2D"/>
    <w:rsid w:val="00666B0F"/>
    <w:rsid w:val="00674C51"/>
    <w:rsid w:val="0068203B"/>
    <w:rsid w:val="00684D62"/>
    <w:rsid w:val="00686D0D"/>
    <w:rsid w:val="006A54A5"/>
    <w:rsid w:val="006B25D4"/>
    <w:rsid w:val="006C3F30"/>
    <w:rsid w:val="006D2468"/>
    <w:rsid w:val="006E1BBF"/>
    <w:rsid w:val="00712A41"/>
    <w:rsid w:val="00717E1C"/>
    <w:rsid w:val="007261F8"/>
    <w:rsid w:val="00737FFD"/>
    <w:rsid w:val="00742C24"/>
    <w:rsid w:val="00744BC9"/>
    <w:rsid w:val="00747B53"/>
    <w:rsid w:val="00755CE8"/>
    <w:rsid w:val="0076180B"/>
    <w:rsid w:val="007722E4"/>
    <w:rsid w:val="00777FEF"/>
    <w:rsid w:val="00787B16"/>
    <w:rsid w:val="007904AD"/>
    <w:rsid w:val="007A429C"/>
    <w:rsid w:val="007C325C"/>
    <w:rsid w:val="007C42D6"/>
    <w:rsid w:val="007C584F"/>
    <w:rsid w:val="007E294A"/>
    <w:rsid w:val="00805666"/>
    <w:rsid w:val="00811F9A"/>
    <w:rsid w:val="00815B27"/>
    <w:rsid w:val="008163FB"/>
    <w:rsid w:val="00820440"/>
    <w:rsid w:val="00820FA0"/>
    <w:rsid w:val="008330AA"/>
    <w:rsid w:val="00836AF5"/>
    <w:rsid w:val="00844DDD"/>
    <w:rsid w:val="00845E6D"/>
    <w:rsid w:val="00850BA1"/>
    <w:rsid w:val="008577DB"/>
    <w:rsid w:val="008662B4"/>
    <w:rsid w:val="008720F4"/>
    <w:rsid w:val="00884CD3"/>
    <w:rsid w:val="008A18FD"/>
    <w:rsid w:val="008B662A"/>
    <w:rsid w:val="008C4312"/>
    <w:rsid w:val="008E4D10"/>
    <w:rsid w:val="00901385"/>
    <w:rsid w:val="009125CF"/>
    <w:rsid w:val="00912768"/>
    <w:rsid w:val="00914E49"/>
    <w:rsid w:val="00944030"/>
    <w:rsid w:val="00953168"/>
    <w:rsid w:val="0097160E"/>
    <w:rsid w:val="00976410"/>
    <w:rsid w:val="00976F2F"/>
    <w:rsid w:val="00986D2B"/>
    <w:rsid w:val="00987275"/>
    <w:rsid w:val="009917A4"/>
    <w:rsid w:val="009D324F"/>
    <w:rsid w:val="009D6BB0"/>
    <w:rsid w:val="009E500D"/>
    <w:rsid w:val="009E6997"/>
    <w:rsid w:val="00A014D4"/>
    <w:rsid w:val="00A20C45"/>
    <w:rsid w:val="00A3467F"/>
    <w:rsid w:val="00A47431"/>
    <w:rsid w:val="00A72FEA"/>
    <w:rsid w:val="00A73C99"/>
    <w:rsid w:val="00A7609C"/>
    <w:rsid w:val="00A7759A"/>
    <w:rsid w:val="00A84DED"/>
    <w:rsid w:val="00A9042A"/>
    <w:rsid w:val="00A9225C"/>
    <w:rsid w:val="00AC26D4"/>
    <w:rsid w:val="00AC27E8"/>
    <w:rsid w:val="00AE1FF2"/>
    <w:rsid w:val="00AF3314"/>
    <w:rsid w:val="00AF6F22"/>
    <w:rsid w:val="00B04B5E"/>
    <w:rsid w:val="00B0751B"/>
    <w:rsid w:val="00B11B37"/>
    <w:rsid w:val="00B23D31"/>
    <w:rsid w:val="00B2469D"/>
    <w:rsid w:val="00B26300"/>
    <w:rsid w:val="00B27095"/>
    <w:rsid w:val="00B30C65"/>
    <w:rsid w:val="00B417F2"/>
    <w:rsid w:val="00B41983"/>
    <w:rsid w:val="00B44780"/>
    <w:rsid w:val="00B62E35"/>
    <w:rsid w:val="00B671D7"/>
    <w:rsid w:val="00B73614"/>
    <w:rsid w:val="00B823D8"/>
    <w:rsid w:val="00B82B5C"/>
    <w:rsid w:val="00B9056E"/>
    <w:rsid w:val="00BA2C90"/>
    <w:rsid w:val="00BA56FD"/>
    <w:rsid w:val="00BA5745"/>
    <w:rsid w:val="00BA6326"/>
    <w:rsid w:val="00BC4295"/>
    <w:rsid w:val="00BC654F"/>
    <w:rsid w:val="00BD7848"/>
    <w:rsid w:val="00BF27EA"/>
    <w:rsid w:val="00BF7A72"/>
    <w:rsid w:val="00C06298"/>
    <w:rsid w:val="00C115B6"/>
    <w:rsid w:val="00C11C00"/>
    <w:rsid w:val="00C24438"/>
    <w:rsid w:val="00C36704"/>
    <w:rsid w:val="00C4066A"/>
    <w:rsid w:val="00C415E6"/>
    <w:rsid w:val="00C45916"/>
    <w:rsid w:val="00C64780"/>
    <w:rsid w:val="00C735AD"/>
    <w:rsid w:val="00C82908"/>
    <w:rsid w:val="00C95092"/>
    <w:rsid w:val="00CA2CA5"/>
    <w:rsid w:val="00CC0594"/>
    <w:rsid w:val="00CC3AC4"/>
    <w:rsid w:val="00CC4280"/>
    <w:rsid w:val="00CC6976"/>
    <w:rsid w:val="00CC74D3"/>
    <w:rsid w:val="00CD2850"/>
    <w:rsid w:val="00CD3CB2"/>
    <w:rsid w:val="00CF3302"/>
    <w:rsid w:val="00D054F2"/>
    <w:rsid w:val="00D100B7"/>
    <w:rsid w:val="00D14495"/>
    <w:rsid w:val="00D14CB8"/>
    <w:rsid w:val="00D222E4"/>
    <w:rsid w:val="00D22E5F"/>
    <w:rsid w:val="00D231E6"/>
    <w:rsid w:val="00D25B4D"/>
    <w:rsid w:val="00D30B92"/>
    <w:rsid w:val="00D30FE5"/>
    <w:rsid w:val="00D31435"/>
    <w:rsid w:val="00D341FF"/>
    <w:rsid w:val="00D42036"/>
    <w:rsid w:val="00D45E24"/>
    <w:rsid w:val="00D51EF0"/>
    <w:rsid w:val="00D53982"/>
    <w:rsid w:val="00D60931"/>
    <w:rsid w:val="00D617E4"/>
    <w:rsid w:val="00D65170"/>
    <w:rsid w:val="00D65FF7"/>
    <w:rsid w:val="00D728E4"/>
    <w:rsid w:val="00D72C86"/>
    <w:rsid w:val="00D76D7D"/>
    <w:rsid w:val="00D84021"/>
    <w:rsid w:val="00DA16C9"/>
    <w:rsid w:val="00DB1A51"/>
    <w:rsid w:val="00DB4C0A"/>
    <w:rsid w:val="00DC76FC"/>
    <w:rsid w:val="00DC7FF0"/>
    <w:rsid w:val="00DD2C05"/>
    <w:rsid w:val="00DE19AC"/>
    <w:rsid w:val="00DE392D"/>
    <w:rsid w:val="00DE7DD8"/>
    <w:rsid w:val="00E179D7"/>
    <w:rsid w:val="00E20694"/>
    <w:rsid w:val="00E23C8E"/>
    <w:rsid w:val="00E42FEB"/>
    <w:rsid w:val="00E52187"/>
    <w:rsid w:val="00E57464"/>
    <w:rsid w:val="00E6755B"/>
    <w:rsid w:val="00E676BC"/>
    <w:rsid w:val="00E717F5"/>
    <w:rsid w:val="00E820A2"/>
    <w:rsid w:val="00E835FC"/>
    <w:rsid w:val="00E91DDB"/>
    <w:rsid w:val="00EA3848"/>
    <w:rsid w:val="00EA4964"/>
    <w:rsid w:val="00EB06A2"/>
    <w:rsid w:val="00EB1FD9"/>
    <w:rsid w:val="00EB427A"/>
    <w:rsid w:val="00EB4A44"/>
    <w:rsid w:val="00EC0A08"/>
    <w:rsid w:val="00ED3C21"/>
    <w:rsid w:val="00ED7850"/>
    <w:rsid w:val="00EE7AEA"/>
    <w:rsid w:val="00EF5E33"/>
    <w:rsid w:val="00EF7510"/>
    <w:rsid w:val="00F10355"/>
    <w:rsid w:val="00F21D97"/>
    <w:rsid w:val="00F27172"/>
    <w:rsid w:val="00F322FF"/>
    <w:rsid w:val="00F32886"/>
    <w:rsid w:val="00F34708"/>
    <w:rsid w:val="00F402FF"/>
    <w:rsid w:val="00F66129"/>
    <w:rsid w:val="00F71BAB"/>
    <w:rsid w:val="00F75AC9"/>
    <w:rsid w:val="00F916B0"/>
    <w:rsid w:val="00F92978"/>
    <w:rsid w:val="00F9432B"/>
    <w:rsid w:val="00FA0E4C"/>
    <w:rsid w:val="00FA58FD"/>
    <w:rsid w:val="00FB2AFE"/>
    <w:rsid w:val="00FD3B3E"/>
    <w:rsid w:val="00FE1528"/>
    <w:rsid w:val="00FE22CD"/>
    <w:rsid w:val="00FF68D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A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3F1"/>
    <w:rPr>
      <w:rFonts w:ascii="Verdana" w:hAnsi="Verdana"/>
      <w:sz w:val="22"/>
    </w:rPr>
  </w:style>
  <w:style w:type="paragraph" w:styleId="Nadpis1">
    <w:name w:val="heading 1"/>
    <w:basedOn w:val="Normln"/>
    <w:next w:val="Normln"/>
    <w:qFormat/>
    <w:rsid w:val="00B04B5E"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1B23F1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1B23F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0E7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basedOn w:val="Normln"/>
    <w:autoRedefine/>
    <w:rsid w:val="00B04B5E"/>
    <w:pPr>
      <w:numPr>
        <w:numId w:val="9"/>
      </w:numPr>
      <w:spacing w:before="120" w:after="120"/>
    </w:pPr>
  </w:style>
  <w:style w:type="paragraph" w:customStyle="1" w:styleId="Level2">
    <w:name w:val="Level 2"/>
    <w:basedOn w:val="Normln"/>
    <w:next w:val="Normln"/>
    <w:autoRedefine/>
    <w:rsid w:val="00B04B5E"/>
    <w:pPr>
      <w:numPr>
        <w:numId w:val="10"/>
      </w:numPr>
      <w:spacing w:before="120" w:after="120"/>
    </w:pPr>
  </w:style>
  <w:style w:type="paragraph" w:customStyle="1" w:styleId="Level2indent">
    <w:name w:val="Level 2 indent"/>
    <w:basedOn w:val="Normln"/>
    <w:autoRedefine/>
    <w:rsid w:val="00B04B5E"/>
    <w:pPr>
      <w:numPr>
        <w:numId w:val="11"/>
      </w:numPr>
      <w:tabs>
        <w:tab w:val="left" w:pos="1276"/>
      </w:tabs>
      <w:spacing w:after="120"/>
    </w:pPr>
    <w:rPr>
      <w:snapToGrid w:val="0"/>
      <w:color w:val="000000"/>
      <w:lang w:val="en-AU" w:eastAsia="en-US"/>
    </w:rPr>
  </w:style>
  <w:style w:type="paragraph" w:customStyle="1" w:styleId="Level2nopoint">
    <w:name w:val="Level 2 no point"/>
    <w:basedOn w:val="Level2"/>
    <w:autoRedefine/>
    <w:rsid w:val="00B04B5E"/>
    <w:pPr>
      <w:numPr>
        <w:numId w:val="12"/>
      </w:numPr>
    </w:pPr>
    <w:rPr>
      <w:snapToGrid w:val="0"/>
    </w:rPr>
  </w:style>
  <w:style w:type="paragraph" w:customStyle="1" w:styleId="Level2text">
    <w:name w:val="Level 2 text"/>
    <w:basedOn w:val="Normln"/>
    <w:autoRedefine/>
    <w:rsid w:val="00B04B5E"/>
    <w:pPr>
      <w:tabs>
        <w:tab w:val="left" w:pos="851"/>
      </w:tabs>
      <w:spacing w:after="120"/>
      <w:ind w:left="851"/>
    </w:pPr>
  </w:style>
  <w:style w:type="paragraph" w:customStyle="1" w:styleId="Divider">
    <w:name w:val="Divider"/>
    <w:basedOn w:val="Normln"/>
    <w:rsid w:val="001B23F1"/>
    <w:pPr>
      <w:keepNext/>
      <w:keepLines/>
      <w:pBdr>
        <w:top w:val="dashed" w:sz="4" w:space="1" w:color="auto"/>
      </w:pBdr>
      <w:tabs>
        <w:tab w:val="left" w:pos="1984"/>
        <w:tab w:val="left" w:pos="3118"/>
        <w:tab w:val="left" w:pos="4252"/>
      </w:tabs>
    </w:pPr>
    <w:rPr>
      <w:color w:val="000000"/>
      <w:sz w:val="16"/>
    </w:rPr>
  </w:style>
  <w:style w:type="numbering" w:customStyle="1" w:styleId="Style1">
    <w:name w:val="Style1"/>
    <w:rsid w:val="00A84DED"/>
    <w:pPr>
      <w:numPr>
        <w:numId w:val="13"/>
      </w:numPr>
    </w:pPr>
  </w:style>
  <w:style w:type="paragraph" w:customStyle="1" w:styleId="Buletskostikou">
    <w:name w:val="Bulet s kostičkou"/>
    <w:basedOn w:val="Normln"/>
    <w:autoRedefine/>
    <w:rsid w:val="00B9056E"/>
    <w:pPr>
      <w:numPr>
        <w:numId w:val="17"/>
      </w:numPr>
      <w:tabs>
        <w:tab w:val="left" w:pos="1134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</w:style>
  <w:style w:type="paragraph" w:styleId="Textbubliny">
    <w:name w:val="Balloon Text"/>
    <w:basedOn w:val="Normln"/>
    <w:rsid w:val="00DB1A5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DB1A51"/>
    <w:rPr>
      <w:b/>
      <w:bCs/>
      <w:sz w:val="20"/>
    </w:rPr>
  </w:style>
  <w:style w:type="character" w:styleId="Odkaznakoment">
    <w:name w:val="annotation reference"/>
    <w:basedOn w:val="Standardnpsmoodstavce"/>
    <w:rsid w:val="00DB1A51"/>
    <w:rPr>
      <w:sz w:val="16"/>
      <w:szCs w:val="16"/>
    </w:rPr>
  </w:style>
  <w:style w:type="paragraph" w:styleId="Textkomente">
    <w:name w:val="annotation text"/>
    <w:basedOn w:val="Normln"/>
    <w:rsid w:val="00DB1A51"/>
    <w:rPr>
      <w:sz w:val="20"/>
    </w:rPr>
  </w:style>
  <w:style w:type="paragraph" w:styleId="Pedmtkomente">
    <w:name w:val="annotation subject"/>
    <w:basedOn w:val="Textkomente"/>
    <w:next w:val="Textkomente"/>
    <w:rsid w:val="00DB1A51"/>
    <w:rPr>
      <w:b/>
      <w:bCs/>
    </w:rPr>
  </w:style>
  <w:style w:type="paragraph" w:styleId="Rozloendokumentu">
    <w:name w:val="Document Map"/>
    <w:basedOn w:val="Normln"/>
    <w:rsid w:val="00DB1A51"/>
    <w:pPr>
      <w:shd w:val="clear" w:color="auto" w:fill="000080"/>
    </w:pPr>
    <w:rPr>
      <w:rFonts w:ascii="Tahoma" w:hAnsi="Tahoma" w:cs="Tahoma"/>
      <w:sz w:val="20"/>
    </w:rPr>
  </w:style>
  <w:style w:type="character" w:styleId="Odkaznavysvtlivky">
    <w:name w:val="endnote reference"/>
    <w:basedOn w:val="Standardnpsmoodstavce"/>
    <w:rsid w:val="00DB1A51"/>
    <w:rPr>
      <w:vertAlign w:val="superscript"/>
    </w:rPr>
  </w:style>
  <w:style w:type="paragraph" w:styleId="Textvysvtlivek">
    <w:name w:val="endnote text"/>
    <w:basedOn w:val="Normln"/>
    <w:rsid w:val="00DB1A51"/>
    <w:rPr>
      <w:sz w:val="20"/>
    </w:rPr>
  </w:style>
  <w:style w:type="character" w:styleId="Znakapoznpodarou">
    <w:name w:val="footnote reference"/>
    <w:basedOn w:val="Standardnpsmoodstavce"/>
    <w:rsid w:val="00DB1A51"/>
    <w:rPr>
      <w:vertAlign w:val="superscript"/>
    </w:rPr>
  </w:style>
  <w:style w:type="paragraph" w:styleId="Textpoznpodarou">
    <w:name w:val="footnote text"/>
    <w:basedOn w:val="Normln"/>
    <w:rsid w:val="00DB1A51"/>
    <w:rPr>
      <w:sz w:val="20"/>
    </w:rPr>
  </w:style>
  <w:style w:type="paragraph" w:styleId="Rejstk1">
    <w:name w:val="index 1"/>
    <w:basedOn w:val="Normln"/>
    <w:next w:val="Normln"/>
    <w:autoRedefine/>
    <w:rsid w:val="00DB1A51"/>
    <w:pPr>
      <w:ind w:left="220" w:hanging="220"/>
    </w:pPr>
  </w:style>
  <w:style w:type="paragraph" w:styleId="Rejstk2">
    <w:name w:val="index 2"/>
    <w:basedOn w:val="Normln"/>
    <w:next w:val="Normln"/>
    <w:autoRedefine/>
    <w:rsid w:val="00DB1A51"/>
    <w:pPr>
      <w:ind w:left="440" w:hanging="220"/>
    </w:pPr>
  </w:style>
  <w:style w:type="paragraph" w:styleId="Rejstk3">
    <w:name w:val="index 3"/>
    <w:basedOn w:val="Normln"/>
    <w:next w:val="Normln"/>
    <w:autoRedefine/>
    <w:rsid w:val="00DB1A51"/>
    <w:pPr>
      <w:ind w:left="660" w:hanging="220"/>
    </w:pPr>
  </w:style>
  <w:style w:type="paragraph" w:styleId="Rejstk4">
    <w:name w:val="index 4"/>
    <w:basedOn w:val="Normln"/>
    <w:next w:val="Normln"/>
    <w:autoRedefine/>
    <w:rsid w:val="00DB1A51"/>
    <w:pPr>
      <w:ind w:left="880" w:hanging="220"/>
    </w:pPr>
  </w:style>
  <w:style w:type="paragraph" w:styleId="Rejstk5">
    <w:name w:val="index 5"/>
    <w:basedOn w:val="Normln"/>
    <w:next w:val="Normln"/>
    <w:autoRedefine/>
    <w:rsid w:val="00DB1A51"/>
    <w:pPr>
      <w:ind w:left="1100" w:hanging="220"/>
    </w:pPr>
  </w:style>
  <w:style w:type="paragraph" w:styleId="Rejstk6">
    <w:name w:val="index 6"/>
    <w:basedOn w:val="Normln"/>
    <w:next w:val="Normln"/>
    <w:autoRedefine/>
    <w:rsid w:val="00DB1A51"/>
    <w:pPr>
      <w:ind w:left="1320" w:hanging="220"/>
    </w:pPr>
  </w:style>
  <w:style w:type="paragraph" w:styleId="Rejstk7">
    <w:name w:val="index 7"/>
    <w:basedOn w:val="Normln"/>
    <w:next w:val="Normln"/>
    <w:autoRedefine/>
    <w:rsid w:val="00DB1A51"/>
    <w:pPr>
      <w:ind w:left="1540" w:hanging="220"/>
    </w:pPr>
  </w:style>
  <w:style w:type="paragraph" w:styleId="Rejstk8">
    <w:name w:val="index 8"/>
    <w:basedOn w:val="Normln"/>
    <w:next w:val="Normln"/>
    <w:autoRedefine/>
    <w:rsid w:val="00DB1A51"/>
    <w:pPr>
      <w:ind w:left="1760" w:hanging="220"/>
    </w:pPr>
  </w:style>
  <w:style w:type="paragraph" w:styleId="Rejstk9">
    <w:name w:val="index 9"/>
    <w:basedOn w:val="Normln"/>
    <w:next w:val="Normln"/>
    <w:autoRedefine/>
    <w:rsid w:val="00DB1A51"/>
    <w:pPr>
      <w:ind w:left="1980" w:hanging="220"/>
    </w:pPr>
  </w:style>
  <w:style w:type="paragraph" w:styleId="Hlavikarejstku">
    <w:name w:val="index heading"/>
    <w:basedOn w:val="Normln"/>
    <w:next w:val="Rejstk1"/>
    <w:rsid w:val="00DB1A51"/>
    <w:rPr>
      <w:rFonts w:ascii="Arial" w:hAnsi="Arial" w:cs="Arial"/>
      <w:b/>
      <w:bCs/>
    </w:rPr>
  </w:style>
  <w:style w:type="paragraph" w:styleId="Textmakra">
    <w:name w:val="macro"/>
    <w:rsid w:val="00DB1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Seznamcitac">
    <w:name w:val="table of authorities"/>
    <w:basedOn w:val="Normln"/>
    <w:next w:val="Normln"/>
    <w:rsid w:val="00DB1A51"/>
    <w:pPr>
      <w:ind w:left="220" w:hanging="220"/>
    </w:pPr>
  </w:style>
  <w:style w:type="paragraph" w:styleId="Seznamobrzk">
    <w:name w:val="table of figures"/>
    <w:basedOn w:val="Normln"/>
    <w:next w:val="Normln"/>
    <w:rsid w:val="00DB1A51"/>
  </w:style>
  <w:style w:type="paragraph" w:styleId="Hlavikaobsahu">
    <w:name w:val="toa heading"/>
    <w:basedOn w:val="Normln"/>
    <w:next w:val="Normln"/>
    <w:rsid w:val="00DB1A5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Obsah1">
    <w:name w:val="toc 1"/>
    <w:basedOn w:val="Normln"/>
    <w:next w:val="Normln"/>
    <w:autoRedefine/>
    <w:rsid w:val="00DB1A51"/>
  </w:style>
  <w:style w:type="paragraph" w:styleId="Obsah2">
    <w:name w:val="toc 2"/>
    <w:basedOn w:val="Normln"/>
    <w:next w:val="Normln"/>
    <w:autoRedefine/>
    <w:rsid w:val="00DB1A51"/>
    <w:pPr>
      <w:ind w:left="220"/>
    </w:pPr>
  </w:style>
  <w:style w:type="paragraph" w:styleId="Obsah3">
    <w:name w:val="toc 3"/>
    <w:basedOn w:val="Normln"/>
    <w:next w:val="Normln"/>
    <w:autoRedefine/>
    <w:rsid w:val="00DB1A51"/>
    <w:pPr>
      <w:ind w:left="440"/>
    </w:pPr>
  </w:style>
  <w:style w:type="paragraph" w:styleId="Obsah4">
    <w:name w:val="toc 4"/>
    <w:basedOn w:val="Normln"/>
    <w:next w:val="Normln"/>
    <w:autoRedefine/>
    <w:rsid w:val="00DB1A51"/>
    <w:pPr>
      <w:ind w:left="660"/>
    </w:pPr>
  </w:style>
  <w:style w:type="paragraph" w:styleId="Obsah5">
    <w:name w:val="toc 5"/>
    <w:basedOn w:val="Normln"/>
    <w:next w:val="Normln"/>
    <w:autoRedefine/>
    <w:rsid w:val="00DB1A51"/>
    <w:pPr>
      <w:ind w:left="880"/>
    </w:pPr>
  </w:style>
  <w:style w:type="paragraph" w:styleId="Obsah6">
    <w:name w:val="toc 6"/>
    <w:basedOn w:val="Normln"/>
    <w:next w:val="Normln"/>
    <w:autoRedefine/>
    <w:rsid w:val="00DB1A51"/>
    <w:pPr>
      <w:ind w:left="1100"/>
    </w:pPr>
  </w:style>
  <w:style w:type="paragraph" w:styleId="Obsah7">
    <w:name w:val="toc 7"/>
    <w:basedOn w:val="Normln"/>
    <w:next w:val="Normln"/>
    <w:autoRedefine/>
    <w:rsid w:val="00DB1A51"/>
    <w:pPr>
      <w:ind w:left="1320"/>
    </w:pPr>
  </w:style>
  <w:style w:type="paragraph" w:styleId="Obsah8">
    <w:name w:val="toc 8"/>
    <w:basedOn w:val="Normln"/>
    <w:next w:val="Normln"/>
    <w:autoRedefine/>
    <w:rsid w:val="00DB1A51"/>
    <w:pPr>
      <w:ind w:left="1540"/>
    </w:pPr>
  </w:style>
  <w:style w:type="paragraph" w:styleId="Obsah9">
    <w:name w:val="toc 9"/>
    <w:basedOn w:val="Normln"/>
    <w:next w:val="Normln"/>
    <w:autoRedefine/>
    <w:rsid w:val="00DB1A51"/>
    <w:pPr>
      <w:ind w:left="1760"/>
    </w:pPr>
  </w:style>
  <w:style w:type="character" w:customStyle="1" w:styleId="Nadpis4Char">
    <w:name w:val="Nadpis 4 Char"/>
    <w:basedOn w:val="Standardnpsmoodstavce"/>
    <w:link w:val="Nadpis4"/>
    <w:uiPriority w:val="99"/>
    <w:rsid w:val="000E75D7"/>
    <w:rPr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E75D7"/>
    <w:rPr>
      <w:color w:val="0563C1"/>
      <w:u w:val="single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Standardnpsmoodstavce"/>
    <w:link w:val="ListParagraph1"/>
    <w:uiPriority w:val="34"/>
    <w:rsid w:val="000E75D7"/>
  </w:style>
  <w:style w:type="paragraph" w:customStyle="1" w:styleId="ListParagraph1">
    <w:name w:val="List Paragraph1"/>
    <w:aliases w:val="Bullet List,FooterText,numbered,Paragraphe de liste1,Bulletr List Paragraph,列出段落,列出段落1,List Paragraph2,List Paragraph21,Listeafsnit1,Parágrafo da Lista1,Párrafo de lista1,リスト段落1,Bullet list,List Paragraph11,פיסקת רשימה"/>
    <w:basedOn w:val="Normln"/>
    <w:link w:val="ListParagraphChar"/>
    <w:uiPriority w:val="34"/>
    <w:rsid w:val="000E75D7"/>
    <w:pPr>
      <w:ind w:left="720"/>
      <w:contextualSpacing/>
    </w:pPr>
    <w:rPr>
      <w:rFonts w:ascii="Times New Roman" w:hAnsi="Times New Roman"/>
      <w:sz w:val="20"/>
    </w:rPr>
  </w:style>
  <w:style w:type="paragraph" w:customStyle="1" w:styleId="Body">
    <w:name w:val="Body"/>
    <w:basedOn w:val="Normln"/>
    <w:rsid w:val="000E75D7"/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0450E"/>
    <w:pPr>
      <w:spacing w:after="1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450E"/>
    <w:rPr>
      <w:sz w:val="24"/>
      <w:szCs w:val="24"/>
      <w:lang w:val="en-US" w:eastAsia="en-US"/>
    </w:rPr>
  </w:style>
  <w:style w:type="character" w:customStyle="1" w:styleId="Internetovodkaz">
    <w:name w:val="Internetový odkaz"/>
    <w:basedOn w:val="Standardnpsmoodstavce"/>
    <w:uiPriority w:val="99"/>
    <w:rsid w:val="0050450E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3F1"/>
    <w:rPr>
      <w:rFonts w:ascii="Verdana" w:hAnsi="Verdana"/>
      <w:sz w:val="22"/>
    </w:rPr>
  </w:style>
  <w:style w:type="paragraph" w:styleId="Nadpis1">
    <w:name w:val="heading 1"/>
    <w:basedOn w:val="Normln"/>
    <w:next w:val="Normln"/>
    <w:qFormat/>
    <w:rsid w:val="00B04B5E"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1B23F1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1B23F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0E7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basedOn w:val="Normln"/>
    <w:autoRedefine/>
    <w:rsid w:val="00B04B5E"/>
    <w:pPr>
      <w:numPr>
        <w:numId w:val="9"/>
      </w:numPr>
      <w:spacing w:before="120" w:after="120"/>
    </w:pPr>
  </w:style>
  <w:style w:type="paragraph" w:customStyle="1" w:styleId="Level2">
    <w:name w:val="Level 2"/>
    <w:basedOn w:val="Normln"/>
    <w:next w:val="Normln"/>
    <w:autoRedefine/>
    <w:rsid w:val="00B04B5E"/>
    <w:pPr>
      <w:numPr>
        <w:numId w:val="10"/>
      </w:numPr>
      <w:spacing w:before="120" w:after="120"/>
    </w:pPr>
  </w:style>
  <w:style w:type="paragraph" w:customStyle="1" w:styleId="Level2indent">
    <w:name w:val="Level 2 indent"/>
    <w:basedOn w:val="Normln"/>
    <w:autoRedefine/>
    <w:rsid w:val="00B04B5E"/>
    <w:pPr>
      <w:numPr>
        <w:numId w:val="11"/>
      </w:numPr>
      <w:tabs>
        <w:tab w:val="left" w:pos="1276"/>
      </w:tabs>
      <w:spacing w:after="120"/>
    </w:pPr>
    <w:rPr>
      <w:snapToGrid w:val="0"/>
      <w:color w:val="000000"/>
      <w:lang w:val="en-AU" w:eastAsia="en-US"/>
    </w:rPr>
  </w:style>
  <w:style w:type="paragraph" w:customStyle="1" w:styleId="Level2nopoint">
    <w:name w:val="Level 2 no point"/>
    <w:basedOn w:val="Level2"/>
    <w:autoRedefine/>
    <w:rsid w:val="00B04B5E"/>
    <w:pPr>
      <w:numPr>
        <w:numId w:val="12"/>
      </w:numPr>
    </w:pPr>
    <w:rPr>
      <w:snapToGrid w:val="0"/>
    </w:rPr>
  </w:style>
  <w:style w:type="paragraph" w:customStyle="1" w:styleId="Level2text">
    <w:name w:val="Level 2 text"/>
    <w:basedOn w:val="Normln"/>
    <w:autoRedefine/>
    <w:rsid w:val="00B04B5E"/>
    <w:pPr>
      <w:tabs>
        <w:tab w:val="left" w:pos="851"/>
      </w:tabs>
      <w:spacing w:after="120"/>
      <w:ind w:left="851"/>
    </w:pPr>
  </w:style>
  <w:style w:type="paragraph" w:customStyle="1" w:styleId="Divider">
    <w:name w:val="Divider"/>
    <w:basedOn w:val="Normln"/>
    <w:rsid w:val="001B23F1"/>
    <w:pPr>
      <w:keepNext/>
      <w:keepLines/>
      <w:pBdr>
        <w:top w:val="dashed" w:sz="4" w:space="1" w:color="auto"/>
      </w:pBdr>
      <w:tabs>
        <w:tab w:val="left" w:pos="1984"/>
        <w:tab w:val="left" w:pos="3118"/>
        <w:tab w:val="left" w:pos="4252"/>
      </w:tabs>
    </w:pPr>
    <w:rPr>
      <w:color w:val="000000"/>
      <w:sz w:val="16"/>
    </w:rPr>
  </w:style>
  <w:style w:type="numbering" w:customStyle="1" w:styleId="Style1">
    <w:name w:val="Style1"/>
    <w:rsid w:val="00A84DED"/>
    <w:pPr>
      <w:numPr>
        <w:numId w:val="13"/>
      </w:numPr>
    </w:pPr>
  </w:style>
  <w:style w:type="paragraph" w:customStyle="1" w:styleId="Buletskostikou">
    <w:name w:val="Bulet s kostičkou"/>
    <w:basedOn w:val="Normln"/>
    <w:autoRedefine/>
    <w:rsid w:val="00B9056E"/>
    <w:pPr>
      <w:numPr>
        <w:numId w:val="17"/>
      </w:numPr>
      <w:tabs>
        <w:tab w:val="left" w:pos="1134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</w:style>
  <w:style w:type="paragraph" w:styleId="Textbubliny">
    <w:name w:val="Balloon Text"/>
    <w:basedOn w:val="Normln"/>
    <w:rsid w:val="00DB1A5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DB1A51"/>
    <w:rPr>
      <w:b/>
      <w:bCs/>
      <w:sz w:val="20"/>
    </w:rPr>
  </w:style>
  <w:style w:type="character" w:styleId="Odkaznakoment">
    <w:name w:val="annotation reference"/>
    <w:basedOn w:val="Standardnpsmoodstavce"/>
    <w:rsid w:val="00DB1A51"/>
    <w:rPr>
      <w:sz w:val="16"/>
      <w:szCs w:val="16"/>
    </w:rPr>
  </w:style>
  <w:style w:type="paragraph" w:styleId="Textkomente">
    <w:name w:val="annotation text"/>
    <w:basedOn w:val="Normln"/>
    <w:rsid w:val="00DB1A51"/>
    <w:rPr>
      <w:sz w:val="20"/>
    </w:rPr>
  </w:style>
  <w:style w:type="paragraph" w:styleId="Pedmtkomente">
    <w:name w:val="annotation subject"/>
    <w:basedOn w:val="Textkomente"/>
    <w:next w:val="Textkomente"/>
    <w:rsid w:val="00DB1A51"/>
    <w:rPr>
      <w:b/>
      <w:bCs/>
    </w:rPr>
  </w:style>
  <w:style w:type="paragraph" w:styleId="Rozloendokumentu">
    <w:name w:val="Document Map"/>
    <w:basedOn w:val="Normln"/>
    <w:rsid w:val="00DB1A51"/>
    <w:pPr>
      <w:shd w:val="clear" w:color="auto" w:fill="000080"/>
    </w:pPr>
    <w:rPr>
      <w:rFonts w:ascii="Tahoma" w:hAnsi="Tahoma" w:cs="Tahoma"/>
      <w:sz w:val="20"/>
    </w:rPr>
  </w:style>
  <w:style w:type="character" w:styleId="Odkaznavysvtlivky">
    <w:name w:val="endnote reference"/>
    <w:basedOn w:val="Standardnpsmoodstavce"/>
    <w:rsid w:val="00DB1A51"/>
    <w:rPr>
      <w:vertAlign w:val="superscript"/>
    </w:rPr>
  </w:style>
  <w:style w:type="paragraph" w:styleId="Textvysvtlivek">
    <w:name w:val="endnote text"/>
    <w:basedOn w:val="Normln"/>
    <w:rsid w:val="00DB1A51"/>
    <w:rPr>
      <w:sz w:val="20"/>
    </w:rPr>
  </w:style>
  <w:style w:type="character" w:styleId="Znakapoznpodarou">
    <w:name w:val="footnote reference"/>
    <w:basedOn w:val="Standardnpsmoodstavce"/>
    <w:rsid w:val="00DB1A51"/>
    <w:rPr>
      <w:vertAlign w:val="superscript"/>
    </w:rPr>
  </w:style>
  <w:style w:type="paragraph" w:styleId="Textpoznpodarou">
    <w:name w:val="footnote text"/>
    <w:basedOn w:val="Normln"/>
    <w:rsid w:val="00DB1A51"/>
    <w:rPr>
      <w:sz w:val="20"/>
    </w:rPr>
  </w:style>
  <w:style w:type="paragraph" w:styleId="Rejstk1">
    <w:name w:val="index 1"/>
    <w:basedOn w:val="Normln"/>
    <w:next w:val="Normln"/>
    <w:autoRedefine/>
    <w:rsid w:val="00DB1A51"/>
    <w:pPr>
      <w:ind w:left="220" w:hanging="220"/>
    </w:pPr>
  </w:style>
  <w:style w:type="paragraph" w:styleId="Rejstk2">
    <w:name w:val="index 2"/>
    <w:basedOn w:val="Normln"/>
    <w:next w:val="Normln"/>
    <w:autoRedefine/>
    <w:rsid w:val="00DB1A51"/>
    <w:pPr>
      <w:ind w:left="440" w:hanging="220"/>
    </w:pPr>
  </w:style>
  <w:style w:type="paragraph" w:styleId="Rejstk3">
    <w:name w:val="index 3"/>
    <w:basedOn w:val="Normln"/>
    <w:next w:val="Normln"/>
    <w:autoRedefine/>
    <w:rsid w:val="00DB1A51"/>
    <w:pPr>
      <w:ind w:left="660" w:hanging="220"/>
    </w:pPr>
  </w:style>
  <w:style w:type="paragraph" w:styleId="Rejstk4">
    <w:name w:val="index 4"/>
    <w:basedOn w:val="Normln"/>
    <w:next w:val="Normln"/>
    <w:autoRedefine/>
    <w:rsid w:val="00DB1A51"/>
    <w:pPr>
      <w:ind w:left="880" w:hanging="220"/>
    </w:pPr>
  </w:style>
  <w:style w:type="paragraph" w:styleId="Rejstk5">
    <w:name w:val="index 5"/>
    <w:basedOn w:val="Normln"/>
    <w:next w:val="Normln"/>
    <w:autoRedefine/>
    <w:rsid w:val="00DB1A51"/>
    <w:pPr>
      <w:ind w:left="1100" w:hanging="220"/>
    </w:pPr>
  </w:style>
  <w:style w:type="paragraph" w:styleId="Rejstk6">
    <w:name w:val="index 6"/>
    <w:basedOn w:val="Normln"/>
    <w:next w:val="Normln"/>
    <w:autoRedefine/>
    <w:rsid w:val="00DB1A51"/>
    <w:pPr>
      <w:ind w:left="1320" w:hanging="220"/>
    </w:pPr>
  </w:style>
  <w:style w:type="paragraph" w:styleId="Rejstk7">
    <w:name w:val="index 7"/>
    <w:basedOn w:val="Normln"/>
    <w:next w:val="Normln"/>
    <w:autoRedefine/>
    <w:rsid w:val="00DB1A51"/>
    <w:pPr>
      <w:ind w:left="1540" w:hanging="220"/>
    </w:pPr>
  </w:style>
  <w:style w:type="paragraph" w:styleId="Rejstk8">
    <w:name w:val="index 8"/>
    <w:basedOn w:val="Normln"/>
    <w:next w:val="Normln"/>
    <w:autoRedefine/>
    <w:rsid w:val="00DB1A51"/>
    <w:pPr>
      <w:ind w:left="1760" w:hanging="220"/>
    </w:pPr>
  </w:style>
  <w:style w:type="paragraph" w:styleId="Rejstk9">
    <w:name w:val="index 9"/>
    <w:basedOn w:val="Normln"/>
    <w:next w:val="Normln"/>
    <w:autoRedefine/>
    <w:rsid w:val="00DB1A51"/>
    <w:pPr>
      <w:ind w:left="1980" w:hanging="220"/>
    </w:pPr>
  </w:style>
  <w:style w:type="paragraph" w:styleId="Hlavikarejstku">
    <w:name w:val="index heading"/>
    <w:basedOn w:val="Normln"/>
    <w:next w:val="Rejstk1"/>
    <w:rsid w:val="00DB1A51"/>
    <w:rPr>
      <w:rFonts w:ascii="Arial" w:hAnsi="Arial" w:cs="Arial"/>
      <w:b/>
      <w:bCs/>
    </w:rPr>
  </w:style>
  <w:style w:type="paragraph" w:styleId="Textmakra">
    <w:name w:val="macro"/>
    <w:rsid w:val="00DB1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Seznamcitac">
    <w:name w:val="table of authorities"/>
    <w:basedOn w:val="Normln"/>
    <w:next w:val="Normln"/>
    <w:rsid w:val="00DB1A51"/>
    <w:pPr>
      <w:ind w:left="220" w:hanging="220"/>
    </w:pPr>
  </w:style>
  <w:style w:type="paragraph" w:styleId="Seznamobrzk">
    <w:name w:val="table of figures"/>
    <w:basedOn w:val="Normln"/>
    <w:next w:val="Normln"/>
    <w:rsid w:val="00DB1A51"/>
  </w:style>
  <w:style w:type="paragraph" w:styleId="Hlavikaobsahu">
    <w:name w:val="toa heading"/>
    <w:basedOn w:val="Normln"/>
    <w:next w:val="Normln"/>
    <w:rsid w:val="00DB1A5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Obsah1">
    <w:name w:val="toc 1"/>
    <w:basedOn w:val="Normln"/>
    <w:next w:val="Normln"/>
    <w:autoRedefine/>
    <w:rsid w:val="00DB1A51"/>
  </w:style>
  <w:style w:type="paragraph" w:styleId="Obsah2">
    <w:name w:val="toc 2"/>
    <w:basedOn w:val="Normln"/>
    <w:next w:val="Normln"/>
    <w:autoRedefine/>
    <w:rsid w:val="00DB1A51"/>
    <w:pPr>
      <w:ind w:left="220"/>
    </w:pPr>
  </w:style>
  <w:style w:type="paragraph" w:styleId="Obsah3">
    <w:name w:val="toc 3"/>
    <w:basedOn w:val="Normln"/>
    <w:next w:val="Normln"/>
    <w:autoRedefine/>
    <w:rsid w:val="00DB1A51"/>
    <w:pPr>
      <w:ind w:left="440"/>
    </w:pPr>
  </w:style>
  <w:style w:type="paragraph" w:styleId="Obsah4">
    <w:name w:val="toc 4"/>
    <w:basedOn w:val="Normln"/>
    <w:next w:val="Normln"/>
    <w:autoRedefine/>
    <w:rsid w:val="00DB1A51"/>
    <w:pPr>
      <w:ind w:left="660"/>
    </w:pPr>
  </w:style>
  <w:style w:type="paragraph" w:styleId="Obsah5">
    <w:name w:val="toc 5"/>
    <w:basedOn w:val="Normln"/>
    <w:next w:val="Normln"/>
    <w:autoRedefine/>
    <w:rsid w:val="00DB1A51"/>
    <w:pPr>
      <w:ind w:left="880"/>
    </w:pPr>
  </w:style>
  <w:style w:type="paragraph" w:styleId="Obsah6">
    <w:name w:val="toc 6"/>
    <w:basedOn w:val="Normln"/>
    <w:next w:val="Normln"/>
    <w:autoRedefine/>
    <w:rsid w:val="00DB1A51"/>
    <w:pPr>
      <w:ind w:left="1100"/>
    </w:pPr>
  </w:style>
  <w:style w:type="paragraph" w:styleId="Obsah7">
    <w:name w:val="toc 7"/>
    <w:basedOn w:val="Normln"/>
    <w:next w:val="Normln"/>
    <w:autoRedefine/>
    <w:rsid w:val="00DB1A51"/>
    <w:pPr>
      <w:ind w:left="1320"/>
    </w:pPr>
  </w:style>
  <w:style w:type="paragraph" w:styleId="Obsah8">
    <w:name w:val="toc 8"/>
    <w:basedOn w:val="Normln"/>
    <w:next w:val="Normln"/>
    <w:autoRedefine/>
    <w:rsid w:val="00DB1A51"/>
    <w:pPr>
      <w:ind w:left="1540"/>
    </w:pPr>
  </w:style>
  <w:style w:type="paragraph" w:styleId="Obsah9">
    <w:name w:val="toc 9"/>
    <w:basedOn w:val="Normln"/>
    <w:next w:val="Normln"/>
    <w:autoRedefine/>
    <w:rsid w:val="00DB1A51"/>
    <w:pPr>
      <w:ind w:left="1760"/>
    </w:pPr>
  </w:style>
  <w:style w:type="character" w:customStyle="1" w:styleId="Nadpis4Char">
    <w:name w:val="Nadpis 4 Char"/>
    <w:basedOn w:val="Standardnpsmoodstavce"/>
    <w:link w:val="Nadpis4"/>
    <w:uiPriority w:val="99"/>
    <w:rsid w:val="000E75D7"/>
    <w:rPr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E75D7"/>
    <w:rPr>
      <w:color w:val="0563C1"/>
      <w:u w:val="single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Standardnpsmoodstavce"/>
    <w:link w:val="ListParagraph1"/>
    <w:uiPriority w:val="34"/>
    <w:rsid w:val="000E75D7"/>
  </w:style>
  <w:style w:type="paragraph" w:customStyle="1" w:styleId="ListParagraph1">
    <w:name w:val="List Paragraph1"/>
    <w:aliases w:val="Bullet List,FooterText,numbered,Paragraphe de liste1,Bulletr List Paragraph,列出段落,列出段落1,List Paragraph2,List Paragraph21,Listeafsnit1,Parágrafo da Lista1,Párrafo de lista1,リスト段落1,Bullet list,List Paragraph11,פיסקת רשימה"/>
    <w:basedOn w:val="Normln"/>
    <w:link w:val="ListParagraphChar"/>
    <w:uiPriority w:val="34"/>
    <w:rsid w:val="000E75D7"/>
    <w:pPr>
      <w:ind w:left="720"/>
      <w:contextualSpacing/>
    </w:pPr>
    <w:rPr>
      <w:rFonts w:ascii="Times New Roman" w:hAnsi="Times New Roman"/>
      <w:sz w:val="20"/>
    </w:rPr>
  </w:style>
  <w:style w:type="paragraph" w:customStyle="1" w:styleId="Body">
    <w:name w:val="Body"/>
    <w:basedOn w:val="Normln"/>
    <w:rsid w:val="000E75D7"/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0450E"/>
    <w:pPr>
      <w:spacing w:after="1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450E"/>
    <w:rPr>
      <w:sz w:val="24"/>
      <w:szCs w:val="24"/>
      <w:lang w:val="en-US" w:eastAsia="en-US"/>
    </w:rPr>
  </w:style>
  <w:style w:type="character" w:customStyle="1" w:styleId="Internetovodkaz">
    <w:name w:val="Internetový odkaz"/>
    <w:basedOn w:val="Standardnpsmoodstavce"/>
    <w:uiPriority w:val="99"/>
    <w:rsid w:val="0050450E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week.com/americas-best-customer-service-2019/services-transportation-travel" TargetMode="External"/><Relationship Id="rId13" Type="http://schemas.openxmlformats.org/officeDocument/2006/relationships/hyperlink" Target="https://sustainability.ups.com/resources/sustainability-newsletter/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karla.krejci@dbm.cz" TargetMode="External"/><Relationship Id="rId12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essroom.ups.com/pressroom/Home.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s.com/ship/guided/destination?tx=2168142152068288&amp;loc=en_US&amp;WT.mc_id=BOILERPLATE_PRESSRELEASE_END_SHIP_071619" TargetMode="External"/><Relationship Id="rId10" Type="http://schemas.openxmlformats.org/officeDocument/2006/relationships/hyperlink" Target="https://www.forbes.com/just-companies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forbes.com/powerful-brands/list/" TargetMode="External"/><Relationship Id="rId14" Type="http://schemas.openxmlformats.org/officeDocument/2006/relationships/hyperlink" Target="https://twitter.com/UPS_New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dcterms:created xsi:type="dcterms:W3CDTF">2020-04-29T07:57:00Z</dcterms:created>
  <dcterms:modified xsi:type="dcterms:W3CDTF">2020-04-29T07:57:00Z</dcterms:modified>
</cp:coreProperties>
</file>