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03" w:rsidRDefault="00233303">
      <w:pPr>
        <w:rPr>
          <w:rFonts w:ascii="Arial" w:hAnsi="Arial" w:cs="Arial"/>
          <w:sz w:val="20"/>
          <w:szCs w:val="20"/>
        </w:rPr>
      </w:pPr>
    </w:p>
    <w:p w:rsidR="005855A9" w:rsidRDefault="00EA14C1">
      <w:pPr>
        <w:rPr>
          <w:rFonts w:ascii="Arial" w:hAnsi="Arial" w:cs="Arial"/>
          <w:sz w:val="20"/>
          <w:szCs w:val="20"/>
        </w:rPr>
      </w:pPr>
      <w:r>
        <w:rPr>
          <w:rFonts w:ascii="Arial" w:hAnsi="Arial" w:cs="Arial"/>
          <w:sz w:val="20"/>
          <w:szCs w:val="20"/>
        </w:rPr>
        <w:tab/>
      </w:r>
      <w:r w:rsidR="00C12580">
        <w:rPr>
          <w:rFonts w:ascii="Arial" w:hAnsi="Arial" w:cs="Arial"/>
          <w:sz w:val="20"/>
          <w:szCs w:val="20"/>
        </w:rPr>
        <w:tab/>
      </w:r>
      <w:r w:rsidR="009D311B">
        <w:rPr>
          <w:rFonts w:ascii="Arial" w:hAnsi="Arial" w:cs="Arial"/>
          <w:sz w:val="20"/>
          <w:szCs w:val="20"/>
        </w:rPr>
        <w:tab/>
      </w:r>
    </w:p>
    <w:p w:rsidR="00CF5EB1" w:rsidRDefault="009F57BC" w:rsidP="005C42B5">
      <w:pPr>
        <w:rPr>
          <w:rFonts w:ascii="Arial" w:hAnsi="Arial" w:cs="Arial"/>
          <w:sz w:val="20"/>
          <w:szCs w:val="20"/>
        </w:rPr>
      </w:pPr>
      <w:r>
        <w:rPr>
          <w:noProof/>
        </w:rPr>
        <w:drawing>
          <wp:anchor distT="0" distB="0" distL="114300" distR="0" simplePos="0" relativeHeight="251658240" behindDoc="0" locked="0" layoutInCell="1" allowOverlap="1">
            <wp:simplePos x="0" y="0"/>
            <wp:positionH relativeFrom="margin">
              <wp:posOffset>5123329</wp:posOffset>
            </wp:positionH>
            <wp:positionV relativeFrom="paragraph">
              <wp:posOffset>10982</wp:posOffset>
            </wp:positionV>
            <wp:extent cx="5715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5855A9">
        <w:rPr>
          <w:rFonts w:ascii="Arial" w:hAnsi="Arial" w:cs="Arial"/>
          <w:sz w:val="20"/>
          <w:szCs w:val="20"/>
        </w:rPr>
        <w:t>Contacts</w:t>
      </w:r>
      <w:r w:rsidR="005855A9" w:rsidRPr="00B85CCD">
        <w:rPr>
          <w:rFonts w:ascii="Arial" w:hAnsi="Arial" w:cs="Arial"/>
          <w:sz w:val="20"/>
          <w:szCs w:val="20"/>
        </w:rPr>
        <w:t>:</w:t>
      </w:r>
      <w:r w:rsidR="005855A9" w:rsidRPr="00B85CCD">
        <w:rPr>
          <w:rFonts w:ascii="Arial" w:hAnsi="Arial" w:cs="Arial"/>
          <w:sz w:val="16"/>
        </w:rPr>
        <w:tab/>
      </w:r>
      <w:r w:rsidR="005A04FD">
        <w:rPr>
          <w:rFonts w:ascii="Arial" w:hAnsi="Arial" w:cs="Arial"/>
          <w:sz w:val="20"/>
          <w:szCs w:val="20"/>
        </w:rPr>
        <w:t xml:space="preserve">Steve </w:t>
      </w:r>
      <w:proofErr w:type="spellStart"/>
      <w:r w:rsidR="005A04FD">
        <w:rPr>
          <w:rFonts w:ascii="Arial" w:hAnsi="Arial" w:cs="Arial"/>
          <w:sz w:val="20"/>
          <w:szCs w:val="20"/>
        </w:rPr>
        <w:t>Gaut</w:t>
      </w:r>
      <w:proofErr w:type="spellEnd"/>
      <w:r w:rsidR="005A04FD">
        <w:rPr>
          <w:rFonts w:ascii="Arial" w:hAnsi="Arial" w:cs="Arial"/>
          <w:sz w:val="20"/>
          <w:szCs w:val="20"/>
        </w:rPr>
        <w:t>,</w:t>
      </w:r>
      <w:r w:rsidR="005855A9" w:rsidRPr="00B85CCD">
        <w:rPr>
          <w:rFonts w:ascii="Arial" w:hAnsi="Arial" w:cs="Arial"/>
          <w:sz w:val="20"/>
          <w:szCs w:val="20"/>
        </w:rPr>
        <w:t xml:space="preserve"> Public Relations</w:t>
      </w:r>
      <w:r w:rsidR="005855A9" w:rsidRPr="00B85CCD">
        <w:rPr>
          <w:rFonts w:ascii="Arial" w:hAnsi="Arial" w:cs="Arial"/>
          <w:sz w:val="20"/>
          <w:szCs w:val="20"/>
        </w:rPr>
        <w:tab/>
      </w:r>
      <w:r w:rsidR="005855A9" w:rsidRPr="00B85CCD">
        <w:rPr>
          <w:rFonts w:ascii="Arial" w:hAnsi="Arial" w:cs="Arial"/>
          <w:sz w:val="20"/>
          <w:szCs w:val="20"/>
        </w:rPr>
        <w:tab/>
      </w:r>
      <w:r w:rsidR="005855A9" w:rsidRPr="00B85CCD">
        <w:rPr>
          <w:rFonts w:ascii="Arial" w:hAnsi="Arial" w:cs="Arial"/>
          <w:sz w:val="20"/>
          <w:szCs w:val="20"/>
        </w:rPr>
        <w:tab/>
      </w:r>
      <w:r w:rsidR="005855A9" w:rsidRPr="00B85CCD">
        <w:rPr>
          <w:rFonts w:ascii="Arial" w:hAnsi="Arial" w:cs="Arial"/>
          <w:sz w:val="20"/>
          <w:szCs w:val="20"/>
        </w:rPr>
        <w:tab/>
      </w:r>
    </w:p>
    <w:p w:rsidR="005855A9" w:rsidRDefault="005855A9" w:rsidP="00CF5EB1">
      <w:pPr>
        <w:ind w:left="720" w:firstLine="720"/>
        <w:rPr>
          <w:rFonts w:ascii="Arial" w:hAnsi="Arial" w:cs="Arial"/>
          <w:sz w:val="20"/>
          <w:szCs w:val="20"/>
        </w:rPr>
      </w:pPr>
      <w:r w:rsidRPr="00B85CCD">
        <w:rPr>
          <w:rFonts w:ascii="Arial" w:hAnsi="Arial" w:cs="Arial"/>
          <w:sz w:val="20"/>
          <w:szCs w:val="20"/>
        </w:rPr>
        <w:t>404-828-</w:t>
      </w:r>
      <w:r w:rsidR="005A04FD">
        <w:rPr>
          <w:rFonts w:ascii="Arial" w:hAnsi="Arial" w:cs="Arial"/>
          <w:sz w:val="20"/>
          <w:szCs w:val="20"/>
        </w:rPr>
        <w:t>8787</w:t>
      </w:r>
      <w:r w:rsidR="009F57BC" w:rsidRPr="009F57BC">
        <w:t xml:space="preserve"> </w:t>
      </w:r>
    </w:p>
    <w:p w:rsidR="00E57561" w:rsidRDefault="00E57561">
      <w:pPr>
        <w:pStyle w:val="Heading4"/>
        <w:spacing w:before="0" w:after="0"/>
        <w:ind w:left="720" w:firstLine="720"/>
        <w:rPr>
          <w:rFonts w:ascii="Arial" w:hAnsi="Arial" w:cs="Arial"/>
          <w:b w:val="0"/>
          <w:sz w:val="16"/>
          <w:szCs w:val="16"/>
        </w:rPr>
      </w:pPr>
    </w:p>
    <w:p w:rsidR="005855A9" w:rsidRPr="00B85CCD" w:rsidRDefault="00ED434E">
      <w:pPr>
        <w:pStyle w:val="Heading4"/>
        <w:spacing w:before="0" w:after="0"/>
        <w:ind w:left="720" w:firstLine="720"/>
        <w:rPr>
          <w:rFonts w:ascii="Arial" w:hAnsi="Arial" w:cs="Arial"/>
          <w:b w:val="0"/>
          <w:sz w:val="20"/>
          <w:szCs w:val="20"/>
        </w:rPr>
      </w:pPr>
      <w:r>
        <w:rPr>
          <w:rFonts w:ascii="Arial" w:hAnsi="Arial" w:cs="Arial"/>
          <w:b w:val="0"/>
          <w:sz w:val="20"/>
          <w:szCs w:val="20"/>
        </w:rPr>
        <w:t>Scott Childress</w:t>
      </w:r>
      <w:r w:rsidR="005855A9" w:rsidRPr="00B85CCD">
        <w:rPr>
          <w:rFonts w:ascii="Arial" w:hAnsi="Arial" w:cs="Arial"/>
          <w:b w:val="0"/>
          <w:sz w:val="20"/>
          <w:szCs w:val="20"/>
        </w:rPr>
        <w:t>, Investor Relations</w:t>
      </w:r>
    </w:p>
    <w:p w:rsidR="005855A9" w:rsidRPr="00B85CCD" w:rsidRDefault="005855A9">
      <w:pPr>
        <w:rPr>
          <w:rFonts w:ascii="Arial" w:hAnsi="Arial" w:cs="Arial"/>
          <w:sz w:val="20"/>
          <w:szCs w:val="20"/>
        </w:rPr>
      </w:pPr>
      <w:r w:rsidRPr="00B85CCD">
        <w:rPr>
          <w:rFonts w:ascii="Arial" w:hAnsi="Arial" w:cs="Arial"/>
          <w:sz w:val="20"/>
          <w:szCs w:val="20"/>
        </w:rPr>
        <w:tab/>
      </w:r>
      <w:r w:rsidRPr="00B85CCD">
        <w:rPr>
          <w:rFonts w:ascii="Arial" w:hAnsi="Arial" w:cs="Arial"/>
          <w:sz w:val="20"/>
          <w:szCs w:val="20"/>
        </w:rPr>
        <w:tab/>
        <w:t>404-828-</w:t>
      </w:r>
      <w:r w:rsidR="00ED434E">
        <w:rPr>
          <w:rFonts w:ascii="Arial" w:hAnsi="Arial" w:cs="Arial"/>
          <w:sz w:val="20"/>
          <w:szCs w:val="20"/>
        </w:rPr>
        <w:t>7957</w:t>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p>
    <w:p w:rsidR="00E91AEF" w:rsidRDefault="00E91AEF" w:rsidP="007B357E">
      <w:pPr>
        <w:rPr>
          <w:rFonts w:ascii="Arial" w:hAnsi="Arial" w:cs="Arial"/>
          <w:sz w:val="20"/>
          <w:szCs w:val="20"/>
        </w:rPr>
      </w:pPr>
    </w:p>
    <w:p w:rsidR="005855A9" w:rsidRDefault="005855A9" w:rsidP="007B357E">
      <w:pPr>
        <w:rPr>
          <w:rFonts w:ascii="Arial" w:hAnsi="Arial" w:cs="Arial"/>
          <w:sz w:val="20"/>
          <w:szCs w:val="20"/>
        </w:rPr>
      </w:pPr>
      <w:r w:rsidRPr="00B85CCD">
        <w:rPr>
          <w:rFonts w:ascii="Arial" w:hAnsi="Arial" w:cs="Arial"/>
          <w:sz w:val="20"/>
          <w:szCs w:val="20"/>
        </w:rPr>
        <w:tab/>
      </w:r>
    </w:p>
    <w:p w:rsidR="00016926" w:rsidRDefault="009C2C76" w:rsidP="00556A78">
      <w:pPr>
        <w:jc w:val="center"/>
        <w:rPr>
          <w:rFonts w:ascii="Arial" w:hAnsi="Arial" w:cs="Arial"/>
          <w:b/>
          <w:sz w:val="32"/>
          <w:szCs w:val="26"/>
        </w:rPr>
      </w:pPr>
      <w:r>
        <w:rPr>
          <w:rFonts w:ascii="Arial" w:hAnsi="Arial" w:cs="Arial"/>
          <w:b/>
          <w:sz w:val="32"/>
          <w:szCs w:val="26"/>
        </w:rPr>
        <w:t xml:space="preserve">UPS </w:t>
      </w:r>
      <w:r w:rsidR="00F26AE3">
        <w:rPr>
          <w:rFonts w:ascii="Arial" w:hAnsi="Arial" w:cs="Arial"/>
          <w:b/>
          <w:sz w:val="32"/>
          <w:szCs w:val="26"/>
        </w:rPr>
        <w:t xml:space="preserve">2Q18 </w:t>
      </w:r>
      <w:r>
        <w:rPr>
          <w:rFonts w:ascii="Arial" w:hAnsi="Arial" w:cs="Arial"/>
          <w:b/>
          <w:sz w:val="32"/>
          <w:szCs w:val="26"/>
        </w:rPr>
        <w:t xml:space="preserve">REVENUE UP 9.6% </w:t>
      </w:r>
    </w:p>
    <w:p w:rsidR="007D16B9" w:rsidRPr="003D13D6" w:rsidRDefault="00622CB3" w:rsidP="00556A78">
      <w:pPr>
        <w:jc w:val="center"/>
        <w:rPr>
          <w:rFonts w:ascii="Arial" w:hAnsi="Arial" w:cs="Arial"/>
          <w:i/>
          <w:sz w:val="32"/>
          <w:szCs w:val="26"/>
        </w:rPr>
      </w:pPr>
      <w:r>
        <w:rPr>
          <w:rFonts w:ascii="Arial" w:hAnsi="Arial" w:cs="Arial"/>
          <w:b/>
          <w:sz w:val="32"/>
          <w:szCs w:val="26"/>
        </w:rPr>
        <w:t xml:space="preserve">ON STRONG </w:t>
      </w:r>
      <w:r w:rsidR="0017330D">
        <w:rPr>
          <w:rFonts w:ascii="Arial" w:hAnsi="Arial" w:cs="Arial"/>
          <w:b/>
          <w:sz w:val="32"/>
          <w:szCs w:val="26"/>
        </w:rPr>
        <w:t xml:space="preserve">GROWTH AND </w:t>
      </w:r>
      <w:r>
        <w:rPr>
          <w:rFonts w:ascii="Arial" w:hAnsi="Arial" w:cs="Arial"/>
          <w:b/>
          <w:sz w:val="32"/>
          <w:szCs w:val="26"/>
        </w:rPr>
        <w:t>PRICING</w:t>
      </w:r>
    </w:p>
    <w:p w:rsidR="00F21B81" w:rsidRPr="005645FE" w:rsidRDefault="00F21B81" w:rsidP="001D3F51">
      <w:pPr>
        <w:ind w:left="180"/>
        <w:jc w:val="center"/>
        <w:rPr>
          <w:rFonts w:ascii="Arial" w:hAnsi="Arial" w:cs="Arial"/>
          <w:b/>
          <w:sz w:val="28"/>
          <w:szCs w:val="26"/>
        </w:rPr>
      </w:pPr>
    </w:p>
    <w:p w:rsidR="00070680" w:rsidRDefault="00FE4534" w:rsidP="000F1D36">
      <w:pPr>
        <w:pStyle w:val="ListParagraph"/>
        <w:numPr>
          <w:ilvl w:val="0"/>
          <w:numId w:val="35"/>
        </w:numPr>
        <w:ind w:left="540"/>
        <w:rPr>
          <w:rFonts w:ascii="Arial" w:hAnsi="Arial" w:cs="Arial"/>
          <w:b/>
          <w:i/>
        </w:rPr>
      </w:pPr>
      <w:r>
        <w:rPr>
          <w:rFonts w:ascii="Arial" w:hAnsi="Arial" w:cs="Arial"/>
          <w:b/>
          <w:i/>
        </w:rPr>
        <w:t xml:space="preserve">Reports </w:t>
      </w:r>
      <w:r w:rsidR="00070680">
        <w:rPr>
          <w:rFonts w:ascii="Arial" w:hAnsi="Arial" w:cs="Arial"/>
          <w:b/>
          <w:i/>
        </w:rPr>
        <w:t>2Q18 EPS of $</w:t>
      </w:r>
      <w:r w:rsidR="009C2C76">
        <w:rPr>
          <w:rFonts w:ascii="Arial" w:hAnsi="Arial" w:cs="Arial"/>
          <w:b/>
          <w:i/>
        </w:rPr>
        <w:t>1.7</w:t>
      </w:r>
      <w:r w:rsidR="00DF35C0">
        <w:rPr>
          <w:rFonts w:ascii="Arial" w:hAnsi="Arial" w:cs="Arial"/>
          <w:b/>
          <w:i/>
        </w:rPr>
        <w:t>1</w:t>
      </w:r>
      <w:r w:rsidR="00DC24DD">
        <w:rPr>
          <w:rFonts w:ascii="Arial" w:hAnsi="Arial" w:cs="Arial"/>
          <w:b/>
          <w:i/>
        </w:rPr>
        <w:t xml:space="preserve">, up </w:t>
      </w:r>
      <w:r w:rsidR="00DF35C0">
        <w:rPr>
          <w:rFonts w:ascii="Arial" w:hAnsi="Arial" w:cs="Arial"/>
          <w:b/>
          <w:i/>
        </w:rPr>
        <w:t>8.2</w:t>
      </w:r>
      <w:r w:rsidR="00DC24DD">
        <w:rPr>
          <w:rFonts w:ascii="Arial" w:hAnsi="Arial" w:cs="Arial"/>
          <w:b/>
          <w:i/>
        </w:rPr>
        <w:t>%</w:t>
      </w:r>
      <w:r w:rsidR="00070680">
        <w:rPr>
          <w:rFonts w:ascii="Arial" w:hAnsi="Arial" w:cs="Arial"/>
          <w:b/>
          <w:i/>
        </w:rPr>
        <w:t>; Adjusted 2Q</w:t>
      </w:r>
      <w:r w:rsidR="009C2C76">
        <w:rPr>
          <w:rFonts w:ascii="Arial" w:hAnsi="Arial" w:cs="Arial"/>
          <w:b/>
          <w:i/>
        </w:rPr>
        <w:t>18</w:t>
      </w:r>
      <w:r w:rsidR="00070680">
        <w:rPr>
          <w:rFonts w:ascii="Arial" w:hAnsi="Arial" w:cs="Arial"/>
          <w:b/>
          <w:i/>
        </w:rPr>
        <w:t xml:space="preserve"> EPS of $1.9</w:t>
      </w:r>
      <w:r w:rsidR="00DF35C0">
        <w:rPr>
          <w:rFonts w:ascii="Arial" w:hAnsi="Arial" w:cs="Arial"/>
          <w:b/>
          <w:i/>
        </w:rPr>
        <w:t>4</w:t>
      </w:r>
      <w:r w:rsidR="00DC24DD">
        <w:rPr>
          <w:rFonts w:ascii="Arial" w:hAnsi="Arial" w:cs="Arial"/>
          <w:b/>
          <w:i/>
        </w:rPr>
        <w:t>, up 2</w:t>
      </w:r>
      <w:r w:rsidR="00DF35C0">
        <w:rPr>
          <w:rFonts w:ascii="Arial" w:hAnsi="Arial" w:cs="Arial"/>
          <w:b/>
          <w:i/>
        </w:rPr>
        <w:t>3</w:t>
      </w:r>
      <w:r w:rsidR="00DC24DD">
        <w:rPr>
          <w:rFonts w:ascii="Arial" w:hAnsi="Arial" w:cs="Arial"/>
          <w:b/>
          <w:i/>
        </w:rPr>
        <w:t>%</w:t>
      </w:r>
    </w:p>
    <w:p w:rsidR="006C5096" w:rsidRDefault="000F1D36" w:rsidP="00174DB0">
      <w:pPr>
        <w:pStyle w:val="ListParagraph"/>
        <w:numPr>
          <w:ilvl w:val="0"/>
          <w:numId w:val="35"/>
        </w:numPr>
        <w:ind w:left="540"/>
        <w:rPr>
          <w:rFonts w:ascii="Arial" w:hAnsi="Arial" w:cs="Arial"/>
          <w:b/>
          <w:i/>
        </w:rPr>
      </w:pPr>
      <w:r w:rsidRPr="007D5F63">
        <w:rPr>
          <w:rFonts w:ascii="Arial" w:hAnsi="Arial" w:cs="Arial"/>
          <w:b/>
          <w:i/>
        </w:rPr>
        <w:t xml:space="preserve">International Operating Profit </w:t>
      </w:r>
      <w:r w:rsidR="00DF7166" w:rsidRPr="007D5F63">
        <w:rPr>
          <w:rFonts w:ascii="Arial" w:hAnsi="Arial" w:cs="Arial"/>
          <w:b/>
          <w:i/>
        </w:rPr>
        <w:t>up</w:t>
      </w:r>
      <w:r w:rsidRPr="007D5F63">
        <w:rPr>
          <w:rFonts w:ascii="Arial" w:hAnsi="Arial" w:cs="Arial"/>
          <w:b/>
          <w:i/>
        </w:rPr>
        <w:t xml:space="preserve"> </w:t>
      </w:r>
      <w:r w:rsidR="009C2C76">
        <w:rPr>
          <w:rFonts w:ascii="Arial" w:hAnsi="Arial" w:cs="Arial"/>
          <w:b/>
          <w:i/>
        </w:rPr>
        <w:t>8.4%;</w:t>
      </w:r>
      <w:r w:rsidR="00EF26E3">
        <w:rPr>
          <w:rFonts w:ascii="Arial" w:hAnsi="Arial" w:cs="Arial"/>
          <w:b/>
          <w:i/>
        </w:rPr>
        <w:t xml:space="preserve"> </w:t>
      </w:r>
      <w:r w:rsidR="00065863">
        <w:rPr>
          <w:rFonts w:ascii="Arial" w:hAnsi="Arial" w:cs="Arial"/>
          <w:b/>
          <w:i/>
        </w:rPr>
        <w:t xml:space="preserve">Adj. </w:t>
      </w:r>
      <w:r w:rsidR="00B12F3D">
        <w:rPr>
          <w:rFonts w:ascii="Arial" w:hAnsi="Arial" w:cs="Arial"/>
          <w:b/>
          <w:i/>
        </w:rPr>
        <w:t xml:space="preserve">Operating </w:t>
      </w:r>
      <w:r w:rsidR="009C2C76">
        <w:rPr>
          <w:rFonts w:ascii="Arial" w:hAnsi="Arial" w:cs="Arial"/>
          <w:b/>
          <w:i/>
        </w:rPr>
        <w:t>P</w:t>
      </w:r>
      <w:r w:rsidR="00EF26E3">
        <w:rPr>
          <w:rFonts w:ascii="Arial" w:hAnsi="Arial" w:cs="Arial"/>
          <w:b/>
          <w:i/>
        </w:rPr>
        <w:t xml:space="preserve">rofit </w:t>
      </w:r>
      <w:r w:rsidR="00B12F3D">
        <w:rPr>
          <w:rFonts w:ascii="Arial" w:hAnsi="Arial" w:cs="Arial"/>
          <w:b/>
          <w:i/>
        </w:rPr>
        <w:t>C</w:t>
      </w:r>
      <w:r w:rsidR="00EF26E3">
        <w:rPr>
          <w:rFonts w:ascii="Arial" w:hAnsi="Arial" w:cs="Arial"/>
          <w:b/>
          <w:i/>
        </w:rPr>
        <w:t>limb</w:t>
      </w:r>
      <w:r w:rsidR="00D34882">
        <w:rPr>
          <w:rFonts w:ascii="Arial" w:hAnsi="Arial" w:cs="Arial"/>
          <w:b/>
          <w:i/>
        </w:rPr>
        <w:t>ed</w:t>
      </w:r>
      <w:r w:rsidR="00EF26E3">
        <w:rPr>
          <w:rFonts w:ascii="Arial" w:hAnsi="Arial" w:cs="Arial"/>
          <w:b/>
          <w:i/>
        </w:rPr>
        <w:t xml:space="preserve"> </w:t>
      </w:r>
      <w:r w:rsidRPr="007D5F63">
        <w:rPr>
          <w:rFonts w:ascii="Arial" w:hAnsi="Arial" w:cs="Arial"/>
          <w:b/>
          <w:i/>
        </w:rPr>
        <w:t>15%</w:t>
      </w:r>
    </w:p>
    <w:p w:rsidR="000F1D36" w:rsidRPr="007D5F63" w:rsidRDefault="00DF7166" w:rsidP="00174DB0">
      <w:pPr>
        <w:pStyle w:val="ListParagraph"/>
        <w:numPr>
          <w:ilvl w:val="0"/>
          <w:numId w:val="35"/>
        </w:numPr>
        <w:ind w:left="540"/>
        <w:rPr>
          <w:rFonts w:ascii="Arial" w:hAnsi="Arial" w:cs="Arial"/>
          <w:b/>
          <w:i/>
        </w:rPr>
      </w:pPr>
      <w:r w:rsidRPr="007D5F63">
        <w:rPr>
          <w:rFonts w:ascii="Arial" w:hAnsi="Arial" w:cs="Arial"/>
          <w:b/>
          <w:i/>
        </w:rPr>
        <w:t xml:space="preserve">Average Daily Exports Increased </w:t>
      </w:r>
      <w:r w:rsidR="009C2C76">
        <w:rPr>
          <w:rFonts w:ascii="Arial" w:hAnsi="Arial" w:cs="Arial"/>
          <w:b/>
          <w:i/>
        </w:rPr>
        <w:t>9.5</w:t>
      </w:r>
      <w:r w:rsidRPr="007D5F63">
        <w:rPr>
          <w:rFonts w:ascii="Arial" w:hAnsi="Arial" w:cs="Arial"/>
          <w:b/>
          <w:i/>
        </w:rPr>
        <w:t>%</w:t>
      </w:r>
      <w:r w:rsidR="006C5096">
        <w:rPr>
          <w:rFonts w:ascii="Arial" w:hAnsi="Arial" w:cs="Arial"/>
          <w:b/>
          <w:i/>
        </w:rPr>
        <w:t xml:space="preserve">, </w:t>
      </w:r>
      <w:r w:rsidR="009C2C76">
        <w:rPr>
          <w:rFonts w:ascii="Arial" w:hAnsi="Arial" w:cs="Arial"/>
          <w:b/>
          <w:i/>
        </w:rPr>
        <w:t xml:space="preserve">Led </w:t>
      </w:r>
      <w:r w:rsidR="006C5096">
        <w:rPr>
          <w:rFonts w:ascii="Arial" w:hAnsi="Arial" w:cs="Arial"/>
          <w:b/>
          <w:i/>
        </w:rPr>
        <w:t xml:space="preserve">by </w:t>
      </w:r>
      <w:r w:rsidR="000640A6">
        <w:rPr>
          <w:rFonts w:ascii="Arial" w:hAnsi="Arial" w:cs="Arial"/>
          <w:b/>
          <w:i/>
        </w:rPr>
        <w:t>Europe</w:t>
      </w:r>
    </w:p>
    <w:p w:rsidR="006C5096" w:rsidRDefault="00CC6CB3" w:rsidP="00CC6CB3">
      <w:pPr>
        <w:pStyle w:val="ListParagraph"/>
        <w:numPr>
          <w:ilvl w:val="0"/>
          <w:numId w:val="35"/>
        </w:numPr>
        <w:ind w:left="540"/>
        <w:rPr>
          <w:rFonts w:ascii="Arial" w:hAnsi="Arial" w:cs="Arial"/>
          <w:b/>
          <w:i/>
        </w:rPr>
      </w:pPr>
      <w:r w:rsidRPr="00C76EE5">
        <w:rPr>
          <w:rFonts w:ascii="Arial" w:hAnsi="Arial" w:cs="Arial"/>
          <w:b/>
          <w:i/>
        </w:rPr>
        <w:t xml:space="preserve">Supply Chain &amp; Freight Operating Profit up </w:t>
      </w:r>
      <w:r w:rsidR="009C2C76">
        <w:rPr>
          <w:rFonts w:ascii="Arial" w:hAnsi="Arial" w:cs="Arial"/>
          <w:b/>
          <w:i/>
        </w:rPr>
        <w:t>1.9%;</w:t>
      </w:r>
      <w:r w:rsidR="006C5096">
        <w:rPr>
          <w:rFonts w:ascii="Arial" w:hAnsi="Arial" w:cs="Arial"/>
          <w:b/>
          <w:i/>
        </w:rPr>
        <w:t xml:space="preserve"> Adjusted </w:t>
      </w:r>
      <w:r w:rsidR="0008498E">
        <w:rPr>
          <w:rFonts w:ascii="Arial" w:hAnsi="Arial" w:cs="Arial"/>
          <w:b/>
          <w:i/>
        </w:rPr>
        <w:t xml:space="preserve">Operating </w:t>
      </w:r>
      <w:r w:rsidR="009C2C76">
        <w:rPr>
          <w:rFonts w:ascii="Arial" w:hAnsi="Arial" w:cs="Arial"/>
          <w:b/>
          <w:i/>
        </w:rPr>
        <w:t>P</w:t>
      </w:r>
      <w:r w:rsidR="006C5096">
        <w:rPr>
          <w:rFonts w:ascii="Arial" w:hAnsi="Arial" w:cs="Arial"/>
          <w:b/>
          <w:i/>
        </w:rPr>
        <w:t xml:space="preserve">rofit </w:t>
      </w:r>
      <w:r w:rsidR="00D34882">
        <w:rPr>
          <w:rFonts w:ascii="Arial" w:hAnsi="Arial" w:cs="Arial"/>
          <w:b/>
          <w:i/>
        </w:rPr>
        <w:t>Rose</w:t>
      </w:r>
      <w:r w:rsidR="009C2C76">
        <w:rPr>
          <w:rFonts w:ascii="Arial" w:hAnsi="Arial" w:cs="Arial"/>
          <w:b/>
          <w:i/>
        </w:rPr>
        <w:t xml:space="preserve"> </w:t>
      </w:r>
      <w:r w:rsidR="00DF7166">
        <w:rPr>
          <w:rFonts w:ascii="Arial" w:hAnsi="Arial" w:cs="Arial"/>
          <w:b/>
          <w:i/>
        </w:rPr>
        <w:t>17</w:t>
      </w:r>
      <w:r w:rsidRPr="00C76EE5">
        <w:rPr>
          <w:rFonts w:ascii="Arial" w:hAnsi="Arial" w:cs="Arial"/>
          <w:b/>
          <w:i/>
        </w:rPr>
        <w:t xml:space="preserve">% </w:t>
      </w:r>
    </w:p>
    <w:p w:rsidR="00722D24" w:rsidRDefault="008E1877" w:rsidP="000F1D36">
      <w:pPr>
        <w:pStyle w:val="ListParagraph"/>
        <w:numPr>
          <w:ilvl w:val="0"/>
          <w:numId w:val="35"/>
        </w:numPr>
        <w:ind w:left="540"/>
        <w:rPr>
          <w:rFonts w:ascii="Arial" w:hAnsi="Arial" w:cs="Arial"/>
          <w:b/>
          <w:i/>
        </w:rPr>
      </w:pPr>
      <w:r>
        <w:rPr>
          <w:rFonts w:ascii="Arial" w:hAnsi="Arial" w:cs="Arial"/>
          <w:b/>
          <w:i/>
        </w:rPr>
        <w:t xml:space="preserve">U.S. Domestic Revenue </w:t>
      </w:r>
      <w:r w:rsidR="00D34882">
        <w:rPr>
          <w:rFonts w:ascii="Arial" w:hAnsi="Arial" w:cs="Arial"/>
          <w:b/>
          <w:i/>
        </w:rPr>
        <w:t xml:space="preserve">Increased </w:t>
      </w:r>
      <w:r w:rsidR="00DF7166">
        <w:rPr>
          <w:rFonts w:ascii="Arial" w:hAnsi="Arial" w:cs="Arial"/>
          <w:b/>
          <w:i/>
        </w:rPr>
        <w:t>6.3%</w:t>
      </w:r>
      <w:r w:rsidR="00722D24" w:rsidRPr="0068023F">
        <w:rPr>
          <w:rFonts w:ascii="Arial" w:hAnsi="Arial" w:cs="Arial"/>
          <w:b/>
          <w:i/>
        </w:rPr>
        <w:t xml:space="preserve"> </w:t>
      </w:r>
      <w:r w:rsidR="00FE4534">
        <w:rPr>
          <w:rFonts w:ascii="Arial" w:hAnsi="Arial" w:cs="Arial"/>
          <w:b/>
          <w:i/>
        </w:rPr>
        <w:t xml:space="preserve">on </w:t>
      </w:r>
      <w:r w:rsidR="00F26D23">
        <w:rPr>
          <w:rFonts w:ascii="Arial" w:hAnsi="Arial" w:cs="Arial"/>
          <w:b/>
          <w:i/>
        </w:rPr>
        <w:t>Higher</w:t>
      </w:r>
      <w:r w:rsidR="00DC24DD">
        <w:rPr>
          <w:rFonts w:ascii="Arial" w:hAnsi="Arial" w:cs="Arial"/>
          <w:b/>
          <w:i/>
        </w:rPr>
        <w:t xml:space="preserve"> </w:t>
      </w:r>
      <w:r w:rsidR="00FE4534">
        <w:rPr>
          <w:rFonts w:ascii="Arial" w:hAnsi="Arial" w:cs="Arial"/>
          <w:b/>
          <w:i/>
        </w:rPr>
        <w:t>Base Pricing</w:t>
      </w:r>
    </w:p>
    <w:p w:rsidR="009E3FDD" w:rsidRPr="00E2681B" w:rsidRDefault="00F47BC9" w:rsidP="00750424">
      <w:pPr>
        <w:pStyle w:val="ListParagraph"/>
        <w:numPr>
          <w:ilvl w:val="0"/>
          <w:numId w:val="35"/>
        </w:numPr>
        <w:ind w:left="540"/>
        <w:rPr>
          <w:rFonts w:ascii="Arial" w:hAnsi="Arial" w:cs="Arial"/>
          <w:b/>
          <w:i/>
        </w:rPr>
      </w:pPr>
      <w:r>
        <w:rPr>
          <w:rFonts w:ascii="Arial" w:hAnsi="Arial" w:cs="Arial"/>
          <w:b/>
          <w:i/>
        </w:rPr>
        <w:t xml:space="preserve">YTD </w:t>
      </w:r>
      <w:r w:rsidR="00B01D37" w:rsidRPr="00E2681B">
        <w:rPr>
          <w:rFonts w:ascii="Arial" w:hAnsi="Arial" w:cs="Arial"/>
          <w:b/>
          <w:i/>
        </w:rPr>
        <w:t xml:space="preserve">Cash from Operations </w:t>
      </w:r>
      <w:r w:rsidR="00A05440">
        <w:rPr>
          <w:rFonts w:ascii="Arial" w:hAnsi="Arial" w:cs="Arial"/>
          <w:b/>
          <w:i/>
        </w:rPr>
        <w:t>was</w:t>
      </w:r>
      <w:r w:rsidR="00B01D37" w:rsidRPr="00E2681B">
        <w:rPr>
          <w:rFonts w:ascii="Arial" w:hAnsi="Arial" w:cs="Arial"/>
          <w:b/>
          <w:i/>
        </w:rPr>
        <w:t xml:space="preserve"> $</w:t>
      </w:r>
      <w:r w:rsidR="00BF6D0F">
        <w:rPr>
          <w:rFonts w:ascii="Arial" w:hAnsi="Arial" w:cs="Arial"/>
          <w:b/>
          <w:i/>
        </w:rPr>
        <w:t>7.2</w:t>
      </w:r>
      <w:r w:rsidR="00B01D37" w:rsidRPr="00E2681B">
        <w:rPr>
          <w:rFonts w:ascii="Arial" w:hAnsi="Arial" w:cs="Arial"/>
          <w:b/>
          <w:i/>
        </w:rPr>
        <w:t>B</w:t>
      </w:r>
      <w:r>
        <w:rPr>
          <w:rFonts w:ascii="Arial" w:hAnsi="Arial" w:cs="Arial"/>
          <w:b/>
          <w:i/>
        </w:rPr>
        <w:t xml:space="preserve"> and</w:t>
      </w:r>
      <w:r w:rsidR="007901EB">
        <w:rPr>
          <w:rFonts w:ascii="Arial" w:hAnsi="Arial" w:cs="Arial"/>
          <w:b/>
          <w:i/>
        </w:rPr>
        <w:t xml:space="preserve"> </w:t>
      </w:r>
      <w:r w:rsidR="00EE76F3" w:rsidRPr="00E2681B">
        <w:rPr>
          <w:rFonts w:ascii="Arial" w:hAnsi="Arial" w:cs="Arial"/>
          <w:b/>
          <w:i/>
        </w:rPr>
        <w:t xml:space="preserve">Free Cash Flow </w:t>
      </w:r>
      <w:r w:rsidR="007C73B2">
        <w:rPr>
          <w:rFonts w:ascii="Arial" w:hAnsi="Arial" w:cs="Arial"/>
          <w:b/>
          <w:i/>
        </w:rPr>
        <w:t>Surged to</w:t>
      </w:r>
      <w:r w:rsidR="007C73B2" w:rsidRPr="00E2681B">
        <w:rPr>
          <w:rFonts w:ascii="Arial" w:hAnsi="Arial" w:cs="Arial"/>
          <w:b/>
          <w:i/>
        </w:rPr>
        <w:t xml:space="preserve"> </w:t>
      </w:r>
      <w:r w:rsidR="008F282D" w:rsidRPr="00E2681B">
        <w:rPr>
          <w:rFonts w:ascii="Arial" w:hAnsi="Arial" w:cs="Arial"/>
          <w:b/>
          <w:i/>
        </w:rPr>
        <w:t>$</w:t>
      </w:r>
      <w:r w:rsidR="00BF6D0F">
        <w:rPr>
          <w:rFonts w:ascii="Arial" w:hAnsi="Arial" w:cs="Arial"/>
          <w:b/>
          <w:i/>
        </w:rPr>
        <w:t>4.4</w:t>
      </w:r>
      <w:r w:rsidR="00EE76F3" w:rsidRPr="00E2681B">
        <w:rPr>
          <w:rFonts w:ascii="Arial" w:hAnsi="Arial" w:cs="Arial"/>
          <w:b/>
          <w:i/>
        </w:rPr>
        <w:t xml:space="preserve">B </w:t>
      </w:r>
    </w:p>
    <w:p w:rsidR="00750424" w:rsidRPr="00016926" w:rsidRDefault="00EE76F3" w:rsidP="00750424">
      <w:pPr>
        <w:pStyle w:val="ListParagraph"/>
        <w:numPr>
          <w:ilvl w:val="0"/>
          <w:numId w:val="35"/>
        </w:numPr>
        <w:ind w:left="540"/>
        <w:rPr>
          <w:rFonts w:ascii="Arial" w:hAnsi="Arial" w:cs="Arial"/>
          <w:b/>
          <w:i/>
        </w:rPr>
      </w:pPr>
      <w:r w:rsidRPr="00290535">
        <w:rPr>
          <w:rFonts w:ascii="Arial" w:hAnsi="Arial" w:cs="Arial"/>
          <w:b/>
          <w:i/>
        </w:rPr>
        <w:t>Re</w:t>
      </w:r>
      <w:r w:rsidR="007E6DF7" w:rsidRPr="00290535">
        <w:rPr>
          <w:rFonts w:ascii="Arial" w:hAnsi="Arial" w:cs="Arial"/>
          <w:b/>
          <w:i/>
        </w:rPr>
        <w:t>affirm</w:t>
      </w:r>
      <w:r w:rsidRPr="00290535">
        <w:rPr>
          <w:rFonts w:ascii="Arial" w:hAnsi="Arial" w:cs="Arial"/>
          <w:b/>
          <w:i/>
        </w:rPr>
        <w:t>s</w:t>
      </w:r>
      <w:r w:rsidR="00750424" w:rsidRPr="00290535">
        <w:rPr>
          <w:rFonts w:ascii="Arial" w:hAnsi="Arial" w:cs="Arial"/>
          <w:b/>
          <w:i/>
        </w:rPr>
        <w:t xml:space="preserve"> 2018 Adjusted </w:t>
      </w:r>
      <w:r w:rsidR="007C73B2" w:rsidRPr="00290535">
        <w:rPr>
          <w:rFonts w:ascii="Arial" w:hAnsi="Arial" w:cs="Arial"/>
          <w:b/>
          <w:i/>
        </w:rPr>
        <w:t>EPS</w:t>
      </w:r>
      <w:r w:rsidR="00465761" w:rsidRPr="00290535">
        <w:rPr>
          <w:rFonts w:ascii="Arial" w:hAnsi="Arial" w:cs="Arial"/>
          <w:b/>
          <w:i/>
        </w:rPr>
        <w:t xml:space="preserve"> and</w:t>
      </w:r>
      <w:r w:rsidR="005066CA" w:rsidRPr="00290535">
        <w:rPr>
          <w:rFonts w:ascii="Arial" w:hAnsi="Arial" w:cs="Arial"/>
          <w:b/>
          <w:i/>
        </w:rPr>
        <w:t xml:space="preserve"> </w:t>
      </w:r>
      <w:r w:rsidR="005066CA" w:rsidRPr="00016926">
        <w:rPr>
          <w:rFonts w:ascii="Arial" w:hAnsi="Arial" w:cs="Arial"/>
          <w:b/>
          <w:i/>
        </w:rPr>
        <w:t>Rais</w:t>
      </w:r>
      <w:bookmarkStart w:id="0" w:name="_GoBack"/>
      <w:bookmarkEnd w:id="0"/>
      <w:r w:rsidR="005066CA" w:rsidRPr="00016926">
        <w:rPr>
          <w:rFonts w:ascii="Arial" w:hAnsi="Arial" w:cs="Arial"/>
          <w:b/>
          <w:i/>
        </w:rPr>
        <w:t>es</w:t>
      </w:r>
      <w:r w:rsidR="007C73B2" w:rsidRPr="00016926">
        <w:rPr>
          <w:rFonts w:ascii="Arial" w:hAnsi="Arial" w:cs="Arial"/>
          <w:b/>
          <w:i/>
        </w:rPr>
        <w:t xml:space="preserve"> Free Cash Flow Guidance</w:t>
      </w:r>
      <w:r w:rsidR="00465761" w:rsidRPr="00016926">
        <w:rPr>
          <w:rFonts w:ascii="Arial" w:hAnsi="Arial" w:cs="Arial"/>
          <w:b/>
          <w:i/>
        </w:rPr>
        <w:t xml:space="preserve"> to $5B</w:t>
      </w:r>
    </w:p>
    <w:p w:rsidR="00771488" w:rsidRPr="004F5D76" w:rsidRDefault="00771488" w:rsidP="00771488">
      <w:pPr>
        <w:pStyle w:val="ListParagraph"/>
        <w:ind w:left="540"/>
        <w:rPr>
          <w:rFonts w:ascii="Arial" w:hAnsi="Arial" w:cs="Arial"/>
          <w:b/>
          <w:i/>
        </w:rPr>
      </w:pPr>
    </w:p>
    <w:p w:rsidR="009D78B3" w:rsidRDefault="004F5DA4" w:rsidP="001818ED">
      <w:pPr>
        <w:ind w:firstLine="720"/>
        <w:rPr>
          <w:rFonts w:ascii="Arial" w:hAnsi="Arial" w:cs="Arial"/>
          <w:sz w:val="22"/>
        </w:rPr>
      </w:pPr>
      <w:r w:rsidRPr="004F5D76">
        <w:rPr>
          <w:rFonts w:ascii="Arial" w:hAnsi="Arial" w:cs="Arial"/>
          <w:b/>
        </w:rPr>
        <w:t>A</w:t>
      </w:r>
      <w:r w:rsidR="006376D6">
        <w:rPr>
          <w:rFonts w:ascii="Arial" w:hAnsi="Arial" w:cs="Arial"/>
          <w:b/>
        </w:rPr>
        <w:t xml:space="preserve">TLANTA </w:t>
      </w:r>
      <w:r w:rsidR="00456224">
        <w:rPr>
          <w:rFonts w:ascii="Arial" w:hAnsi="Arial" w:cs="Arial"/>
          <w:b/>
        </w:rPr>
        <w:t>–</w:t>
      </w:r>
      <w:r w:rsidR="005855A9" w:rsidRPr="004F5D76">
        <w:rPr>
          <w:rFonts w:ascii="Arial" w:hAnsi="Arial" w:cs="Arial"/>
          <w:b/>
        </w:rPr>
        <w:t xml:space="preserve"> </w:t>
      </w:r>
      <w:r w:rsidR="00DF7166">
        <w:rPr>
          <w:rFonts w:ascii="Arial" w:hAnsi="Arial" w:cs="Arial"/>
          <w:b/>
        </w:rPr>
        <w:t>July 25</w:t>
      </w:r>
      <w:r w:rsidR="005855A9" w:rsidRPr="004F5D76">
        <w:rPr>
          <w:rFonts w:ascii="Arial" w:hAnsi="Arial" w:cs="Arial"/>
          <w:b/>
        </w:rPr>
        <w:t>, 201</w:t>
      </w:r>
      <w:r w:rsidR="005A5BC6">
        <w:rPr>
          <w:rFonts w:ascii="Arial" w:hAnsi="Arial" w:cs="Arial"/>
          <w:b/>
        </w:rPr>
        <w:t>8</w:t>
      </w:r>
      <w:r w:rsidR="005855A9" w:rsidRPr="004F5D76">
        <w:rPr>
          <w:rFonts w:ascii="Arial" w:hAnsi="Arial" w:cs="Arial"/>
          <w:sz w:val="22"/>
        </w:rPr>
        <w:t xml:space="preserve"> – UPS (NYSE:UPS) today </w:t>
      </w:r>
      <w:r w:rsidR="00E91AEF">
        <w:rPr>
          <w:rFonts w:ascii="Arial" w:hAnsi="Arial" w:cs="Arial"/>
          <w:sz w:val="22"/>
        </w:rPr>
        <w:t>announced second</w:t>
      </w:r>
      <w:r w:rsidR="000640A6">
        <w:rPr>
          <w:rFonts w:ascii="Arial" w:hAnsi="Arial" w:cs="Arial"/>
          <w:sz w:val="22"/>
        </w:rPr>
        <w:t>-</w:t>
      </w:r>
      <w:r w:rsidR="00E91AEF">
        <w:rPr>
          <w:rFonts w:ascii="Arial" w:hAnsi="Arial" w:cs="Arial"/>
          <w:sz w:val="22"/>
        </w:rPr>
        <w:t xml:space="preserve">quarter </w:t>
      </w:r>
      <w:r w:rsidR="00713C07">
        <w:rPr>
          <w:rFonts w:ascii="Arial" w:hAnsi="Arial" w:cs="Arial"/>
          <w:sz w:val="22"/>
        </w:rPr>
        <w:t xml:space="preserve">diluted earnings per share </w:t>
      </w:r>
      <w:r w:rsidR="00E91AEF">
        <w:rPr>
          <w:rFonts w:ascii="Arial" w:hAnsi="Arial" w:cs="Arial"/>
          <w:sz w:val="22"/>
        </w:rPr>
        <w:t>growth of</w:t>
      </w:r>
      <w:r w:rsidR="00713C07">
        <w:rPr>
          <w:rFonts w:ascii="Arial" w:hAnsi="Arial" w:cs="Arial"/>
          <w:sz w:val="22"/>
        </w:rPr>
        <w:t xml:space="preserve"> </w:t>
      </w:r>
      <w:r w:rsidR="00DF35C0">
        <w:rPr>
          <w:rFonts w:ascii="Arial" w:hAnsi="Arial" w:cs="Arial"/>
          <w:sz w:val="22"/>
        </w:rPr>
        <w:t xml:space="preserve">8.2%, to $1.71, and adjusted diluted earnings per share </w:t>
      </w:r>
      <w:r w:rsidR="00D34882">
        <w:rPr>
          <w:rFonts w:ascii="Arial" w:hAnsi="Arial" w:cs="Arial"/>
          <w:sz w:val="22"/>
        </w:rPr>
        <w:t xml:space="preserve">growth of </w:t>
      </w:r>
      <w:r w:rsidR="00DF35C0">
        <w:rPr>
          <w:rFonts w:ascii="Arial" w:hAnsi="Arial" w:cs="Arial"/>
          <w:sz w:val="22"/>
        </w:rPr>
        <w:t>23%, to $1.94</w:t>
      </w:r>
      <w:r w:rsidR="006A56E7">
        <w:rPr>
          <w:rFonts w:ascii="Arial" w:hAnsi="Arial" w:cs="Arial"/>
          <w:sz w:val="22"/>
        </w:rPr>
        <w:t xml:space="preserve">. </w:t>
      </w:r>
    </w:p>
    <w:p w:rsidR="00E91AEF" w:rsidRDefault="00E91AEF" w:rsidP="00C262B0">
      <w:pPr>
        <w:rPr>
          <w:rFonts w:ascii="Arial" w:hAnsi="Arial" w:cs="Arial"/>
          <w:sz w:val="22"/>
          <w:szCs w:val="22"/>
        </w:rPr>
      </w:pPr>
      <w:r>
        <w:rPr>
          <w:rFonts w:ascii="Arial" w:hAnsi="Arial" w:cs="Arial"/>
          <w:sz w:val="22"/>
        </w:rPr>
        <w:tab/>
      </w:r>
      <w:r w:rsidR="005E5BC4">
        <w:rPr>
          <w:rFonts w:ascii="Arial" w:hAnsi="Arial" w:cs="Arial"/>
          <w:sz w:val="22"/>
        </w:rPr>
        <w:t xml:space="preserve">Second-quarter 2018 adjusted results exclude a </w:t>
      </w:r>
      <w:r w:rsidR="00BB3101">
        <w:rPr>
          <w:rFonts w:ascii="Arial" w:hAnsi="Arial" w:cs="Arial"/>
          <w:sz w:val="22"/>
        </w:rPr>
        <w:t xml:space="preserve">pre-tax </w:t>
      </w:r>
      <w:r w:rsidR="005E5BC4">
        <w:rPr>
          <w:rFonts w:ascii="Arial" w:hAnsi="Arial" w:cs="Arial"/>
          <w:sz w:val="22"/>
        </w:rPr>
        <w:t>charge of $263 million, or $0.23 per share</w:t>
      </w:r>
      <w:r w:rsidR="00BB3101">
        <w:rPr>
          <w:rFonts w:ascii="Arial" w:hAnsi="Arial" w:cs="Arial"/>
          <w:sz w:val="22"/>
        </w:rPr>
        <w:t xml:space="preserve"> after-tax</w:t>
      </w:r>
      <w:r w:rsidR="005E5BC4">
        <w:rPr>
          <w:rFonts w:ascii="Arial" w:hAnsi="Arial" w:cs="Arial"/>
          <w:sz w:val="22"/>
        </w:rPr>
        <w:t xml:space="preserve">, due to transformation costs </w:t>
      </w:r>
      <w:r w:rsidR="00BF6D0F">
        <w:rPr>
          <w:rFonts w:ascii="Arial" w:hAnsi="Arial" w:cs="Arial"/>
          <w:sz w:val="22"/>
        </w:rPr>
        <w:t xml:space="preserve">primarily related to the </w:t>
      </w:r>
      <w:r w:rsidR="005E5BC4">
        <w:rPr>
          <w:rFonts w:ascii="Arial" w:hAnsi="Arial" w:cs="Arial"/>
          <w:sz w:val="22"/>
        </w:rPr>
        <w:t xml:space="preserve">Voluntary Retirement Plan (VRP).   </w:t>
      </w:r>
      <w:r>
        <w:rPr>
          <w:rFonts w:ascii="Arial" w:hAnsi="Arial" w:cs="Arial"/>
          <w:sz w:val="22"/>
        </w:rPr>
        <w:t xml:space="preserve"> </w:t>
      </w:r>
    </w:p>
    <w:tbl>
      <w:tblPr>
        <w:tblStyle w:val="TableGrid"/>
        <w:tblW w:w="75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1428"/>
        <w:gridCol w:w="1361"/>
        <w:gridCol w:w="1604"/>
      </w:tblGrid>
      <w:tr w:rsidR="00F173C9" w:rsidRPr="00F173C9" w:rsidTr="00DF35C0">
        <w:trPr>
          <w:jc w:val="center"/>
        </w:trPr>
        <w:tc>
          <w:tcPr>
            <w:tcW w:w="3168" w:type="dxa"/>
          </w:tcPr>
          <w:p w:rsidR="00F173C9" w:rsidRPr="004B2151" w:rsidRDefault="00F173C9" w:rsidP="00174DB0">
            <w:pPr>
              <w:rPr>
                <w:rFonts w:ascii="Arial" w:hAnsi="Arial" w:cs="Arial"/>
                <w:b/>
                <w:sz w:val="20"/>
                <w:szCs w:val="22"/>
                <w:u w:val="single"/>
              </w:rPr>
            </w:pPr>
          </w:p>
          <w:p w:rsidR="00F173C9" w:rsidRPr="00F173C9" w:rsidRDefault="00F173C9" w:rsidP="00174DB0">
            <w:pPr>
              <w:rPr>
                <w:rFonts w:ascii="Arial" w:hAnsi="Arial" w:cs="Arial"/>
                <w:b/>
                <w:sz w:val="20"/>
                <w:szCs w:val="22"/>
                <w:u w:val="single"/>
              </w:rPr>
            </w:pPr>
            <w:r w:rsidRPr="00F173C9">
              <w:rPr>
                <w:rFonts w:ascii="Arial" w:hAnsi="Arial" w:cs="Arial"/>
                <w:b/>
                <w:sz w:val="20"/>
                <w:szCs w:val="22"/>
                <w:u w:val="single"/>
              </w:rPr>
              <w:t>Consolidated Results</w:t>
            </w:r>
          </w:p>
        </w:tc>
        <w:tc>
          <w:tcPr>
            <w:tcW w:w="1428" w:type="dxa"/>
          </w:tcPr>
          <w:p w:rsidR="00F173C9" w:rsidRPr="00F173C9" w:rsidRDefault="00F173C9" w:rsidP="00174DB0">
            <w:pPr>
              <w:jc w:val="right"/>
              <w:rPr>
                <w:rFonts w:ascii="Arial" w:hAnsi="Arial" w:cs="Arial"/>
                <w:b/>
                <w:sz w:val="20"/>
                <w:szCs w:val="22"/>
                <w:u w:val="single"/>
              </w:rPr>
            </w:pPr>
          </w:p>
          <w:p w:rsidR="00F173C9" w:rsidRPr="00F173C9" w:rsidRDefault="00F173C9" w:rsidP="00DF7166">
            <w:pPr>
              <w:jc w:val="right"/>
              <w:rPr>
                <w:rFonts w:ascii="Arial" w:hAnsi="Arial" w:cs="Arial"/>
                <w:b/>
                <w:sz w:val="20"/>
                <w:szCs w:val="22"/>
                <w:u w:val="single"/>
              </w:rPr>
            </w:pPr>
            <w:r w:rsidRPr="00F173C9">
              <w:rPr>
                <w:rFonts w:ascii="Arial" w:hAnsi="Arial" w:cs="Arial"/>
                <w:b/>
                <w:sz w:val="20"/>
                <w:szCs w:val="22"/>
                <w:u w:val="single"/>
              </w:rPr>
              <w:t>2Q 2018</w:t>
            </w:r>
          </w:p>
        </w:tc>
        <w:tc>
          <w:tcPr>
            <w:tcW w:w="1361" w:type="dxa"/>
          </w:tcPr>
          <w:p w:rsidR="00F173C9" w:rsidRPr="00411C2E" w:rsidRDefault="00F173C9" w:rsidP="00174DB0">
            <w:pPr>
              <w:jc w:val="right"/>
              <w:rPr>
                <w:rFonts w:ascii="Arial" w:hAnsi="Arial" w:cs="Arial"/>
                <w:b/>
                <w:sz w:val="20"/>
                <w:szCs w:val="22"/>
                <w:u w:val="single"/>
              </w:rPr>
            </w:pPr>
            <w:r w:rsidRPr="00411C2E">
              <w:rPr>
                <w:rFonts w:ascii="Arial" w:hAnsi="Arial" w:cs="Arial"/>
                <w:b/>
                <w:sz w:val="20"/>
                <w:szCs w:val="22"/>
                <w:u w:val="single"/>
              </w:rPr>
              <w:t>Adjusted</w:t>
            </w:r>
          </w:p>
          <w:p w:rsidR="00F173C9" w:rsidRPr="00F173C9" w:rsidRDefault="00F173C9" w:rsidP="00DF7166">
            <w:pPr>
              <w:jc w:val="right"/>
              <w:rPr>
                <w:rFonts w:ascii="Arial" w:hAnsi="Arial" w:cs="Arial"/>
                <w:b/>
                <w:sz w:val="20"/>
                <w:szCs w:val="22"/>
                <w:u w:val="single"/>
              </w:rPr>
            </w:pPr>
            <w:r w:rsidRPr="00411C2E">
              <w:rPr>
                <w:rFonts w:ascii="Arial" w:hAnsi="Arial" w:cs="Arial"/>
                <w:b/>
                <w:sz w:val="20"/>
                <w:szCs w:val="22"/>
                <w:u w:val="single"/>
              </w:rPr>
              <w:t>2Q 2018</w:t>
            </w:r>
          </w:p>
        </w:tc>
        <w:tc>
          <w:tcPr>
            <w:tcW w:w="1604" w:type="dxa"/>
          </w:tcPr>
          <w:p w:rsidR="00F173C9" w:rsidRPr="00F173C9" w:rsidRDefault="00F173C9" w:rsidP="00174DB0">
            <w:pPr>
              <w:jc w:val="right"/>
              <w:rPr>
                <w:rFonts w:ascii="Arial" w:hAnsi="Arial" w:cs="Arial"/>
                <w:b/>
                <w:sz w:val="20"/>
                <w:szCs w:val="22"/>
                <w:u w:val="single"/>
              </w:rPr>
            </w:pPr>
          </w:p>
          <w:p w:rsidR="00F173C9" w:rsidRPr="00F173C9" w:rsidRDefault="00F173C9">
            <w:pPr>
              <w:jc w:val="right"/>
              <w:rPr>
                <w:rFonts w:ascii="Arial" w:hAnsi="Arial" w:cs="Arial"/>
                <w:b/>
                <w:sz w:val="20"/>
                <w:szCs w:val="22"/>
                <w:u w:val="single"/>
              </w:rPr>
            </w:pPr>
            <w:r w:rsidRPr="00713C07">
              <w:rPr>
                <w:rFonts w:ascii="Arial" w:hAnsi="Arial" w:cs="Arial"/>
                <w:b/>
                <w:sz w:val="20"/>
                <w:szCs w:val="22"/>
                <w:u w:val="single"/>
              </w:rPr>
              <w:t>2Q 201</w:t>
            </w:r>
            <w:r w:rsidRPr="00F173C9">
              <w:rPr>
                <w:rFonts w:ascii="Arial" w:hAnsi="Arial" w:cs="Arial"/>
                <w:b/>
                <w:sz w:val="20"/>
                <w:szCs w:val="22"/>
                <w:u w:val="single"/>
              </w:rPr>
              <w:t>7</w:t>
            </w:r>
          </w:p>
        </w:tc>
      </w:tr>
      <w:tr w:rsidR="00F173C9" w:rsidRPr="00F173C9" w:rsidTr="00DF35C0">
        <w:trPr>
          <w:jc w:val="center"/>
        </w:trPr>
        <w:tc>
          <w:tcPr>
            <w:tcW w:w="3168" w:type="dxa"/>
          </w:tcPr>
          <w:p w:rsidR="00F173C9" w:rsidRPr="00F173C9" w:rsidRDefault="00F173C9" w:rsidP="00174DB0">
            <w:pPr>
              <w:rPr>
                <w:rFonts w:ascii="Arial" w:hAnsi="Arial" w:cs="Arial"/>
                <w:sz w:val="20"/>
                <w:szCs w:val="22"/>
              </w:rPr>
            </w:pPr>
            <w:r w:rsidRPr="00F173C9">
              <w:rPr>
                <w:rFonts w:ascii="Arial" w:hAnsi="Arial" w:cs="Arial"/>
                <w:sz w:val="20"/>
                <w:szCs w:val="22"/>
              </w:rPr>
              <w:t>Revenue</w:t>
            </w:r>
          </w:p>
        </w:tc>
        <w:tc>
          <w:tcPr>
            <w:tcW w:w="1428" w:type="dxa"/>
          </w:tcPr>
          <w:p w:rsidR="00F173C9" w:rsidRPr="00F173C9" w:rsidRDefault="00F173C9">
            <w:pPr>
              <w:jc w:val="right"/>
              <w:rPr>
                <w:rFonts w:ascii="Arial" w:hAnsi="Arial" w:cs="Arial"/>
                <w:sz w:val="20"/>
                <w:szCs w:val="22"/>
              </w:rPr>
            </w:pPr>
            <w:r w:rsidRPr="00F173C9">
              <w:rPr>
                <w:rFonts w:ascii="Arial" w:hAnsi="Arial" w:cs="Arial"/>
                <w:sz w:val="20"/>
                <w:szCs w:val="22"/>
              </w:rPr>
              <w:t>$1</w:t>
            </w:r>
            <w:r>
              <w:rPr>
                <w:rFonts w:ascii="Arial" w:hAnsi="Arial" w:cs="Arial"/>
                <w:sz w:val="20"/>
                <w:szCs w:val="22"/>
              </w:rPr>
              <w:t>7</w:t>
            </w:r>
            <w:r w:rsidRPr="00F173C9">
              <w:rPr>
                <w:rFonts w:ascii="Arial" w:hAnsi="Arial" w:cs="Arial"/>
                <w:sz w:val="20"/>
                <w:szCs w:val="22"/>
              </w:rPr>
              <w:t>,</w:t>
            </w:r>
            <w:r>
              <w:rPr>
                <w:rFonts w:ascii="Arial" w:hAnsi="Arial" w:cs="Arial"/>
                <w:sz w:val="20"/>
                <w:szCs w:val="22"/>
              </w:rPr>
              <w:t>456</w:t>
            </w:r>
            <w:r w:rsidRPr="00F173C9">
              <w:rPr>
                <w:rFonts w:ascii="Arial" w:hAnsi="Arial" w:cs="Arial"/>
                <w:sz w:val="20"/>
                <w:szCs w:val="22"/>
              </w:rPr>
              <w:t xml:space="preserve"> M</w:t>
            </w:r>
          </w:p>
        </w:tc>
        <w:tc>
          <w:tcPr>
            <w:tcW w:w="1361" w:type="dxa"/>
          </w:tcPr>
          <w:p w:rsidR="00F173C9" w:rsidRPr="00F173C9" w:rsidRDefault="00F173C9" w:rsidP="00174DB0">
            <w:pPr>
              <w:jc w:val="right"/>
              <w:rPr>
                <w:rFonts w:ascii="Arial" w:hAnsi="Arial" w:cs="Arial"/>
                <w:sz w:val="20"/>
                <w:szCs w:val="22"/>
              </w:rPr>
            </w:pPr>
          </w:p>
        </w:tc>
        <w:tc>
          <w:tcPr>
            <w:tcW w:w="1604" w:type="dxa"/>
          </w:tcPr>
          <w:p w:rsidR="00F173C9" w:rsidRPr="00F173C9" w:rsidRDefault="00F173C9">
            <w:pPr>
              <w:jc w:val="right"/>
              <w:rPr>
                <w:rFonts w:ascii="Arial" w:hAnsi="Arial" w:cs="Arial"/>
                <w:sz w:val="20"/>
                <w:szCs w:val="22"/>
              </w:rPr>
            </w:pPr>
            <w:r w:rsidRPr="00F173C9">
              <w:rPr>
                <w:rFonts w:ascii="Arial" w:hAnsi="Arial" w:cs="Arial"/>
                <w:sz w:val="20"/>
                <w:szCs w:val="22"/>
              </w:rPr>
              <w:t>$</w:t>
            </w:r>
            <w:r>
              <w:rPr>
                <w:rFonts w:ascii="Arial" w:hAnsi="Arial" w:cs="Arial"/>
                <w:sz w:val="20"/>
                <w:szCs w:val="22"/>
              </w:rPr>
              <w:t>15,927</w:t>
            </w:r>
            <w:r w:rsidRPr="00F173C9">
              <w:rPr>
                <w:rFonts w:ascii="Arial" w:hAnsi="Arial" w:cs="Arial"/>
                <w:sz w:val="20"/>
                <w:szCs w:val="22"/>
              </w:rPr>
              <w:t xml:space="preserve"> M</w:t>
            </w:r>
          </w:p>
        </w:tc>
      </w:tr>
      <w:tr w:rsidR="00F173C9" w:rsidRPr="00F173C9" w:rsidTr="00DF35C0">
        <w:trPr>
          <w:jc w:val="center"/>
        </w:trPr>
        <w:tc>
          <w:tcPr>
            <w:tcW w:w="3168" w:type="dxa"/>
          </w:tcPr>
          <w:p w:rsidR="00F173C9" w:rsidRPr="00F173C9" w:rsidRDefault="00DC24DD">
            <w:pPr>
              <w:rPr>
                <w:rFonts w:ascii="Arial" w:hAnsi="Arial" w:cs="Arial"/>
                <w:sz w:val="20"/>
                <w:szCs w:val="22"/>
              </w:rPr>
            </w:pPr>
            <w:r>
              <w:rPr>
                <w:rFonts w:ascii="Arial" w:hAnsi="Arial" w:cs="Arial"/>
                <w:sz w:val="20"/>
                <w:szCs w:val="22"/>
              </w:rPr>
              <w:t>Net Income</w:t>
            </w:r>
            <w:r w:rsidR="00F173C9" w:rsidRPr="00F173C9">
              <w:rPr>
                <w:rFonts w:ascii="Arial" w:hAnsi="Arial" w:cs="Arial"/>
                <w:sz w:val="20"/>
                <w:szCs w:val="22"/>
              </w:rPr>
              <w:t xml:space="preserve"> </w:t>
            </w:r>
          </w:p>
        </w:tc>
        <w:tc>
          <w:tcPr>
            <w:tcW w:w="1428" w:type="dxa"/>
          </w:tcPr>
          <w:p w:rsidR="00F173C9" w:rsidRPr="00F173C9" w:rsidRDefault="00F173C9" w:rsidP="00DF35C0">
            <w:pPr>
              <w:jc w:val="right"/>
              <w:rPr>
                <w:rFonts w:ascii="Arial" w:hAnsi="Arial" w:cs="Arial"/>
                <w:sz w:val="20"/>
                <w:szCs w:val="22"/>
              </w:rPr>
            </w:pPr>
            <w:r w:rsidRPr="00F173C9">
              <w:rPr>
                <w:rFonts w:ascii="Arial" w:hAnsi="Arial" w:cs="Arial"/>
                <w:sz w:val="20"/>
                <w:szCs w:val="22"/>
              </w:rPr>
              <w:t>$</w:t>
            </w:r>
            <w:r w:rsidR="00DC24DD">
              <w:rPr>
                <w:rFonts w:ascii="Arial" w:hAnsi="Arial" w:cs="Arial"/>
                <w:sz w:val="20"/>
                <w:szCs w:val="22"/>
              </w:rPr>
              <w:t>1,</w:t>
            </w:r>
            <w:r w:rsidR="00DF35C0">
              <w:rPr>
                <w:rFonts w:ascii="Arial" w:hAnsi="Arial" w:cs="Arial"/>
                <w:sz w:val="20"/>
                <w:szCs w:val="22"/>
              </w:rPr>
              <w:t>485</w:t>
            </w:r>
            <w:r w:rsidRPr="00F173C9">
              <w:rPr>
                <w:rFonts w:ascii="Arial" w:hAnsi="Arial" w:cs="Arial"/>
                <w:sz w:val="20"/>
                <w:szCs w:val="22"/>
              </w:rPr>
              <w:t xml:space="preserve"> M</w:t>
            </w:r>
          </w:p>
        </w:tc>
        <w:tc>
          <w:tcPr>
            <w:tcW w:w="1361" w:type="dxa"/>
          </w:tcPr>
          <w:p w:rsidR="00F173C9" w:rsidRPr="00F173C9" w:rsidRDefault="00F173C9" w:rsidP="00DF35C0">
            <w:pPr>
              <w:jc w:val="right"/>
              <w:rPr>
                <w:rFonts w:ascii="Arial" w:hAnsi="Arial" w:cs="Arial"/>
                <w:sz w:val="20"/>
                <w:szCs w:val="22"/>
              </w:rPr>
            </w:pPr>
            <w:r w:rsidRPr="00F173C9">
              <w:rPr>
                <w:rFonts w:ascii="Arial" w:hAnsi="Arial" w:cs="Arial"/>
                <w:sz w:val="20"/>
                <w:szCs w:val="22"/>
              </w:rPr>
              <w:t>$</w:t>
            </w:r>
            <w:r w:rsidR="00DC24DD">
              <w:rPr>
                <w:rFonts w:ascii="Arial" w:hAnsi="Arial" w:cs="Arial"/>
                <w:sz w:val="20"/>
                <w:szCs w:val="22"/>
              </w:rPr>
              <w:t>1,</w:t>
            </w:r>
            <w:r w:rsidR="00DF35C0">
              <w:rPr>
                <w:rFonts w:ascii="Arial" w:hAnsi="Arial" w:cs="Arial"/>
                <w:sz w:val="20"/>
                <w:szCs w:val="22"/>
              </w:rPr>
              <w:t>685</w:t>
            </w:r>
            <w:r w:rsidRPr="00F173C9">
              <w:rPr>
                <w:rFonts w:ascii="Arial" w:hAnsi="Arial" w:cs="Arial"/>
                <w:sz w:val="20"/>
                <w:szCs w:val="22"/>
              </w:rPr>
              <w:t xml:space="preserve"> M</w:t>
            </w:r>
          </w:p>
        </w:tc>
        <w:tc>
          <w:tcPr>
            <w:tcW w:w="1604" w:type="dxa"/>
          </w:tcPr>
          <w:p w:rsidR="00F173C9" w:rsidRPr="00F173C9" w:rsidRDefault="00DC24DD">
            <w:pPr>
              <w:jc w:val="right"/>
              <w:rPr>
                <w:rFonts w:ascii="Arial" w:hAnsi="Arial" w:cs="Arial"/>
                <w:sz w:val="20"/>
                <w:szCs w:val="22"/>
              </w:rPr>
            </w:pPr>
            <w:r>
              <w:rPr>
                <w:rFonts w:ascii="Arial" w:hAnsi="Arial" w:cs="Arial"/>
                <w:sz w:val="20"/>
                <w:szCs w:val="22"/>
              </w:rPr>
              <w:t>$1,384</w:t>
            </w:r>
            <w:r w:rsidR="00F173C9" w:rsidRPr="00F173C9">
              <w:rPr>
                <w:rFonts w:ascii="Arial" w:hAnsi="Arial" w:cs="Arial"/>
                <w:sz w:val="20"/>
                <w:szCs w:val="22"/>
              </w:rPr>
              <w:t xml:space="preserve"> M</w:t>
            </w:r>
          </w:p>
        </w:tc>
      </w:tr>
      <w:tr w:rsidR="00F173C9" w:rsidRPr="001E1EB6" w:rsidTr="00DF35C0">
        <w:trPr>
          <w:jc w:val="center"/>
        </w:trPr>
        <w:tc>
          <w:tcPr>
            <w:tcW w:w="3168" w:type="dxa"/>
          </w:tcPr>
          <w:p w:rsidR="00F173C9" w:rsidRPr="00F173C9" w:rsidRDefault="00F173C9">
            <w:pPr>
              <w:rPr>
                <w:rFonts w:ascii="Arial" w:hAnsi="Arial" w:cs="Arial"/>
                <w:sz w:val="20"/>
                <w:szCs w:val="22"/>
              </w:rPr>
            </w:pPr>
            <w:r w:rsidRPr="00F173C9">
              <w:rPr>
                <w:rFonts w:ascii="Arial" w:hAnsi="Arial" w:cs="Arial"/>
                <w:sz w:val="20"/>
                <w:szCs w:val="22"/>
              </w:rPr>
              <w:t>Diluted earnings</w:t>
            </w:r>
            <w:r w:rsidR="00B12F3D">
              <w:rPr>
                <w:rFonts w:ascii="Arial" w:hAnsi="Arial" w:cs="Arial"/>
                <w:sz w:val="20"/>
                <w:szCs w:val="22"/>
              </w:rPr>
              <w:t xml:space="preserve"> </w:t>
            </w:r>
            <w:r w:rsidRPr="00F173C9">
              <w:rPr>
                <w:rFonts w:ascii="Arial" w:hAnsi="Arial" w:cs="Arial"/>
                <w:sz w:val="20"/>
                <w:szCs w:val="22"/>
              </w:rPr>
              <w:t>per share</w:t>
            </w:r>
          </w:p>
        </w:tc>
        <w:tc>
          <w:tcPr>
            <w:tcW w:w="1428" w:type="dxa"/>
          </w:tcPr>
          <w:p w:rsidR="00F173C9" w:rsidRPr="00F173C9" w:rsidRDefault="00F173C9" w:rsidP="00DF35C0">
            <w:pPr>
              <w:jc w:val="right"/>
              <w:rPr>
                <w:rFonts w:ascii="Arial" w:hAnsi="Arial" w:cs="Arial"/>
                <w:sz w:val="20"/>
                <w:szCs w:val="22"/>
              </w:rPr>
            </w:pPr>
            <w:r w:rsidRPr="00F173C9">
              <w:rPr>
                <w:rFonts w:ascii="Arial" w:hAnsi="Arial" w:cs="Arial"/>
                <w:sz w:val="20"/>
                <w:szCs w:val="22"/>
              </w:rPr>
              <w:t>$</w:t>
            </w:r>
            <w:r>
              <w:rPr>
                <w:rFonts w:ascii="Arial" w:hAnsi="Arial" w:cs="Arial"/>
                <w:sz w:val="20"/>
                <w:szCs w:val="22"/>
              </w:rPr>
              <w:t>1.7</w:t>
            </w:r>
            <w:r w:rsidR="00DF35C0">
              <w:rPr>
                <w:rFonts w:ascii="Arial" w:hAnsi="Arial" w:cs="Arial"/>
                <w:sz w:val="20"/>
                <w:szCs w:val="22"/>
              </w:rPr>
              <w:t>1</w:t>
            </w:r>
          </w:p>
        </w:tc>
        <w:tc>
          <w:tcPr>
            <w:tcW w:w="1361" w:type="dxa"/>
          </w:tcPr>
          <w:p w:rsidR="00F173C9" w:rsidRPr="00F173C9" w:rsidRDefault="00F173C9" w:rsidP="00DF35C0">
            <w:pPr>
              <w:jc w:val="right"/>
              <w:rPr>
                <w:rFonts w:ascii="Arial" w:hAnsi="Arial" w:cs="Arial"/>
                <w:sz w:val="20"/>
                <w:szCs w:val="22"/>
              </w:rPr>
            </w:pPr>
            <w:r w:rsidRPr="00F173C9">
              <w:rPr>
                <w:rFonts w:ascii="Arial" w:hAnsi="Arial" w:cs="Arial"/>
                <w:sz w:val="20"/>
                <w:szCs w:val="22"/>
              </w:rPr>
              <w:t>$1.9</w:t>
            </w:r>
            <w:r w:rsidR="00DF35C0">
              <w:rPr>
                <w:rFonts w:ascii="Arial" w:hAnsi="Arial" w:cs="Arial"/>
                <w:sz w:val="20"/>
                <w:szCs w:val="22"/>
              </w:rPr>
              <w:t>4</w:t>
            </w:r>
          </w:p>
        </w:tc>
        <w:tc>
          <w:tcPr>
            <w:tcW w:w="1604" w:type="dxa"/>
          </w:tcPr>
          <w:p w:rsidR="00F173C9" w:rsidRPr="00F173C9" w:rsidRDefault="00F173C9" w:rsidP="00174DB0">
            <w:pPr>
              <w:jc w:val="right"/>
              <w:rPr>
                <w:rFonts w:ascii="Arial" w:hAnsi="Arial" w:cs="Arial"/>
                <w:sz w:val="20"/>
                <w:szCs w:val="22"/>
              </w:rPr>
            </w:pPr>
            <w:r>
              <w:rPr>
                <w:rFonts w:ascii="Arial" w:hAnsi="Arial" w:cs="Arial"/>
                <w:sz w:val="20"/>
                <w:szCs w:val="22"/>
              </w:rPr>
              <w:t>$1.58</w:t>
            </w:r>
          </w:p>
        </w:tc>
      </w:tr>
      <w:tr w:rsidR="00854198" w:rsidRPr="001E1EB6" w:rsidTr="00DF35C0">
        <w:trPr>
          <w:jc w:val="center"/>
        </w:trPr>
        <w:tc>
          <w:tcPr>
            <w:tcW w:w="3168" w:type="dxa"/>
          </w:tcPr>
          <w:p w:rsidR="00854198" w:rsidRPr="00F173C9" w:rsidRDefault="00854198">
            <w:pPr>
              <w:rPr>
                <w:rFonts w:ascii="Arial" w:hAnsi="Arial" w:cs="Arial"/>
                <w:sz w:val="20"/>
                <w:szCs w:val="22"/>
              </w:rPr>
            </w:pPr>
            <w:r>
              <w:rPr>
                <w:rFonts w:ascii="Arial" w:hAnsi="Arial" w:cs="Arial"/>
                <w:sz w:val="20"/>
                <w:szCs w:val="22"/>
              </w:rPr>
              <w:t>EPS Growth</w:t>
            </w:r>
          </w:p>
        </w:tc>
        <w:tc>
          <w:tcPr>
            <w:tcW w:w="1428" w:type="dxa"/>
          </w:tcPr>
          <w:p w:rsidR="00854198" w:rsidRPr="00F173C9" w:rsidRDefault="00854198" w:rsidP="00DF35C0">
            <w:pPr>
              <w:jc w:val="right"/>
              <w:rPr>
                <w:rFonts w:ascii="Arial" w:hAnsi="Arial" w:cs="Arial"/>
                <w:sz w:val="20"/>
                <w:szCs w:val="22"/>
              </w:rPr>
            </w:pPr>
            <w:r>
              <w:rPr>
                <w:rFonts w:ascii="Arial" w:hAnsi="Arial" w:cs="Arial"/>
                <w:sz w:val="20"/>
                <w:szCs w:val="22"/>
              </w:rPr>
              <w:t>8.2%</w:t>
            </w:r>
          </w:p>
        </w:tc>
        <w:tc>
          <w:tcPr>
            <w:tcW w:w="1361" w:type="dxa"/>
          </w:tcPr>
          <w:p w:rsidR="00854198" w:rsidRPr="00F173C9" w:rsidRDefault="00854198" w:rsidP="00DF35C0">
            <w:pPr>
              <w:jc w:val="right"/>
              <w:rPr>
                <w:rFonts w:ascii="Arial" w:hAnsi="Arial" w:cs="Arial"/>
                <w:sz w:val="20"/>
                <w:szCs w:val="22"/>
              </w:rPr>
            </w:pPr>
            <w:r>
              <w:rPr>
                <w:rFonts w:ascii="Arial" w:hAnsi="Arial" w:cs="Arial"/>
                <w:sz w:val="20"/>
                <w:szCs w:val="22"/>
              </w:rPr>
              <w:t>23%</w:t>
            </w:r>
          </w:p>
        </w:tc>
        <w:tc>
          <w:tcPr>
            <w:tcW w:w="1604" w:type="dxa"/>
          </w:tcPr>
          <w:p w:rsidR="00854198" w:rsidRDefault="00854198" w:rsidP="00174DB0">
            <w:pPr>
              <w:jc w:val="right"/>
              <w:rPr>
                <w:rFonts w:ascii="Arial" w:hAnsi="Arial" w:cs="Arial"/>
                <w:sz w:val="20"/>
                <w:szCs w:val="22"/>
              </w:rPr>
            </w:pPr>
          </w:p>
        </w:tc>
      </w:tr>
    </w:tbl>
    <w:p w:rsidR="00BA4900" w:rsidRDefault="00BA4900" w:rsidP="000E624D">
      <w:pPr>
        <w:rPr>
          <w:rFonts w:ascii="Arial" w:hAnsi="Arial" w:cs="Arial"/>
          <w:sz w:val="22"/>
        </w:rPr>
      </w:pPr>
    </w:p>
    <w:p w:rsidR="00E91AEF" w:rsidRDefault="00E91AEF" w:rsidP="00E91AEF">
      <w:pPr>
        <w:ind w:firstLine="720"/>
        <w:rPr>
          <w:rFonts w:ascii="Arial" w:hAnsi="Arial" w:cs="Arial"/>
          <w:sz w:val="22"/>
          <w:szCs w:val="22"/>
        </w:rPr>
      </w:pPr>
      <w:r w:rsidRPr="004F5D76">
        <w:rPr>
          <w:rFonts w:ascii="Arial" w:hAnsi="Arial" w:cs="Arial"/>
          <w:sz w:val="22"/>
          <w:szCs w:val="22"/>
        </w:rPr>
        <w:t>“</w:t>
      </w:r>
      <w:r>
        <w:rPr>
          <w:rFonts w:ascii="Arial" w:hAnsi="Arial" w:cs="Arial"/>
          <w:sz w:val="22"/>
          <w:szCs w:val="22"/>
        </w:rPr>
        <w:t>UPS is</w:t>
      </w:r>
      <w:r w:rsidRPr="00713C07">
        <w:rPr>
          <w:rFonts w:ascii="Arial" w:hAnsi="Arial" w:cs="Arial"/>
          <w:sz w:val="22"/>
          <w:szCs w:val="22"/>
        </w:rPr>
        <w:t xml:space="preserve"> making great progress </w:t>
      </w:r>
      <w:r>
        <w:rPr>
          <w:rFonts w:ascii="Arial" w:hAnsi="Arial" w:cs="Arial"/>
          <w:sz w:val="22"/>
          <w:szCs w:val="22"/>
        </w:rPr>
        <w:t>on</w:t>
      </w:r>
      <w:r w:rsidRPr="00713C07">
        <w:rPr>
          <w:rFonts w:ascii="Arial" w:hAnsi="Arial" w:cs="Arial"/>
          <w:sz w:val="22"/>
          <w:szCs w:val="22"/>
        </w:rPr>
        <w:t xml:space="preserve"> </w:t>
      </w:r>
      <w:r w:rsidR="00887F51">
        <w:rPr>
          <w:rFonts w:ascii="Arial" w:hAnsi="Arial" w:cs="Arial"/>
          <w:sz w:val="22"/>
          <w:szCs w:val="22"/>
        </w:rPr>
        <w:t>our</w:t>
      </w:r>
      <w:r w:rsidR="00B12F3D">
        <w:rPr>
          <w:rFonts w:ascii="Arial" w:hAnsi="Arial" w:cs="Arial"/>
          <w:sz w:val="22"/>
          <w:szCs w:val="22"/>
        </w:rPr>
        <w:t xml:space="preserve"> </w:t>
      </w:r>
      <w:r w:rsidRPr="00713C07">
        <w:rPr>
          <w:rFonts w:ascii="Arial" w:hAnsi="Arial" w:cs="Arial"/>
          <w:sz w:val="22"/>
          <w:szCs w:val="22"/>
        </w:rPr>
        <w:t>transformation initiatives to e</w:t>
      </w:r>
      <w:r>
        <w:rPr>
          <w:rFonts w:ascii="Arial" w:hAnsi="Arial" w:cs="Arial"/>
          <w:sz w:val="22"/>
          <w:szCs w:val="22"/>
        </w:rPr>
        <w:t xml:space="preserve">nhance profitable </w:t>
      </w:r>
      <w:r w:rsidRPr="00713C07">
        <w:rPr>
          <w:rFonts w:ascii="Arial" w:hAnsi="Arial" w:cs="Arial"/>
          <w:sz w:val="22"/>
          <w:szCs w:val="22"/>
        </w:rPr>
        <w:t>growth</w:t>
      </w:r>
      <w:r>
        <w:rPr>
          <w:rFonts w:ascii="Arial" w:hAnsi="Arial" w:cs="Arial"/>
          <w:sz w:val="22"/>
          <w:szCs w:val="22"/>
        </w:rPr>
        <w:t xml:space="preserve"> </w:t>
      </w:r>
      <w:r w:rsidRPr="00713C07">
        <w:rPr>
          <w:rFonts w:ascii="Arial" w:hAnsi="Arial" w:cs="Arial"/>
          <w:sz w:val="22"/>
          <w:szCs w:val="22"/>
        </w:rPr>
        <w:t xml:space="preserve">and </w:t>
      </w:r>
      <w:r>
        <w:rPr>
          <w:rFonts w:ascii="Arial" w:hAnsi="Arial" w:cs="Arial"/>
          <w:sz w:val="22"/>
          <w:szCs w:val="22"/>
        </w:rPr>
        <w:t>improve operating</w:t>
      </w:r>
      <w:r w:rsidRPr="00713C07">
        <w:rPr>
          <w:rFonts w:ascii="Arial" w:hAnsi="Arial" w:cs="Arial"/>
          <w:sz w:val="22"/>
          <w:szCs w:val="22"/>
        </w:rPr>
        <w:t xml:space="preserve"> leverage,</w:t>
      </w:r>
      <w:r w:rsidRPr="00713C07">
        <w:rPr>
          <w:rFonts w:ascii="Arial" w:hAnsi="Arial" w:cs="Arial"/>
          <w:sz w:val="22"/>
        </w:rPr>
        <w:t>”</w:t>
      </w:r>
      <w:r w:rsidRPr="00713C07">
        <w:rPr>
          <w:rFonts w:ascii="Arial" w:hAnsi="Arial" w:cs="Arial"/>
          <w:sz w:val="22"/>
          <w:szCs w:val="22"/>
        </w:rPr>
        <w:t xml:space="preserve"> said </w:t>
      </w:r>
      <w:r w:rsidR="008C6DC2">
        <w:rPr>
          <w:rFonts w:ascii="Arial" w:hAnsi="Arial" w:cs="Arial"/>
          <w:sz w:val="22"/>
          <w:szCs w:val="22"/>
        </w:rPr>
        <w:t xml:space="preserve">David Abney, </w:t>
      </w:r>
      <w:r w:rsidRPr="00713C07">
        <w:rPr>
          <w:rFonts w:ascii="Arial" w:hAnsi="Arial" w:cs="Arial"/>
          <w:sz w:val="22"/>
          <w:szCs w:val="22"/>
        </w:rPr>
        <w:t>UPS Chairman and CEO.  “</w:t>
      </w:r>
      <w:r>
        <w:rPr>
          <w:rFonts w:ascii="Arial" w:hAnsi="Arial" w:cs="Arial"/>
          <w:sz w:val="22"/>
          <w:szCs w:val="22"/>
        </w:rPr>
        <w:t>We are confident that our strateg</w:t>
      </w:r>
      <w:r w:rsidR="000640A6">
        <w:rPr>
          <w:rFonts w:ascii="Arial" w:hAnsi="Arial" w:cs="Arial"/>
          <w:sz w:val="22"/>
          <w:szCs w:val="22"/>
        </w:rPr>
        <w:t>ies</w:t>
      </w:r>
      <w:r>
        <w:rPr>
          <w:rFonts w:ascii="Arial" w:hAnsi="Arial" w:cs="Arial"/>
          <w:sz w:val="22"/>
          <w:szCs w:val="22"/>
        </w:rPr>
        <w:t xml:space="preserve"> will position the company </w:t>
      </w:r>
      <w:r w:rsidR="000640A6">
        <w:rPr>
          <w:rFonts w:ascii="Arial" w:hAnsi="Arial" w:cs="Arial"/>
          <w:sz w:val="22"/>
          <w:szCs w:val="22"/>
        </w:rPr>
        <w:t>to provide improved value for customers and shareowners</w:t>
      </w:r>
      <w:r w:rsidRPr="00713C07">
        <w:rPr>
          <w:rFonts w:ascii="Arial" w:hAnsi="Arial" w:cs="Arial"/>
          <w:sz w:val="22"/>
          <w:szCs w:val="22"/>
        </w:rPr>
        <w:t>.”</w:t>
      </w:r>
      <w:r>
        <w:rPr>
          <w:rFonts w:ascii="Arial" w:hAnsi="Arial" w:cs="Arial"/>
          <w:sz w:val="22"/>
          <w:szCs w:val="22"/>
        </w:rPr>
        <w:t xml:space="preserve">  </w:t>
      </w:r>
    </w:p>
    <w:p w:rsidR="00E91AEF" w:rsidRDefault="00E91AEF" w:rsidP="00E91AEF">
      <w:pPr>
        <w:ind w:firstLine="720"/>
        <w:rPr>
          <w:rFonts w:ascii="Arial" w:hAnsi="Arial" w:cs="Arial"/>
          <w:sz w:val="22"/>
        </w:rPr>
      </w:pPr>
    </w:p>
    <w:p w:rsidR="000E02CF" w:rsidRPr="008F282D" w:rsidRDefault="000E02CF" w:rsidP="000E624D">
      <w:pPr>
        <w:rPr>
          <w:rFonts w:ascii="Arial" w:hAnsi="Arial" w:cs="Arial"/>
          <w:sz w:val="22"/>
        </w:rPr>
      </w:pPr>
      <w:r w:rsidRPr="008F282D">
        <w:rPr>
          <w:rFonts w:ascii="Arial" w:hAnsi="Arial" w:cs="Arial"/>
          <w:sz w:val="22"/>
        </w:rPr>
        <w:t xml:space="preserve">For the total company </w:t>
      </w:r>
      <w:r w:rsidR="00B12F3D">
        <w:rPr>
          <w:rFonts w:ascii="Arial" w:hAnsi="Arial" w:cs="Arial"/>
          <w:sz w:val="22"/>
        </w:rPr>
        <w:t>in</w:t>
      </w:r>
      <w:r w:rsidR="00B12F3D" w:rsidRPr="008F282D">
        <w:rPr>
          <w:rFonts w:ascii="Arial" w:hAnsi="Arial" w:cs="Arial"/>
          <w:sz w:val="22"/>
        </w:rPr>
        <w:t xml:space="preserve"> </w:t>
      </w:r>
      <w:r w:rsidR="00DF7166">
        <w:rPr>
          <w:rFonts w:ascii="Arial" w:hAnsi="Arial" w:cs="Arial"/>
          <w:sz w:val="22"/>
        </w:rPr>
        <w:t>2</w:t>
      </w:r>
      <w:r w:rsidRPr="008F282D">
        <w:rPr>
          <w:rFonts w:ascii="Arial" w:hAnsi="Arial" w:cs="Arial"/>
          <w:sz w:val="22"/>
        </w:rPr>
        <w:t xml:space="preserve">Q </w:t>
      </w:r>
      <w:r w:rsidR="00EE76F3" w:rsidRPr="008F282D">
        <w:rPr>
          <w:rFonts w:ascii="Arial" w:hAnsi="Arial" w:cs="Arial"/>
          <w:sz w:val="22"/>
        </w:rPr>
        <w:t>2018</w:t>
      </w:r>
      <w:r w:rsidRPr="008F282D">
        <w:rPr>
          <w:rFonts w:ascii="Arial" w:hAnsi="Arial" w:cs="Arial"/>
          <w:sz w:val="22"/>
        </w:rPr>
        <w:t>:</w:t>
      </w:r>
    </w:p>
    <w:p w:rsidR="0023562B" w:rsidRDefault="00B12F3D" w:rsidP="00FB4FFD">
      <w:pPr>
        <w:pStyle w:val="ListParagraph"/>
        <w:numPr>
          <w:ilvl w:val="0"/>
          <w:numId w:val="37"/>
        </w:numPr>
        <w:rPr>
          <w:rFonts w:ascii="Arial" w:hAnsi="Arial" w:cs="Arial"/>
          <w:sz w:val="22"/>
        </w:rPr>
      </w:pPr>
      <w:r>
        <w:rPr>
          <w:rFonts w:ascii="Arial" w:hAnsi="Arial" w:cs="Arial"/>
          <w:sz w:val="22"/>
        </w:rPr>
        <w:t>Consolidated</w:t>
      </w:r>
      <w:r w:rsidRPr="0068023F">
        <w:rPr>
          <w:rFonts w:ascii="Arial" w:hAnsi="Arial" w:cs="Arial"/>
          <w:sz w:val="22"/>
        </w:rPr>
        <w:t xml:space="preserve"> </w:t>
      </w:r>
      <w:r w:rsidR="00233C34" w:rsidRPr="0068023F">
        <w:rPr>
          <w:rFonts w:ascii="Arial" w:hAnsi="Arial" w:cs="Arial"/>
          <w:sz w:val="22"/>
        </w:rPr>
        <w:t xml:space="preserve">revenue increased </w:t>
      </w:r>
      <w:r w:rsidR="001D43D7">
        <w:rPr>
          <w:rFonts w:ascii="Arial" w:hAnsi="Arial" w:cs="Arial"/>
          <w:sz w:val="22"/>
        </w:rPr>
        <w:t>9.6</w:t>
      </w:r>
      <w:r w:rsidR="00233C34" w:rsidRPr="0068023F">
        <w:rPr>
          <w:rFonts w:ascii="Arial" w:hAnsi="Arial" w:cs="Arial"/>
          <w:sz w:val="22"/>
        </w:rPr>
        <w:t>% to $</w:t>
      </w:r>
      <w:r w:rsidR="00233C34">
        <w:rPr>
          <w:rFonts w:ascii="Arial" w:hAnsi="Arial" w:cs="Arial"/>
          <w:sz w:val="22"/>
        </w:rPr>
        <w:t>17.</w:t>
      </w:r>
      <w:r w:rsidR="00DD27FF">
        <w:rPr>
          <w:rFonts w:ascii="Arial" w:hAnsi="Arial" w:cs="Arial"/>
          <w:sz w:val="22"/>
        </w:rPr>
        <w:t>5</w:t>
      </w:r>
      <w:r w:rsidR="00233C34" w:rsidRPr="0068023F">
        <w:rPr>
          <w:rFonts w:ascii="Arial" w:hAnsi="Arial" w:cs="Arial"/>
          <w:sz w:val="22"/>
        </w:rPr>
        <w:t xml:space="preserve"> billion</w:t>
      </w:r>
      <w:r w:rsidR="00F13DC3">
        <w:rPr>
          <w:rFonts w:ascii="Arial" w:hAnsi="Arial" w:cs="Arial"/>
          <w:sz w:val="22"/>
        </w:rPr>
        <w:t>,</w:t>
      </w:r>
      <w:r w:rsidR="00233C34">
        <w:rPr>
          <w:rFonts w:ascii="Arial" w:hAnsi="Arial" w:cs="Arial"/>
          <w:sz w:val="22"/>
        </w:rPr>
        <w:t xml:space="preserve"> o</w:t>
      </w:r>
      <w:r w:rsidR="00F13DC3">
        <w:rPr>
          <w:rFonts w:ascii="Arial" w:hAnsi="Arial" w:cs="Arial"/>
          <w:sz w:val="22"/>
        </w:rPr>
        <w:t xml:space="preserve">n </w:t>
      </w:r>
      <w:r w:rsidR="00E66DD6">
        <w:rPr>
          <w:rFonts w:ascii="Arial" w:hAnsi="Arial" w:cs="Arial"/>
          <w:sz w:val="22"/>
        </w:rPr>
        <w:t xml:space="preserve">growth across </w:t>
      </w:r>
      <w:r w:rsidR="000640A6">
        <w:rPr>
          <w:rFonts w:ascii="Arial" w:hAnsi="Arial" w:cs="Arial"/>
          <w:sz w:val="22"/>
        </w:rPr>
        <w:t>all</w:t>
      </w:r>
      <w:r w:rsidR="00E66DD6">
        <w:rPr>
          <w:rFonts w:ascii="Arial" w:hAnsi="Arial" w:cs="Arial"/>
          <w:sz w:val="22"/>
        </w:rPr>
        <w:t xml:space="preserve"> segments</w:t>
      </w:r>
      <w:r w:rsidR="0023562B">
        <w:rPr>
          <w:rFonts w:ascii="Arial" w:hAnsi="Arial" w:cs="Arial"/>
          <w:sz w:val="22"/>
        </w:rPr>
        <w:t>.</w:t>
      </w:r>
    </w:p>
    <w:p w:rsidR="00436936" w:rsidRDefault="00747008" w:rsidP="00FB4FFD">
      <w:pPr>
        <w:pStyle w:val="ListParagraph"/>
        <w:numPr>
          <w:ilvl w:val="0"/>
          <w:numId w:val="37"/>
        </w:numPr>
        <w:rPr>
          <w:rFonts w:ascii="Arial" w:hAnsi="Arial" w:cs="Arial"/>
          <w:sz w:val="22"/>
        </w:rPr>
      </w:pPr>
      <w:r>
        <w:rPr>
          <w:rFonts w:ascii="Arial" w:hAnsi="Arial" w:cs="Arial"/>
          <w:sz w:val="22"/>
        </w:rPr>
        <w:t>Average</w:t>
      </w:r>
      <w:r w:rsidR="00436936">
        <w:rPr>
          <w:rFonts w:ascii="Arial" w:hAnsi="Arial" w:cs="Arial"/>
          <w:sz w:val="22"/>
        </w:rPr>
        <w:t xml:space="preserve"> yield </w:t>
      </w:r>
      <w:r w:rsidR="00A26BF6">
        <w:rPr>
          <w:rFonts w:ascii="Arial" w:hAnsi="Arial" w:cs="Arial"/>
          <w:sz w:val="22"/>
        </w:rPr>
        <w:t>increased</w:t>
      </w:r>
      <w:r w:rsidR="00436936">
        <w:rPr>
          <w:rFonts w:ascii="Arial" w:hAnsi="Arial" w:cs="Arial"/>
          <w:sz w:val="22"/>
        </w:rPr>
        <w:t xml:space="preserve"> </w:t>
      </w:r>
      <w:r w:rsidR="00DD27FF">
        <w:rPr>
          <w:rFonts w:ascii="Arial" w:hAnsi="Arial" w:cs="Arial"/>
          <w:sz w:val="22"/>
        </w:rPr>
        <w:t>4.</w:t>
      </w:r>
      <w:r w:rsidR="00DF35C0">
        <w:rPr>
          <w:rFonts w:ascii="Arial" w:hAnsi="Arial" w:cs="Arial"/>
          <w:sz w:val="22"/>
        </w:rPr>
        <w:t>6</w:t>
      </w:r>
      <w:r w:rsidR="00436936">
        <w:rPr>
          <w:rFonts w:ascii="Arial" w:hAnsi="Arial" w:cs="Arial"/>
          <w:sz w:val="22"/>
        </w:rPr>
        <w:t xml:space="preserve">%, </w:t>
      </w:r>
      <w:r w:rsidR="00D34882">
        <w:rPr>
          <w:rFonts w:ascii="Arial" w:hAnsi="Arial" w:cs="Arial"/>
          <w:sz w:val="22"/>
        </w:rPr>
        <w:t xml:space="preserve">led </w:t>
      </w:r>
      <w:r w:rsidR="00F26D23">
        <w:rPr>
          <w:rFonts w:ascii="Arial" w:hAnsi="Arial" w:cs="Arial"/>
          <w:sz w:val="22"/>
        </w:rPr>
        <w:t>by</w:t>
      </w:r>
      <w:r w:rsidR="00436936">
        <w:rPr>
          <w:rFonts w:ascii="Arial" w:hAnsi="Arial" w:cs="Arial"/>
          <w:sz w:val="22"/>
        </w:rPr>
        <w:t xml:space="preserve"> International</w:t>
      </w:r>
      <w:r w:rsidR="00D657C9">
        <w:rPr>
          <w:rFonts w:ascii="Arial" w:hAnsi="Arial" w:cs="Arial"/>
          <w:sz w:val="22"/>
        </w:rPr>
        <w:t xml:space="preserve"> and U</w:t>
      </w:r>
      <w:r w:rsidR="002910F2">
        <w:rPr>
          <w:rFonts w:ascii="Arial" w:hAnsi="Arial" w:cs="Arial"/>
          <w:sz w:val="22"/>
        </w:rPr>
        <w:t>.</w:t>
      </w:r>
      <w:r w:rsidR="00D657C9">
        <w:rPr>
          <w:rFonts w:ascii="Arial" w:hAnsi="Arial" w:cs="Arial"/>
          <w:sz w:val="22"/>
        </w:rPr>
        <w:t>S</w:t>
      </w:r>
      <w:r w:rsidR="002910F2">
        <w:rPr>
          <w:rFonts w:ascii="Arial" w:hAnsi="Arial" w:cs="Arial"/>
          <w:sz w:val="22"/>
        </w:rPr>
        <w:t>.</w:t>
      </w:r>
      <w:r w:rsidR="00D657C9">
        <w:rPr>
          <w:rFonts w:ascii="Arial" w:hAnsi="Arial" w:cs="Arial"/>
          <w:sz w:val="22"/>
        </w:rPr>
        <w:t xml:space="preserve"> Deferred Air products</w:t>
      </w:r>
      <w:r w:rsidR="00DE0363">
        <w:rPr>
          <w:rFonts w:ascii="Arial" w:hAnsi="Arial" w:cs="Arial"/>
          <w:sz w:val="22"/>
        </w:rPr>
        <w:t>.</w:t>
      </w:r>
      <w:r w:rsidR="00436936">
        <w:rPr>
          <w:rFonts w:ascii="Arial" w:hAnsi="Arial" w:cs="Arial"/>
          <w:sz w:val="22"/>
        </w:rPr>
        <w:t xml:space="preserve"> </w:t>
      </w:r>
    </w:p>
    <w:p w:rsidR="00A52E74" w:rsidRDefault="00A52E74" w:rsidP="007E6DF7">
      <w:pPr>
        <w:pStyle w:val="ListParagraph"/>
        <w:numPr>
          <w:ilvl w:val="0"/>
          <w:numId w:val="37"/>
        </w:numPr>
        <w:rPr>
          <w:rFonts w:ascii="Arial" w:hAnsi="Arial" w:cs="Arial"/>
          <w:sz w:val="22"/>
        </w:rPr>
      </w:pPr>
      <w:r>
        <w:rPr>
          <w:rFonts w:ascii="Arial" w:hAnsi="Arial" w:cs="Arial"/>
          <w:sz w:val="22"/>
        </w:rPr>
        <w:t>Net income increased 7.3% and adjusted net income was 22% higher than 2Q17.</w:t>
      </w:r>
    </w:p>
    <w:p w:rsidR="007B26BF" w:rsidRDefault="00BB3101" w:rsidP="007B26BF">
      <w:pPr>
        <w:pStyle w:val="ListParagraph"/>
        <w:numPr>
          <w:ilvl w:val="0"/>
          <w:numId w:val="37"/>
        </w:numPr>
        <w:rPr>
          <w:rFonts w:ascii="Arial" w:hAnsi="Arial" w:cs="Arial"/>
          <w:sz w:val="22"/>
        </w:rPr>
      </w:pPr>
      <w:r>
        <w:rPr>
          <w:rFonts w:ascii="Arial" w:hAnsi="Arial" w:cs="Arial"/>
          <w:sz w:val="22"/>
        </w:rPr>
        <w:t>Year-to-date c</w:t>
      </w:r>
      <w:r w:rsidR="00D60108">
        <w:rPr>
          <w:rFonts w:ascii="Arial" w:hAnsi="Arial" w:cs="Arial"/>
          <w:sz w:val="22"/>
        </w:rPr>
        <w:t xml:space="preserve">ash from operations </w:t>
      </w:r>
      <w:r>
        <w:rPr>
          <w:rFonts w:ascii="Arial" w:hAnsi="Arial" w:cs="Arial"/>
          <w:sz w:val="22"/>
        </w:rPr>
        <w:t>was</w:t>
      </w:r>
      <w:r w:rsidR="00D60108">
        <w:rPr>
          <w:rFonts w:ascii="Arial" w:hAnsi="Arial" w:cs="Arial"/>
          <w:sz w:val="22"/>
        </w:rPr>
        <w:t xml:space="preserve"> $</w:t>
      </w:r>
      <w:r w:rsidR="001D43D7">
        <w:rPr>
          <w:rFonts w:ascii="Arial" w:hAnsi="Arial" w:cs="Arial"/>
          <w:sz w:val="22"/>
        </w:rPr>
        <w:t xml:space="preserve">7.2 </w:t>
      </w:r>
      <w:r w:rsidR="00D60108">
        <w:rPr>
          <w:rFonts w:ascii="Arial" w:hAnsi="Arial" w:cs="Arial"/>
          <w:sz w:val="22"/>
        </w:rPr>
        <w:t>billion</w:t>
      </w:r>
      <w:r w:rsidR="007B26BF">
        <w:rPr>
          <w:rFonts w:ascii="Arial" w:hAnsi="Arial" w:cs="Arial"/>
          <w:sz w:val="22"/>
        </w:rPr>
        <w:t xml:space="preserve">.  </w:t>
      </w:r>
    </w:p>
    <w:p w:rsidR="00D60108" w:rsidRDefault="00D60108" w:rsidP="007B26BF">
      <w:pPr>
        <w:pStyle w:val="ListParagraph"/>
        <w:numPr>
          <w:ilvl w:val="0"/>
          <w:numId w:val="37"/>
        </w:numPr>
        <w:rPr>
          <w:rFonts w:ascii="Arial" w:hAnsi="Arial" w:cs="Arial"/>
          <w:sz w:val="22"/>
        </w:rPr>
      </w:pPr>
      <w:r>
        <w:rPr>
          <w:rFonts w:ascii="Arial" w:hAnsi="Arial" w:cs="Arial"/>
          <w:sz w:val="22"/>
        </w:rPr>
        <w:t xml:space="preserve">Free Cash Flow </w:t>
      </w:r>
      <w:r w:rsidR="007B26BF">
        <w:rPr>
          <w:rFonts w:ascii="Arial" w:hAnsi="Arial" w:cs="Arial"/>
          <w:sz w:val="22"/>
        </w:rPr>
        <w:t xml:space="preserve">surged to </w:t>
      </w:r>
      <w:r>
        <w:rPr>
          <w:rFonts w:ascii="Arial" w:hAnsi="Arial" w:cs="Arial"/>
          <w:sz w:val="22"/>
        </w:rPr>
        <w:t>$</w:t>
      </w:r>
      <w:r w:rsidR="00C262B0">
        <w:rPr>
          <w:rFonts w:ascii="Arial" w:hAnsi="Arial" w:cs="Arial"/>
          <w:sz w:val="22"/>
        </w:rPr>
        <w:t>4.4</w:t>
      </w:r>
      <w:r>
        <w:rPr>
          <w:rFonts w:ascii="Arial" w:hAnsi="Arial" w:cs="Arial"/>
          <w:sz w:val="22"/>
        </w:rPr>
        <w:t xml:space="preserve"> billion</w:t>
      </w:r>
      <w:r w:rsidR="007B26BF">
        <w:rPr>
          <w:rFonts w:ascii="Arial" w:hAnsi="Arial" w:cs="Arial"/>
          <w:sz w:val="22"/>
        </w:rPr>
        <w:t xml:space="preserve"> in the first half of the year, </w:t>
      </w:r>
      <w:r w:rsidR="007B26BF" w:rsidRPr="007B26BF">
        <w:rPr>
          <w:rFonts w:ascii="Arial" w:hAnsi="Arial" w:cs="Arial"/>
          <w:sz w:val="22"/>
        </w:rPr>
        <w:t xml:space="preserve">driven </w:t>
      </w:r>
      <w:r w:rsidR="0017330D">
        <w:rPr>
          <w:rFonts w:ascii="Arial" w:hAnsi="Arial" w:cs="Arial"/>
          <w:sz w:val="22"/>
        </w:rPr>
        <w:t xml:space="preserve">primarily </w:t>
      </w:r>
      <w:r w:rsidR="007B26BF" w:rsidRPr="007B26BF">
        <w:rPr>
          <w:rFonts w:ascii="Arial" w:hAnsi="Arial" w:cs="Arial"/>
          <w:sz w:val="22"/>
        </w:rPr>
        <w:t>by</w:t>
      </w:r>
      <w:r w:rsidR="000F5C47">
        <w:rPr>
          <w:rFonts w:ascii="Arial" w:hAnsi="Arial" w:cs="Arial"/>
          <w:sz w:val="22"/>
        </w:rPr>
        <w:t xml:space="preserve"> </w:t>
      </w:r>
      <w:r w:rsidR="007B26BF" w:rsidRPr="007B26BF">
        <w:rPr>
          <w:rFonts w:ascii="Arial" w:hAnsi="Arial" w:cs="Arial"/>
          <w:sz w:val="22"/>
        </w:rPr>
        <w:t xml:space="preserve">transformation initiatives that improved working capital.  </w:t>
      </w:r>
    </w:p>
    <w:p w:rsidR="00516C9E" w:rsidRDefault="0008498E" w:rsidP="007E6DF7">
      <w:pPr>
        <w:pStyle w:val="ListParagraph"/>
        <w:numPr>
          <w:ilvl w:val="0"/>
          <w:numId w:val="37"/>
        </w:numPr>
        <w:rPr>
          <w:rFonts w:ascii="Arial" w:hAnsi="Arial" w:cs="Arial"/>
          <w:sz w:val="22"/>
        </w:rPr>
      </w:pPr>
      <w:r>
        <w:rPr>
          <w:rFonts w:ascii="Arial" w:hAnsi="Arial" w:cs="Arial"/>
          <w:sz w:val="22"/>
        </w:rPr>
        <w:t>Year-to-date</w:t>
      </w:r>
      <w:r w:rsidR="00BB3101">
        <w:rPr>
          <w:rFonts w:ascii="Arial" w:hAnsi="Arial" w:cs="Arial"/>
          <w:sz w:val="22"/>
        </w:rPr>
        <w:t xml:space="preserve"> d</w:t>
      </w:r>
      <w:r w:rsidR="00221AC5">
        <w:rPr>
          <w:rFonts w:ascii="Arial" w:hAnsi="Arial" w:cs="Arial"/>
          <w:sz w:val="22"/>
        </w:rPr>
        <w:t xml:space="preserve">ividends per share </w:t>
      </w:r>
      <w:r w:rsidR="007D5F63">
        <w:rPr>
          <w:rFonts w:ascii="Arial" w:hAnsi="Arial" w:cs="Arial"/>
          <w:sz w:val="22"/>
        </w:rPr>
        <w:t xml:space="preserve">increased </w:t>
      </w:r>
      <w:r w:rsidR="00221AC5">
        <w:rPr>
          <w:rFonts w:ascii="Arial" w:hAnsi="Arial" w:cs="Arial"/>
          <w:sz w:val="22"/>
        </w:rPr>
        <w:t>by</w:t>
      </w:r>
      <w:r w:rsidR="00516C9E" w:rsidRPr="00516C9E">
        <w:rPr>
          <w:rFonts w:ascii="Arial" w:hAnsi="Arial" w:cs="Arial"/>
          <w:sz w:val="22"/>
        </w:rPr>
        <w:t xml:space="preserve"> </w:t>
      </w:r>
      <w:r w:rsidR="00F13DC3">
        <w:rPr>
          <w:rFonts w:ascii="Arial" w:hAnsi="Arial" w:cs="Arial"/>
          <w:sz w:val="22"/>
        </w:rPr>
        <w:t>10</w:t>
      </w:r>
      <w:r w:rsidR="00516C9E" w:rsidRPr="00516C9E">
        <w:rPr>
          <w:rFonts w:ascii="Arial" w:hAnsi="Arial" w:cs="Arial"/>
          <w:sz w:val="22"/>
        </w:rPr>
        <w:t xml:space="preserve">% </w:t>
      </w:r>
      <w:r w:rsidR="00C262B0">
        <w:rPr>
          <w:rFonts w:ascii="Arial" w:hAnsi="Arial" w:cs="Arial"/>
          <w:sz w:val="22"/>
        </w:rPr>
        <w:t>to</w:t>
      </w:r>
      <w:r w:rsidR="007D5F63">
        <w:rPr>
          <w:rFonts w:ascii="Arial" w:hAnsi="Arial" w:cs="Arial"/>
          <w:sz w:val="22"/>
        </w:rPr>
        <w:t xml:space="preserve"> </w:t>
      </w:r>
      <w:r w:rsidR="00221AC5">
        <w:rPr>
          <w:rFonts w:ascii="Arial" w:hAnsi="Arial" w:cs="Arial"/>
          <w:sz w:val="22"/>
        </w:rPr>
        <w:t>$</w:t>
      </w:r>
      <w:r w:rsidR="00C262B0">
        <w:rPr>
          <w:rFonts w:ascii="Arial" w:hAnsi="Arial" w:cs="Arial"/>
          <w:sz w:val="22"/>
        </w:rPr>
        <w:t>1.6</w:t>
      </w:r>
      <w:r w:rsidR="00DD27FF">
        <w:rPr>
          <w:rFonts w:ascii="Arial" w:hAnsi="Arial" w:cs="Arial"/>
          <w:sz w:val="22"/>
        </w:rPr>
        <w:t xml:space="preserve"> billion</w:t>
      </w:r>
      <w:r w:rsidR="00C262B0">
        <w:rPr>
          <w:rFonts w:ascii="Arial" w:hAnsi="Arial" w:cs="Arial"/>
          <w:sz w:val="22"/>
        </w:rPr>
        <w:t xml:space="preserve"> and share repurchases were $511 million</w:t>
      </w:r>
      <w:r w:rsidR="00516C9E" w:rsidRPr="00516C9E">
        <w:rPr>
          <w:rFonts w:ascii="Arial" w:hAnsi="Arial" w:cs="Arial"/>
          <w:sz w:val="22"/>
        </w:rPr>
        <w:t xml:space="preserve">.  </w:t>
      </w:r>
    </w:p>
    <w:p w:rsidR="00880BD0" w:rsidRDefault="00BB3101" w:rsidP="00880BD0">
      <w:pPr>
        <w:pStyle w:val="ListParagraph"/>
        <w:numPr>
          <w:ilvl w:val="0"/>
          <w:numId w:val="37"/>
        </w:numPr>
        <w:rPr>
          <w:rFonts w:ascii="Arial" w:hAnsi="Arial" w:cs="Arial"/>
          <w:sz w:val="22"/>
        </w:rPr>
      </w:pPr>
      <w:r>
        <w:rPr>
          <w:rFonts w:ascii="Arial" w:hAnsi="Arial" w:cs="Arial"/>
          <w:sz w:val="22"/>
        </w:rPr>
        <w:t>The</w:t>
      </w:r>
      <w:r w:rsidR="00221AC5" w:rsidRPr="00935C31">
        <w:rPr>
          <w:rFonts w:ascii="Arial" w:hAnsi="Arial" w:cs="Arial"/>
          <w:sz w:val="22"/>
        </w:rPr>
        <w:t xml:space="preserve"> company </w:t>
      </w:r>
      <w:r>
        <w:rPr>
          <w:rFonts w:ascii="Arial" w:hAnsi="Arial" w:cs="Arial"/>
          <w:sz w:val="22"/>
        </w:rPr>
        <w:t xml:space="preserve">has </w:t>
      </w:r>
      <w:r w:rsidR="00221AC5" w:rsidRPr="00935C31">
        <w:rPr>
          <w:rFonts w:ascii="Arial" w:hAnsi="Arial" w:cs="Arial"/>
          <w:sz w:val="22"/>
        </w:rPr>
        <w:t>made c</w:t>
      </w:r>
      <w:r w:rsidR="00880BD0" w:rsidRPr="00935C31">
        <w:rPr>
          <w:rFonts w:ascii="Arial" w:hAnsi="Arial" w:cs="Arial"/>
          <w:sz w:val="22"/>
        </w:rPr>
        <w:t xml:space="preserve">apital </w:t>
      </w:r>
      <w:r w:rsidR="00D34882">
        <w:rPr>
          <w:rFonts w:ascii="Arial" w:hAnsi="Arial" w:cs="Arial"/>
          <w:sz w:val="22"/>
        </w:rPr>
        <w:t>expenditures</w:t>
      </w:r>
      <w:r w:rsidR="00DC24DD" w:rsidRPr="00935C31">
        <w:rPr>
          <w:rFonts w:ascii="Arial" w:hAnsi="Arial" w:cs="Arial"/>
          <w:sz w:val="22"/>
        </w:rPr>
        <w:t xml:space="preserve"> </w:t>
      </w:r>
      <w:r w:rsidR="00880BD0" w:rsidRPr="00935C31">
        <w:rPr>
          <w:rFonts w:ascii="Arial" w:hAnsi="Arial" w:cs="Arial"/>
          <w:sz w:val="22"/>
        </w:rPr>
        <w:t>of $</w:t>
      </w:r>
      <w:r w:rsidR="00490DF2">
        <w:rPr>
          <w:rFonts w:ascii="Arial" w:hAnsi="Arial" w:cs="Arial"/>
          <w:sz w:val="22"/>
        </w:rPr>
        <w:t>2.8</w:t>
      </w:r>
      <w:r w:rsidR="00880BD0" w:rsidRPr="00935C31">
        <w:rPr>
          <w:rFonts w:ascii="Arial" w:hAnsi="Arial" w:cs="Arial"/>
          <w:sz w:val="22"/>
        </w:rPr>
        <w:t xml:space="preserve"> billion</w:t>
      </w:r>
      <w:r>
        <w:rPr>
          <w:rFonts w:ascii="Arial" w:hAnsi="Arial" w:cs="Arial"/>
          <w:sz w:val="22"/>
        </w:rPr>
        <w:t xml:space="preserve"> in </w:t>
      </w:r>
      <w:r w:rsidR="007C73B2">
        <w:rPr>
          <w:rFonts w:ascii="Arial" w:hAnsi="Arial" w:cs="Arial"/>
          <w:sz w:val="22"/>
        </w:rPr>
        <w:t xml:space="preserve">the first half of </w:t>
      </w:r>
      <w:r>
        <w:rPr>
          <w:rFonts w:ascii="Arial" w:hAnsi="Arial" w:cs="Arial"/>
          <w:sz w:val="22"/>
        </w:rPr>
        <w:t>2018</w:t>
      </w:r>
      <w:r w:rsidR="00880BD0" w:rsidRPr="00935C31">
        <w:rPr>
          <w:rFonts w:ascii="Arial" w:hAnsi="Arial" w:cs="Arial"/>
          <w:sz w:val="22"/>
        </w:rPr>
        <w:t>.</w:t>
      </w:r>
    </w:p>
    <w:p w:rsidR="005066CA" w:rsidRDefault="005066CA" w:rsidP="0017330D">
      <w:pPr>
        <w:rPr>
          <w:rFonts w:ascii="Arial" w:hAnsi="Arial" w:cs="Arial"/>
          <w:sz w:val="22"/>
        </w:rPr>
      </w:pPr>
    </w:p>
    <w:p w:rsidR="00E81D5D" w:rsidRDefault="00E81D5D" w:rsidP="00516C9E">
      <w:pPr>
        <w:rPr>
          <w:rFonts w:ascii="Arial" w:hAnsi="Arial" w:cs="Arial"/>
          <w:b/>
          <w:sz w:val="22"/>
          <w:vertAlign w:val="subscript"/>
        </w:rPr>
      </w:pPr>
      <w:r w:rsidRPr="005B78BB">
        <w:rPr>
          <w:rFonts w:ascii="Arial" w:hAnsi="Arial" w:cs="Arial"/>
          <w:b/>
          <w:sz w:val="22"/>
          <w:vertAlign w:val="subscript"/>
        </w:rPr>
        <w:t xml:space="preserve">* </w:t>
      </w:r>
      <w:r w:rsidR="006A6141">
        <w:rPr>
          <w:rFonts w:ascii="Arial" w:hAnsi="Arial" w:cs="Arial"/>
          <w:b/>
          <w:sz w:val="22"/>
          <w:vertAlign w:val="subscript"/>
        </w:rPr>
        <w:t xml:space="preserve">Information on </w:t>
      </w:r>
      <w:r w:rsidRPr="005B78BB">
        <w:rPr>
          <w:rFonts w:ascii="Arial" w:hAnsi="Arial" w:cs="Arial"/>
          <w:b/>
          <w:sz w:val="22"/>
          <w:vertAlign w:val="subscript"/>
        </w:rPr>
        <w:t xml:space="preserve">non-GAAP </w:t>
      </w:r>
      <w:r w:rsidR="006A6141">
        <w:rPr>
          <w:rFonts w:ascii="Arial" w:hAnsi="Arial" w:cs="Arial"/>
          <w:b/>
          <w:sz w:val="22"/>
          <w:vertAlign w:val="subscript"/>
        </w:rPr>
        <w:t>financial measures is attached to this press release.</w:t>
      </w:r>
    </w:p>
    <w:p w:rsidR="00A52E74" w:rsidRDefault="00A52E74" w:rsidP="00E81D5D">
      <w:pPr>
        <w:rPr>
          <w:rFonts w:ascii="Arial" w:hAnsi="Arial" w:cs="Arial"/>
          <w:b/>
          <w:sz w:val="22"/>
          <w:vertAlign w:val="subscript"/>
        </w:rPr>
      </w:pPr>
    </w:p>
    <w:p w:rsidR="00FE1A45" w:rsidRDefault="00FE1A45" w:rsidP="00FE1A45">
      <w:pPr>
        <w:jc w:val="center"/>
        <w:rPr>
          <w:rFonts w:ascii="Arial" w:hAnsi="Arial" w:cs="Arial"/>
          <w:sz w:val="20"/>
          <w:szCs w:val="20"/>
        </w:rPr>
      </w:pPr>
      <w:r w:rsidRPr="00152718">
        <w:rPr>
          <w:rFonts w:ascii="Arial" w:hAnsi="Arial" w:cs="Arial"/>
          <w:sz w:val="20"/>
          <w:szCs w:val="20"/>
        </w:rPr>
        <w:t>– more –</w:t>
      </w:r>
    </w:p>
    <w:p w:rsidR="00CC6CB3" w:rsidRPr="005A0928" w:rsidRDefault="00CC6CB3" w:rsidP="00B54509">
      <w:pPr>
        <w:rPr>
          <w:rFonts w:ascii="Arial" w:hAnsi="Arial" w:cs="Arial"/>
          <w:sz w:val="22"/>
        </w:rPr>
      </w:pPr>
      <w:r w:rsidRPr="005A0928">
        <w:rPr>
          <w:rFonts w:ascii="Arial" w:hAnsi="Arial" w:cs="Arial"/>
          <w:sz w:val="22"/>
        </w:rPr>
        <w:lastRenderedPageBreak/>
        <w:t>2-2-2</w:t>
      </w:r>
    </w:p>
    <w:p w:rsidR="00CC6CB3" w:rsidRDefault="00CC6CB3" w:rsidP="00B54509">
      <w:pPr>
        <w:rPr>
          <w:rFonts w:ascii="Arial" w:hAnsi="Arial" w:cs="Arial"/>
          <w:b/>
          <w:sz w:val="22"/>
          <w:u w:val="single"/>
        </w:rPr>
      </w:pPr>
    </w:p>
    <w:p w:rsidR="00CC6CB3" w:rsidRDefault="00CC6CB3" w:rsidP="00B54509">
      <w:pPr>
        <w:rPr>
          <w:rFonts w:ascii="Arial" w:hAnsi="Arial" w:cs="Arial"/>
          <w:b/>
          <w:sz w:val="22"/>
          <w:u w:val="single"/>
        </w:rPr>
      </w:pPr>
    </w:p>
    <w:p w:rsidR="00B54509" w:rsidRPr="00B54509" w:rsidRDefault="00B54509" w:rsidP="00B54509">
      <w:pPr>
        <w:rPr>
          <w:rFonts w:ascii="Arial" w:hAnsi="Arial" w:cs="Arial"/>
          <w:b/>
          <w:sz w:val="22"/>
          <w:u w:val="single"/>
        </w:rPr>
      </w:pPr>
      <w:r w:rsidRPr="00B54509">
        <w:rPr>
          <w:rFonts w:ascii="Arial" w:hAnsi="Arial" w:cs="Arial"/>
          <w:b/>
          <w:sz w:val="22"/>
          <w:u w:val="single"/>
        </w:rPr>
        <w:t>U.S. Domestic Segment</w:t>
      </w:r>
    </w:p>
    <w:p w:rsidR="00451F11" w:rsidRDefault="00451F11" w:rsidP="000E624D">
      <w:pPr>
        <w:rPr>
          <w:rFonts w:ascii="Arial" w:hAnsi="Arial" w:cs="Arial"/>
          <w:sz w:val="22"/>
        </w:rPr>
      </w:pPr>
    </w:p>
    <w:p w:rsidR="00E679CA" w:rsidRDefault="00E679CA" w:rsidP="002B6D69">
      <w:pPr>
        <w:ind w:firstLine="720"/>
        <w:rPr>
          <w:rFonts w:ascii="Arial" w:hAnsi="Arial" w:cs="Arial"/>
          <w:sz w:val="22"/>
        </w:rPr>
      </w:pPr>
      <w:r w:rsidRPr="00713C07">
        <w:rPr>
          <w:rFonts w:ascii="Arial" w:hAnsi="Arial" w:cs="Arial"/>
          <w:sz w:val="22"/>
        </w:rPr>
        <w:t>The U.S. Domestic segment experience</w:t>
      </w:r>
      <w:r w:rsidR="00DE0363" w:rsidRPr="00713C07">
        <w:rPr>
          <w:rFonts w:ascii="Arial" w:hAnsi="Arial" w:cs="Arial"/>
          <w:sz w:val="22"/>
        </w:rPr>
        <w:t>d</w:t>
      </w:r>
      <w:r w:rsidRPr="00713C07">
        <w:rPr>
          <w:rFonts w:ascii="Arial" w:hAnsi="Arial" w:cs="Arial"/>
          <w:sz w:val="22"/>
        </w:rPr>
        <w:t xml:space="preserve"> strong </w:t>
      </w:r>
      <w:r w:rsidR="0008498E">
        <w:rPr>
          <w:rFonts w:ascii="Arial" w:hAnsi="Arial" w:cs="Arial"/>
          <w:sz w:val="22"/>
        </w:rPr>
        <w:t xml:space="preserve">revenue </w:t>
      </w:r>
      <w:r w:rsidR="00F5406A">
        <w:rPr>
          <w:rFonts w:ascii="Arial" w:hAnsi="Arial" w:cs="Arial"/>
          <w:sz w:val="22"/>
        </w:rPr>
        <w:t>growth</w:t>
      </w:r>
      <w:r w:rsidR="00DA0739" w:rsidRPr="00713C07">
        <w:rPr>
          <w:rFonts w:ascii="Arial" w:hAnsi="Arial" w:cs="Arial"/>
          <w:sz w:val="22"/>
        </w:rPr>
        <w:t xml:space="preserve"> </w:t>
      </w:r>
      <w:r w:rsidR="0008498E">
        <w:rPr>
          <w:rFonts w:ascii="Arial" w:hAnsi="Arial" w:cs="Arial"/>
          <w:sz w:val="22"/>
        </w:rPr>
        <w:t xml:space="preserve">of 6.3%, </w:t>
      </w:r>
      <w:r w:rsidR="00DA0739" w:rsidRPr="00713C07">
        <w:rPr>
          <w:rFonts w:ascii="Arial" w:hAnsi="Arial" w:cs="Arial"/>
          <w:sz w:val="22"/>
        </w:rPr>
        <w:t xml:space="preserve">driven by ecommerce </w:t>
      </w:r>
      <w:r w:rsidR="00F5406A">
        <w:rPr>
          <w:rFonts w:ascii="Arial" w:hAnsi="Arial" w:cs="Arial"/>
          <w:sz w:val="22"/>
        </w:rPr>
        <w:t>demand</w:t>
      </w:r>
      <w:r w:rsidR="00BF6D0F">
        <w:rPr>
          <w:rFonts w:ascii="Arial" w:hAnsi="Arial" w:cs="Arial"/>
          <w:sz w:val="22"/>
        </w:rPr>
        <w:t xml:space="preserve"> and</w:t>
      </w:r>
      <w:r w:rsidR="00DA0739" w:rsidRPr="00713C07">
        <w:rPr>
          <w:rFonts w:ascii="Arial" w:hAnsi="Arial" w:cs="Arial"/>
          <w:sz w:val="22"/>
        </w:rPr>
        <w:t xml:space="preserve"> increased revenue per piece over the prior year</w:t>
      </w:r>
      <w:r w:rsidR="00BF6D0F">
        <w:rPr>
          <w:rFonts w:ascii="Arial" w:hAnsi="Arial" w:cs="Arial"/>
          <w:sz w:val="22"/>
        </w:rPr>
        <w:t xml:space="preserve">.  </w:t>
      </w:r>
      <w:r w:rsidR="004C186E">
        <w:rPr>
          <w:rFonts w:ascii="Arial" w:hAnsi="Arial" w:cs="Arial"/>
          <w:sz w:val="22"/>
        </w:rPr>
        <w:t xml:space="preserve">Operating profit was primarily reduced by planned </w:t>
      </w:r>
      <w:r w:rsidR="00532D27">
        <w:rPr>
          <w:rFonts w:ascii="Arial" w:hAnsi="Arial" w:cs="Arial"/>
          <w:sz w:val="22"/>
        </w:rPr>
        <w:t>increase</w:t>
      </w:r>
      <w:r w:rsidR="004C186E">
        <w:rPr>
          <w:rFonts w:ascii="Arial" w:hAnsi="Arial" w:cs="Arial"/>
          <w:sz w:val="22"/>
        </w:rPr>
        <w:t xml:space="preserve">s in </w:t>
      </w:r>
      <w:r w:rsidR="00F5406A">
        <w:rPr>
          <w:rFonts w:ascii="Arial" w:hAnsi="Arial" w:cs="Arial"/>
          <w:sz w:val="22"/>
        </w:rPr>
        <w:t>pension expense</w:t>
      </w:r>
      <w:r w:rsidR="00BF6D0F">
        <w:rPr>
          <w:rFonts w:ascii="Arial" w:hAnsi="Arial" w:cs="Arial"/>
          <w:sz w:val="22"/>
        </w:rPr>
        <w:t xml:space="preserve"> and </w:t>
      </w:r>
      <w:r w:rsidR="00AA1841">
        <w:rPr>
          <w:rFonts w:ascii="Arial" w:hAnsi="Arial" w:cs="Arial"/>
          <w:sz w:val="22"/>
        </w:rPr>
        <w:t xml:space="preserve">cost for </w:t>
      </w:r>
      <w:r w:rsidR="006F05D3">
        <w:rPr>
          <w:rFonts w:ascii="Arial" w:hAnsi="Arial" w:cs="Arial"/>
          <w:sz w:val="22"/>
        </w:rPr>
        <w:t xml:space="preserve">ongoing </w:t>
      </w:r>
      <w:r w:rsidR="00BF6D0F">
        <w:rPr>
          <w:rFonts w:ascii="Arial" w:hAnsi="Arial" w:cs="Arial"/>
          <w:sz w:val="22"/>
        </w:rPr>
        <w:t>network projects</w:t>
      </w:r>
      <w:r w:rsidR="00E2681B" w:rsidRPr="00713C07">
        <w:rPr>
          <w:rFonts w:ascii="Arial" w:hAnsi="Arial" w:cs="Arial"/>
          <w:sz w:val="22"/>
        </w:rPr>
        <w:t>.</w:t>
      </w:r>
    </w:p>
    <w:p w:rsidR="00DF7166" w:rsidRDefault="00DF7166" w:rsidP="00172CC5">
      <w:pPr>
        <w:rPr>
          <w:rFonts w:ascii="Arial" w:hAnsi="Arial" w:cs="Arial"/>
          <w:sz w:val="22"/>
        </w:rPr>
      </w:pP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tblGrid>
      <w:tr w:rsidR="00F173C9" w:rsidRPr="001E1EB6" w:rsidTr="00713C07">
        <w:trPr>
          <w:jc w:val="center"/>
        </w:trPr>
        <w:tc>
          <w:tcPr>
            <w:tcW w:w="3024" w:type="dxa"/>
          </w:tcPr>
          <w:p w:rsidR="00F173C9" w:rsidRPr="004B2151" w:rsidRDefault="00F173C9" w:rsidP="00174DB0">
            <w:pPr>
              <w:rPr>
                <w:rFonts w:ascii="Arial" w:hAnsi="Arial" w:cs="Arial"/>
                <w:b/>
                <w:sz w:val="20"/>
                <w:szCs w:val="22"/>
                <w:u w:val="single"/>
              </w:rPr>
            </w:pPr>
          </w:p>
          <w:p w:rsidR="00F173C9" w:rsidRPr="004B2151" w:rsidRDefault="00F173C9" w:rsidP="00174DB0">
            <w:pPr>
              <w:rPr>
                <w:rFonts w:ascii="Arial" w:hAnsi="Arial" w:cs="Arial"/>
                <w:b/>
                <w:sz w:val="20"/>
                <w:szCs w:val="22"/>
                <w:u w:val="single"/>
              </w:rPr>
            </w:pPr>
          </w:p>
        </w:tc>
        <w:tc>
          <w:tcPr>
            <w:tcW w:w="1440" w:type="dxa"/>
          </w:tcPr>
          <w:p w:rsidR="00F173C9" w:rsidRPr="004B2151" w:rsidRDefault="00F173C9" w:rsidP="00174DB0">
            <w:pPr>
              <w:jc w:val="right"/>
              <w:rPr>
                <w:rFonts w:ascii="Arial" w:hAnsi="Arial" w:cs="Arial"/>
                <w:b/>
                <w:sz w:val="20"/>
                <w:szCs w:val="22"/>
                <w:u w:val="single"/>
              </w:rPr>
            </w:pPr>
          </w:p>
          <w:p w:rsidR="00F173C9" w:rsidRPr="004B2151" w:rsidRDefault="00F173C9" w:rsidP="00DF7166">
            <w:pPr>
              <w:jc w:val="right"/>
              <w:rPr>
                <w:rFonts w:ascii="Arial" w:hAnsi="Arial" w:cs="Arial"/>
                <w:b/>
                <w:sz w:val="20"/>
                <w:szCs w:val="22"/>
                <w:u w:val="single"/>
              </w:rPr>
            </w:pPr>
            <w:r>
              <w:rPr>
                <w:rFonts w:ascii="Arial" w:hAnsi="Arial" w:cs="Arial"/>
                <w:b/>
                <w:sz w:val="20"/>
                <w:szCs w:val="22"/>
                <w:u w:val="single"/>
              </w:rPr>
              <w:t>2</w:t>
            </w:r>
            <w:r w:rsidRPr="004B2151">
              <w:rPr>
                <w:rFonts w:ascii="Arial" w:hAnsi="Arial" w:cs="Arial"/>
                <w:b/>
                <w:sz w:val="20"/>
                <w:szCs w:val="22"/>
                <w:u w:val="single"/>
              </w:rPr>
              <w:t>Q 201</w:t>
            </w:r>
            <w:r>
              <w:rPr>
                <w:rFonts w:ascii="Arial" w:hAnsi="Arial" w:cs="Arial"/>
                <w:b/>
                <w:sz w:val="20"/>
                <w:szCs w:val="22"/>
                <w:u w:val="single"/>
              </w:rPr>
              <w:t>8</w:t>
            </w:r>
          </w:p>
        </w:tc>
        <w:tc>
          <w:tcPr>
            <w:tcW w:w="1440" w:type="dxa"/>
          </w:tcPr>
          <w:p w:rsidR="00F173C9" w:rsidRPr="004B2151" w:rsidRDefault="00F173C9" w:rsidP="00174DB0">
            <w:pPr>
              <w:jc w:val="right"/>
              <w:rPr>
                <w:rFonts w:ascii="Arial" w:hAnsi="Arial" w:cs="Arial"/>
                <w:b/>
                <w:sz w:val="20"/>
                <w:szCs w:val="22"/>
                <w:u w:val="single"/>
              </w:rPr>
            </w:pPr>
            <w:r w:rsidRPr="004B2151">
              <w:rPr>
                <w:rFonts w:ascii="Arial" w:hAnsi="Arial" w:cs="Arial"/>
                <w:b/>
                <w:sz w:val="20"/>
                <w:szCs w:val="22"/>
                <w:u w:val="single"/>
              </w:rPr>
              <w:t>Adjusted</w:t>
            </w:r>
          </w:p>
          <w:p w:rsidR="00F173C9" w:rsidRPr="004B2151" w:rsidRDefault="00F173C9" w:rsidP="00DF7166">
            <w:pPr>
              <w:jc w:val="right"/>
              <w:rPr>
                <w:rFonts w:ascii="Arial" w:hAnsi="Arial" w:cs="Arial"/>
                <w:b/>
                <w:sz w:val="20"/>
                <w:szCs w:val="22"/>
                <w:u w:val="single"/>
              </w:rPr>
            </w:pPr>
            <w:r>
              <w:rPr>
                <w:rFonts w:ascii="Arial" w:hAnsi="Arial" w:cs="Arial"/>
                <w:b/>
                <w:sz w:val="20"/>
                <w:szCs w:val="22"/>
                <w:u w:val="single"/>
              </w:rPr>
              <w:t>2</w:t>
            </w:r>
            <w:r w:rsidRPr="004B2151">
              <w:rPr>
                <w:rFonts w:ascii="Arial" w:hAnsi="Arial" w:cs="Arial"/>
                <w:b/>
                <w:sz w:val="20"/>
                <w:szCs w:val="22"/>
                <w:u w:val="single"/>
              </w:rPr>
              <w:t>Q 201</w:t>
            </w:r>
            <w:r>
              <w:rPr>
                <w:rFonts w:ascii="Arial" w:hAnsi="Arial" w:cs="Arial"/>
                <w:b/>
                <w:sz w:val="20"/>
                <w:szCs w:val="22"/>
                <w:u w:val="single"/>
              </w:rPr>
              <w:t>8</w:t>
            </w:r>
          </w:p>
        </w:tc>
        <w:tc>
          <w:tcPr>
            <w:tcW w:w="1440" w:type="dxa"/>
          </w:tcPr>
          <w:p w:rsidR="00F173C9" w:rsidRPr="00F173C9" w:rsidRDefault="00F173C9" w:rsidP="00174DB0">
            <w:pPr>
              <w:jc w:val="right"/>
              <w:rPr>
                <w:rFonts w:ascii="Arial" w:hAnsi="Arial" w:cs="Arial"/>
                <w:b/>
                <w:sz w:val="20"/>
                <w:szCs w:val="22"/>
                <w:u w:val="single"/>
              </w:rPr>
            </w:pPr>
          </w:p>
          <w:p w:rsidR="00F173C9" w:rsidRPr="00F173C9" w:rsidRDefault="00F173C9">
            <w:pPr>
              <w:jc w:val="right"/>
              <w:rPr>
                <w:rFonts w:ascii="Arial" w:hAnsi="Arial" w:cs="Arial"/>
                <w:b/>
                <w:sz w:val="20"/>
                <w:szCs w:val="22"/>
                <w:u w:val="single"/>
              </w:rPr>
            </w:pPr>
            <w:r w:rsidRPr="00713C07">
              <w:rPr>
                <w:rFonts w:ascii="Arial" w:hAnsi="Arial" w:cs="Arial"/>
                <w:b/>
                <w:sz w:val="20"/>
                <w:szCs w:val="22"/>
                <w:u w:val="single"/>
              </w:rPr>
              <w:t>2Q 201</w:t>
            </w:r>
            <w:r w:rsidRPr="00F173C9">
              <w:rPr>
                <w:rFonts w:ascii="Arial" w:hAnsi="Arial" w:cs="Arial"/>
                <w:b/>
                <w:sz w:val="20"/>
                <w:szCs w:val="22"/>
                <w:u w:val="single"/>
              </w:rPr>
              <w:t>7</w:t>
            </w:r>
          </w:p>
        </w:tc>
      </w:tr>
      <w:tr w:rsidR="00F173C9" w:rsidRPr="001E1EB6" w:rsidTr="00713C07">
        <w:trPr>
          <w:jc w:val="center"/>
        </w:trPr>
        <w:tc>
          <w:tcPr>
            <w:tcW w:w="3024" w:type="dxa"/>
          </w:tcPr>
          <w:p w:rsidR="00F173C9" w:rsidRPr="004B2151" w:rsidRDefault="00F173C9" w:rsidP="00174DB0">
            <w:pPr>
              <w:rPr>
                <w:rFonts w:ascii="Arial" w:hAnsi="Arial" w:cs="Arial"/>
                <w:sz w:val="20"/>
                <w:szCs w:val="22"/>
              </w:rPr>
            </w:pPr>
            <w:r w:rsidRPr="004B2151">
              <w:rPr>
                <w:rFonts w:ascii="Arial" w:hAnsi="Arial" w:cs="Arial"/>
                <w:sz w:val="20"/>
                <w:szCs w:val="22"/>
              </w:rPr>
              <w:t>Revenue</w:t>
            </w:r>
          </w:p>
        </w:tc>
        <w:tc>
          <w:tcPr>
            <w:tcW w:w="1440" w:type="dxa"/>
          </w:tcPr>
          <w:p w:rsidR="00F173C9" w:rsidRPr="004B2151" w:rsidRDefault="00F173C9">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10</w:t>
            </w:r>
            <w:r w:rsidRPr="004B2151">
              <w:rPr>
                <w:rFonts w:ascii="Arial" w:hAnsi="Arial" w:cs="Arial"/>
                <w:sz w:val="20"/>
                <w:szCs w:val="22"/>
              </w:rPr>
              <w:t>,</w:t>
            </w:r>
            <w:r>
              <w:rPr>
                <w:rFonts w:ascii="Arial" w:hAnsi="Arial" w:cs="Arial"/>
                <w:sz w:val="20"/>
                <w:szCs w:val="22"/>
              </w:rPr>
              <w:t>354</w:t>
            </w:r>
            <w:r w:rsidRPr="004B2151">
              <w:rPr>
                <w:rFonts w:ascii="Arial" w:hAnsi="Arial" w:cs="Arial"/>
                <w:sz w:val="20"/>
                <w:szCs w:val="22"/>
              </w:rPr>
              <w:t xml:space="preserve"> M</w:t>
            </w:r>
          </w:p>
        </w:tc>
        <w:tc>
          <w:tcPr>
            <w:tcW w:w="1440" w:type="dxa"/>
          </w:tcPr>
          <w:p w:rsidR="00F173C9" w:rsidRPr="004B2151" w:rsidRDefault="00F173C9" w:rsidP="00174DB0">
            <w:pPr>
              <w:jc w:val="right"/>
              <w:rPr>
                <w:rFonts w:ascii="Arial" w:hAnsi="Arial" w:cs="Arial"/>
                <w:sz w:val="20"/>
                <w:szCs w:val="22"/>
              </w:rPr>
            </w:pPr>
          </w:p>
        </w:tc>
        <w:tc>
          <w:tcPr>
            <w:tcW w:w="1440" w:type="dxa"/>
          </w:tcPr>
          <w:p w:rsidR="00F173C9" w:rsidRPr="00F173C9" w:rsidRDefault="00F173C9">
            <w:pPr>
              <w:jc w:val="right"/>
              <w:rPr>
                <w:rFonts w:ascii="Arial" w:hAnsi="Arial" w:cs="Arial"/>
                <w:sz w:val="20"/>
                <w:szCs w:val="22"/>
              </w:rPr>
            </w:pPr>
            <w:r w:rsidRPr="00F173C9">
              <w:rPr>
                <w:rFonts w:ascii="Arial" w:hAnsi="Arial" w:cs="Arial"/>
                <w:sz w:val="20"/>
                <w:szCs w:val="22"/>
              </w:rPr>
              <w:t>$</w:t>
            </w:r>
            <w:r>
              <w:rPr>
                <w:rFonts w:ascii="Arial" w:hAnsi="Arial" w:cs="Arial"/>
                <w:sz w:val="20"/>
                <w:szCs w:val="22"/>
              </w:rPr>
              <w:t>9</w:t>
            </w:r>
            <w:r w:rsidRPr="00F173C9">
              <w:rPr>
                <w:rFonts w:ascii="Arial" w:hAnsi="Arial" w:cs="Arial"/>
                <w:sz w:val="20"/>
                <w:szCs w:val="22"/>
              </w:rPr>
              <w:t>,</w:t>
            </w:r>
            <w:r>
              <w:rPr>
                <w:rFonts w:ascii="Arial" w:hAnsi="Arial" w:cs="Arial"/>
                <w:sz w:val="20"/>
                <w:szCs w:val="22"/>
              </w:rPr>
              <w:t>741</w:t>
            </w:r>
            <w:r w:rsidRPr="00F173C9">
              <w:rPr>
                <w:rFonts w:ascii="Arial" w:hAnsi="Arial" w:cs="Arial"/>
                <w:sz w:val="20"/>
                <w:szCs w:val="22"/>
              </w:rPr>
              <w:t xml:space="preserve"> M</w:t>
            </w:r>
          </w:p>
        </w:tc>
      </w:tr>
      <w:tr w:rsidR="00F173C9" w:rsidRPr="001E1EB6" w:rsidTr="00713C07">
        <w:trPr>
          <w:jc w:val="center"/>
        </w:trPr>
        <w:tc>
          <w:tcPr>
            <w:tcW w:w="3024" w:type="dxa"/>
          </w:tcPr>
          <w:p w:rsidR="00F173C9" w:rsidRPr="004B2151" w:rsidRDefault="00F173C9">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440" w:type="dxa"/>
          </w:tcPr>
          <w:p w:rsidR="00F173C9" w:rsidRPr="004B2151" w:rsidRDefault="00F173C9">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939 M</w:t>
            </w:r>
          </w:p>
        </w:tc>
        <w:tc>
          <w:tcPr>
            <w:tcW w:w="1440" w:type="dxa"/>
          </w:tcPr>
          <w:p w:rsidR="00F173C9" w:rsidRPr="004B2151" w:rsidRDefault="00F173C9">
            <w:pPr>
              <w:jc w:val="right"/>
              <w:rPr>
                <w:rFonts w:ascii="Arial" w:hAnsi="Arial" w:cs="Arial"/>
                <w:sz w:val="20"/>
                <w:szCs w:val="22"/>
              </w:rPr>
            </w:pPr>
            <w:r w:rsidRPr="004B2151">
              <w:rPr>
                <w:rFonts w:ascii="Arial" w:hAnsi="Arial" w:cs="Arial"/>
                <w:sz w:val="20"/>
                <w:szCs w:val="22"/>
              </w:rPr>
              <w:t>$1,</w:t>
            </w:r>
            <w:r>
              <w:rPr>
                <w:rFonts w:ascii="Arial" w:hAnsi="Arial" w:cs="Arial"/>
                <w:sz w:val="20"/>
                <w:szCs w:val="22"/>
              </w:rPr>
              <w:t>135</w:t>
            </w:r>
            <w:r w:rsidRPr="004B2151">
              <w:rPr>
                <w:rFonts w:ascii="Arial" w:hAnsi="Arial" w:cs="Arial"/>
                <w:sz w:val="20"/>
                <w:szCs w:val="22"/>
              </w:rPr>
              <w:t xml:space="preserve"> M</w:t>
            </w:r>
          </w:p>
        </w:tc>
        <w:tc>
          <w:tcPr>
            <w:tcW w:w="1440" w:type="dxa"/>
          </w:tcPr>
          <w:p w:rsidR="00F173C9" w:rsidRPr="004B2151" w:rsidRDefault="00F173C9" w:rsidP="00174DB0">
            <w:pPr>
              <w:jc w:val="right"/>
              <w:rPr>
                <w:rFonts w:ascii="Arial" w:hAnsi="Arial" w:cs="Arial"/>
                <w:sz w:val="20"/>
                <w:szCs w:val="22"/>
              </w:rPr>
            </w:pPr>
            <w:r>
              <w:rPr>
                <w:rFonts w:ascii="Arial" w:hAnsi="Arial" w:cs="Arial"/>
                <w:sz w:val="20"/>
                <w:szCs w:val="22"/>
              </w:rPr>
              <w:t>$1,255</w:t>
            </w:r>
            <w:r w:rsidRPr="004B2151">
              <w:rPr>
                <w:rFonts w:ascii="Arial" w:hAnsi="Arial" w:cs="Arial"/>
                <w:sz w:val="20"/>
                <w:szCs w:val="22"/>
              </w:rPr>
              <w:t xml:space="preserve"> M</w:t>
            </w:r>
          </w:p>
        </w:tc>
      </w:tr>
    </w:tbl>
    <w:p w:rsidR="005A5BC6" w:rsidRDefault="005A5BC6" w:rsidP="000E624D">
      <w:pPr>
        <w:rPr>
          <w:rFonts w:ascii="Arial" w:hAnsi="Arial" w:cs="Arial"/>
          <w:sz w:val="22"/>
        </w:rPr>
      </w:pPr>
    </w:p>
    <w:p w:rsidR="005A693E" w:rsidRPr="008F282D" w:rsidRDefault="000E624D" w:rsidP="000E624D">
      <w:pPr>
        <w:rPr>
          <w:rFonts w:ascii="Arial" w:hAnsi="Arial" w:cs="Arial"/>
          <w:sz w:val="22"/>
        </w:rPr>
      </w:pPr>
      <w:r w:rsidRPr="008F282D">
        <w:rPr>
          <w:rFonts w:ascii="Arial" w:hAnsi="Arial" w:cs="Arial"/>
          <w:sz w:val="22"/>
        </w:rPr>
        <w:t xml:space="preserve">For the U.S. Domestic </w:t>
      </w:r>
      <w:r w:rsidR="00576472" w:rsidRPr="008F282D">
        <w:rPr>
          <w:rFonts w:ascii="Arial" w:hAnsi="Arial" w:cs="Arial"/>
          <w:sz w:val="22"/>
        </w:rPr>
        <w:t xml:space="preserve">segment </w:t>
      </w:r>
      <w:r w:rsidRPr="008F282D">
        <w:rPr>
          <w:rFonts w:ascii="Arial" w:hAnsi="Arial" w:cs="Arial"/>
          <w:sz w:val="22"/>
        </w:rPr>
        <w:t xml:space="preserve">in </w:t>
      </w:r>
      <w:r w:rsidR="00DF7166">
        <w:rPr>
          <w:rFonts w:ascii="Arial" w:hAnsi="Arial" w:cs="Arial"/>
          <w:sz w:val="22"/>
        </w:rPr>
        <w:t>2</w:t>
      </w:r>
      <w:r w:rsidR="00EE76F3" w:rsidRPr="008F282D">
        <w:rPr>
          <w:rFonts w:ascii="Arial" w:hAnsi="Arial" w:cs="Arial"/>
          <w:sz w:val="22"/>
        </w:rPr>
        <w:t>Q</w:t>
      </w:r>
      <w:r w:rsidRPr="008F282D">
        <w:rPr>
          <w:rFonts w:ascii="Arial" w:hAnsi="Arial" w:cs="Arial"/>
          <w:sz w:val="22"/>
        </w:rPr>
        <w:t xml:space="preserve"> </w:t>
      </w:r>
      <w:r w:rsidR="00EE76F3" w:rsidRPr="008F282D">
        <w:rPr>
          <w:rFonts w:ascii="Arial" w:hAnsi="Arial" w:cs="Arial"/>
          <w:sz w:val="22"/>
        </w:rPr>
        <w:t>2018</w:t>
      </w:r>
      <w:r w:rsidRPr="008F282D">
        <w:rPr>
          <w:rFonts w:ascii="Arial" w:hAnsi="Arial" w:cs="Arial"/>
          <w:sz w:val="22"/>
        </w:rPr>
        <w:t>:</w:t>
      </w:r>
    </w:p>
    <w:p w:rsidR="00746CB8" w:rsidRPr="004359E0" w:rsidRDefault="009D7FBB" w:rsidP="00746CB8">
      <w:pPr>
        <w:pStyle w:val="ListParagraph"/>
        <w:numPr>
          <w:ilvl w:val="0"/>
          <w:numId w:val="37"/>
        </w:numPr>
        <w:rPr>
          <w:rFonts w:ascii="Arial" w:hAnsi="Arial" w:cs="Arial"/>
          <w:sz w:val="22"/>
        </w:rPr>
      </w:pPr>
      <w:r>
        <w:rPr>
          <w:rFonts w:ascii="Arial" w:hAnsi="Arial" w:cs="Arial"/>
          <w:sz w:val="22"/>
        </w:rPr>
        <w:t>Revenue improved across a</w:t>
      </w:r>
      <w:r w:rsidR="000F68C4">
        <w:rPr>
          <w:rFonts w:ascii="Arial" w:hAnsi="Arial" w:cs="Arial"/>
          <w:sz w:val="22"/>
        </w:rPr>
        <w:t>ll products</w:t>
      </w:r>
      <w:r>
        <w:rPr>
          <w:rFonts w:ascii="Arial" w:hAnsi="Arial" w:cs="Arial"/>
          <w:sz w:val="22"/>
        </w:rPr>
        <w:t>,</w:t>
      </w:r>
      <w:r w:rsidR="000F68C4">
        <w:rPr>
          <w:rFonts w:ascii="Arial" w:hAnsi="Arial" w:cs="Arial"/>
          <w:sz w:val="22"/>
        </w:rPr>
        <w:t xml:space="preserve"> </w:t>
      </w:r>
      <w:r w:rsidR="00F5406A">
        <w:rPr>
          <w:rFonts w:ascii="Arial" w:hAnsi="Arial" w:cs="Arial"/>
          <w:sz w:val="22"/>
        </w:rPr>
        <w:t>demonstrating</w:t>
      </w:r>
      <w:r w:rsidR="00473572">
        <w:rPr>
          <w:rFonts w:ascii="Arial" w:hAnsi="Arial" w:cs="Arial"/>
          <w:sz w:val="22"/>
        </w:rPr>
        <w:t xml:space="preserve"> robust</w:t>
      </w:r>
      <w:r w:rsidR="000F68C4">
        <w:rPr>
          <w:rFonts w:ascii="Arial" w:hAnsi="Arial" w:cs="Arial"/>
          <w:sz w:val="22"/>
        </w:rPr>
        <w:t xml:space="preserve"> market demand for UPS solutions.  </w:t>
      </w:r>
      <w:r w:rsidR="00746CB8" w:rsidRPr="004359E0">
        <w:rPr>
          <w:rFonts w:ascii="Arial" w:hAnsi="Arial" w:cs="Arial"/>
          <w:sz w:val="22"/>
        </w:rPr>
        <w:t xml:space="preserve">  </w:t>
      </w:r>
    </w:p>
    <w:p w:rsidR="00947AF3" w:rsidRDefault="00BA6C65" w:rsidP="009E7EED">
      <w:pPr>
        <w:pStyle w:val="ListParagraph"/>
        <w:numPr>
          <w:ilvl w:val="0"/>
          <w:numId w:val="37"/>
        </w:numPr>
        <w:rPr>
          <w:rFonts w:ascii="Arial" w:hAnsi="Arial" w:cs="Arial"/>
          <w:sz w:val="22"/>
        </w:rPr>
      </w:pPr>
      <w:r w:rsidRPr="00EF4A6C">
        <w:rPr>
          <w:rFonts w:ascii="Arial" w:hAnsi="Arial" w:cs="Arial"/>
          <w:sz w:val="22"/>
        </w:rPr>
        <w:t xml:space="preserve">Revenue per piece </w:t>
      </w:r>
      <w:r>
        <w:rPr>
          <w:rFonts w:ascii="Arial" w:hAnsi="Arial" w:cs="Arial"/>
          <w:sz w:val="22"/>
        </w:rPr>
        <w:t>increased</w:t>
      </w:r>
      <w:r w:rsidRPr="00EF4A6C">
        <w:rPr>
          <w:rFonts w:ascii="Arial" w:hAnsi="Arial" w:cs="Arial"/>
          <w:sz w:val="22"/>
        </w:rPr>
        <w:t xml:space="preserve"> </w:t>
      </w:r>
      <w:r w:rsidR="00DD27FF">
        <w:rPr>
          <w:rFonts w:ascii="Arial" w:hAnsi="Arial" w:cs="Arial"/>
          <w:sz w:val="22"/>
        </w:rPr>
        <w:t>3.6</w:t>
      </w:r>
      <w:r w:rsidRPr="00EF4A6C">
        <w:rPr>
          <w:rFonts w:ascii="Arial" w:hAnsi="Arial" w:cs="Arial"/>
          <w:sz w:val="22"/>
        </w:rPr>
        <w:t xml:space="preserve">% </w:t>
      </w:r>
      <w:r w:rsidR="001D1E65">
        <w:rPr>
          <w:rFonts w:ascii="Arial" w:hAnsi="Arial" w:cs="Arial"/>
          <w:sz w:val="22"/>
        </w:rPr>
        <w:t>as</w:t>
      </w:r>
      <w:r w:rsidR="001D1E65" w:rsidRPr="00EF4A6C">
        <w:rPr>
          <w:rFonts w:ascii="Arial" w:hAnsi="Arial" w:cs="Arial"/>
          <w:sz w:val="22"/>
        </w:rPr>
        <w:t xml:space="preserve"> </w:t>
      </w:r>
      <w:r w:rsidR="007B3B00">
        <w:rPr>
          <w:rFonts w:ascii="Arial" w:hAnsi="Arial" w:cs="Arial"/>
          <w:sz w:val="22"/>
        </w:rPr>
        <w:t xml:space="preserve">higher </w:t>
      </w:r>
      <w:r w:rsidRPr="00EF4A6C">
        <w:rPr>
          <w:rFonts w:ascii="Arial" w:hAnsi="Arial" w:cs="Arial"/>
          <w:sz w:val="22"/>
        </w:rPr>
        <w:t>base</w:t>
      </w:r>
      <w:r>
        <w:rPr>
          <w:rFonts w:ascii="Arial" w:hAnsi="Arial" w:cs="Arial"/>
          <w:sz w:val="22"/>
        </w:rPr>
        <w:t>-</w:t>
      </w:r>
      <w:r w:rsidRPr="00EF4A6C">
        <w:rPr>
          <w:rFonts w:ascii="Arial" w:hAnsi="Arial" w:cs="Arial"/>
          <w:sz w:val="22"/>
        </w:rPr>
        <w:t>rate</w:t>
      </w:r>
      <w:r w:rsidR="00813372">
        <w:rPr>
          <w:rFonts w:ascii="Arial" w:hAnsi="Arial" w:cs="Arial"/>
          <w:sz w:val="22"/>
        </w:rPr>
        <w:t>s</w:t>
      </w:r>
      <w:r>
        <w:rPr>
          <w:rFonts w:ascii="Arial" w:hAnsi="Arial" w:cs="Arial"/>
          <w:sz w:val="22"/>
        </w:rPr>
        <w:t xml:space="preserve"> and fuel surcharges offset</w:t>
      </w:r>
      <w:r w:rsidR="007B3B00">
        <w:rPr>
          <w:rFonts w:ascii="Arial" w:hAnsi="Arial" w:cs="Arial"/>
          <w:sz w:val="22"/>
        </w:rPr>
        <w:t xml:space="preserve"> headwinds from </w:t>
      </w:r>
      <w:r>
        <w:rPr>
          <w:rFonts w:ascii="Arial" w:hAnsi="Arial" w:cs="Arial"/>
          <w:sz w:val="22"/>
        </w:rPr>
        <w:t>customer and product mix</w:t>
      </w:r>
      <w:r w:rsidRPr="00EF4A6C">
        <w:rPr>
          <w:rFonts w:ascii="Arial" w:hAnsi="Arial" w:cs="Arial"/>
          <w:sz w:val="22"/>
        </w:rPr>
        <w:t>.</w:t>
      </w:r>
    </w:p>
    <w:p w:rsidR="002B6D69" w:rsidRDefault="002B6D69" w:rsidP="00174DB0">
      <w:pPr>
        <w:pStyle w:val="ListParagraph"/>
        <w:numPr>
          <w:ilvl w:val="0"/>
          <w:numId w:val="37"/>
        </w:numPr>
        <w:rPr>
          <w:rFonts w:ascii="Arial" w:hAnsi="Arial" w:cs="Arial"/>
          <w:sz w:val="22"/>
        </w:rPr>
      </w:pPr>
      <w:r w:rsidRPr="002B6D69">
        <w:rPr>
          <w:rFonts w:ascii="Arial" w:hAnsi="Arial" w:cs="Arial"/>
          <w:sz w:val="22"/>
        </w:rPr>
        <w:t xml:space="preserve">Adjusted operating profit excludes </w:t>
      </w:r>
      <w:r w:rsidR="00D60108">
        <w:rPr>
          <w:rFonts w:ascii="Arial" w:hAnsi="Arial" w:cs="Arial"/>
          <w:sz w:val="22"/>
        </w:rPr>
        <w:t xml:space="preserve">transformation </w:t>
      </w:r>
      <w:r w:rsidR="007014D5">
        <w:rPr>
          <w:rFonts w:ascii="Arial" w:hAnsi="Arial" w:cs="Arial"/>
          <w:sz w:val="22"/>
        </w:rPr>
        <w:t>charges of $196 million</w:t>
      </w:r>
      <w:r w:rsidR="006A0C85">
        <w:rPr>
          <w:rFonts w:ascii="Arial" w:hAnsi="Arial" w:cs="Arial"/>
          <w:sz w:val="22"/>
        </w:rPr>
        <w:t xml:space="preserve">, which </w:t>
      </w:r>
      <w:r w:rsidR="007014D5">
        <w:rPr>
          <w:rFonts w:ascii="Arial" w:hAnsi="Arial" w:cs="Arial"/>
          <w:sz w:val="22"/>
        </w:rPr>
        <w:t>lowered</w:t>
      </w:r>
      <w:r w:rsidR="006A0C85">
        <w:rPr>
          <w:rFonts w:ascii="Arial" w:hAnsi="Arial" w:cs="Arial"/>
          <w:sz w:val="22"/>
        </w:rPr>
        <w:t xml:space="preserve"> </w:t>
      </w:r>
      <w:r w:rsidR="002924E7">
        <w:rPr>
          <w:rFonts w:ascii="Arial" w:hAnsi="Arial" w:cs="Arial"/>
          <w:sz w:val="22"/>
        </w:rPr>
        <w:t xml:space="preserve">reported </w:t>
      </w:r>
      <w:r w:rsidR="006A0C85">
        <w:rPr>
          <w:rFonts w:ascii="Arial" w:hAnsi="Arial" w:cs="Arial"/>
          <w:sz w:val="22"/>
        </w:rPr>
        <w:t>operating margin by 190 basis points</w:t>
      </w:r>
      <w:r w:rsidRPr="002B6D69">
        <w:rPr>
          <w:rFonts w:ascii="Arial" w:hAnsi="Arial" w:cs="Arial"/>
          <w:sz w:val="22"/>
        </w:rPr>
        <w:t>.</w:t>
      </w:r>
    </w:p>
    <w:p w:rsidR="00230093" w:rsidRPr="00C5142D" w:rsidRDefault="00230093" w:rsidP="00C5142D">
      <w:pPr>
        <w:rPr>
          <w:rFonts w:ascii="Arial" w:hAnsi="Arial" w:cs="Arial"/>
          <w:sz w:val="22"/>
        </w:rPr>
      </w:pPr>
    </w:p>
    <w:p w:rsidR="006C7CB1" w:rsidRDefault="006C7CB1" w:rsidP="00D12477">
      <w:pPr>
        <w:rPr>
          <w:rFonts w:ascii="Arial" w:hAnsi="Arial" w:cs="Arial"/>
          <w:b/>
          <w:sz w:val="22"/>
          <w:szCs w:val="20"/>
          <w:u w:val="single"/>
        </w:rPr>
      </w:pPr>
    </w:p>
    <w:p w:rsidR="00825A62" w:rsidRPr="004914AA" w:rsidRDefault="004914AA" w:rsidP="00D12477">
      <w:pPr>
        <w:rPr>
          <w:rFonts w:ascii="Arial" w:hAnsi="Arial" w:cs="Arial"/>
          <w:b/>
          <w:sz w:val="22"/>
          <w:szCs w:val="20"/>
          <w:u w:val="single"/>
        </w:rPr>
      </w:pPr>
      <w:r w:rsidRPr="004914AA">
        <w:rPr>
          <w:rFonts w:ascii="Arial" w:hAnsi="Arial" w:cs="Arial"/>
          <w:b/>
          <w:sz w:val="22"/>
          <w:szCs w:val="20"/>
          <w:u w:val="single"/>
        </w:rPr>
        <w:t>International</w:t>
      </w:r>
      <w:r w:rsidR="00941FD4">
        <w:rPr>
          <w:rFonts w:ascii="Arial" w:hAnsi="Arial" w:cs="Arial"/>
          <w:b/>
          <w:sz w:val="22"/>
          <w:szCs w:val="20"/>
          <w:u w:val="single"/>
        </w:rPr>
        <w:t xml:space="preserve"> </w:t>
      </w:r>
      <w:r w:rsidRPr="004914AA">
        <w:rPr>
          <w:rFonts w:ascii="Arial" w:hAnsi="Arial" w:cs="Arial"/>
          <w:b/>
          <w:sz w:val="22"/>
          <w:szCs w:val="20"/>
          <w:u w:val="single"/>
        </w:rPr>
        <w:t>Segment</w:t>
      </w:r>
    </w:p>
    <w:p w:rsidR="00E524E4" w:rsidRDefault="00E524E4" w:rsidP="00D12477">
      <w:pPr>
        <w:rPr>
          <w:rFonts w:ascii="Arial" w:hAnsi="Arial" w:cs="Arial"/>
          <w:sz w:val="22"/>
          <w:szCs w:val="20"/>
        </w:rPr>
      </w:pPr>
    </w:p>
    <w:p w:rsidR="005E3FC5" w:rsidRDefault="00DA0739" w:rsidP="002B6D69">
      <w:pPr>
        <w:ind w:firstLine="720"/>
        <w:rPr>
          <w:rFonts w:ascii="Arial" w:hAnsi="Arial" w:cs="Arial"/>
          <w:sz w:val="22"/>
          <w:szCs w:val="20"/>
        </w:rPr>
      </w:pPr>
      <w:r w:rsidRPr="00713C07">
        <w:rPr>
          <w:rFonts w:ascii="Arial" w:hAnsi="Arial" w:cs="Arial"/>
          <w:sz w:val="22"/>
          <w:szCs w:val="20"/>
        </w:rPr>
        <w:t xml:space="preserve">The International segment </w:t>
      </w:r>
      <w:r w:rsidR="002924E7">
        <w:rPr>
          <w:rFonts w:ascii="Arial" w:hAnsi="Arial" w:cs="Arial"/>
          <w:sz w:val="22"/>
          <w:szCs w:val="20"/>
        </w:rPr>
        <w:t xml:space="preserve">delivered </w:t>
      </w:r>
      <w:r w:rsidR="001D43D7">
        <w:rPr>
          <w:rFonts w:ascii="Arial" w:hAnsi="Arial" w:cs="Arial"/>
          <w:sz w:val="22"/>
          <w:szCs w:val="20"/>
        </w:rPr>
        <w:t>its 14</w:t>
      </w:r>
      <w:r w:rsidR="001D43D7" w:rsidRPr="00411C2E">
        <w:rPr>
          <w:rFonts w:ascii="Arial" w:hAnsi="Arial" w:cs="Arial"/>
          <w:sz w:val="22"/>
          <w:szCs w:val="20"/>
          <w:vertAlign w:val="superscript"/>
        </w:rPr>
        <w:t>th</w:t>
      </w:r>
      <w:r w:rsidR="001D43D7">
        <w:rPr>
          <w:rFonts w:ascii="Arial" w:hAnsi="Arial" w:cs="Arial"/>
          <w:sz w:val="22"/>
          <w:szCs w:val="20"/>
        </w:rPr>
        <w:t xml:space="preserve"> consecutive quarter of </w:t>
      </w:r>
      <w:r w:rsidR="00424BBA">
        <w:rPr>
          <w:rFonts w:ascii="Arial" w:hAnsi="Arial" w:cs="Arial"/>
          <w:sz w:val="22"/>
          <w:szCs w:val="20"/>
        </w:rPr>
        <w:t xml:space="preserve">currency neutral </w:t>
      </w:r>
      <w:r w:rsidR="001D43D7">
        <w:rPr>
          <w:rFonts w:ascii="Arial" w:hAnsi="Arial" w:cs="Arial"/>
          <w:sz w:val="22"/>
          <w:szCs w:val="20"/>
        </w:rPr>
        <w:t>double-digit operating profit growth</w:t>
      </w:r>
      <w:r w:rsidR="002A0FDD" w:rsidRPr="00713C07">
        <w:rPr>
          <w:rFonts w:ascii="Arial" w:hAnsi="Arial" w:cs="Arial"/>
          <w:sz w:val="22"/>
          <w:szCs w:val="20"/>
        </w:rPr>
        <w:t xml:space="preserve">.  </w:t>
      </w:r>
      <w:r w:rsidR="0017330D">
        <w:rPr>
          <w:rFonts w:ascii="Arial" w:hAnsi="Arial" w:cs="Arial"/>
          <w:sz w:val="22"/>
          <w:szCs w:val="20"/>
        </w:rPr>
        <w:t xml:space="preserve"> </w:t>
      </w:r>
      <w:r w:rsidR="00763F69">
        <w:rPr>
          <w:rFonts w:ascii="Arial" w:hAnsi="Arial" w:cs="Arial"/>
          <w:sz w:val="22"/>
          <w:szCs w:val="20"/>
        </w:rPr>
        <w:t>The segment enjoyed its highest</w:t>
      </w:r>
      <w:r w:rsidR="0017330D">
        <w:rPr>
          <w:rFonts w:ascii="Arial" w:hAnsi="Arial" w:cs="Arial"/>
          <w:sz w:val="22"/>
          <w:szCs w:val="20"/>
        </w:rPr>
        <w:t xml:space="preserve"> 2</w:t>
      </w:r>
      <w:r w:rsidR="0017330D" w:rsidRPr="00016926">
        <w:rPr>
          <w:rFonts w:ascii="Arial" w:hAnsi="Arial" w:cs="Arial"/>
          <w:sz w:val="22"/>
          <w:szCs w:val="20"/>
          <w:vertAlign w:val="superscript"/>
        </w:rPr>
        <w:t>nd</w:t>
      </w:r>
      <w:r w:rsidR="0017330D">
        <w:rPr>
          <w:rFonts w:ascii="Arial" w:hAnsi="Arial" w:cs="Arial"/>
          <w:sz w:val="22"/>
          <w:szCs w:val="20"/>
        </w:rPr>
        <w:t xml:space="preserve"> quarter</w:t>
      </w:r>
      <w:r w:rsidR="00763F69">
        <w:rPr>
          <w:rFonts w:ascii="Arial" w:hAnsi="Arial" w:cs="Arial"/>
          <w:sz w:val="22"/>
          <w:szCs w:val="20"/>
        </w:rPr>
        <w:t xml:space="preserve"> </w:t>
      </w:r>
      <w:r w:rsidR="007E6E49">
        <w:rPr>
          <w:rFonts w:ascii="Arial" w:hAnsi="Arial" w:cs="Arial"/>
          <w:sz w:val="22"/>
          <w:szCs w:val="20"/>
        </w:rPr>
        <w:t xml:space="preserve">operating profit </w:t>
      </w:r>
      <w:r w:rsidR="00763F69">
        <w:rPr>
          <w:rFonts w:ascii="Arial" w:hAnsi="Arial" w:cs="Arial"/>
          <w:sz w:val="22"/>
          <w:szCs w:val="20"/>
        </w:rPr>
        <w:t>ever</w:t>
      </w:r>
      <w:r w:rsidR="00FD5622">
        <w:rPr>
          <w:rFonts w:ascii="Arial" w:hAnsi="Arial" w:cs="Arial"/>
          <w:sz w:val="22"/>
          <w:szCs w:val="20"/>
        </w:rPr>
        <w:t>,</w:t>
      </w:r>
      <w:r w:rsidR="00763F69">
        <w:rPr>
          <w:rFonts w:ascii="Arial" w:hAnsi="Arial" w:cs="Arial"/>
          <w:sz w:val="22"/>
          <w:szCs w:val="20"/>
        </w:rPr>
        <w:t xml:space="preserve"> </w:t>
      </w:r>
      <w:r w:rsidR="0017330D">
        <w:rPr>
          <w:rFonts w:ascii="Arial" w:hAnsi="Arial" w:cs="Arial"/>
          <w:sz w:val="22"/>
          <w:szCs w:val="20"/>
        </w:rPr>
        <w:t>led by the Europe region.</w:t>
      </w:r>
    </w:p>
    <w:p w:rsidR="00D10FEF" w:rsidRDefault="00D10FEF" w:rsidP="00D12477">
      <w:pPr>
        <w:rPr>
          <w:rFonts w:ascii="Arial" w:hAnsi="Arial" w:cs="Arial"/>
          <w:sz w:val="22"/>
          <w:szCs w:val="20"/>
        </w:rPr>
      </w:pP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tblGrid>
      <w:tr w:rsidR="00F173C9" w:rsidRPr="001E1EB6" w:rsidTr="00713C07">
        <w:trPr>
          <w:jc w:val="center"/>
        </w:trPr>
        <w:tc>
          <w:tcPr>
            <w:tcW w:w="3024" w:type="dxa"/>
          </w:tcPr>
          <w:p w:rsidR="00F173C9" w:rsidRPr="004B2151" w:rsidRDefault="00F173C9" w:rsidP="00174DB0">
            <w:pPr>
              <w:rPr>
                <w:rFonts w:ascii="Arial" w:hAnsi="Arial" w:cs="Arial"/>
                <w:b/>
                <w:sz w:val="20"/>
                <w:szCs w:val="22"/>
                <w:u w:val="single"/>
              </w:rPr>
            </w:pPr>
          </w:p>
          <w:p w:rsidR="00F173C9" w:rsidRPr="004B2151" w:rsidRDefault="00F173C9" w:rsidP="00174DB0">
            <w:pPr>
              <w:rPr>
                <w:rFonts w:ascii="Arial" w:hAnsi="Arial" w:cs="Arial"/>
                <w:b/>
                <w:sz w:val="20"/>
                <w:szCs w:val="22"/>
                <w:u w:val="single"/>
              </w:rPr>
            </w:pPr>
          </w:p>
        </w:tc>
        <w:tc>
          <w:tcPr>
            <w:tcW w:w="1440" w:type="dxa"/>
          </w:tcPr>
          <w:p w:rsidR="00F173C9" w:rsidRPr="004B2151" w:rsidRDefault="00F173C9" w:rsidP="00174DB0">
            <w:pPr>
              <w:jc w:val="right"/>
              <w:rPr>
                <w:rFonts w:ascii="Arial" w:hAnsi="Arial" w:cs="Arial"/>
                <w:b/>
                <w:sz w:val="20"/>
                <w:szCs w:val="22"/>
                <w:u w:val="single"/>
              </w:rPr>
            </w:pPr>
          </w:p>
          <w:p w:rsidR="00F173C9" w:rsidRPr="004B2151" w:rsidRDefault="00F173C9" w:rsidP="00174DB0">
            <w:pPr>
              <w:jc w:val="right"/>
              <w:rPr>
                <w:rFonts w:ascii="Arial" w:hAnsi="Arial" w:cs="Arial"/>
                <w:b/>
                <w:sz w:val="20"/>
                <w:szCs w:val="22"/>
                <w:u w:val="single"/>
              </w:rPr>
            </w:pPr>
            <w:r>
              <w:rPr>
                <w:rFonts w:ascii="Arial" w:hAnsi="Arial" w:cs="Arial"/>
                <w:b/>
                <w:sz w:val="20"/>
                <w:szCs w:val="22"/>
                <w:u w:val="single"/>
              </w:rPr>
              <w:t>2</w:t>
            </w:r>
            <w:r w:rsidRPr="004B2151">
              <w:rPr>
                <w:rFonts w:ascii="Arial" w:hAnsi="Arial" w:cs="Arial"/>
                <w:b/>
                <w:sz w:val="20"/>
                <w:szCs w:val="22"/>
                <w:u w:val="single"/>
              </w:rPr>
              <w:t>Q 201</w:t>
            </w:r>
            <w:r>
              <w:rPr>
                <w:rFonts w:ascii="Arial" w:hAnsi="Arial" w:cs="Arial"/>
                <w:b/>
                <w:sz w:val="20"/>
                <w:szCs w:val="22"/>
                <w:u w:val="single"/>
              </w:rPr>
              <w:t>8</w:t>
            </w:r>
          </w:p>
        </w:tc>
        <w:tc>
          <w:tcPr>
            <w:tcW w:w="1440" w:type="dxa"/>
          </w:tcPr>
          <w:p w:rsidR="00F173C9" w:rsidRPr="00F173C9" w:rsidRDefault="00F173C9" w:rsidP="00174DB0">
            <w:pPr>
              <w:jc w:val="right"/>
              <w:rPr>
                <w:rFonts w:ascii="Arial" w:hAnsi="Arial" w:cs="Arial"/>
                <w:b/>
                <w:sz w:val="20"/>
                <w:szCs w:val="22"/>
                <w:u w:val="single"/>
              </w:rPr>
            </w:pPr>
            <w:r w:rsidRPr="00F173C9">
              <w:rPr>
                <w:rFonts w:ascii="Arial" w:hAnsi="Arial" w:cs="Arial"/>
                <w:b/>
                <w:sz w:val="20"/>
                <w:szCs w:val="22"/>
                <w:u w:val="single"/>
              </w:rPr>
              <w:t>Adjusted</w:t>
            </w:r>
          </w:p>
          <w:p w:rsidR="00F173C9" w:rsidRPr="00F173C9" w:rsidRDefault="00F173C9" w:rsidP="00174DB0">
            <w:pPr>
              <w:jc w:val="right"/>
              <w:rPr>
                <w:rFonts w:ascii="Arial" w:hAnsi="Arial" w:cs="Arial"/>
                <w:b/>
                <w:sz w:val="20"/>
                <w:szCs w:val="22"/>
                <w:u w:val="single"/>
              </w:rPr>
            </w:pPr>
            <w:r w:rsidRPr="00F173C9">
              <w:rPr>
                <w:rFonts w:ascii="Arial" w:hAnsi="Arial" w:cs="Arial"/>
                <w:b/>
                <w:sz w:val="20"/>
                <w:szCs w:val="22"/>
                <w:u w:val="single"/>
              </w:rPr>
              <w:t>2Q 2018</w:t>
            </w:r>
          </w:p>
        </w:tc>
        <w:tc>
          <w:tcPr>
            <w:tcW w:w="1440" w:type="dxa"/>
          </w:tcPr>
          <w:p w:rsidR="00F173C9" w:rsidRPr="00F173C9" w:rsidRDefault="00F173C9" w:rsidP="00174DB0">
            <w:pPr>
              <w:jc w:val="right"/>
              <w:rPr>
                <w:rFonts w:ascii="Arial" w:hAnsi="Arial" w:cs="Arial"/>
                <w:b/>
                <w:sz w:val="20"/>
                <w:szCs w:val="22"/>
                <w:u w:val="single"/>
              </w:rPr>
            </w:pPr>
          </w:p>
          <w:p w:rsidR="00F173C9" w:rsidRPr="00F173C9" w:rsidRDefault="00F173C9">
            <w:pPr>
              <w:jc w:val="right"/>
              <w:rPr>
                <w:rFonts w:ascii="Arial" w:hAnsi="Arial" w:cs="Arial"/>
                <w:b/>
                <w:sz w:val="20"/>
                <w:szCs w:val="22"/>
                <w:u w:val="single"/>
              </w:rPr>
            </w:pPr>
            <w:r w:rsidRPr="00713C07">
              <w:rPr>
                <w:rFonts w:ascii="Arial" w:hAnsi="Arial" w:cs="Arial"/>
                <w:b/>
                <w:sz w:val="20"/>
                <w:szCs w:val="22"/>
                <w:u w:val="single"/>
              </w:rPr>
              <w:t>2Q 201</w:t>
            </w:r>
            <w:r w:rsidRPr="00F173C9">
              <w:rPr>
                <w:rFonts w:ascii="Arial" w:hAnsi="Arial" w:cs="Arial"/>
                <w:b/>
                <w:sz w:val="20"/>
                <w:szCs w:val="22"/>
                <w:u w:val="single"/>
              </w:rPr>
              <w:t>7</w:t>
            </w:r>
          </w:p>
        </w:tc>
      </w:tr>
      <w:tr w:rsidR="00F173C9" w:rsidRPr="001E1EB6" w:rsidTr="00713C07">
        <w:trPr>
          <w:jc w:val="center"/>
        </w:trPr>
        <w:tc>
          <w:tcPr>
            <w:tcW w:w="3024" w:type="dxa"/>
          </w:tcPr>
          <w:p w:rsidR="00F173C9" w:rsidRPr="004B2151" w:rsidRDefault="00F173C9" w:rsidP="00174DB0">
            <w:pPr>
              <w:rPr>
                <w:rFonts w:ascii="Arial" w:hAnsi="Arial" w:cs="Arial"/>
                <w:sz w:val="20"/>
                <w:szCs w:val="22"/>
              </w:rPr>
            </w:pPr>
            <w:r w:rsidRPr="004B2151">
              <w:rPr>
                <w:rFonts w:ascii="Arial" w:hAnsi="Arial" w:cs="Arial"/>
                <w:sz w:val="20"/>
                <w:szCs w:val="22"/>
              </w:rPr>
              <w:t>Revenue</w:t>
            </w:r>
          </w:p>
        </w:tc>
        <w:tc>
          <w:tcPr>
            <w:tcW w:w="1440" w:type="dxa"/>
          </w:tcPr>
          <w:p w:rsidR="00F173C9" w:rsidRPr="004B2151" w:rsidRDefault="00F173C9">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3,602</w:t>
            </w:r>
            <w:r w:rsidRPr="004B2151">
              <w:rPr>
                <w:rFonts w:ascii="Arial" w:hAnsi="Arial" w:cs="Arial"/>
                <w:sz w:val="20"/>
                <w:szCs w:val="22"/>
              </w:rPr>
              <w:t xml:space="preserve"> M</w:t>
            </w:r>
          </w:p>
        </w:tc>
        <w:tc>
          <w:tcPr>
            <w:tcW w:w="1440" w:type="dxa"/>
          </w:tcPr>
          <w:p w:rsidR="00F173C9" w:rsidRPr="004B2151" w:rsidRDefault="00F173C9" w:rsidP="00174DB0">
            <w:pPr>
              <w:jc w:val="right"/>
              <w:rPr>
                <w:rFonts w:ascii="Arial" w:hAnsi="Arial" w:cs="Arial"/>
                <w:sz w:val="20"/>
                <w:szCs w:val="22"/>
              </w:rPr>
            </w:pPr>
          </w:p>
        </w:tc>
        <w:tc>
          <w:tcPr>
            <w:tcW w:w="1440" w:type="dxa"/>
          </w:tcPr>
          <w:p w:rsidR="00F173C9" w:rsidRPr="004B2151" w:rsidRDefault="00F173C9">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3,171</w:t>
            </w:r>
            <w:r w:rsidRPr="004B2151">
              <w:rPr>
                <w:rFonts w:ascii="Arial" w:hAnsi="Arial" w:cs="Arial"/>
                <w:sz w:val="20"/>
                <w:szCs w:val="22"/>
              </w:rPr>
              <w:t xml:space="preserve"> M</w:t>
            </w:r>
          </w:p>
        </w:tc>
      </w:tr>
      <w:tr w:rsidR="00F173C9" w:rsidRPr="001E1EB6" w:rsidTr="00713C07">
        <w:trPr>
          <w:jc w:val="center"/>
        </w:trPr>
        <w:tc>
          <w:tcPr>
            <w:tcW w:w="3024" w:type="dxa"/>
          </w:tcPr>
          <w:p w:rsidR="00F173C9" w:rsidRPr="004B2151" w:rsidRDefault="00F173C9">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440" w:type="dxa"/>
          </w:tcPr>
          <w:p w:rsidR="00F173C9" w:rsidRPr="004B2151" w:rsidRDefault="00F173C9">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618 M</w:t>
            </w:r>
          </w:p>
        </w:tc>
        <w:tc>
          <w:tcPr>
            <w:tcW w:w="1440" w:type="dxa"/>
          </w:tcPr>
          <w:p w:rsidR="00F173C9" w:rsidRPr="004B2151" w:rsidRDefault="00F173C9">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654</w:t>
            </w:r>
            <w:r w:rsidRPr="004B2151">
              <w:rPr>
                <w:rFonts w:ascii="Arial" w:hAnsi="Arial" w:cs="Arial"/>
                <w:sz w:val="20"/>
                <w:szCs w:val="22"/>
              </w:rPr>
              <w:t xml:space="preserve"> M</w:t>
            </w:r>
          </w:p>
        </w:tc>
        <w:tc>
          <w:tcPr>
            <w:tcW w:w="1440" w:type="dxa"/>
          </w:tcPr>
          <w:p w:rsidR="00F173C9" w:rsidRPr="004B2151" w:rsidRDefault="00F173C9" w:rsidP="00174DB0">
            <w:pPr>
              <w:jc w:val="right"/>
              <w:rPr>
                <w:rFonts w:ascii="Arial" w:hAnsi="Arial" w:cs="Arial"/>
                <w:sz w:val="20"/>
                <w:szCs w:val="22"/>
              </w:rPr>
            </w:pPr>
            <w:r>
              <w:rPr>
                <w:rFonts w:ascii="Arial" w:hAnsi="Arial" w:cs="Arial"/>
                <w:sz w:val="20"/>
                <w:szCs w:val="22"/>
              </w:rPr>
              <w:t>$570</w:t>
            </w:r>
            <w:r w:rsidRPr="004B2151">
              <w:rPr>
                <w:rFonts w:ascii="Arial" w:hAnsi="Arial" w:cs="Arial"/>
                <w:sz w:val="20"/>
                <w:szCs w:val="22"/>
              </w:rPr>
              <w:t xml:space="preserve"> M</w:t>
            </w:r>
          </w:p>
        </w:tc>
      </w:tr>
    </w:tbl>
    <w:p w:rsidR="00DF7166" w:rsidRDefault="00DF7166" w:rsidP="00512620">
      <w:pPr>
        <w:ind w:left="720" w:hanging="720"/>
        <w:rPr>
          <w:rFonts w:ascii="Arial" w:hAnsi="Arial" w:cs="Arial"/>
          <w:szCs w:val="22"/>
        </w:rPr>
      </w:pPr>
    </w:p>
    <w:p w:rsidR="000E624D" w:rsidRPr="008F282D" w:rsidRDefault="000E624D" w:rsidP="00512620">
      <w:pPr>
        <w:ind w:left="720" w:hanging="720"/>
        <w:rPr>
          <w:rFonts w:ascii="Arial" w:hAnsi="Arial" w:cs="Arial"/>
          <w:szCs w:val="22"/>
        </w:rPr>
      </w:pPr>
      <w:r w:rsidRPr="008F282D">
        <w:rPr>
          <w:rFonts w:ascii="Arial" w:hAnsi="Arial" w:cs="Arial"/>
          <w:sz w:val="22"/>
          <w:szCs w:val="22"/>
        </w:rPr>
        <w:t xml:space="preserve">For the International </w:t>
      </w:r>
      <w:r w:rsidR="00576472" w:rsidRPr="008F282D">
        <w:rPr>
          <w:rFonts w:ascii="Arial" w:hAnsi="Arial" w:cs="Arial"/>
          <w:sz w:val="22"/>
          <w:szCs w:val="22"/>
        </w:rPr>
        <w:t xml:space="preserve">segment </w:t>
      </w:r>
      <w:r w:rsidRPr="008F282D">
        <w:rPr>
          <w:rFonts w:ascii="Arial" w:hAnsi="Arial" w:cs="Arial"/>
          <w:sz w:val="22"/>
          <w:szCs w:val="22"/>
        </w:rPr>
        <w:t xml:space="preserve">in </w:t>
      </w:r>
      <w:r w:rsidR="00DF7166">
        <w:rPr>
          <w:rFonts w:ascii="Arial" w:hAnsi="Arial" w:cs="Arial"/>
          <w:sz w:val="22"/>
          <w:szCs w:val="22"/>
        </w:rPr>
        <w:t>2</w:t>
      </w:r>
      <w:r w:rsidR="00EE76F3" w:rsidRPr="008F282D">
        <w:rPr>
          <w:rFonts w:ascii="Arial" w:hAnsi="Arial" w:cs="Arial"/>
          <w:sz w:val="22"/>
          <w:szCs w:val="22"/>
        </w:rPr>
        <w:t>Q</w:t>
      </w:r>
      <w:r w:rsidRPr="008F282D">
        <w:rPr>
          <w:rFonts w:ascii="Arial" w:hAnsi="Arial" w:cs="Arial"/>
          <w:sz w:val="22"/>
          <w:szCs w:val="22"/>
        </w:rPr>
        <w:t xml:space="preserve"> </w:t>
      </w:r>
      <w:r w:rsidR="00EE76F3" w:rsidRPr="008F282D">
        <w:rPr>
          <w:rFonts w:ascii="Arial" w:hAnsi="Arial" w:cs="Arial"/>
          <w:sz w:val="22"/>
          <w:szCs w:val="22"/>
        </w:rPr>
        <w:t>2018</w:t>
      </w:r>
      <w:r w:rsidRPr="008F282D">
        <w:rPr>
          <w:rFonts w:ascii="Arial" w:hAnsi="Arial" w:cs="Arial"/>
          <w:szCs w:val="22"/>
        </w:rPr>
        <w:t>:</w:t>
      </w:r>
    </w:p>
    <w:p w:rsidR="00D8122D" w:rsidRPr="001D43D7" w:rsidRDefault="00DB02EC">
      <w:pPr>
        <w:pStyle w:val="ListParagraph"/>
        <w:numPr>
          <w:ilvl w:val="0"/>
          <w:numId w:val="37"/>
        </w:numPr>
        <w:rPr>
          <w:rFonts w:ascii="Arial" w:hAnsi="Arial" w:cs="Arial"/>
          <w:sz w:val="22"/>
        </w:rPr>
      </w:pPr>
      <w:r w:rsidRPr="001D43D7">
        <w:rPr>
          <w:rFonts w:ascii="Arial" w:hAnsi="Arial" w:cs="Arial"/>
          <w:sz w:val="22"/>
        </w:rPr>
        <w:t xml:space="preserve">International revenue increased </w:t>
      </w:r>
      <w:r w:rsidR="00516C9E" w:rsidRPr="001D43D7">
        <w:rPr>
          <w:rFonts w:ascii="Arial" w:hAnsi="Arial" w:cs="Arial"/>
          <w:sz w:val="22"/>
        </w:rPr>
        <w:t>1</w:t>
      </w:r>
      <w:r w:rsidR="00DD27FF" w:rsidRPr="001D43D7">
        <w:rPr>
          <w:rFonts w:ascii="Arial" w:hAnsi="Arial" w:cs="Arial"/>
          <w:sz w:val="22"/>
        </w:rPr>
        <w:t>4</w:t>
      </w:r>
      <w:r w:rsidR="001D43D7" w:rsidRPr="001D43D7">
        <w:rPr>
          <w:rFonts w:ascii="Arial" w:hAnsi="Arial" w:cs="Arial"/>
          <w:sz w:val="22"/>
        </w:rPr>
        <w:t>%, driven by double-digit growth in</w:t>
      </w:r>
      <w:r w:rsidR="001D43D7">
        <w:rPr>
          <w:rFonts w:ascii="Arial" w:hAnsi="Arial" w:cs="Arial"/>
          <w:sz w:val="22"/>
        </w:rPr>
        <w:t xml:space="preserve"> </w:t>
      </w:r>
      <w:r w:rsidR="000F1F16" w:rsidRPr="001D43D7">
        <w:rPr>
          <w:rFonts w:ascii="Arial" w:hAnsi="Arial" w:cs="Arial"/>
          <w:sz w:val="22"/>
        </w:rPr>
        <w:t>Export</w:t>
      </w:r>
      <w:r w:rsidR="00854198">
        <w:rPr>
          <w:rFonts w:ascii="Arial" w:hAnsi="Arial" w:cs="Arial"/>
          <w:sz w:val="22"/>
        </w:rPr>
        <w:t xml:space="preserve"> and</w:t>
      </w:r>
      <w:r w:rsidR="00854198" w:rsidRPr="001D43D7">
        <w:rPr>
          <w:rFonts w:ascii="Arial" w:hAnsi="Arial" w:cs="Arial"/>
          <w:sz w:val="22"/>
        </w:rPr>
        <w:t xml:space="preserve"> </w:t>
      </w:r>
      <w:r w:rsidR="000F1F16" w:rsidRPr="001D43D7">
        <w:rPr>
          <w:rFonts w:ascii="Arial" w:hAnsi="Arial" w:cs="Arial"/>
          <w:sz w:val="22"/>
        </w:rPr>
        <w:t xml:space="preserve">Domestic. </w:t>
      </w:r>
    </w:p>
    <w:p w:rsidR="00D8122D" w:rsidRPr="001C45FA" w:rsidRDefault="00D60108" w:rsidP="00174DB0">
      <w:pPr>
        <w:pStyle w:val="ListParagraph"/>
        <w:numPr>
          <w:ilvl w:val="0"/>
          <w:numId w:val="37"/>
        </w:numPr>
        <w:rPr>
          <w:rFonts w:ascii="Arial" w:hAnsi="Arial" w:cs="Arial"/>
          <w:sz w:val="22"/>
        </w:rPr>
      </w:pPr>
      <w:r w:rsidRPr="001C45FA">
        <w:rPr>
          <w:rFonts w:ascii="Arial" w:hAnsi="Arial" w:cs="Arial"/>
          <w:sz w:val="22"/>
        </w:rPr>
        <w:t xml:space="preserve">Daily </w:t>
      </w:r>
      <w:r w:rsidR="00D8122D" w:rsidRPr="001C45FA">
        <w:rPr>
          <w:rFonts w:ascii="Arial" w:hAnsi="Arial" w:cs="Arial"/>
          <w:sz w:val="22"/>
        </w:rPr>
        <w:t>Export shipment</w:t>
      </w:r>
      <w:r w:rsidR="00721DC1" w:rsidRPr="001C45FA">
        <w:rPr>
          <w:rFonts w:ascii="Arial" w:hAnsi="Arial" w:cs="Arial"/>
          <w:sz w:val="22"/>
        </w:rPr>
        <w:t>s</w:t>
      </w:r>
      <w:r w:rsidR="00D8122D" w:rsidRPr="001C45FA">
        <w:rPr>
          <w:rFonts w:ascii="Arial" w:hAnsi="Arial" w:cs="Arial"/>
          <w:sz w:val="22"/>
        </w:rPr>
        <w:t xml:space="preserve"> </w:t>
      </w:r>
      <w:r w:rsidRPr="001C45FA">
        <w:rPr>
          <w:rFonts w:ascii="Arial" w:hAnsi="Arial" w:cs="Arial"/>
          <w:sz w:val="22"/>
        </w:rPr>
        <w:t xml:space="preserve">increased </w:t>
      </w:r>
      <w:r w:rsidR="00F173C9" w:rsidRPr="001C45FA">
        <w:rPr>
          <w:rFonts w:ascii="Arial" w:hAnsi="Arial" w:cs="Arial"/>
          <w:sz w:val="22"/>
        </w:rPr>
        <w:t>9.5</w:t>
      </w:r>
      <w:r w:rsidR="00D8122D" w:rsidRPr="001C45FA">
        <w:rPr>
          <w:rFonts w:ascii="Arial" w:hAnsi="Arial" w:cs="Arial"/>
          <w:sz w:val="22"/>
        </w:rPr>
        <w:t>%</w:t>
      </w:r>
      <w:r w:rsidR="001C45FA" w:rsidRPr="001C45FA">
        <w:rPr>
          <w:rFonts w:ascii="Arial" w:hAnsi="Arial" w:cs="Arial"/>
          <w:sz w:val="22"/>
        </w:rPr>
        <w:t xml:space="preserve">, led by </w:t>
      </w:r>
      <w:r w:rsidR="00D34882">
        <w:rPr>
          <w:rFonts w:ascii="Arial" w:hAnsi="Arial" w:cs="Arial"/>
          <w:sz w:val="22"/>
        </w:rPr>
        <w:t>strong</w:t>
      </w:r>
      <w:r w:rsidR="00D34882" w:rsidRPr="001C45FA">
        <w:rPr>
          <w:rFonts w:ascii="Arial" w:hAnsi="Arial" w:cs="Arial"/>
          <w:sz w:val="22"/>
        </w:rPr>
        <w:t xml:space="preserve"> </w:t>
      </w:r>
      <w:r w:rsidR="00C6537E" w:rsidRPr="001C45FA">
        <w:rPr>
          <w:rFonts w:ascii="Arial" w:hAnsi="Arial" w:cs="Arial"/>
          <w:sz w:val="22"/>
        </w:rPr>
        <w:t xml:space="preserve">growth in </w:t>
      </w:r>
      <w:r w:rsidR="001C45FA" w:rsidRPr="001C45FA">
        <w:rPr>
          <w:rFonts w:ascii="Arial" w:hAnsi="Arial" w:cs="Arial"/>
          <w:sz w:val="22"/>
        </w:rPr>
        <w:t xml:space="preserve">Europe </w:t>
      </w:r>
      <w:r w:rsidR="002B6D69" w:rsidRPr="001C45FA">
        <w:rPr>
          <w:rFonts w:ascii="Arial" w:hAnsi="Arial" w:cs="Arial"/>
          <w:sz w:val="22"/>
        </w:rPr>
        <w:t xml:space="preserve">and </w:t>
      </w:r>
      <w:r w:rsidR="001C45FA" w:rsidRPr="001C45FA">
        <w:rPr>
          <w:rFonts w:ascii="Arial" w:hAnsi="Arial" w:cs="Arial"/>
          <w:sz w:val="22"/>
        </w:rPr>
        <w:t>the U.S.</w:t>
      </w:r>
      <w:r w:rsidR="002B6D69" w:rsidRPr="001C45FA">
        <w:rPr>
          <w:rFonts w:ascii="Arial" w:hAnsi="Arial" w:cs="Arial"/>
          <w:sz w:val="22"/>
        </w:rPr>
        <w:t xml:space="preserve"> </w:t>
      </w:r>
    </w:p>
    <w:p w:rsidR="00CC6CB3" w:rsidRDefault="00CC6CB3" w:rsidP="00CC6CB3">
      <w:pPr>
        <w:pStyle w:val="ListParagraph"/>
        <w:numPr>
          <w:ilvl w:val="0"/>
          <w:numId w:val="37"/>
        </w:numPr>
        <w:rPr>
          <w:rFonts w:ascii="Arial" w:hAnsi="Arial" w:cs="Arial"/>
          <w:sz w:val="22"/>
        </w:rPr>
      </w:pPr>
      <w:r>
        <w:rPr>
          <w:rFonts w:ascii="Arial" w:hAnsi="Arial" w:cs="Arial"/>
          <w:sz w:val="22"/>
        </w:rPr>
        <w:t>O</w:t>
      </w:r>
      <w:r w:rsidRPr="00E466EA">
        <w:rPr>
          <w:rFonts w:ascii="Arial" w:hAnsi="Arial" w:cs="Arial"/>
          <w:sz w:val="22"/>
        </w:rPr>
        <w:t xml:space="preserve">perating profit was </w:t>
      </w:r>
      <w:r w:rsidR="002B6D69">
        <w:rPr>
          <w:rFonts w:ascii="Arial" w:hAnsi="Arial" w:cs="Arial"/>
          <w:sz w:val="22"/>
        </w:rPr>
        <w:t>$</w:t>
      </w:r>
      <w:r w:rsidR="00F173C9">
        <w:rPr>
          <w:rFonts w:ascii="Arial" w:hAnsi="Arial" w:cs="Arial"/>
          <w:sz w:val="22"/>
        </w:rPr>
        <w:t>618 m</w:t>
      </w:r>
      <w:r w:rsidR="002B6D69">
        <w:rPr>
          <w:rFonts w:ascii="Arial" w:hAnsi="Arial" w:cs="Arial"/>
          <w:sz w:val="22"/>
        </w:rPr>
        <w:t>illion</w:t>
      </w:r>
      <w:r w:rsidR="00DF35C0">
        <w:rPr>
          <w:rFonts w:ascii="Arial" w:hAnsi="Arial" w:cs="Arial"/>
          <w:sz w:val="22"/>
        </w:rPr>
        <w:t xml:space="preserve"> and </w:t>
      </w:r>
      <w:r w:rsidR="002B6D69">
        <w:rPr>
          <w:rFonts w:ascii="Arial" w:hAnsi="Arial" w:cs="Arial"/>
          <w:sz w:val="22"/>
        </w:rPr>
        <w:t xml:space="preserve">adjusted operating profit </w:t>
      </w:r>
      <w:r w:rsidR="00C85A8D">
        <w:rPr>
          <w:rFonts w:ascii="Arial" w:hAnsi="Arial" w:cs="Arial"/>
          <w:sz w:val="22"/>
        </w:rPr>
        <w:t xml:space="preserve">rose </w:t>
      </w:r>
      <w:r w:rsidR="002B6D69">
        <w:rPr>
          <w:rFonts w:ascii="Arial" w:hAnsi="Arial" w:cs="Arial"/>
          <w:sz w:val="22"/>
        </w:rPr>
        <w:t xml:space="preserve">15% to </w:t>
      </w:r>
      <w:r w:rsidRPr="00E466EA">
        <w:rPr>
          <w:rFonts w:ascii="Arial" w:hAnsi="Arial" w:cs="Arial"/>
          <w:sz w:val="22"/>
        </w:rPr>
        <w:t>$</w:t>
      </w:r>
      <w:r w:rsidR="00DD27FF">
        <w:rPr>
          <w:rFonts w:ascii="Arial" w:hAnsi="Arial" w:cs="Arial"/>
          <w:sz w:val="22"/>
        </w:rPr>
        <w:t>65</w:t>
      </w:r>
      <w:r>
        <w:rPr>
          <w:rFonts w:ascii="Arial" w:hAnsi="Arial" w:cs="Arial"/>
          <w:sz w:val="22"/>
        </w:rPr>
        <w:t>4</w:t>
      </w:r>
      <w:r w:rsidRPr="00E466EA">
        <w:rPr>
          <w:rFonts w:ascii="Arial" w:hAnsi="Arial" w:cs="Arial"/>
          <w:sz w:val="22"/>
        </w:rPr>
        <w:t xml:space="preserve"> million</w:t>
      </w:r>
      <w:r w:rsidR="002B6D69">
        <w:rPr>
          <w:rFonts w:ascii="Arial" w:hAnsi="Arial" w:cs="Arial"/>
          <w:sz w:val="22"/>
        </w:rPr>
        <w:t>.</w:t>
      </w:r>
    </w:p>
    <w:p w:rsidR="002B6D69" w:rsidRPr="00422A2F" w:rsidRDefault="00D60108">
      <w:pPr>
        <w:pStyle w:val="ListParagraph"/>
        <w:numPr>
          <w:ilvl w:val="0"/>
          <w:numId w:val="37"/>
        </w:numPr>
        <w:rPr>
          <w:rFonts w:ascii="Arial" w:hAnsi="Arial" w:cs="Arial"/>
          <w:sz w:val="22"/>
        </w:rPr>
      </w:pPr>
      <w:r w:rsidRPr="00422A2F">
        <w:rPr>
          <w:rFonts w:ascii="Arial" w:hAnsi="Arial" w:cs="Arial"/>
          <w:sz w:val="22"/>
        </w:rPr>
        <w:t xml:space="preserve">Adjusted operating profit excludes transformation </w:t>
      </w:r>
      <w:r w:rsidR="007014D5">
        <w:rPr>
          <w:rFonts w:ascii="Arial" w:hAnsi="Arial" w:cs="Arial"/>
          <w:sz w:val="22"/>
        </w:rPr>
        <w:t>charges of $36 million</w:t>
      </w:r>
      <w:r w:rsidRPr="00422A2F">
        <w:rPr>
          <w:rFonts w:ascii="Arial" w:hAnsi="Arial" w:cs="Arial"/>
          <w:sz w:val="22"/>
        </w:rPr>
        <w:t>.</w:t>
      </w:r>
    </w:p>
    <w:p w:rsidR="006A0C85" w:rsidRDefault="006A0C85" w:rsidP="000F1F16">
      <w:pPr>
        <w:rPr>
          <w:rFonts w:ascii="Arial" w:hAnsi="Arial" w:cs="Arial"/>
          <w:sz w:val="22"/>
          <w:highlight w:val="yellow"/>
        </w:rPr>
      </w:pPr>
    </w:p>
    <w:p w:rsidR="00251650" w:rsidRPr="00BA689F" w:rsidRDefault="00251650" w:rsidP="004914AA">
      <w:pPr>
        <w:rPr>
          <w:rFonts w:ascii="Arial" w:hAnsi="Arial" w:cs="Arial"/>
          <w:sz w:val="22"/>
        </w:rPr>
      </w:pPr>
    </w:p>
    <w:p w:rsidR="000E624D" w:rsidRDefault="000E624D" w:rsidP="004914AA">
      <w:pPr>
        <w:rPr>
          <w:rFonts w:ascii="Arial" w:hAnsi="Arial" w:cs="Arial"/>
          <w:b/>
          <w:sz w:val="22"/>
          <w:u w:val="single"/>
        </w:rPr>
      </w:pPr>
      <w:r w:rsidRPr="000E624D">
        <w:rPr>
          <w:rFonts w:ascii="Arial" w:hAnsi="Arial" w:cs="Arial"/>
          <w:b/>
          <w:sz w:val="22"/>
          <w:u w:val="single"/>
        </w:rPr>
        <w:t>Supply Chain and Freight Segment</w:t>
      </w:r>
    </w:p>
    <w:p w:rsidR="000E624D" w:rsidRPr="000E624D" w:rsidRDefault="000E624D" w:rsidP="004914AA">
      <w:pPr>
        <w:rPr>
          <w:rFonts w:ascii="Arial" w:hAnsi="Arial" w:cs="Arial"/>
          <w:b/>
          <w:sz w:val="22"/>
          <w:u w:val="single"/>
        </w:rPr>
      </w:pPr>
    </w:p>
    <w:p w:rsidR="00B47CCC" w:rsidRDefault="00E91AEF" w:rsidP="002B6D69">
      <w:pPr>
        <w:ind w:firstLine="720"/>
        <w:rPr>
          <w:rFonts w:ascii="Arial" w:hAnsi="Arial" w:cs="Arial"/>
          <w:sz w:val="22"/>
        </w:rPr>
      </w:pPr>
      <w:r>
        <w:rPr>
          <w:rFonts w:ascii="Arial" w:hAnsi="Arial" w:cs="Arial"/>
          <w:sz w:val="22"/>
        </w:rPr>
        <w:t>“</w:t>
      </w:r>
      <w:r w:rsidR="00C53B27">
        <w:rPr>
          <w:rFonts w:ascii="Arial" w:hAnsi="Arial" w:cs="Arial"/>
          <w:sz w:val="22"/>
        </w:rPr>
        <w:t xml:space="preserve">The </w:t>
      </w:r>
      <w:r w:rsidR="0097774E" w:rsidRPr="00C945DC">
        <w:rPr>
          <w:rFonts w:ascii="Arial" w:hAnsi="Arial" w:cs="Arial"/>
          <w:sz w:val="22"/>
        </w:rPr>
        <w:t xml:space="preserve">Supply Chain and Freight </w:t>
      </w:r>
      <w:r w:rsidR="00C53B27">
        <w:rPr>
          <w:rFonts w:ascii="Arial" w:hAnsi="Arial" w:cs="Arial"/>
          <w:sz w:val="22"/>
        </w:rPr>
        <w:t xml:space="preserve">segment </w:t>
      </w:r>
      <w:r>
        <w:rPr>
          <w:rFonts w:ascii="Arial" w:hAnsi="Arial" w:cs="Arial"/>
          <w:sz w:val="22"/>
        </w:rPr>
        <w:t xml:space="preserve">delivered another quarter of </w:t>
      </w:r>
      <w:r w:rsidR="000E6019">
        <w:rPr>
          <w:rFonts w:ascii="Arial" w:hAnsi="Arial" w:cs="Arial"/>
          <w:sz w:val="22"/>
        </w:rPr>
        <w:t xml:space="preserve">double-digit </w:t>
      </w:r>
      <w:r w:rsidR="00473572">
        <w:rPr>
          <w:rFonts w:ascii="Arial" w:hAnsi="Arial" w:cs="Arial"/>
          <w:sz w:val="22"/>
        </w:rPr>
        <w:t xml:space="preserve">growth in </w:t>
      </w:r>
      <w:r w:rsidR="000E6019">
        <w:rPr>
          <w:rFonts w:ascii="Arial" w:hAnsi="Arial" w:cs="Arial"/>
          <w:sz w:val="22"/>
        </w:rPr>
        <w:t xml:space="preserve">revenue and </w:t>
      </w:r>
      <w:r w:rsidR="00B12F3D">
        <w:rPr>
          <w:rFonts w:ascii="Arial" w:hAnsi="Arial" w:cs="Arial"/>
          <w:sz w:val="22"/>
        </w:rPr>
        <w:t xml:space="preserve">adjusted </w:t>
      </w:r>
      <w:r w:rsidR="000E6019">
        <w:rPr>
          <w:rFonts w:ascii="Arial" w:hAnsi="Arial" w:cs="Arial"/>
          <w:sz w:val="22"/>
        </w:rPr>
        <w:t>operating profi</w:t>
      </w:r>
      <w:r w:rsidR="00473572">
        <w:rPr>
          <w:rFonts w:ascii="Arial" w:hAnsi="Arial" w:cs="Arial"/>
          <w:sz w:val="22"/>
        </w:rPr>
        <w:t>t</w:t>
      </w:r>
      <w:r>
        <w:rPr>
          <w:rFonts w:ascii="Arial" w:hAnsi="Arial" w:cs="Arial"/>
          <w:sz w:val="22"/>
        </w:rPr>
        <w:t>,” continued Abney.  “</w:t>
      </w:r>
      <w:r w:rsidR="00473572">
        <w:rPr>
          <w:rFonts w:ascii="Arial" w:hAnsi="Arial" w:cs="Arial"/>
          <w:sz w:val="22"/>
        </w:rPr>
        <w:t>Our t</w:t>
      </w:r>
      <w:r w:rsidR="000E6019">
        <w:rPr>
          <w:rFonts w:ascii="Arial" w:hAnsi="Arial" w:cs="Arial"/>
          <w:sz w:val="22"/>
        </w:rPr>
        <w:t xml:space="preserve">argeted </w:t>
      </w:r>
      <w:r w:rsidR="00813372">
        <w:rPr>
          <w:rFonts w:ascii="Arial" w:hAnsi="Arial" w:cs="Arial"/>
          <w:sz w:val="22"/>
        </w:rPr>
        <w:t>growth strategies</w:t>
      </w:r>
      <w:r w:rsidR="000E6019">
        <w:rPr>
          <w:rFonts w:ascii="Arial" w:hAnsi="Arial" w:cs="Arial"/>
          <w:sz w:val="22"/>
        </w:rPr>
        <w:t xml:space="preserve"> and </w:t>
      </w:r>
      <w:r w:rsidR="00165140">
        <w:rPr>
          <w:rFonts w:ascii="Arial" w:hAnsi="Arial" w:cs="Arial"/>
          <w:sz w:val="22"/>
        </w:rPr>
        <w:t>improved efficiencies</w:t>
      </w:r>
      <w:r w:rsidR="004F63F5">
        <w:rPr>
          <w:rFonts w:ascii="Arial" w:hAnsi="Arial" w:cs="Arial"/>
          <w:sz w:val="22"/>
        </w:rPr>
        <w:t xml:space="preserve"> </w:t>
      </w:r>
      <w:r w:rsidR="002F3919">
        <w:rPr>
          <w:rFonts w:ascii="Arial" w:hAnsi="Arial" w:cs="Arial"/>
          <w:sz w:val="22"/>
        </w:rPr>
        <w:t>p</w:t>
      </w:r>
      <w:r w:rsidR="0017330D">
        <w:rPr>
          <w:rFonts w:ascii="Arial" w:hAnsi="Arial" w:cs="Arial"/>
          <w:sz w:val="22"/>
        </w:rPr>
        <w:t>roduced the segment</w:t>
      </w:r>
      <w:r w:rsidR="002924E7">
        <w:rPr>
          <w:rFonts w:ascii="Arial" w:hAnsi="Arial" w:cs="Arial"/>
          <w:sz w:val="22"/>
        </w:rPr>
        <w:t>’</w:t>
      </w:r>
      <w:r w:rsidR="0017330D">
        <w:rPr>
          <w:rFonts w:ascii="Arial" w:hAnsi="Arial" w:cs="Arial"/>
          <w:sz w:val="22"/>
        </w:rPr>
        <w:t>s best profit growth in its history.”</w:t>
      </w:r>
      <w:r w:rsidR="0097774E" w:rsidRPr="00C945DC">
        <w:rPr>
          <w:rFonts w:ascii="Arial" w:hAnsi="Arial" w:cs="Arial"/>
          <w:sz w:val="22"/>
        </w:rPr>
        <w:t xml:space="preserve"> </w:t>
      </w:r>
    </w:p>
    <w:p w:rsidR="007B26BF" w:rsidRDefault="007B26BF" w:rsidP="002B6D69">
      <w:pPr>
        <w:ind w:firstLine="720"/>
        <w:rPr>
          <w:rFonts w:ascii="Arial" w:hAnsi="Arial" w:cs="Arial"/>
          <w:sz w:val="22"/>
        </w:rPr>
      </w:pPr>
    </w:p>
    <w:p w:rsidR="007B26BF" w:rsidRDefault="007B26BF" w:rsidP="002B6D69">
      <w:pPr>
        <w:ind w:firstLine="720"/>
        <w:rPr>
          <w:rFonts w:ascii="Arial" w:hAnsi="Arial" w:cs="Arial"/>
          <w:sz w:val="22"/>
        </w:rPr>
      </w:pPr>
    </w:p>
    <w:p w:rsidR="000F5C47" w:rsidRDefault="000F5C47" w:rsidP="002B6D69">
      <w:pPr>
        <w:ind w:firstLine="720"/>
        <w:rPr>
          <w:rFonts w:ascii="Arial" w:hAnsi="Arial" w:cs="Arial"/>
          <w:sz w:val="22"/>
        </w:rPr>
      </w:pPr>
    </w:p>
    <w:p w:rsidR="00A52E74" w:rsidRDefault="00A52E74" w:rsidP="00A52E74">
      <w:pPr>
        <w:rPr>
          <w:rFonts w:ascii="Arial" w:hAnsi="Arial" w:cs="Arial"/>
          <w:b/>
          <w:sz w:val="22"/>
          <w:vertAlign w:val="subscript"/>
        </w:rPr>
      </w:pPr>
      <w:r w:rsidRPr="005B78BB">
        <w:rPr>
          <w:rFonts w:ascii="Arial" w:hAnsi="Arial" w:cs="Arial"/>
          <w:b/>
          <w:sz w:val="22"/>
          <w:vertAlign w:val="subscript"/>
        </w:rPr>
        <w:t xml:space="preserve">* </w:t>
      </w:r>
      <w:r>
        <w:rPr>
          <w:rFonts w:ascii="Arial" w:hAnsi="Arial" w:cs="Arial"/>
          <w:b/>
          <w:sz w:val="22"/>
          <w:vertAlign w:val="subscript"/>
        </w:rPr>
        <w:t xml:space="preserve">Information on </w:t>
      </w:r>
      <w:r w:rsidRPr="005B78BB">
        <w:rPr>
          <w:rFonts w:ascii="Arial" w:hAnsi="Arial" w:cs="Arial"/>
          <w:b/>
          <w:sz w:val="22"/>
          <w:vertAlign w:val="subscript"/>
        </w:rPr>
        <w:t xml:space="preserve">non-GAAP </w:t>
      </w:r>
      <w:r>
        <w:rPr>
          <w:rFonts w:ascii="Arial" w:hAnsi="Arial" w:cs="Arial"/>
          <w:b/>
          <w:sz w:val="22"/>
          <w:vertAlign w:val="subscript"/>
        </w:rPr>
        <w:t>financial measures is attached to this press release.</w:t>
      </w:r>
    </w:p>
    <w:p w:rsidR="007B26BF" w:rsidRDefault="007B26BF" w:rsidP="00B12F3D">
      <w:pPr>
        <w:rPr>
          <w:rFonts w:ascii="Arial" w:hAnsi="Arial" w:cs="Arial"/>
          <w:sz w:val="22"/>
          <w:highlight w:val="yellow"/>
        </w:rPr>
      </w:pPr>
    </w:p>
    <w:p w:rsidR="00B12F3D" w:rsidRPr="000F1F16" w:rsidRDefault="00B12F3D" w:rsidP="00B12F3D">
      <w:pPr>
        <w:jc w:val="center"/>
        <w:rPr>
          <w:rFonts w:ascii="Arial" w:hAnsi="Arial" w:cs="Arial"/>
          <w:sz w:val="20"/>
          <w:szCs w:val="20"/>
        </w:rPr>
      </w:pPr>
      <w:r w:rsidRPr="000F1F16">
        <w:rPr>
          <w:rFonts w:ascii="Arial" w:hAnsi="Arial" w:cs="Arial"/>
          <w:sz w:val="20"/>
          <w:szCs w:val="20"/>
        </w:rPr>
        <w:t>– more –</w:t>
      </w:r>
    </w:p>
    <w:p w:rsidR="00B12F3D" w:rsidRPr="00BA689F" w:rsidRDefault="00B12F3D" w:rsidP="00B12F3D">
      <w:pPr>
        <w:rPr>
          <w:rFonts w:ascii="Arial" w:hAnsi="Arial" w:cs="Arial"/>
          <w:sz w:val="22"/>
        </w:rPr>
      </w:pPr>
      <w:r w:rsidRPr="00BA689F">
        <w:rPr>
          <w:rFonts w:ascii="Arial" w:hAnsi="Arial" w:cs="Arial"/>
          <w:sz w:val="22"/>
        </w:rPr>
        <w:t>3-3-3</w:t>
      </w:r>
    </w:p>
    <w:p w:rsidR="00B12F3D" w:rsidRDefault="00B12F3D" w:rsidP="00B12F3D">
      <w:pPr>
        <w:rPr>
          <w:rFonts w:ascii="Arial" w:hAnsi="Arial" w:cs="Arial"/>
          <w:sz w:val="22"/>
        </w:rPr>
      </w:pPr>
    </w:p>
    <w:p w:rsidR="007B26BF" w:rsidRDefault="007B26BF" w:rsidP="007B26BF">
      <w:pPr>
        <w:rPr>
          <w:rFonts w:ascii="Arial" w:hAnsi="Arial" w:cs="Arial"/>
          <w:sz w:val="22"/>
          <w:highlight w:val="yellow"/>
        </w:rPr>
      </w:pP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tblGrid>
      <w:tr w:rsidR="007B26BF" w:rsidRPr="001E1EB6" w:rsidTr="00A4453A">
        <w:trPr>
          <w:jc w:val="center"/>
        </w:trPr>
        <w:tc>
          <w:tcPr>
            <w:tcW w:w="3024" w:type="dxa"/>
          </w:tcPr>
          <w:p w:rsidR="007B26BF" w:rsidRPr="004B2151" w:rsidRDefault="007B26BF" w:rsidP="00A4453A">
            <w:pPr>
              <w:rPr>
                <w:rFonts w:ascii="Arial" w:hAnsi="Arial" w:cs="Arial"/>
                <w:b/>
                <w:sz w:val="20"/>
                <w:szCs w:val="22"/>
                <w:u w:val="single"/>
              </w:rPr>
            </w:pPr>
          </w:p>
          <w:p w:rsidR="007B26BF" w:rsidRPr="004B2151" w:rsidRDefault="007B26BF" w:rsidP="00A4453A">
            <w:pPr>
              <w:rPr>
                <w:rFonts w:ascii="Arial" w:hAnsi="Arial" w:cs="Arial"/>
                <w:b/>
                <w:sz w:val="20"/>
                <w:szCs w:val="22"/>
                <w:u w:val="single"/>
              </w:rPr>
            </w:pPr>
          </w:p>
        </w:tc>
        <w:tc>
          <w:tcPr>
            <w:tcW w:w="1440" w:type="dxa"/>
          </w:tcPr>
          <w:p w:rsidR="007B26BF" w:rsidRPr="004B2151" w:rsidRDefault="007B26BF" w:rsidP="00A4453A">
            <w:pPr>
              <w:jc w:val="right"/>
              <w:rPr>
                <w:rFonts w:ascii="Arial" w:hAnsi="Arial" w:cs="Arial"/>
                <w:b/>
                <w:sz w:val="20"/>
                <w:szCs w:val="22"/>
                <w:u w:val="single"/>
              </w:rPr>
            </w:pPr>
          </w:p>
          <w:p w:rsidR="007B26BF" w:rsidRPr="004B2151" w:rsidRDefault="007B26BF" w:rsidP="00A4453A">
            <w:pPr>
              <w:jc w:val="right"/>
              <w:rPr>
                <w:rFonts w:ascii="Arial" w:hAnsi="Arial" w:cs="Arial"/>
                <w:b/>
                <w:sz w:val="20"/>
                <w:szCs w:val="22"/>
                <w:u w:val="single"/>
              </w:rPr>
            </w:pPr>
            <w:r>
              <w:rPr>
                <w:rFonts w:ascii="Arial" w:hAnsi="Arial" w:cs="Arial"/>
                <w:b/>
                <w:sz w:val="20"/>
                <w:szCs w:val="22"/>
                <w:u w:val="single"/>
              </w:rPr>
              <w:t>2</w:t>
            </w:r>
            <w:r w:rsidRPr="004B2151">
              <w:rPr>
                <w:rFonts w:ascii="Arial" w:hAnsi="Arial" w:cs="Arial"/>
                <w:b/>
                <w:sz w:val="20"/>
                <w:szCs w:val="22"/>
                <w:u w:val="single"/>
              </w:rPr>
              <w:t>Q 201</w:t>
            </w:r>
            <w:r>
              <w:rPr>
                <w:rFonts w:ascii="Arial" w:hAnsi="Arial" w:cs="Arial"/>
                <w:b/>
                <w:sz w:val="20"/>
                <w:szCs w:val="22"/>
                <w:u w:val="single"/>
              </w:rPr>
              <w:t>8</w:t>
            </w:r>
          </w:p>
        </w:tc>
        <w:tc>
          <w:tcPr>
            <w:tcW w:w="1440" w:type="dxa"/>
          </w:tcPr>
          <w:p w:rsidR="007B26BF" w:rsidRPr="004B2151" w:rsidRDefault="007B26BF" w:rsidP="00A4453A">
            <w:pPr>
              <w:jc w:val="right"/>
              <w:rPr>
                <w:rFonts w:ascii="Arial" w:hAnsi="Arial" w:cs="Arial"/>
                <w:b/>
                <w:sz w:val="20"/>
                <w:szCs w:val="22"/>
                <w:u w:val="single"/>
              </w:rPr>
            </w:pPr>
            <w:r w:rsidRPr="004B2151">
              <w:rPr>
                <w:rFonts w:ascii="Arial" w:hAnsi="Arial" w:cs="Arial"/>
                <w:b/>
                <w:sz w:val="20"/>
                <w:szCs w:val="22"/>
                <w:u w:val="single"/>
              </w:rPr>
              <w:t>Adjusted</w:t>
            </w:r>
          </w:p>
          <w:p w:rsidR="007B26BF" w:rsidRPr="004B2151" w:rsidRDefault="007B26BF" w:rsidP="00A4453A">
            <w:pPr>
              <w:jc w:val="right"/>
              <w:rPr>
                <w:rFonts w:ascii="Arial" w:hAnsi="Arial" w:cs="Arial"/>
                <w:b/>
                <w:sz w:val="20"/>
                <w:szCs w:val="22"/>
                <w:u w:val="single"/>
              </w:rPr>
            </w:pPr>
            <w:r>
              <w:rPr>
                <w:rFonts w:ascii="Arial" w:hAnsi="Arial" w:cs="Arial"/>
                <w:b/>
                <w:sz w:val="20"/>
                <w:szCs w:val="22"/>
                <w:u w:val="single"/>
              </w:rPr>
              <w:t>2</w:t>
            </w:r>
            <w:r w:rsidRPr="004B2151">
              <w:rPr>
                <w:rFonts w:ascii="Arial" w:hAnsi="Arial" w:cs="Arial"/>
                <w:b/>
                <w:sz w:val="20"/>
                <w:szCs w:val="22"/>
                <w:u w:val="single"/>
              </w:rPr>
              <w:t>Q 201</w:t>
            </w:r>
            <w:r>
              <w:rPr>
                <w:rFonts w:ascii="Arial" w:hAnsi="Arial" w:cs="Arial"/>
                <w:b/>
                <w:sz w:val="20"/>
                <w:szCs w:val="22"/>
                <w:u w:val="single"/>
              </w:rPr>
              <w:t>8</w:t>
            </w:r>
          </w:p>
        </w:tc>
        <w:tc>
          <w:tcPr>
            <w:tcW w:w="1440" w:type="dxa"/>
          </w:tcPr>
          <w:p w:rsidR="007B26BF" w:rsidRPr="004B2151" w:rsidRDefault="007B26BF" w:rsidP="00A4453A">
            <w:pPr>
              <w:jc w:val="right"/>
              <w:rPr>
                <w:rFonts w:ascii="Arial" w:hAnsi="Arial" w:cs="Arial"/>
                <w:b/>
                <w:sz w:val="20"/>
                <w:szCs w:val="22"/>
                <w:u w:val="single"/>
              </w:rPr>
            </w:pPr>
          </w:p>
          <w:p w:rsidR="007B26BF" w:rsidRPr="004B2151" w:rsidRDefault="007B26BF" w:rsidP="00A4453A">
            <w:pPr>
              <w:jc w:val="right"/>
              <w:rPr>
                <w:rFonts w:ascii="Arial" w:hAnsi="Arial" w:cs="Arial"/>
                <w:b/>
                <w:sz w:val="20"/>
                <w:szCs w:val="22"/>
                <w:u w:val="single"/>
              </w:rPr>
            </w:pPr>
            <w:r>
              <w:rPr>
                <w:rFonts w:ascii="Arial" w:hAnsi="Arial" w:cs="Arial"/>
                <w:b/>
                <w:sz w:val="20"/>
                <w:szCs w:val="22"/>
                <w:u w:val="single"/>
              </w:rPr>
              <w:t>2</w:t>
            </w:r>
            <w:r w:rsidRPr="004B2151">
              <w:rPr>
                <w:rFonts w:ascii="Arial" w:hAnsi="Arial" w:cs="Arial"/>
                <w:b/>
                <w:sz w:val="20"/>
                <w:szCs w:val="22"/>
                <w:u w:val="single"/>
              </w:rPr>
              <w:t>Q 201</w:t>
            </w:r>
            <w:r>
              <w:rPr>
                <w:rFonts w:ascii="Arial" w:hAnsi="Arial" w:cs="Arial"/>
                <w:b/>
                <w:sz w:val="20"/>
                <w:szCs w:val="22"/>
                <w:u w:val="single"/>
              </w:rPr>
              <w:t>7</w:t>
            </w:r>
          </w:p>
        </w:tc>
      </w:tr>
      <w:tr w:rsidR="007B26BF" w:rsidRPr="001E1EB6" w:rsidTr="00A4453A">
        <w:trPr>
          <w:jc w:val="center"/>
        </w:trPr>
        <w:tc>
          <w:tcPr>
            <w:tcW w:w="3024" w:type="dxa"/>
          </w:tcPr>
          <w:p w:rsidR="007B26BF" w:rsidRPr="004B2151" w:rsidRDefault="007B26BF" w:rsidP="00A4453A">
            <w:pPr>
              <w:rPr>
                <w:rFonts w:ascii="Arial" w:hAnsi="Arial" w:cs="Arial"/>
                <w:sz w:val="20"/>
                <w:szCs w:val="22"/>
              </w:rPr>
            </w:pPr>
            <w:r w:rsidRPr="004B2151">
              <w:rPr>
                <w:rFonts w:ascii="Arial" w:hAnsi="Arial" w:cs="Arial"/>
                <w:sz w:val="20"/>
                <w:szCs w:val="22"/>
              </w:rPr>
              <w:t>Revenue</w:t>
            </w:r>
          </w:p>
        </w:tc>
        <w:tc>
          <w:tcPr>
            <w:tcW w:w="1440" w:type="dxa"/>
          </w:tcPr>
          <w:p w:rsidR="007B26BF" w:rsidRPr="004B2151" w:rsidRDefault="007B26BF" w:rsidP="00A4453A">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3,500</w:t>
            </w:r>
            <w:r w:rsidRPr="004B2151">
              <w:rPr>
                <w:rFonts w:ascii="Arial" w:hAnsi="Arial" w:cs="Arial"/>
                <w:sz w:val="20"/>
                <w:szCs w:val="22"/>
              </w:rPr>
              <w:t xml:space="preserve"> M</w:t>
            </w:r>
          </w:p>
        </w:tc>
        <w:tc>
          <w:tcPr>
            <w:tcW w:w="1440" w:type="dxa"/>
          </w:tcPr>
          <w:p w:rsidR="007B26BF" w:rsidRPr="004B2151" w:rsidRDefault="007B26BF" w:rsidP="00A4453A">
            <w:pPr>
              <w:jc w:val="right"/>
              <w:rPr>
                <w:rFonts w:ascii="Arial" w:hAnsi="Arial" w:cs="Arial"/>
                <w:sz w:val="20"/>
                <w:szCs w:val="22"/>
              </w:rPr>
            </w:pPr>
          </w:p>
        </w:tc>
        <w:tc>
          <w:tcPr>
            <w:tcW w:w="1440" w:type="dxa"/>
          </w:tcPr>
          <w:p w:rsidR="007B26BF" w:rsidRPr="004B2151" w:rsidRDefault="007B26BF" w:rsidP="00A4453A">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3,015</w:t>
            </w:r>
            <w:r w:rsidRPr="004B2151">
              <w:rPr>
                <w:rFonts w:ascii="Arial" w:hAnsi="Arial" w:cs="Arial"/>
                <w:sz w:val="20"/>
                <w:szCs w:val="22"/>
              </w:rPr>
              <w:t xml:space="preserve"> M</w:t>
            </w:r>
          </w:p>
        </w:tc>
      </w:tr>
      <w:tr w:rsidR="007B26BF" w:rsidRPr="001E1EB6" w:rsidTr="00A4453A">
        <w:trPr>
          <w:jc w:val="center"/>
        </w:trPr>
        <w:tc>
          <w:tcPr>
            <w:tcW w:w="3024" w:type="dxa"/>
          </w:tcPr>
          <w:p w:rsidR="007B26BF" w:rsidRPr="004B2151" w:rsidRDefault="007B26BF" w:rsidP="00A4453A">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440" w:type="dxa"/>
          </w:tcPr>
          <w:p w:rsidR="007B26BF" w:rsidRPr="004B2151" w:rsidRDefault="007B26BF" w:rsidP="00A4453A">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216 M</w:t>
            </w:r>
          </w:p>
        </w:tc>
        <w:tc>
          <w:tcPr>
            <w:tcW w:w="1440" w:type="dxa"/>
          </w:tcPr>
          <w:p w:rsidR="007B26BF" w:rsidRPr="004B2151" w:rsidRDefault="007B26BF" w:rsidP="00A4453A">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247</w:t>
            </w:r>
            <w:r w:rsidRPr="004B2151">
              <w:rPr>
                <w:rFonts w:ascii="Arial" w:hAnsi="Arial" w:cs="Arial"/>
                <w:sz w:val="20"/>
                <w:szCs w:val="22"/>
              </w:rPr>
              <w:t xml:space="preserve"> M</w:t>
            </w:r>
          </w:p>
        </w:tc>
        <w:tc>
          <w:tcPr>
            <w:tcW w:w="1440" w:type="dxa"/>
          </w:tcPr>
          <w:p w:rsidR="007B26BF" w:rsidRPr="004B2151" w:rsidRDefault="007B26BF" w:rsidP="00A4453A">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212</w:t>
            </w:r>
            <w:r w:rsidRPr="004B2151">
              <w:rPr>
                <w:rFonts w:ascii="Arial" w:hAnsi="Arial" w:cs="Arial"/>
                <w:sz w:val="20"/>
                <w:szCs w:val="22"/>
              </w:rPr>
              <w:t xml:space="preserve"> M</w:t>
            </w:r>
          </w:p>
        </w:tc>
      </w:tr>
    </w:tbl>
    <w:p w:rsidR="007B26BF" w:rsidRPr="00BA689F" w:rsidRDefault="007B26BF" w:rsidP="00B12F3D">
      <w:pPr>
        <w:rPr>
          <w:rFonts w:ascii="Arial" w:hAnsi="Arial" w:cs="Arial"/>
          <w:sz w:val="22"/>
        </w:rPr>
      </w:pPr>
    </w:p>
    <w:p w:rsidR="00556A78" w:rsidRDefault="00556A78" w:rsidP="00B47CCC">
      <w:pPr>
        <w:ind w:left="720" w:hanging="720"/>
        <w:rPr>
          <w:rFonts w:ascii="Arial" w:hAnsi="Arial" w:cs="Arial"/>
          <w:sz w:val="22"/>
          <w:szCs w:val="22"/>
        </w:rPr>
      </w:pPr>
    </w:p>
    <w:p w:rsidR="00B47CCC" w:rsidRPr="008F282D" w:rsidRDefault="00B47CCC" w:rsidP="00B47CCC">
      <w:pPr>
        <w:ind w:left="720" w:hanging="720"/>
        <w:rPr>
          <w:rFonts w:ascii="Arial" w:hAnsi="Arial" w:cs="Arial"/>
          <w:szCs w:val="22"/>
        </w:rPr>
      </w:pPr>
      <w:r w:rsidRPr="008F282D">
        <w:rPr>
          <w:rFonts w:ascii="Arial" w:hAnsi="Arial" w:cs="Arial"/>
          <w:sz w:val="22"/>
          <w:szCs w:val="22"/>
        </w:rPr>
        <w:t xml:space="preserve">For the Supply Chain and Freight segment in </w:t>
      </w:r>
      <w:r w:rsidR="006556A5">
        <w:rPr>
          <w:rFonts w:ascii="Arial" w:hAnsi="Arial" w:cs="Arial"/>
          <w:sz w:val="22"/>
          <w:szCs w:val="22"/>
        </w:rPr>
        <w:t>2Q</w:t>
      </w:r>
      <w:r w:rsidRPr="008F282D">
        <w:rPr>
          <w:rFonts w:ascii="Arial" w:hAnsi="Arial" w:cs="Arial"/>
          <w:sz w:val="22"/>
          <w:szCs w:val="22"/>
        </w:rPr>
        <w:t xml:space="preserve"> </w:t>
      </w:r>
      <w:r w:rsidR="00EE76F3" w:rsidRPr="008F282D">
        <w:rPr>
          <w:rFonts w:ascii="Arial" w:hAnsi="Arial" w:cs="Arial"/>
          <w:sz w:val="22"/>
          <w:szCs w:val="22"/>
        </w:rPr>
        <w:t>2018</w:t>
      </w:r>
      <w:r w:rsidRPr="008F282D">
        <w:rPr>
          <w:rFonts w:ascii="Arial" w:hAnsi="Arial" w:cs="Arial"/>
          <w:szCs w:val="22"/>
        </w:rPr>
        <w:t>:</w:t>
      </w:r>
    </w:p>
    <w:p w:rsidR="00690801" w:rsidRPr="004F5D76" w:rsidRDefault="00690801" w:rsidP="00690801">
      <w:pPr>
        <w:pStyle w:val="ListParagraph"/>
        <w:numPr>
          <w:ilvl w:val="0"/>
          <w:numId w:val="37"/>
        </w:numPr>
        <w:rPr>
          <w:rFonts w:ascii="Arial" w:hAnsi="Arial" w:cs="Arial"/>
          <w:sz w:val="22"/>
        </w:rPr>
      </w:pPr>
      <w:r w:rsidRPr="00666CFA">
        <w:rPr>
          <w:rFonts w:ascii="Arial" w:hAnsi="Arial" w:cs="Arial"/>
          <w:sz w:val="22"/>
        </w:rPr>
        <w:t>Revenue increased</w:t>
      </w:r>
      <w:r w:rsidR="002924E7">
        <w:rPr>
          <w:rFonts w:ascii="Arial" w:hAnsi="Arial" w:cs="Arial"/>
          <w:sz w:val="22"/>
        </w:rPr>
        <w:t xml:space="preserve"> 16%</w:t>
      </w:r>
      <w:r w:rsidRPr="00666CFA">
        <w:rPr>
          <w:rFonts w:ascii="Arial" w:hAnsi="Arial" w:cs="Arial"/>
          <w:sz w:val="22"/>
        </w:rPr>
        <w:t xml:space="preserve"> </w:t>
      </w:r>
      <w:r w:rsidR="00F700D3">
        <w:rPr>
          <w:rFonts w:ascii="Arial" w:hAnsi="Arial" w:cs="Arial"/>
          <w:sz w:val="22"/>
        </w:rPr>
        <w:t>to $3.</w:t>
      </w:r>
      <w:r w:rsidR="00DD27FF">
        <w:rPr>
          <w:rFonts w:ascii="Arial" w:hAnsi="Arial" w:cs="Arial"/>
          <w:sz w:val="22"/>
        </w:rPr>
        <w:t>5</w:t>
      </w:r>
      <w:r w:rsidR="00F700D3">
        <w:rPr>
          <w:rFonts w:ascii="Arial" w:hAnsi="Arial" w:cs="Arial"/>
          <w:sz w:val="22"/>
        </w:rPr>
        <w:t xml:space="preserve"> billion</w:t>
      </w:r>
      <w:r w:rsidR="002924E7">
        <w:rPr>
          <w:rFonts w:ascii="Arial" w:hAnsi="Arial" w:cs="Arial"/>
          <w:sz w:val="22"/>
        </w:rPr>
        <w:t>, t</w:t>
      </w:r>
      <w:r w:rsidR="00FA202E">
        <w:rPr>
          <w:rFonts w:ascii="Arial" w:hAnsi="Arial" w:cs="Arial"/>
          <w:sz w:val="22"/>
        </w:rPr>
        <w:t xml:space="preserve">he business units </w:t>
      </w:r>
      <w:r w:rsidR="00165140">
        <w:rPr>
          <w:rFonts w:ascii="Arial" w:hAnsi="Arial" w:cs="Arial"/>
          <w:sz w:val="22"/>
        </w:rPr>
        <w:t xml:space="preserve">are </w:t>
      </w:r>
      <w:r w:rsidR="00FA202E">
        <w:rPr>
          <w:rFonts w:ascii="Arial" w:hAnsi="Arial" w:cs="Arial"/>
          <w:sz w:val="22"/>
        </w:rPr>
        <w:t xml:space="preserve">focused on </w:t>
      </w:r>
      <w:r w:rsidR="00165140">
        <w:rPr>
          <w:rFonts w:ascii="Arial" w:hAnsi="Arial" w:cs="Arial"/>
          <w:sz w:val="22"/>
        </w:rPr>
        <w:t>leveraging UPS solutions to better serve middle-market</w:t>
      </w:r>
      <w:r w:rsidR="007D0FBA">
        <w:rPr>
          <w:rFonts w:ascii="Arial" w:hAnsi="Arial" w:cs="Arial"/>
          <w:sz w:val="22"/>
        </w:rPr>
        <w:t xml:space="preserve"> </w:t>
      </w:r>
      <w:r>
        <w:rPr>
          <w:rFonts w:ascii="Arial" w:hAnsi="Arial" w:cs="Arial"/>
          <w:sz w:val="22"/>
        </w:rPr>
        <w:t>customers</w:t>
      </w:r>
      <w:r w:rsidR="00FA202E">
        <w:rPr>
          <w:rFonts w:ascii="Arial" w:hAnsi="Arial" w:cs="Arial"/>
          <w:sz w:val="22"/>
        </w:rPr>
        <w:t xml:space="preserve">.  </w:t>
      </w:r>
    </w:p>
    <w:p w:rsidR="00AE7B9A" w:rsidRDefault="004D6F8E" w:rsidP="00AE7B9A">
      <w:pPr>
        <w:pStyle w:val="ListParagraph"/>
        <w:numPr>
          <w:ilvl w:val="0"/>
          <w:numId w:val="37"/>
        </w:numPr>
        <w:rPr>
          <w:rFonts w:ascii="Arial" w:hAnsi="Arial" w:cs="Arial"/>
          <w:sz w:val="22"/>
        </w:rPr>
      </w:pPr>
      <w:r>
        <w:rPr>
          <w:rFonts w:ascii="Arial" w:hAnsi="Arial" w:cs="Arial"/>
          <w:sz w:val="22"/>
        </w:rPr>
        <w:t>T</w:t>
      </w:r>
      <w:r w:rsidR="00AE7B9A">
        <w:rPr>
          <w:rFonts w:ascii="Arial" w:hAnsi="Arial" w:cs="Arial"/>
          <w:sz w:val="22"/>
        </w:rPr>
        <w:t xml:space="preserve">he Forwarding </w:t>
      </w:r>
      <w:r>
        <w:rPr>
          <w:rFonts w:ascii="Arial" w:hAnsi="Arial" w:cs="Arial"/>
          <w:sz w:val="22"/>
        </w:rPr>
        <w:t xml:space="preserve">business led all units with </w:t>
      </w:r>
      <w:r w:rsidR="00F173C9">
        <w:rPr>
          <w:rFonts w:ascii="Arial" w:hAnsi="Arial" w:cs="Arial"/>
          <w:sz w:val="22"/>
        </w:rPr>
        <w:t>23</w:t>
      </w:r>
      <w:r>
        <w:rPr>
          <w:rFonts w:ascii="Arial" w:hAnsi="Arial" w:cs="Arial"/>
          <w:sz w:val="22"/>
        </w:rPr>
        <w:t>% revenue growth, a</w:t>
      </w:r>
      <w:r w:rsidR="00AE7B9A" w:rsidRPr="00255A34">
        <w:rPr>
          <w:rFonts w:ascii="Arial" w:hAnsi="Arial" w:cs="Arial"/>
          <w:sz w:val="22"/>
        </w:rPr>
        <w:t xml:space="preserve">s revenue management initiatives </w:t>
      </w:r>
      <w:r>
        <w:rPr>
          <w:rFonts w:ascii="Arial" w:hAnsi="Arial" w:cs="Arial"/>
          <w:sz w:val="22"/>
        </w:rPr>
        <w:t xml:space="preserve">drove top-line </w:t>
      </w:r>
      <w:r w:rsidR="001D43D7">
        <w:rPr>
          <w:rFonts w:ascii="Arial" w:hAnsi="Arial" w:cs="Arial"/>
          <w:sz w:val="22"/>
        </w:rPr>
        <w:t>improvement</w:t>
      </w:r>
      <w:r w:rsidR="00AE7B9A" w:rsidRPr="00255A34">
        <w:rPr>
          <w:rFonts w:ascii="Arial" w:hAnsi="Arial" w:cs="Arial"/>
          <w:sz w:val="22"/>
        </w:rPr>
        <w:t>.</w:t>
      </w:r>
    </w:p>
    <w:p w:rsidR="00A75041" w:rsidRPr="007C589B" w:rsidRDefault="00A75041" w:rsidP="00A75041">
      <w:pPr>
        <w:pStyle w:val="ListParagraph"/>
        <w:numPr>
          <w:ilvl w:val="0"/>
          <w:numId w:val="37"/>
        </w:numPr>
        <w:rPr>
          <w:rFonts w:ascii="Arial" w:hAnsi="Arial" w:cs="Arial"/>
          <w:sz w:val="22"/>
        </w:rPr>
      </w:pPr>
      <w:r w:rsidRPr="000F1F16">
        <w:rPr>
          <w:rFonts w:ascii="Arial" w:hAnsi="Arial" w:cs="Arial"/>
          <w:sz w:val="22"/>
        </w:rPr>
        <w:t xml:space="preserve">UPS Freight revenue </w:t>
      </w:r>
      <w:r>
        <w:rPr>
          <w:rFonts w:ascii="Arial" w:hAnsi="Arial" w:cs="Arial"/>
          <w:sz w:val="22"/>
        </w:rPr>
        <w:t>increased</w:t>
      </w:r>
      <w:r w:rsidRPr="000F1F16">
        <w:rPr>
          <w:rFonts w:ascii="Arial" w:hAnsi="Arial" w:cs="Arial"/>
          <w:sz w:val="22"/>
        </w:rPr>
        <w:t xml:space="preserve"> </w:t>
      </w:r>
      <w:r w:rsidR="00F173C9">
        <w:rPr>
          <w:rFonts w:ascii="Arial" w:hAnsi="Arial" w:cs="Arial"/>
          <w:sz w:val="22"/>
        </w:rPr>
        <w:t>13</w:t>
      </w:r>
      <w:r w:rsidRPr="000F1F16">
        <w:rPr>
          <w:rFonts w:ascii="Arial" w:hAnsi="Arial" w:cs="Arial"/>
          <w:sz w:val="22"/>
        </w:rPr>
        <w:t xml:space="preserve">% on </w:t>
      </w:r>
      <w:r w:rsidR="00583A78">
        <w:rPr>
          <w:rFonts w:ascii="Arial" w:hAnsi="Arial" w:cs="Arial"/>
          <w:sz w:val="22"/>
        </w:rPr>
        <w:t>higher pricing and tonnage gains</w:t>
      </w:r>
      <w:r w:rsidRPr="000F1F16">
        <w:rPr>
          <w:rFonts w:ascii="Arial" w:hAnsi="Arial" w:cs="Arial"/>
          <w:sz w:val="22"/>
        </w:rPr>
        <w:t>.</w:t>
      </w:r>
    </w:p>
    <w:p w:rsidR="00FA202E" w:rsidRPr="007C589B" w:rsidRDefault="00FA202E" w:rsidP="007D7949">
      <w:pPr>
        <w:pStyle w:val="ListParagraph"/>
        <w:numPr>
          <w:ilvl w:val="0"/>
          <w:numId w:val="37"/>
        </w:numPr>
        <w:rPr>
          <w:rFonts w:ascii="Arial" w:hAnsi="Arial" w:cs="Arial"/>
          <w:sz w:val="22"/>
        </w:rPr>
      </w:pPr>
      <w:r w:rsidRPr="007C589B">
        <w:rPr>
          <w:rFonts w:ascii="Arial" w:hAnsi="Arial" w:cs="Arial"/>
          <w:sz w:val="22"/>
        </w:rPr>
        <w:t xml:space="preserve">Operating profit was </w:t>
      </w:r>
      <w:r w:rsidR="002B6D69">
        <w:rPr>
          <w:rFonts w:ascii="Arial" w:hAnsi="Arial" w:cs="Arial"/>
          <w:sz w:val="22"/>
        </w:rPr>
        <w:t>$</w:t>
      </w:r>
      <w:r w:rsidR="00F173C9">
        <w:rPr>
          <w:rFonts w:ascii="Arial" w:hAnsi="Arial" w:cs="Arial"/>
          <w:sz w:val="22"/>
        </w:rPr>
        <w:t xml:space="preserve">216 </w:t>
      </w:r>
      <w:r w:rsidR="008F217C">
        <w:rPr>
          <w:rFonts w:ascii="Arial" w:hAnsi="Arial" w:cs="Arial"/>
          <w:sz w:val="22"/>
        </w:rPr>
        <w:t xml:space="preserve">million and adjusted operating profit was up 17% to </w:t>
      </w:r>
      <w:r w:rsidR="005314E3" w:rsidRPr="007C589B">
        <w:rPr>
          <w:rFonts w:ascii="Arial" w:hAnsi="Arial" w:cs="Arial"/>
          <w:sz w:val="22"/>
        </w:rPr>
        <w:t>$</w:t>
      </w:r>
      <w:r w:rsidR="00DD27FF">
        <w:rPr>
          <w:rFonts w:ascii="Arial" w:hAnsi="Arial" w:cs="Arial"/>
          <w:sz w:val="22"/>
        </w:rPr>
        <w:t>247</w:t>
      </w:r>
      <w:r w:rsidR="005314E3" w:rsidRPr="007C589B">
        <w:rPr>
          <w:rFonts w:ascii="Arial" w:hAnsi="Arial" w:cs="Arial"/>
          <w:sz w:val="22"/>
        </w:rPr>
        <w:t xml:space="preserve"> million</w:t>
      </w:r>
      <w:r w:rsidRPr="007C589B">
        <w:rPr>
          <w:rFonts w:ascii="Arial" w:hAnsi="Arial" w:cs="Arial"/>
          <w:sz w:val="22"/>
        </w:rPr>
        <w:t xml:space="preserve">. </w:t>
      </w:r>
    </w:p>
    <w:p w:rsidR="00D60108" w:rsidRPr="002B6D69" w:rsidRDefault="007014D5" w:rsidP="00D60108">
      <w:pPr>
        <w:pStyle w:val="ListParagraph"/>
        <w:numPr>
          <w:ilvl w:val="0"/>
          <w:numId w:val="37"/>
        </w:numPr>
        <w:rPr>
          <w:rFonts w:ascii="Arial" w:hAnsi="Arial" w:cs="Arial"/>
          <w:sz w:val="22"/>
        </w:rPr>
      </w:pPr>
      <w:r w:rsidRPr="00422A2F">
        <w:rPr>
          <w:rFonts w:ascii="Arial" w:hAnsi="Arial" w:cs="Arial"/>
          <w:sz w:val="22"/>
        </w:rPr>
        <w:t xml:space="preserve">Adjusted operating profit excludes transformation </w:t>
      </w:r>
      <w:r>
        <w:rPr>
          <w:rFonts w:ascii="Arial" w:hAnsi="Arial" w:cs="Arial"/>
          <w:sz w:val="22"/>
        </w:rPr>
        <w:t xml:space="preserve">charges of </w:t>
      </w:r>
      <w:r w:rsidR="00D60108">
        <w:rPr>
          <w:rFonts w:ascii="Arial" w:hAnsi="Arial" w:cs="Arial"/>
          <w:sz w:val="22"/>
        </w:rPr>
        <w:t>$31 million</w:t>
      </w:r>
      <w:r w:rsidR="00D60108" w:rsidRPr="002B6D69">
        <w:rPr>
          <w:rFonts w:ascii="Arial" w:hAnsi="Arial" w:cs="Arial"/>
          <w:sz w:val="22"/>
        </w:rPr>
        <w:t>.</w:t>
      </w:r>
    </w:p>
    <w:p w:rsidR="00D8122D" w:rsidRPr="00F8001F" w:rsidRDefault="00D8122D" w:rsidP="00516C9E">
      <w:pPr>
        <w:pStyle w:val="ListParagraph"/>
        <w:ind w:left="360"/>
        <w:rPr>
          <w:rFonts w:ascii="Arial" w:hAnsi="Arial" w:cs="Arial"/>
          <w:sz w:val="22"/>
        </w:rPr>
      </w:pPr>
    </w:p>
    <w:p w:rsidR="005A5BC6" w:rsidRDefault="005A5BC6" w:rsidP="00FB040E">
      <w:pPr>
        <w:ind w:firstLine="720"/>
        <w:rPr>
          <w:rFonts w:ascii="Arial" w:hAnsi="Arial" w:cs="Arial"/>
          <w:sz w:val="22"/>
          <w:szCs w:val="22"/>
        </w:rPr>
      </w:pPr>
    </w:p>
    <w:p w:rsidR="005A5BC6" w:rsidRPr="00EC663B" w:rsidRDefault="005A5BC6" w:rsidP="005A5BC6">
      <w:pPr>
        <w:rPr>
          <w:rFonts w:ascii="Arial" w:hAnsi="Arial" w:cs="Arial"/>
          <w:b/>
          <w:u w:val="single"/>
        </w:rPr>
      </w:pPr>
      <w:r w:rsidRPr="00EC663B">
        <w:rPr>
          <w:rFonts w:ascii="Arial" w:hAnsi="Arial" w:cs="Arial"/>
          <w:b/>
          <w:u w:val="single"/>
        </w:rPr>
        <w:t>Outlook</w:t>
      </w:r>
    </w:p>
    <w:p w:rsidR="005A5BC6" w:rsidRDefault="005A5BC6" w:rsidP="005A5BC6">
      <w:pPr>
        <w:ind w:firstLine="720"/>
        <w:rPr>
          <w:rFonts w:ascii="Arial" w:hAnsi="Arial" w:cs="Arial"/>
        </w:rPr>
      </w:pPr>
    </w:p>
    <w:p w:rsidR="005A5BC6" w:rsidRPr="004F5D76" w:rsidRDefault="005A5BC6" w:rsidP="005A5BC6">
      <w:pPr>
        <w:ind w:firstLine="720"/>
        <w:rPr>
          <w:rFonts w:ascii="Arial" w:hAnsi="Arial" w:cs="Arial"/>
          <w:sz w:val="22"/>
          <w:szCs w:val="22"/>
        </w:rPr>
      </w:pPr>
      <w:r w:rsidRPr="004F5D76">
        <w:rPr>
          <w:rFonts w:ascii="Arial" w:hAnsi="Arial" w:cs="Arial"/>
          <w:sz w:val="22"/>
          <w:szCs w:val="22"/>
        </w:rPr>
        <w:t xml:space="preserve">The company provides guidance on an adjusted (non-GAAP) basis because it is not possible to predict or provide a reconciliation reflecting the impact of </w:t>
      </w:r>
      <w:r>
        <w:rPr>
          <w:rFonts w:ascii="Arial" w:hAnsi="Arial" w:cs="Arial"/>
          <w:sz w:val="22"/>
          <w:szCs w:val="22"/>
        </w:rPr>
        <w:t xml:space="preserve">future </w:t>
      </w:r>
      <w:r w:rsidRPr="004F5D76">
        <w:rPr>
          <w:rFonts w:ascii="Arial" w:hAnsi="Arial" w:cs="Arial"/>
          <w:sz w:val="22"/>
          <w:szCs w:val="22"/>
        </w:rPr>
        <w:t>pension mark-to-market adjustments</w:t>
      </w:r>
      <w:r w:rsidR="001D1E65">
        <w:rPr>
          <w:rFonts w:ascii="Arial" w:hAnsi="Arial" w:cs="Arial"/>
          <w:sz w:val="22"/>
          <w:szCs w:val="22"/>
        </w:rPr>
        <w:t xml:space="preserve"> or other unanticipated events</w:t>
      </w:r>
      <w:r w:rsidRPr="004F5D76">
        <w:rPr>
          <w:rFonts w:ascii="Arial" w:hAnsi="Arial" w:cs="Arial"/>
          <w:sz w:val="22"/>
          <w:szCs w:val="22"/>
        </w:rPr>
        <w:t>, which would be included in reported (GAAP) results and could be material.</w:t>
      </w:r>
    </w:p>
    <w:p w:rsidR="005A5BC6" w:rsidRDefault="005A5BC6" w:rsidP="005A5BC6">
      <w:pPr>
        <w:ind w:firstLine="720"/>
        <w:rPr>
          <w:rFonts w:ascii="Arial" w:hAnsi="Arial" w:cs="Arial"/>
          <w:sz w:val="22"/>
          <w:szCs w:val="22"/>
        </w:rPr>
      </w:pPr>
    </w:p>
    <w:p w:rsidR="005A5BC6" w:rsidRDefault="005A5BC6" w:rsidP="005A5BC6">
      <w:pPr>
        <w:ind w:firstLine="720"/>
        <w:rPr>
          <w:rFonts w:ascii="Arial" w:hAnsi="Arial" w:cs="Arial"/>
          <w:sz w:val="22"/>
        </w:rPr>
      </w:pPr>
      <w:r w:rsidRPr="004A031D">
        <w:rPr>
          <w:rFonts w:ascii="Arial" w:hAnsi="Arial" w:cs="Arial"/>
          <w:sz w:val="22"/>
        </w:rPr>
        <w:t>“</w:t>
      </w:r>
      <w:r w:rsidR="002B6D69">
        <w:rPr>
          <w:rFonts w:ascii="Arial" w:hAnsi="Arial" w:cs="Arial"/>
          <w:sz w:val="22"/>
        </w:rPr>
        <w:t>UPS is focused on executing our strategic imperatives for</w:t>
      </w:r>
      <w:r w:rsidR="00B57D76">
        <w:rPr>
          <w:rFonts w:ascii="Arial" w:hAnsi="Arial" w:cs="Arial"/>
          <w:sz w:val="22"/>
        </w:rPr>
        <w:t xml:space="preserve"> improved</w:t>
      </w:r>
      <w:r w:rsidR="002B6D69">
        <w:rPr>
          <w:rFonts w:ascii="Arial" w:hAnsi="Arial" w:cs="Arial"/>
          <w:sz w:val="22"/>
        </w:rPr>
        <w:t xml:space="preserve"> efficiency</w:t>
      </w:r>
      <w:r w:rsidR="004F63F5">
        <w:rPr>
          <w:rFonts w:ascii="Arial" w:hAnsi="Arial" w:cs="Arial"/>
          <w:sz w:val="22"/>
        </w:rPr>
        <w:t xml:space="preserve"> and </w:t>
      </w:r>
      <w:r w:rsidR="00B57D76">
        <w:rPr>
          <w:rFonts w:ascii="Arial" w:hAnsi="Arial" w:cs="Arial"/>
          <w:sz w:val="22"/>
        </w:rPr>
        <w:t xml:space="preserve">high-quality </w:t>
      </w:r>
      <w:r w:rsidR="004F63F5">
        <w:rPr>
          <w:rFonts w:ascii="Arial" w:hAnsi="Arial" w:cs="Arial"/>
          <w:sz w:val="22"/>
        </w:rPr>
        <w:t>growth</w:t>
      </w:r>
      <w:r w:rsidR="00B674AC">
        <w:rPr>
          <w:rFonts w:ascii="Arial" w:hAnsi="Arial" w:cs="Arial"/>
          <w:sz w:val="22"/>
        </w:rPr>
        <w:t>,</w:t>
      </w:r>
      <w:r w:rsidRPr="004A031D">
        <w:rPr>
          <w:rFonts w:ascii="Arial" w:hAnsi="Arial" w:cs="Arial"/>
          <w:sz w:val="22"/>
        </w:rPr>
        <w:t xml:space="preserve">” said Richard </w:t>
      </w:r>
      <w:proofErr w:type="spellStart"/>
      <w:r w:rsidRPr="004A031D">
        <w:rPr>
          <w:rFonts w:ascii="Arial" w:hAnsi="Arial" w:cs="Arial"/>
          <w:sz w:val="22"/>
        </w:rPr>
        <w:t>Peretz</w:t>
      </w:r>
      <w:proofErr w:type="spellEnd"/>
      <w:r w:rsidRPr="004A031D">
        <w:rPr>
          <w:rFonts w:ascii="Arial" w:hAnsi="Arial" w:cs="Arial"/>
          <w:sz w:val="22"/>
        </w:rPr>
        <w:t>, UPS</w:t>
      </w:r>
      <w:r w:rsidR="00091577">
        <w:rPr>
          <w:rFonts w:ascii="Arial" w:hAnsi="Arial" w:cs="Arial"/>
          <w:sz w:val="22"/>
        </w:rPr>
        <w:t>’s</w:t>
      </w:r>
      <w:r w:rsidRPr="004A031D">
        <w:rPr>
          <w:rFonts w:ascii="Arial" w:hAnsi="Arial" w:cs="Arial"/>
          <w:sz w:val="22"/>
        </w:rPr>
        <w:t xml:space="preserve"> chief financial officer.  </w:t>
      </w:r>
      <w:r>
        <w:rPr>
          <w:rFonts w:ascii="Arial" w:hAnsi="Arial" w:cs="Arial"/>
          <w:sz w:val="22"/>
        </w:rPr>
        <w:t>“</w:t>
      </w:r>
      <w:r w:rsidR="00422A2F">
        <w:rPr>
          <w:rFonts w:ascii="Arial" w:hAnsi="Arial" w:cs="Arial"/>
          <w:sz w:val="22"/>
        </w:rPr>
        <w:t xml:space="preserve">We remain confident </w:t>
      </w:r>
      <w:r w:rsidR="00B57D76">
        <w:rPr>
          <w:rFonts w:ascii="Arial" w:hAnsi="Arial" w:cs="Arial"/>
          <w:sz w:val="22"/>
        </w:rPr>
        <w:t>in our ability to achieve our full-year adjusted earnings per share target</w:t>
      </w:r>
      <w:r w:rsidR="008B1265">
        <w:rPr>
          <w:rFonts w:ascii="Arial" w:hAnsi="Arial" w:cs="Arial"/>
          <w:sz w:val="22"/>
        </w:rPr>
        <w:t>.</w:t>
      </w:r>
      <w:r w:rsidR="004F63F5">
        <w:rPr>
          <w:rFonts w:ascii="Arial" w:hAnsi="Arial" w:cs="Arial"/>
          <w:sz w:val="22"/>
        </w:rPr>
        <w:t>”</w:t>
      </w:r>
      <w:r w:rsidR="00583A78">
        <w:rPr>
          <w:rFonts w:ascii="Arial" w:hAnsi="Arial" w:cs="Arial"/>
          <w:sz w:val="22"/>
        </w:rPr>
        <w:t xml:space="preserve"> </w:t>
      </w:r>
      <w:r w:rsidR="00B3435A" w:rsidRPr="00B3435A">
        <w:rPr>
          <w:rFonts w:ascii="Arial" w:hAnsi="Arial" w:cs="Arial"/>
          <w:sz w:val="22"/>
          <w:szCs w:val="22"/>
        </w:rPr>
        <w:t xml:space="preserve"> </w:t>
      </w:r>
    </w:p>
    <w:p w:rsidR="005A5BC6" w:rsidRPr="004F5D76" w:rsidRDefault="005A5BC6" w:rsidP="005A5BC6">
      <w:pPr>
        <w:ind w:firstLine="720"/>
        <w:rPr>
          <w:rFonts w:ascii="Arial" w:hAnsi="Arial" w:cs="Arial"/>
          <w:sz w:val="22"/>
          <w:szCs w:val="22"/>
        </w:rPr>
      </w:pPr>
    </w:p>
    <w:p w:rsidR="00AE7B9A" w:rsidRPr="007C73B2" w:rsidRDefault="005A5BC6" w:rsidP="000F1F16">
      <w:pPr>
        <w:pStyle w:val="ListParagraph"/>
        <w:numPr>
          <w:ilvl w:val="0"/>
          <w:numId w:val="46"/>
        </w:numPr>
        <w:rPr>
          <w:rFonts w:ascii="Arial" w:hAnsi="Arial" w:cs="Arial"/>
          <w:sz w:val="22"/>
        </w:rPr>
      </w:pPr>
      <w:r w:rsidRPr="007C73B2">
        <w:rPr>
          <w:rFonts w:ascii="Arial" w:hAnsi="Arial" w:cs="Arial"/>
          <w:sz w:val="22"/>
        </w:rPr>
        <w:t xml:space="preserve">UPS </w:t>
      </w:r>
      <w:r w:rsidR="00B12F3D" w:rsidRPr="007C73B2">
        <w:rPr>
          <w:rFonts w:ascii="Arial" w:hAnsi="Arial" w:cs="Arial"/>
          <w:sz w:val="22"/>
        </w:rPr>
        <w:t>expects</w:t>
      </w:r>
      <w:r w:rsidRPr="007C73B2">
        <w:rPr>
          <w:rFonts w:ascii="Arial" w:hAnsi="Arial" w:cs="Arial"/>
          <w:sz w:val="22"/>
        </w:rPr>
        <w:t xml:space="preserve"> 201</w:t>
      </w:r>
      <w:r w:rsidR="002D25D2" w:rsidRPr="007C73B2">
        <w:rPr>
          <w:rFonts w:ascii="Arial" w:hAnsi="Arial" w:cs="Arial"/>
          <w:sz w:val="22"/>
        </w:rPr>
        <w:t>8</w:t>
      </w:r>
      <w:r w:rsidRPr="007C73B2">
        <w:rPr>
          <w:rFonts w:ascii="Arial" w:hAnsi="Arial" w:cs="Arial"/>
          <w:sz w:val="22"/>
        </w:rPr>
        <w:t xml:space="preserve"> adjusted diluted </w:t>
      </w:r>
      <w:r w:rsidR="005D1240" w:rsidRPr="007C73B2">
        <w:rPr>
          <w:rFonts w:ascii="Arial" w:hAnsi="Arial" w:cs="Arial"/>
          <w:sz w:val="22"/>
        </w:rPr>
        <w:t xml:space="preserve">earnings per share in a range of </w:t>
      </w:r>
      <w:r w:rsidRPr="007C73B2">
        <w:rPr>
          <w:rFonts w:ascii="Arial" w:hAnsi="Arial" w:cs="Arial"/>
          <w:sz w:val="22"/>
        </w:rPr>
        <w:t>$</w:t>
      </w:r>
      <w:r w:rsidR="006D0D6E" w:rsidRPr="007C73B2">
        <w:rPr>
          <w:rFonts w:ascii="Arial" w:hAnsi="Arial" w:cs="Arial"/>
          <w:sz w:val="22"/>
        </w:rPr>
        <w:t>7.03</w:t>
      </w:r>
      <w:r w:rsidR="005D1240" w:rsidRPr="007C73B2">
        <w:rPr>
          <w:rFonts w:ascii="Arial" w:hAnsi="Arial" w:cs="Arial"/>
          <w:sz w:val="22"/>
        </w:rPr>
        <w:t xml:space="preserve"> </w:t>
      </w:r>
      <w:r w:rsidRPr="007C73B2">
        <w:rPr>
          <w:rFonts w:ascii="Arial" w:hAnsi="Arial" w:cs="Arial"/>
          <w:sz w:val="22"/>
        </w:rPr>
        <w:t>to $</w:t>
      </w:r>
      <w:r w:rsidR="006D0D6E" w:rsidRPr="007C73B2">
        <w:rPr>
          <w:rFonts w:ascii="Arial" w:hAnsi="Arial" w:cs="Arial"/>
          <w:sz w:val="22"/>
        </w:rPr>
        <w:t>7.37</w:t>
      </w:r>
      <w:r w:rsidR="00AE7B9A" w:rsidRPr="007C73B2">
        <w:rPr>
          <w:rFonts w:ascii="Arial" w:hAnsi="Arial" w:cs="Arial"/>
          <w:sz w:val="22"/>
        </w:rPr>
        <w:t xml:space="preserve">. </w:t>
      </w:r>
    </w:p>
    <w:p w:rsidR="00E47C8B" w:rsidRPr="00016926" w:rsidRDefault="00B96AD7">
      <w:pPr>
        <w:pStyle w:val="ListParagraph"/>
        <w:numPr>
          <w:ilvl w:val="0"/>
          <w:numId w:val="37"/>
        </w:numPr>
        <w:rPr>
          <w:rFonts w:ascii="Arial" w:hAnsi="Arial" w:cs="Arial"/>
          <w:sz w:val="22"/>
        </w:rPr>
      </w:pPr>
      <w:r w:rsidRPr="00016926">
        <w:rPr>
          <w:rFonts w:ascii="Arial" w:hAnsi="Arial" w:cs="Arial"/>
          <w:sz w:val="22"/>
        </w:rPr>
        <w:t xml:space="preserve">The company </w:t>
      </w:r>
      <w:r w:rsidR="005066CA" w:rsidRPr="00016926">
        <w:rPr>
          <w:rFonts w:ascii="Arial" w:hAnsi="Arial" w:cs="Arial"/>
          <w:sz w:val="22"/>
        </w:rPr>
        <w:t xml:space="preserve">raises 2018 </w:t>
      </w:r>
      <w:r w:rsidR="00E47C8B" w:rsidRPr="00016926">
        <w:rPr>
          <w:rFonts w:ascii="Arial" w:hAnsi="Arial" w:cs="Arial"/>
          <w:sz w:val="22"/>
        </w:rPr>
        <w:t xml:space="preserve">free cash flow </w:t>
      </w:r>
      <w:r w:rsidR="005066CA" w:rsidRPr="00016926">
        <w:rPr>
          <w:rFonts w:ascii="Arial" w:hAnsi="Arial" w:cs="Arial"/>
          <w:sz w:val="22"/>
        </w:rPr>
        <w:t xml:space="preserve">target to </w:t>
      </w:r>
      <w:r w:rsidRPr="00016926">
        <w:rPr>
          <w:rFonts w:ascii="Arial" w:hAnsi="Arial" w:cs="Arial"/>
          <w:sz w:val="22"/>
        </w:rPr>
        <w:t>$5.0 billion</w:t>
      </w:r>
      <w:r w:rsidR="00CA4B23" w:rsidRPr="00016926">
        <w:rPr>
          <w:rFonts w:ascii="Arial" w:hAnsi="Arial" w:cs="Arial"/>
          <w:sz w:val="22"/>
        </w:rPr>
        <w:t xml:space="preserve">. </w:t>
      </w:r>
    </w:p>
    <w:p w:rsidR="00AE7B9A" w:rsidRPr="007C73B2" w:rsidRDefault="00A75041">
      <w:pPr>
        <w:pStyle w:val="ListParagraph"/>
        <w:numPr>
          <w:ilvl w:val="0"/>
          <w:numId w:val="37"/>
        </w:numPr>
        <w:rPr>
          <w:rFonts w:ascii="Arial" w:hAnsi="Arial" w:cs="Arial"/>
          <w:sz w:val="22"/>
        </w:rPr>
      </w:pPr>
      <w:r w:rsidRPr="007C73B2">
        <w:rPr>
          <w:rFonts w:ascii="Arial" w:hAnsi="Arial" w:cs="Arial"/>
          <w:sz w:val="22"/>
        </w:rPr>
        <w:t xml:space="preserve">The effective </w:t>
      </w:r>
      <w:r w:rsidR="00E47C8B" w:rsidRPr="007C73B2">
        <w:rPr>
          <w:rFonts w:ascii="Arial" w:hAnsi="Arial" w:cs="Arial"/>
          <w:sz w:val="22"/>
        </w:rPr>
        <w:t xml:space="preserve">tax </w:t>
      </w:r>
      <w:r w:rsidR="009909F4" w:rsidRPr="007C73B2">
        <w:rPr>
          <w:rFonts w:ascii="Arial" w:hAnsi="Arial" w:cs="Arial"/>
          <w:sz w:val="22"/>
        </w:rPr>
        <w:t xml:space="preserve">rate </w:t>
      </w:r>
      <w:r w:rsidRPr="007C73B2">
        <w:rPr>
          <w:rFonts w:ascii="Arial" w:hAnsi="Arial" w:cs="Arial"/>
          <w:sz w:val="22"/>
        </w:rPr>
        <w:t xml:space="preserve">should be </w:t>
      </w:r>
      <w:r w:rsidR="001D43D7" w:rsidRPr="007C73B2">
        <w:rPr>
          <w:rFonts w:ascii="Arial" w:hAnsi="Arial" w:cs="Arial"/>
          <w:sz w:val="22"/>
        </w:rPr>
        <w:t>in a range of 23% to 24% for the</w:t>
      </w:r>
      <w:r w:rsidR="009909F4" w:rsidRPr="007C73B2">
        <w:rPr>
          <w:rFonts w:ascii="Arial" w:hAnsi="Arial" w:cs="Arial"/>
          <w:sz w:val="22"/>
        </w:rPr>
        <w:t xml:space="preserve"> remain</w:t>
      </w:r>
      <w:r w:rsidR="00CD471B" w:rsidRPr="007C73B2">
        <w:rPr>
          <w:rFonts w:ascii="Arial" w:hAnsi="Arial" w:cs="Arial"/>
          <w:sz w:val="22"/>
        </w:rPr>
        <w:t>d</w:t>
      </w:r>
      <w:r w:rsidR="009909F4" w:rsidRPr="007C73B2">
        <w:rPr>
          <w:rFonts w:ascii="Arial" w:hAnsi="Arial" w:cs="Arial"/>
          <w:sz w:val="22"/>
        </w:rPr>
        <w:t>er of the year</w:t>
      </w:r>
      <w:r w:rsidR="005314E3" w:rsidRPr="007C73B2">
        <w:rPr>
          <w:rFonts w:ascii="Arial" w:hAnsi="Arial" w:cs="Arial"/>
          <w:sz w:val="22"/>
        </w:rPr>
        <w:t>.</w:t>
      </w:r>
    </w:p>
    <w:p w:rsidR="00AE7B9A" w:rsidRPr="007C73B2" w:rsidRDefault="00E72387">
      <w:pPr>
        <w:pStyle w:val="ListParagraph"/>
        <w:numPr>
          <w:ilvl w:val="0"/>
          <w:numId w:val="37"/>
        </w:numPr>
        <w:rPr>
          <w:rFonts w:ascii="Arial" w:hAnsi="Arial" w:cs="Arial"/>
          <w:sz w:val="22"/>
        </w:rPr>
      </w:pPr>
      <w:r w:rsidRPr="007C73B2">
        <w:rPr>
          <w:rFonts w:ascii="Arial" w:hAnsi="Arial" w:cs="Arial"/>
          <w:sz w:val="22"/>
        </w:rPr>
        <w:t>Cap</w:t>
      </w:r>
      <w:r w:rsidR="00A140F0" w:rsidRPr="007C73B2">
        <w:rPr>
          <w:rFonts w:ascii="Arial" w:hAnsi="Arial" w:cs="Arial"/>
          <w:sz w:val="22"/>
        </w:rPr>
        <w:t>ital e</w:t>
      </w:r>
      <w:r w:rsidRPr="007C73B2">
        <w:rPr>
          <w:rFonts w:ascii="Arial" w:hAnsi="Arial" w:cs="Arial"/>
          <w:sz w:val="22"/>
        </w:rPr>
        <w:t>x</w:t>
      </w:r>
      <w:r w:rsidR="00A140F0" w:rsidRPr="007C73B2">
        <w:rPr>
          <w:rFonts w:ascii="Arial" w:hAnsi="Arial" w:cs="Arial"/>
          <w:sz w:val="22"/>
        </w:rPr>
        <w:t xml:space="preserve">penditures </w:t>
      </w:r>
      <w:r w:rsidR="00AE7B9A" w:rsidRPr="007C73B2">
        <w:rPr>
          <w:rFonts w:ascii="Arial" w:hAnsi="Arial" w:cs="Arial"/>
          <w:sz w:val="22"/>
        </w:rPr>
        <w:t xml:space="preserve">in 2018 are </w:t>
      </w:r>
      <w:r w:rsidR="00A140F0" w:rsidRPr="007C73B2">
        <w:rPr>
          <w:rFonts w:ascii="Arial" w:hAnsi="Arial" w:cs="Arial"/>
          <w:sz w:val="22"/>
        </w:rPr>
        <w:t>planned</w:t>
      </w:r>
      <w:r w:rsidRPr="007C73B2">
        <w:rPr>
          <w:rFonts w:ascii="Arial" w:hAnsi="Arial" w:cs="Arial"/>
          <w:sz w:val="22"/>
        </w:rPr>
        <w:t xml:space="preserve"> between </w:t>
      </w:r>
      <w:r w:rsidR="009D0F6B" w:rsidRPr="007C73B2">
        <w:rPr>
          <w:rFonts w:ascii="Arial" w:hAnsi="Arial" w:cs="Arial"/>
          <w:sz w:val="22"/>
        </w:rPr>
        <w:t>$</w:t>
      </w:r>
      <w:r w:rsidR="005D1240" w:rsidRPr="007C73B2">
        <w:rPr>
          <w:rFonts w:ascii="Arial" w:hAnsi="Arial" w:cs="Arial"/>
          <w:sz w:val="22"/>
        </w:rPr>
        <w:t>6.5</w:t>
      </w:r>
      <w:r w:rsidRPr="007C73B2">
        <w:rPr>
          <w:rFonts w:ascii="Arial" w:hAnsi="Arial" w:cs="Arial"/>
          <w:sz w:val="22"/>
        </w:rPr>
        <w:t xml:space="preserve"> </w:t>
      </w:r>
      <w:r w:rsidR="00934587" w:rsidRPr="007C73B2">
        <w:rPr>
          <w:rFonts w:ascii="Arial" w:hAnsi="Arial" w:cs="Arial"/>
          <w:sz w:val="22"/>
        </w:rPr>
        <w:t xml:space="preserve">billion </w:t>
      </w:r>
      <w:r w:rsidR="008C6DC2" w:rsidRPr="007C73B2">
        <w:rPr>
          <w:rFonts w:ascii="Arial" w:hAnsi="Arial" w:cs="Arial"/>
          <w:sz w:val="22"/>
        </w:rPr>
        <w:t xml:space="preserve">and </w:t>
      </w:r>
      <w:r w:rsidR="009D0F6B" w:rsidRPr="007C73B2">
        <w:rPr>
          <w:rFonts w:ascii="Arial" w:hAnsi="Arial" w:cs="Arial"/>
          <w:sz w:val="22"/>
        </w:rPr>
        <w:t>$</w:t>
      </w:r>
      <w:r w:rsidR="005D1240" w:rsidRPr="007C73B2">
        <w:rPr>
          <w:rFonts w:ascii="Arial" w:hAnsi="Arial" w:cs="Arial"/>
          <w:sz w:val="22"/>
        </w:rPr>
        <w:t>7.0</w:t>
      </w:r>
      <w:r w:rsidR="004320DC" w:rsidRPr="007C73B2">
        <w:rPr>
          <w:rFonts w:ascii="Arial" w:hAnsi="Arial" w:cs="Arial"/>
          <w:sz w:val="22"/>
        </w:rPr>
        <w:t xml:space="preserve"> </w:t>
      </w:r>
      <w:r w:rsidR="00934587" w:rsidRPr="007C73B2">
        <w:rPr>
          <w:rFonts w:ascii="Arial" w:hAnsi="Arial" w:cs="Arial"/>
          <w:sz w:val="22"/>
        </w:rPr>
        <w:t>billion</w:t>
      </w:r>
      <w:r w:rsidR="00E47C8B" w:rsidRPr="007C73B2">
        <w:rPr>
          <w:rFonts w:ascii="Arial" w:hAnsi="Arial" w:cs="Arial"/>
          <w:sz w:val="22"/>
        </w:rPr>
        <w:t xml:space="preserve">. </w:t>
      </w:r>
    </w:p>
    <w:p w:rsidR="00D54D52" w:rsidRDefault="00D54D52" w:rsidP="00D54D52">
      <w:pPr>
        <w:rPr>
          <w:rFonts w:ascii="Arial" w:hAnsi="Arial" w:cs="Arial"/>
          <w:sz w:val="22"/>
        </w:rPr>
      </w:pPr>
    </w:p>
    <w:p w:rsidR="004F63F5" w:rsidRDefault="004F63F5" w:rsidP="004F63F5">
      <w:pPr>
        <w:ind w:firstLine="360"/>
        <w:rPr>
          <w:rFonts w:ascii="Arial" w:hAnsi="Arial" w:cs="Arial"/>
          <w:sz w:val="22"/>
        </w:rPr>
      </w:pPr>
    </w:p>
    <w:p w:rsidR="00B12F3D" w:rsidRDefault="00B12F3D" w:rsidP="00B12F3D">
      <w:pPr>
        <w:rPr>
          <w:rFonts w:ascii="Arial" w:hAnsi="Arial" w:cs="Arial"/>
          <w:b/>
          <w:sz w:val="22"/>
          <w:vertAlign w:val="subscript"/>
        </w:rPr>
      </w:pPr>
      <w:r w:rsidRPr="005B78BB">
        <w:rPr>
          <w:rFonts w:ascii="Arial" w:hAnsi="Arial" w:cs="Arial"/>
          <w:b/>
          <w:sz w:val="22"/>
          <w:vertAlign w:val="subscript"/>
        </w:rPr>
        <w:t xml:space="preserve">* </w:t>
      </w:r>
      <w:r>
        <w:rPr>
          <w:rFonts w:ascii="Arial" w:hAnsi="Arial" w:cs="Arial"/>
          <w:b/>
          <w:sz w:val="22"/>
          <w:vertAlign w:val="subscript"/>
        </w:rPr>
        <w:t xml:space="preserve">Information on </w:t>
      </w:r>
      <w:r w:rsidRPr="005B78BB">
        <w:rPr>
          <w:rFonts w:ascii="Arial" w:hAnsi="Arial" w:cs="Arial"/>
          <w:b/>
          <w:sz w:val="22"/>
          <w:vertAlign w:val="subscript"/>
        </w:rPr>
        <w:t xml:space="preserve">non-GAAP </w:t>
      </w:r>
      <w:r>
        <w:rPr>
          <w:rFonts w:ascii="Arial" w:hAnsi="Arial" w:cs="Arial"/>
          <w:b/>
          <w:sz w:val="22"/>
          <w:vertAlign w:val="subscript"/>
        </w:rPr>
        <w:t>financial measures is attached to this press release.</w:t>
      </w:r>
    </w:p>
    <w:p w:rsidR="00B12F3D" w:rsidRPr="00D54D52" w:rsidRDefault="00B12F3D" w:rsidP="004F63F5">
      <w:pPr>
        <w:ind w:firstLine="360"/>
        <w:rPr>
          <w:rFonts w:ascii="Arial" w:hAnsi="Arial" w:cs="Arial"/>
          <w:sz w:val="22"/>
        </w:rPr>
      </w:pPr>
    </w:p>
    <w:p w:rsidR="001B00F3" w:rsidRDefault="001B00F3" w:rsidP="0092416D">
      <w:pPr>
        <w:autoSpaceDE w:val="0"/>
        <w:autoSpaceDN w:val="0"/>
        <w:adjustRightInd w:val="0"/>
        <w:jc w:val="center"/>
        <w:rPr>
          <w:rFonts w:ascii="Arial" w:hAnsi="Arial" w:cs="Arial"/>
          <w:color w:val="003436"/>
          <w:sz w:val="22"/>
          <w:szCs w:val="22"/>
        </w:rPr>
      </w:pPr>
    </w:p>
    <w:p w:rsidR="0092416D" w:rsidRDefault="0092416D" w:rsidP="0092416D">
      <w:pPr>
        <w:autoSpaceDE w:val="0"/>
        <w:autoSpaceDN w:val="0"/>
        <w:adjustRightInd w:val="0"/>
        <w:jc w:val="center"/>
        <w:rPr>
          <w:rFonts w:ascii="Arial" w:hAnsi="Arial" w:cs="Arial"/>
          <w:color w:val="003436"/>
          <w:sz w:val="22"/>
          <w:szCs w:val="22"/>
        </w:rPr>
      </w:pPr>
      <w:r>
        <w:rPr>
          <w:rFonts w:ascii="Arial" w:hAnsi="Arial" w:cs="Arial"/>
          <w:color w:val="003436"/>
          <w:sz w:val="22"/>
          <w:szCs w:val="22"/>
        </w:rPr>
        <w:t># # #</w:t>
      </w:r>
    </w:p>
    <w:p w:rsidR="001B00F3" w:rsidRDefault="001B00F3" w:rsidP="00B86C7E">
      <w:pPr>
        <w:rPr>
          <w:rFonts w:ascii="Arial" w:hAnsi="Arial" w:cs="Arial"/>
          <w:color w:val="003436"/>
          <w:sz w:val="22"/>
          <w:szCs w:val="22"/>
        </w:rPr>
      </w:pPr>
    </w:p>
    <w:p w:rsidR="00B12F3D" w:rsidRDefault="00B12F3D" w:rsidP="00B86C7E">
      <w:pPr>
        <w:rPr>
          <w:rFonts w:ascii="Arial" w:hAnsi="Arial" w:cs="Arial"/>
          <w:b/>
          <w:sz w:val="22"/>
          <w:szCs w:val="22"/>
          <w:u w:val="single"/>
        </w:rPr>
      </w:pPr>
    </w:p>
    <w:p w:rsidR="00B86C7E" w:rsidRPr="00B50A8C" w:rsidRDefault="00B86C7E" w:rsidP="00B86C7E">
      <w:pPr>
        <w:rPr>
          <w:rFonts w:ascii="Arial" w:hAnsi="Arial" w:cs="Arial"/>
          <w:sz w:val="22"/>
          <w:szCs w:val="22"/>
          <w:u w:val="single"/>
        </w:rPr>
      </w:pPr>
      <w:r w:rsidRPr="00B50A8C">
        <w:rPr>
          <w:rFonts w:ascii="Arial" w:hAnsi="Arial" w:cs="Arial"/>
          <w:b/>
          <w:sz w:val="22"/>
          <w:szCs w:val="22"/>
          <w:u w:val="single"/>
        </w:rPr>
        <w:t>Conference Call Information</w:t>
      </w:r>
    </w:p>
    <w:p w:rsidR="00B86C7E" w:rsidRDefault="00B86C7E" w:rsidP="00B86C7E">
      <w:pPr>
        <w:rPr>
          <w:rFonts w:ascii="Arial" w:hAnsi="Arial" w:cs="Arial"/>
          <w:sz w:val="22"/>
          <w:szCs w:val="22"/>
        </w:rPr>
      </w:pPr>
      <w:r w:rsidRPr="00A85056">
        <w:rPr>
          <w:rFonts w:ascii="Arial" w:hAnsi="Arial" w:cs="Arial"/>
          <w:sz w:val="22"/>
          <w:szCs w:val="22"/>
        </w:rPr>
        <w:tab/>
      </w:r>
    </w:p>
    <w:p w:rsidR="00C95306" w:rsidRDefault="00B86C7E">
      <w:pPr>
        <w:spacing w:after="240"/>
        <w:rPr>
          <w:rFonts w:ascii="Arial" w:hAnsi="Arial" w:cs="Arial"/>
          <w:sz w:val="22"/>
          <w:szCs w:val="22"/>
        </w:rPr>
      </w:pPr>
      <w:r w:rsidRPr="00E466EA">
        <w:rPr>
          <w:rFonts w:ascii="Arial" w:hAnsi="Arial" w:cs="Arial"/>
          <w:sz w:val="22"/>
          <w:szCs w:val="22"/>
        </w:rPr>
        <w:t xml:space="preserve">UPS CEO David Abney and CFO Richard </w:t>
      </w:r>
      <w:proofErr w:type="spellStart"/>
      <w:r w:rsidRPr="00E466EA">
        <w:rPr>
          <w:rFonts w:ascii="Arial" w:hAnsi="Arial" w:cs="Arial"/>
          <w:sz w:val="22"/>
          <w:szCs w:val="22"/>
        </w:rPr>
        <w:t>Peretz</w:t>
      </w:r>
      <w:proofErr w:type="spellEnd"/>
      <w:r w:rsidRPr="00E466EA">
        <w:rPr>
          <w:rFonts w:ascii="Arial" w:hAnsi="Arial" w:cs="Arial"/>
          <w:sz w:val="22"/>
          <w:szCs w:val="22"/>
        </w:rPr>
        <w:t xml:space="preserve"> will discuss </w:t>
      </w:r>
      <w:r w:rsidR="006556A5">
        <w:rPr>
          <w:rFonts w:ascii="Arial" w:hAnsi="Arial" w:cs="Arial"/>
          <w:sz w:val="22"/>
          <w:szCs w:val="22"/>
        </w:rPr>
        <w:t>second</w:t>
      </w:r>
      <w:r w:rsidR="00DA5007" w:rsidRPr="00E466EA">
        <w:rPr>
          <w:rFonts w:ascii="Arial" w:hAnsi="Arial" w:cs="Arial"/>
          <w:sz w:val="22"/>
          <w:szCs w:val="22"/>
        </w:rPr>
        <w:t>-</w:t>
      </w:r>
      <w:r w:rsidRPr="00E466EA">
        <w:rPr>
          <w:rFonts w:ascii="Arial" w:hAnsi="Arial" w:cs="Arial"/>
          <w:sz w:val="22"/>
          <w:szCs w:val="22"/>
        </w:rPr>
        <w:t xml:space="preserve">quarter results with investors and analysts during a conference call at 8:30 a.m. ET, </w:t>
      </w:r>
      <w:r w:rsidR="006556A5">
        <w:rPr>
          <w:rFonts w:ascii="Arial" w:hAnsi="Arial" w:cs="Arial"/>
          <w:sz w:val="22"/>
          <w:szCs w:val="22"/>
        </w:rPr>
        <w:t>July</w:t>
      </w:r>
      <w:r w:rsidR="008E1877">
        <w:rPr>
          <w:rFonts w:ascii="Arial" w:hAnsi="Arial" w:cs="Arial"/>
          <w:sz w:val="22"/>
          <w:szCs w:val="22"/>
        </w:rPr>
        <w:t xml:space="preserve"> 2</w:t>
      </w:r>
      <w:r w:rsidR="006556A5">
        <w:rPr>
          <w:rFonts w:ascii="Arial" w:hAnsi="Arial" w:cs="Arial"/>
          <w:sz w:val="22"/>
          <w:szCs w:val="22"/>
        </w:rPr>
        <w:t>5</w:t>
      </w:r>
      <w:r w:rsidRPr="00E466EA">
        <w:rPr>
          <w:rFonts w:ascii="Arial" w:hAnsi="Arial" w:cs="Arial"/>
          <w:sz w:val="22"/>
          <w:szCs w:val="22"/>
        </w:rPr>
        <w:t>, 201</w:t>
      </w:r>
      <w:r w:rsidR="00CD4B34" w:rsidRPr="00E466EA">
        <w:rPr>
          <w:rFonts w:ascii="Arial" w:hAnsi="Arial" w:cs="Arial"/>
          <w:sz w:val="22"/>
          <w:szCs w:val="22"/>
        </w:rPr>
        <w:t>8</w:t>
      </w:r>
      <w:r w:rsidRPr="00E466EA">
        <w:rPr>
          <w:rFonts w:ascii="Arial" w:hAnsi="Arial" w:cs="Arial"/>
          <w:sz w:val="22"/>
          <w:szCs w:val="22"/>
        </w:rPr>
        <w:t xml:space="preserve">.  That call is open to </w:t>
      </w:r>
      <w:r w:rsidR="00DA5007" w:rsidRPr="00E466EA">
        <w:rPr>
          <w:rFonts w:ascii="Arial" w:hAnsi="Arial" w:cs="Arial"/>
          <w:sz w:val="22"/>
          <w:szCs w:val="22"/>
        </w:rPr>
        <w:t>others</w:t>
      </w:r>
      <w:r w:rsidR="00DA5007" w:rsidRPr="000D66BE">
        <w:rPr>
          <w:rFonts w:ascii="Arial" w:hAnsi="Arial" w:cs="Arial"/>
          <w:sz w:val="22"/>
          <w:szCs w:val="22"/>
        </w:rPr>
        <w:t xml:space="preserve"> </w:t>
      </w:r>
      <w:r w:rsidRPr="000D66BE">
        <w:rPr>
          <w:rFonts w:ascii="Arial" w:hAnsi="Arial" w:cs="Arial"/>
          <w:sz w:val="22"/>
          <w:szCs w:val="22"/>
        </w:rPr>
        <w:t xml:space="preserve">through a live Webcast.  To access the call, go to </w:t>
      </w:r>
      <w:r w:rsidR="00EA33E3" w:rsidRPr="007C73B2">
        <w:t>www.investors.ups.com</w:t>
      </w:r>
      <w:r w:rsidRPr="00E466EA">
        <w:rPr>
          <w:rFonts w:ascii="Arial" w:hAnsi="Arial" w:cs="Arial"/>
          <w:sz w:val="22"/>
          <w:szCs w:val="22"/>
          <w:u w:val="single"/>
        </w:rPr>
        <w:t xml:space="preserve"> </w:t>
      </w:r>
      <w:r w:rsidRPr="00E466EA">
        <w:rPr>
          <w:rFonts w:ascii="Arial" w:hAnsi="Arial" w:cs="Arial"/>
          <w:sz w:val="22"/>
          <w:szCs w:val="22"/>
        </w:rPr>
        <w:t>and click on “Earnings Webcast.”</w:t>
      </w:r>
    </w:p>
    <w:p w:rsidR="001B00F3" w:rsidRDefault="001B00F3" w:rsidP="00B521AC">
      <w:pPr>
        <w:tabs>
          <w:tab w:val="left" w:pos="720"/>
        </w:tabs>
        <w:ind w:right="720"/>
        <w:rPr>
          <w:rFonts w:ascii="Arial" w:hAnsi="Arial" w:cs="Arial"/>
          <w:b/>
          <w:sz w:val="22"/>
        </w:rPr>
      </w:pPr>
    </w:p>
    <w:p w:rsidR="001B00F3" w:rsidRDefault="001B00F3" w:rsidP="00B521AC">
      <w:pPr>
        <w:tabs>
          <w:tab w:val="left" w:pos="720"/>
        </w:tabs>
        <w:ind w:right="720"/>
        <w:rPr>
          <w:rFonts w:ascii="Arial" w:hAnsi="Arial" w:cs="Arial"/>
          <w:b/>
          <w:sz w:val="22"/>
        </w:rPr>
      </w:pPr>
    </w:p>
    <w:p w:rsidR="001B00F3" w:rsidRDefault="001B00F3" w:rsidP="00B521AC">
      <w:pPr>
        <w:tabs>
          <w:tab w:val="left" w:pos="720"/>
        </w:tabs>
        <w:ind w:right="720"/>
        <w:rPr>
          <w:rFonts w:ascii="Arial" w:hAnsi="Arial" w:cs="Arial"/>
          <w:b/>
          <w:sz w:val="22"/>
        </w:rPr>
      </w:pPr>
    </w:p>
    <w:p w:rsidR="001B00F3" w:rsidRDefault="001B00F3" w:rsidP="00B521AC">
      <w:pPr>
        <w:tabs>
          <w:tab w:val="left" w:pos="720"/>
        </w:tabs>
        <w:ind w:right="720"/>
        <w:rPr>
          <w:rFonts w:ascii="Arial" w:hAnsi="Arial" w:cs="Arial"/>
          <w:b/>
          <w:sz w:val="22"/>
        </w:rPr>
      </w:pPr>
    </w:p>
    <w:p w:rsidR="001B00F3" w:rsidRDefault="001B00F3" w:rsidP="00B521AC">
      <w:pPr>
        <w:tabs>
          <w:tab w:val="left" w:pos="720"/>
        </w:tabs>
        <w:ind w:right="720"/>
        <w:rPr>
          <w:rFonts w:ascii="Arial" w:hAnsi="Arial" w:cs="Arial"/>
          <w:b/>
          <w:sz w:val="22"/>
        </w:rPr>
      </w:pPr>
    </w:p>
    <w:p w:rsidR="00B521AC" w:rsidRPr="0093375E" w:rsidRDefault="00B521AC" w:rsidP="00B521AC">
      <w:pPr>
        <w:tabs>
          <w:tab w:val="left" w:pos="720"/>
        </w:tabs>
        <w:ind w:right="720"/>
        <w:rPr>
          <w:b/>
          <w:bCs/>
          <w:sz w:val="22"/>
        </w:rPr>
      </w:pPr>
      <w:r w:rsidRPr="0093375E">
        <w:rPr>
          <w:rFonts w:ascii="Arial" w:hAnsi="Arial" w:cs="Arial"/>
          <w:b/>
          <w:sz w:val="22"/>
        </w:rPr>
        <w:t>About UPS</w:t>
      </w:r>
    </w:p>
    <w:p w:rsidR="00B521AC" w:rsidRPr="0093375E" w:rsidRDefault="00B521AC" w:rsidP="00B521AC">
      <w:pPr>
        <w:tabs>
          <w:tab w:val="left" w:pos="720"/>
        </w:tabs>
        <w:rPr>
          <w:rFonts w:ascii="Arial" w:hAnsi="Arial" w:cs="Arial"/>
          <w:sz w:val="22"/>
        </w:rPr>
      </w:pPr>
      <w:r w:rsidRPr="0093375E">
        <w:rPr>
          <w:rFonts w:ascii="Arial" w:hAnsi="Arial" w:cs="Arial"/>
          <w:sz w:val="22"/>
        </w:rPr>
        <w:t xml:space="preserve">UPS (NYSE: UPS) is a global leader in logistics, offering a broad range of solutions including transporting packages and freight; facilitating international trade, and deploying advanced technology to more efficiently manage the world of business. </w:t>
      </w:r>
      <w:r>
        <w:rPr>
          <w:rFonts w:ascii="Arial" w:hAnsi="Arial" w:cs="Arial"/>
          <w:sz w:val="22"/>
        </w:rPr>
        <w:t xml:space="preserve"> </w:t>
      </w:r>
      <w:r w:rsidRPr="0093375E">
        <w:rPr>
          <w:rFonts w:ascii="Arial" w:hAnsi="Arial" w:cs="Arial"/>
          <w:sz w:val="22"/>
        </w:rPr>
        <w:t xml:space="preserve">UPS is committed to operating more sustainably – for customers, the environment and the communities we serve around the world.  Learn more about our efforts at ups.com/sustainability. </w:t>
      </w:r>
      <w:r>
        <w:rPr>
          <w:rFonts w:ascii="Arial" w:hAnsi="Arial" w:cs="Arial"/>
          <w:sz w:val="22"/>
        </w:rPr>
        <w:t xml:space="preserve"> </w:t>
      </w:r>
      <w:r w:rsidRPr="0093375E">
        <w:rPr>
          <w:rFonts w:ascii="Arial" w:hAnsi="Arial" w:cs="Arial"/>
          <w:sz w:val="22"/>
        </w:rPr>
        <w:t xml:space="preserve">Headquartered in Atlanta, UPS serves more than 220 countries and territories worldwide. </w:t>
      </w:r>
      <w:r>
        <w:rPr>
          <w:rFonts w:ascii="Arial" w:hAnsi="Arial" w:cs="Arial"/>
          <w:sz w:val="22"/>
        </w:rPr>
        <w:t xml:space="preserve"> </w:t>
      </w:r>
      <w:r w:rsidRPr="0093375E">
        <w:rPr>
          <w:rFonts w:ascii="Arial" w:hAnsi="Arial" w:cs="Arial"/>
          <w:sz w:val="22"/>
        </w:rPr>
        <w:t>The company can be found on the web at ups.com and its corporate blog can be found at longitudes.ups.com. To get UPS news direct, follow @</w:t>
      </w:r>
      <w:proofErr w:type="spellStart"/>
      <w:r w:rsidRPr="0093375E">
        <w:rPr>
          <w:rFonts w:ascii="Arial" w:hAnsi="Arial" w:cs="Arial"/>
          <w:sz w:val="22"/>
        </w:rPr>
        <w:t>UPS_News</w:t>
      </w:r>
      <w:proofErr w:type="spellEnd"/>
      <w:r w:rsidRPr="0093375E">
        <w:rPr>
          <w:rFonts w:ascii="Arial" w:hAnsi="Arial" w:cs="Arial"/>
          <w:sz w:val="22"/>
        </w:rPr>
        <w:t xml:space="preserve"> on Twitter.</w:t>
      </w:r>
    </w:p>
    <w:p w:rsidR="00B521AC" w:rsidRDefault="00B521AC" w:rsidP="00B521AC">
      <w:pPr>
        <w:tabs>
          <w:tab w:val="left" w:pos="720"/>
        </w:tabs>
        <w:ind w:right="720"/>
        <w:jc w:val="center"/>
        <w:rPr>
          <w:rFonts w:ascii="Arial" w:hAnsi="Arial" w:cs="Arial"/>
        </w:rPr>
      </w:pPr>
    </w:p>
    <w:p w:rsidR="00B521AC" w:rsidRDefault="00B521AC" w:rsidP="00B521AC">
      <w:pPr>
        <w:rPr>
          <w:rFonts w:ascii="Arial" w:hAnsi="Arial" w:cs="Arial"/>
          <w:sz w:val="22"/>
          <w:szCs w:val="22"/>
          <w:u w:val="single"/>
        </w:rPr>
      </w:pPr>
    </w:p>
    <w:p w:rsidR="000F5C47" w:rsidRPr="000453FA" w:rsidRDefault="000F5C47" w:rsidP="000F5C47">
      <w:pPr>
        <w:rPr>
          <w:rFonts w:ascii="Arial" w:hAnsi="Arial" w:cs="Arial"/>
          <w:sz w:val="22"/>
          <w:szCs w:val="22"/>
          <w:u w:val="single"/>
        </w:rPr>
      </w:pPr>
      <w:r w:rsidRPr="000453FA">
        <w:rPr>
          <w:rFonts w:ascii="Arial" w:hAnsi="Arial" w:cs="Arial"/>
          <w:sz w:val="22"/>
          <w:szCs w:val="22"/>
          <w:u w:val="single"/>
        </w:rPr>
        <w:t>Forward-Looking Statements</w:t>
      </w:r>
    </w:p>
    <w:p w:rsidR="000F5C47" w:rsidRPr="000453FA" w:rsidRDefault="000F5C47" w:rsidP="000F5C47">
      <w:pPr>
        <w:autoSpaceDE w:val="0"/>
        <w:autoSpaceDN w:val="0"/>
        <w:adjustRightInd w:val="0"/>
        <w:rPr>
          <w:rFonts w:ascii="Arial" w:hAnsi="Arial" w:cs="Arial"/>
          <w:sz w:val="22"/>
          <w:szCs w:val="22"/>
        </w:rPr>
      </w:pPr>
    </w:p>
    <w:p w:rsidR="000F5C47" w:rsidRPr="00912A35" w:rsidRDefault="000F5C47" w:rsidP="000F5C47">
      <w:pPr>
        <w:spacing w:after="240"/>
        <w:ind w:firstLine="720"/>
        <w:rPr>
          <w:rFonts w:ascii="Arial" w:hAnsi="Arial" w:cs="Arial"/>
          <w:sz w:val="22"/>
        </w:rPr>
      </w:pPr>
      <w:r w:rsidRPr="00912A35">
        <w:rPr>
          <w:rFonts w:ascii="Arial" w:hAnsi="Arial" w:cs="Arial"/>
          <w:sz w:val="22"/>
        </w:rPr>
        <w:t xml:space="preserve">Except for historical information contained herein, the statements made in this release constitute forward-looking statements within the meaning of Section 27A of the Securities Act of 1933 and Section 21E of the Securities Exchange Act of 1934. Such forward-looking statements, including statements regarding the intent, belief or current expectations of UPS and its management regarding the company's strategic directions, prospects and future results, involve certain risks and uncertainties. </w:t>
      </w:r>
    </w:p>
    <w:p w:rsidR="000F5C47" w:rsidRPr="00912A35" w:rsidRDefault="000F5C47" w:rsidP="000F5C47">
      <w:pPr>
        <w:spacing w:after="240"/>
        <w:ind w:firstLine="720"/>
        <w:rPr>
          <w:rFonts w:ascii="Arial" w:hAnsi="Arial" w:cs="Arial"/>
          <w:sz w:val="22"/>
          <w:u w:val="single"/>
        </w:rPr>
      </w:pPr>
      <w:r w:rsidRPr="00912A35">
        <w:rPr>
          <w:rFonts w:ascii="Arial" w:hAnsi="Arial" w:cs="Arial"/>
          <w:sz w:val="22"/>
        </w:rPr>
        <w:t>Certain factors may cause actual results to differ materially from those contained in the forward-looking statements, including economic and other conditions in the markets in which we operate, governmental regulations (including tax laws and regulations), our competitive environment, changes in the facts or assumptions underlying our health and pension benefit funding obligations, negotiation and ratification of labor contracts, strikes, work stoppages and slowdowns, changes in aviation and motor fuel prices, cyclical and seasonal fluctuations in our operating results, and other risks discussed in the company's Form 10-K and other filings with the Securities and Exchange Commission, which discussions are incorporated herein by reference.</w:t>
      </w:r>
    </w:p>
    <w:p w:rsidR="000F5C47" w:rsidRPr="000453FA" w:rsidRDefault="000F5C47" w:rsidP="000F5C47">
      <w:pPr>
        <w:spacing w:after="240"/>
        <w:rPr>
          <w:rFonts w:ascii="Arial" w:hAnsi="Arial" w:cs="Arial"/>
          <w:sz w:val="22"/>
          <w:u w:val="single"/>
        </w:rPr>
      </w:pPr>
      <w:r w:rsidRPr="000453FA">
        <w:rPr>
          <w:rFonts w:ascii="Arial" w:hAnsi="Arial" w:cs="Arial"/>
          <w:sz w:val="22"/>
          <w:u w:val="single"/>
        </w:rPr>
        <w:t>Reconciliation of GAAP and non-GAAP Financial Measures</w:t>
      </w:r>
    </w:p>
    <w:p w:rsidR="000F5C47" w:rsidRPr="001B2EED" w:rsidRDefault="000F5C47" w:rsidP="000F5C47">
      <w:pPr>
        <w:spacing w:after="240"/>
        <w:ind w:firstLine="720"/>
        <w:rPr>
          <w:rFonts w:ascii="Arial" w:hAnsi="Arial" w:cs="Arial"/>
          <w:sz w:val="22"/>
        </w:rPr>
      </w:pPr>
      <w:r w:rsidRPr="001B2EED">
        <w:rPr>
          <w:rFonts w:ascii="Arial" w:hAnsi="Arial" w:cs="Arial"/>
          <w:sz w:val="22"/>
        </w:rPr>
        <w:t xml:space="preserve">We supplement the reporting of our financial information determined under generally accepted accounting principles ("GAAP") with certain non-GAAP financial measures, including, as applicable, "as adjusted" operating profit, operating margin, pre-tax income, net income and earnings per share. The equivalent measures determined in accordance with GAAP are also referred to as "reported" or "unadjusted.” Additionally, we periodically disclose free cash flow, free cash flow excluding discretionary pension contributions, as well as currency-neutral revenue, revenue per piece and operating profit. </w:t>
      </w:r>
    </w:p>
    <w:p w:rsidR="000F5C47" w:rsidRPr="001B2EED" w:rsidRDefault="000F5C47" w:rsidP="000F5C47">
      <w:pPr>
        <w:spacing w:after="240"/>
        <w:ind w:firstLine="720"/>
        <w:rPr>
          <w:rFonts w:ascii="Arial" w:hAnsi="Arial" w:cs="Arial"/>
          <w:sz w:val="22"/>
        </w:rPr>
      </w:pPr>
      <w:r w:rsidRPr="001B2EED">
        <w:rPr>
          <w:rFonts w:ascii="Arial" w:hAnsi="Arial" w:cs="Arial"/>
          <w:sz w:val="22"/>
        </w:rPr>
        <w:t>We consider quantitative and qualitative factors in assessing whether to adjust for the impact of items that may be significant or that could affect an understanding of our ongoing financial and business performance or trends. Examples of items for which we may make adjustments include but are not limited to: amounts related to mark-to-market gains or losses (non-cash); settlement of contingencies; gains or losses associated with mergers, acquisitions, divestitures and other structural changes; charges related to restructuring programs; asset impairments (non-cash); amounts related to changes in tax regulations or positions; pension and postretirement related items; and debt modifications.</w:t>
      </w:r>
    </w:p>
    <w:p w:rsidR="000F5C47" w:rsidRDefault="000F5C47" w:rsidP="000F5C47">
      <w:pPr>
        <w:spacing w:after="240"/>
        <w:ind w:firstLine="720"/>
        <w:rPr>
          <w:rFonts w:ascii="Arial" w:hAnsi="Arial" w:cs="Arial"/>
          <w:sz w:val="22"/>
        </w:rPr>
      </w:pPr>
    </w:p>
    <w:p w:rsidR="000F5C47" w:rsidRPr="001B2EED" w:rsidRDefault="000F5C47" w:rsidP="000F5C47">
      <w:pPr>
        <w:spacing w:after="240"/>
        <w:ind w:firstLine="720"/>
        <w:rPr>
          <w:rFonts w:ascii="Arial" w:hAnsi="Arial" w:cs="Arial"/>
          <w:sz w:val="22"/>
        </w:rPr>
      </w:pPr>
      <w:r w:rsidRPr="001B2EED">
        <w:rPr>
          <w:rFonts w:ascii="Arial" w:hAnsi="Arial" w:cs="Arial"/>
          <w:sz w:val="22"/>
        </w:rPr>
        <w:t xml:space="preserve">We believe that these non-GAAP measures provide additional meaningful information to assist users of our financial statements in understanding our financial results, cash flows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 results. </w:t>
      </w:r>
    </w:p>
    <w:p w:rsidR="000F5C47" w:rsidRDefault="000F5C47" w:rsidP="000F5C47">
      <w:pPr>
        <w:spacing w:after="240"/>
        <w:ind w:firstLine="720"/>
        <w:rPr>
          <w:rFonts w:ascii="Arial" w:hAnsi="Arial" w:cs="Arial"/>
          <w:sz w:val="22"/>
        </w:rPr>
      </w:pPr>
      <w:r w:rsidRPr="001B2EED">
        <w:rPr>
          <w:rFonts w:ascii="Arial" w:hAnsi="Arial" w:cs="Arial"/>
          <w:sz w:val="22"/>
        </w:rPr>
        <w:t xml:space="preserve">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 </w:t>
      </w:r>
    </w:p>
    <w:p w:rsidR="000F5C47" w:rsidRDefault="000F5C47" w:rsidP="000F5C47">
      <w:pPr>
        <w:rPr>
          <w:rFonts w:ascii="Arial" w:hAnsi="Arial" w:cs="Arial"/>
          <w:i/>
          <w:sz w:val="22"/>
        </w:rPr>
      </w:pPr>
      <w:r w:rsidRPr="00B11DCF">
        <w:rPr>
          <w:rFonts w:ascii="Arial" w:hAnsi="Arial" w:cs="Arial"/>
          <w:i/>
          <w:sz w:val="22"/>
        </w:rPr>
        <w:t>Transformation &amp; Other</w:t>
      </w:r>
    </w:p>
    <w:p w:rsidR="000F5C47" w:rsidRPr="00B11DCF" w:rsidRDefault="000F5C47" w:rsidP="000F5C47">
      <w:pPr>
        <w:rPr>
          <w:rFonts w:ascii="Arial" w:hAnsi="Arial" w:cs="Arial"/>
          <w:sz w:val="18"/>
          <w:szCs w:val="20"/>
        </w:rPr>
      </w:pPr>
    </w:p>
    <w:p w:rsidR="000F5C47" w:rsidRDefault="000F5C47" w:rsidP="000F5C47">
      <w:pPr>
        <w:spacing w:after="240"/>
        <w:ind w:firstLine="720"/>
        <w:rPr>
          <w:rFonts w:ascii="Arial" w:hAnsi="Arial" w:cs="Arial"/>
          <w:sz w:val="22"/>
        </w:rPr>
      </w:pPr>
      <w:r w:rsidRPr="00B11DCF">
        <w:rPr>
          <w:rFonts w:ascii="Arial" w:hAnsi="Arial" w:cs="Arial"/>
          <w:sz w:val="22"/>
        </w:rPr>
        <w:t xml:space="preserve">We supplement the presentation of our operating profit, operating margin, pre-tax income, net income and earnings per share with similar non-GAAP measures that exclude the impact of transformation </w:t>
      </w:r>
      <w:r w:rsidR="002E4052">
        <w:rPr>
          <w:rFonts w:ascii="Arial" w:hAnsi="Arial" w:cs="Arial"/>
          <w:sz w:val="22"/>
        </w:rPr>
        <w:t>strategy</w:t>
      </w:r>
      <w:r w:rsidRPr="00B11DCF">
        <w:rPr>
          <w:rFonts w:ascii="Arial" w:hAnsi="Arial" w:cs="Arial"/>
          <w:sz w:val="22"/>
        </w:rPr>
        <w:t xml:space="preserve"> costs.  We believe this adjusted information provides important supplemental information that provides useful comparison of year-to-year financial performance without considering the short-term impact of transformation impacts. We evaluate the performance of our businesses on an adjusted basis.</w:t>
      </w:r>
    </w:p>
    <w:p w:rsidR="000F5C47" w:rsidRPr="001B2EED" w:rsidRDefault="000F5C47" w:rsidP="000F5C47">
      <w:pPr>
        <w:spacing w:after="240"/>
        <w:rPr>
          <w:rFonts w:ascii="Arial" w:hAnsi="Arial" w:cs="Arial"/>
          <w:i/>
          <w:sz w:val="22"/>
        </w:rPr>
      </w:pPr>
      <w:r w:rsidRPr="001B2EED">
        <w:rPr>
          <w:rFonts w:ascii="Arial" w:hAnsi="Arial" w:cs="Arial"/>
          <w:i/>
          <w:sz w:val="22"/>
        </w:rPr>
        <w:t>Currency-Neutral Revenue, Revenue per Piece and Operating Profit</w:t>
      </w:r>
    </w:p>
    <w:p w:rsidR="000F5C47" w:rsidRPr="001B2EED" w:rsidRDefault="000F5C47" w:rsidP="000F5C47">
      <w:pPr>
        <w:spacing w:after="240"/>
        <w:ind w:firstLine="720"/>
        <w:rPr>
          <w:rFonts w:ascii="Arial" w:hAnsi="Arial" w:cs="Arial"/>
          <w:sz w:val="22"/>
        </w:rPr>
      </w:pPr>
      <w:r w:rsidRPr="001B2EED">
        <w:rPr>
          <w:rFonts w:ascii="Arial" w:hAnsi="Arial" w:cs="Arial"/>
          <w:sz w:val="22"/>
        </w:rPr>
        <w:t>We supplement the reporting of our revenue, revenue per piece and operating profit with similar non-GAAP measures that exclude the period-over-period impact of foreign currency exchange rate changes and hedging activities. We believe currency-neutral revenue, revenue per piece and operating profit information allows users of our financial statements to understand growth trends in our products and results. We evaluate the performance of our International Package and Supply Chain and Freight businesses on a currency-neutral basis.</w:t>
      </w:r>
    </w:p>
    <w:p w:rsidR="000F5C47" w:rsidRPr="001B2EED" w:rsidRDefault="000F5C47" w:rsidP="000F5C47">
      <w:pPr>
        <w:spacing w:after="240"/>
        <w:ind w:firstLine="720"/>
        <w:rPr>
          <w:rFonts w:ascii="Arial" w:hAnsi="Arial" w:cs="Arial"/>
          <w:i/>
          <w:sz w:val="22"/>
        </w:rPr>
      </w:pPr>
      <w:r w:rsidRPr="001B2EED">
        <w:rPr>
          <w:rFonts w:ascii="Arial" w:hAnsi="Arial" w:cs="Arial"/>
          <w:sz w:val="22"/>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current period local currency revenue, revenue per piece and operating profit are then multiplied by the average foreign exchange rates used to translate the comparable results for each month in the prior year period (including the period over period impact of foreign currency revenue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rsidR="000F5C47" w:rsidRDefault="000F5C47" w:rsidP="000F5C47">
      <w:pPr>
        <w:rPr>
          <w:rFonts w:ascii="Arial" w:hAnsi="Arial" w:cs="Arial"/>
          <w:i/>
          <w:sz w:val="22"/>
        </w:rPr>
      </w:pPr>
      <w:r w:rsidRPr="001B2EED">
        <w:rPr>
          <w:rFonts w:ascii="Arial" w:hAnsi="Arial" w:cs="Arial"/>
          <w:i/>
          <w:sz w:val="22"/>
        </w:rPr>
        <w:t>Free Cash Flow</w:t>
      </w:r>
    </w:p>
    <w:p w:rsidR="000F5C47" w:rsidRPr="001B2EED" w:rsidRDefault="000F5C47" w:rsidP="000F5C47">
      <w:pPr>
        <w:rPr>
          <w:rFonts w:ascii="Arial" w:hAnsi="Arial" w:cs="Arial"/>
          <w:i/>
          <w:sz w:val="22"/>
        </w:rPr>
      </w:pPr>
    </w:p>
    <w:p w:rsidR="000F5C47" w:rsidRDefault="000F5C47" w:rsidP="000F5C47">
      <w:pPr>
        <w:spacing w:after="240"/>
        <w:ind w:firstLine="720"/>
        <w:rPr>
          <w:rFonts w:ascii="Arial" w:hAnsi="Arial" w:cs="Arial"/>
          <w:sz w:val="22"/>
        </w:rPr>
      </w:pPr>
      <w:r w:rsidRPr="001B2EED">
        <w:rPr>
          <w:rFonts w:ascii="Arial" w:hAnsi="Arial" w:cs="Arial"/>
          <w:sz w:val="22"/>
        </w:rPr>
        <w:t xml:space="preserve">We supplement the reporting of cash flows from operating activities with free cash flow and free cash flow excluding discretionary pension contributions, non-GAAP liquidity measures. We believe free cash flow is an important indicator of how much cash is generated by regular business operations and we use it as a measure of incremental cash available to invest in our business, meet our debt obligations and return cash to shareowners. We calculate free cash flow as cash flows from operating activities less capital expenditures, proceeds from disposals of property, plant and equipment, and plus or minus the net changes in finance receivables and other investing activities. </w:t>
      </w:r>
    </w:p>
    <w:p w:rsidR="000F5C47" w:rsidRDefault="000F5C47" w:rsidP="000F5C47">
      <w:pPr>
        <w:rPr>
          <w:rFonts w:ascii="Arial" w:hAnsi="Arial" w:cs="Arial"/>
          <w:b/>
          <w:sz w:val="20"/>
          <w:szCs w:val="20"/>
        </w:rPr>
      </w:pPr>
      <w:r>
        <w:rPr>
          <w:rFonts w:ascii="Arial" w:hAnsi="Arial" w:cs="Arial"/>
          <w:sz w:val="22"/>
        </w:rPr>
        <w:br w:type="page"/>
      </w:r>
      <w:r>
        <w:rPr>
          <w:rFonts w:ascii="Arial" w:hAnsi="Arial" w:cs="Arial"/>
          <w:b/>
          <w:sz w:val="20"/>
          <w:szCs w:val="20"/>
        </w:rPr>
        <w:tab/>
      </w:r>
      <w:r>
        <w:rPr>
          <w:rFonts w:ascii="Arial" w:hAnsi="Arial" w:cs="Arial"/>
          <w:b/>
          <w:sz w:val="20"/>
          <w:szCs w:val="20"/>
        </w:rPr>
        <w:tab/>
      </w:r>
      <w:r w:rsidRPr="00E31E3D">
        <w:rPr>
          <w:rFonts w:ascii="Arial" w:hAnsi="Arial" w:cs="Arial"/>
          <w:b/>
          <w:sz w:val="20"/>
          <w:szCs w:val="20"/>
        </w:rPr>
        <w:t>Reconciliation of GAAP and</w:t>
      </w:r>
      <w:r>
        <w:rPr>
          <w:rFonts w:ascii="Arial" w:hAnsi="Arial" w:cs="Arial"/>
          <w:b/>
          <w:sz w:val="20"/>
          <w:szCs w:val="20"/>
        </w:rPr>
        <w:t xml:space="preserve"> non-GAAP Income Statement Data</w:t>
      </w:r>
    </w:p>
    <w:p w:rsidR="000F5C47" w:rsidRDefault="000F5C47" w:rsidP="000F5C47">
      <w:pPr>
        <w:jc w:val="center"/>
        <w:rPr>
          <w:rFonts w:ascii="Arial" w:hAnsi="Arial" w:cs="Arial"/>
          <w:b/>
          <w:sz w:val="20"/>
          <w:szCs w:val="20"/>
        </w:rPr>
      </w:pPr>
      <w:r w:rsidRPr="00E31E3D">
        <w:rPr>
          <w:rFonts w:ascii="Arial" w:hAnsi="Arial" w:cs="Arial"/>
          <w:b/>
          <w:sz w:val="20"/>
          <w:szCs w:val="20"/>
        </w:rPr>
        <w:t>(in millions, except</w:t>
      </w:r>
      <w:r>
        <w:rPr>
          <w:rFonts w:ascii="Arial" w:hAnsi="Arial" w:cs="Arial"/>
          <w:b/>
          <w:sz w:val="20"/>
          <w:szCs w:val="20"/>
        </w:rPr>
        <w:t xml:space="preserve"> Per</w:t>
      </w:r>
      <w:r w:rsidRPr="00E31E3D">
        <w:rPr>
          <w:rFonts w:ascii="Arial" w:hAnsi="Arial" w:cs="Arial"/>
          <w:b/>
          <w:sz w:val="20"/>
          <w:szCs w:val="20"/>
        </w:rPr>
        <w:t xml:space="preserve"> EPS amounts):</w:t>
      </w:r>
    </w:p>
    <w:p w:rsidR="000F5C47" w:rsidRDefault="000F5C47" w:rsidP="000F5C47">
      <w:pPr>
        <w:jc w:val="center"/>
        <w:rPr>
          <w:rFonts w:ascii="Arial" w:hAnsi="Arial" w:cs="Arial"/>
          <w:b/>
          <w:sz w:val="20"/>
          <w:szCs w:val="20"/>
        </w:rPr>
      </w:pPr>
    </w:p>
    <w:p w:rsidR="000F5C47" w:rsidRDefault="00683EA1" w:rsidP="000F5C47">
      <w:pPr>
        <w:jc w:val="center"/>
        <w:rPr>
          <w:rFonts w:ascii="Arial" w:hAnsi="Arial" w:cs="Arial"/>
          <w:b/>
          <w:sz w:val="20"/>
          <w:szCs w:val="20"/>
        </w:rPr>
      </w:pPr>
      <w:r>
        <w:rPr>
          <w:noProof/>
        </w:rPr>
        <w:drawing>
          <wp:inline distT="0" distB="0" distL="0" distR="0">
            <wp:extent cx="5934710" cy="3243580"/>
            <wp:effectExtent l="0" t="0" r="8890" b="0"/>
            <wp:docPr id="2" name="Picture 2" descr="C:\Users\nbd1cdp\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d1cdp\Desktop\Capt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3243580"/>
                    </a:xfrm>
                    <a:prstGeom prst="rect">
                      <a:avLst/>
                    </a:prstGeom>
                    <a:noFill/>
                    <a:ln>
                      <a:noFill/>
                    </a:ln>
                  </pic:spPr>
                </pic:pic>
              </a:graphicData>
            </a:graphic>
          </wp:inline>
        </w:drawing>
      </w:r>
    </w:p>
    <w:p w:rsidR="000F5C47" w:rsidRDefault="000F5C47" w:rsidP="000F5C47">
      <w:pPr>
        <w:jc w:val="center"/>
        <w:rPr>
          <w:rFonts w:ascii="Arial" w:hAnsi="Arial" w:cs="Arial"/>
          <w:b/>
          <w:sz w:val="20"/>
          <w:szCs w:val="20"/>
        </w:rPr>
      </w:pPr>
    </w:p>
    <w:p w:rsidR="000F5C47" w:rsidRDefault="005136D9" w:rsidP="000F5C47">
      <w:pPr>
        <w:jc w:val="center"/>
        <w:rPr>
          <w:rFonts w:ascii="Arial" w:hAnsi="Arial" w:cs="Arial"/>
          <w:b/>
          <w:sz w:val="20"/>
          <w:szCs w:val="20"/>
        </w:rPr>
      </w:pPr>
      <w:r>
        <w:rPr>
          <w:noProof/>
        </w:rPr>
        <w:drawing>
          <wp:inline distT="0" distB="0" distL="0" distR="0" wp14:anchorId="51BC377A" wp14:editId="7AB88747">
            <wp:extent cx="5943600" cy="3239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39770"/>
                    </a:xfrm>
                    <a:prstGeom prst="rect">
                      <a:avLst/>
                    </a:prstGeom>
                  </pic:spPr>
                </pic:pic>
              </a:graphicData>
            </a:graphic>
          </wp:inline>
        </w:drawing>
      </w:r>
    </w:p>
    <w:p w:rsidR="000F5C47" w:rsidRDefault="000F5C47" w:rsidP="000F5C47">
      <w:pPr>
        <w:jc w:val="center"/>
        <w:rPr>
          <w:rFonts w:ascii="Arial" w:hAnsi="Arial" w:cs="Arial"/>
          <w:b/>
          <w:sz w:val="20"/>
          <w:szCs w:val="20"/>
        </w:rPr>
      </w:pPr>
    </w:p>
    <w:p w:rsidR="000F5C47" w:rsidRPr="00E31E3D" w:rsidRDefault="000F5C47" w:rsidP="000F5C47">
      <w:pPr>
        <w:rPr>
          <w:rFonts w:ascii="Arial" w:hAnsi="Arial" w:cs="Arial"/>
          <w:sz w:val="18"/>
          <w:szCs w:val="20"/>
        </w:rPr>
      </w:pPr>
    </w:p>
    <w:p w:rsidR="000F5C47" w:rsidRPr="00E31E3D" w:rsidRDefault="000F5C47" w:rsidP="000F5C47">
      <w:pPr>
        <w:rPr>
          <w:rFonts w:ascii="Arial" w:hAnsi="Arial" w:cs="Arial"/>
          <w:sz w:val="18"/>
          <w:szCs w:val="20"/>
        </w:rPr>
      </w:pPr>
      <w:r>
        <w:rPr>
          <w:rFonts w:ascii="Arial" w:hAnsi="Arial" w:cs="Arial"/>
          <w:i/>
          <w:sz w:val="16"/>
          <w:szCs w:val="16"/>
        </w:rPr>
        <w:t>N</w:t>
      </w:r>
      <w:r w:rsidRPr="00E31E3D">
        <w:rPr>
          <w:rFonts w:ascii="Arial" w:hAnsi="Arial" w:cs="Arial"/>
          <w:i/>
          <w:sz w:val="16"/>
          <w:szCs w:val="16"/>
        </w:rPr>
        <w:t>ote: Certain amounts may not compute due to rounding.</w:t>
      </w:r>
    </w:p>
    <w:p w:rsidR="000F5C47" w:rsidRPr="00E31E3D" w:rsidRDefault="000F5C47" w:rsidP="000F5C47">
      <w:pPr>
        <w:rPr>
          <w:rFonts w:ascii="Arial" w:hAnsi="Arial" w:cs="Arial"/>
          <w:sz w:val="18"/>
          <w:szCs w:val="20"/>
        </w:rPr>
      </w:pPr>
      <w:r w:rsidRPr="00E31E3D">
        <w:rPr>
          <w:rFonts w:ascii="Arial" w:hAnsi="Arial" w:cs="Arial"/>
          <w:sz w:val="18"/>
          <w:szCs w:val="20"/>
        </w:rPr>
        <w:br w:type="page"/>
      </w:r>
    </w:p>
    <w:p w:rsidR="000F5C47" w:rsidRPr="00E31E3D" w:rsidRDefault="000F5C47" w:rsidP="000F5C47">
      <w:pPr>
        <w:jc w:val="center"/>
        <w:rPr>
          <w:rFonts w:ascii="Arial" w:hAnsi="Arial" w:cs="Arial"/>
          <w:b/>
          <w:sz w:val="20"/>
          <w:szCs w:val="20"/>
        </w:rPr>
      </w:pPr>
      <w:r w:rsidRPr="00E31E3D">
        <w:rPr>
          <w:rFonts w:ascii="Arial" w:hAnsi="Arial" w:cs="Arial"/>
          <w:b/>
          <w:sz w:val="20"/>
          <w:szCs w:val="20"/>
        </w:rPr>
        <w:t xml:space="preserve">Reconciliation of GAAP and non-GAAP Revenue, Revenue Per Piece and As-Adjusted Currency Neutral Operating Profit </w:t>
      </w:r>
    </w:p>
    <w:p w:rsidR="000F5C47" w:rsidRPr="00E31E3D" w:rsidRDefault="000F5C47" w:rsidP="000F5C47">
      <w:pPr>
        <w:jc w:val="center"/>
        <w:rPr>
          <w:rFonts w:ascii="Arial" w:hAnsi="Arial" w:cs="Arial"/>
          <w:b/>
          <w:sz w:val="20"/>
          <w:szCs w:val="20"/>
        </w:rPr>
      </w:pPr>
      <w:r w:rsidRPr="00E31E3D">
        <w:rPr>
          <w:rFonts w:ascii="Arial" w:hAnsi="Arial" w:cs="Arial"/>
          <w:b/>
          <w:sz w:val="20"/>
          <w:szCs w:val="20"/>
        </w:rPr>
        <w:t>(in millions, except Per Piece amounts):</w:t>
      </w:r>
    </w:p>
    <w:p w:rsidR="000F5C47" w:rsidRDefault="000F5C47" w:rsidP="000F5C47">
      <w:pPr>
        <w:rPr>
          <w:rFonts w:ascii="Arial" w:hAnsi="Arial" w:cs="Arial"/>
          <w:sz w:val="18"/>
          <w:szCs w:val="20"/>
        </w:rPr>
      </w:pPr>
    </w:p>
    <w:p w:rsidR="000F5C47" w:rsidRDefault="005136D9" w:rsidP="000F5C47">
      <w:pPr>
        <w:ind w:left="-180" w:right="-180"/>
        <w:jc w:val="center"/>
        <w:rPr>
          <w:rFonts w:ascii="Arial" w:hAnsi="Arial" w:cs="Arial"/>
          <w:sz w:val="18"/>
          <w:szCs w:val="20"/>
        </w:rPr>
      </w:pPr>
      <w:r>
        <w:rPr>
          <w:rFonts w:ascii="Arial" w:hAnsi="Arial" w:cs="Arial"/>
          <w:noProof/>
          <w:sz w:val="18"/>
          <w:szCs w:val="20"/>
        </w:rPr>
        <w:drawing>
          <wp:inline distT="0" distB="0" distL="0" distR="0">
            <wp:extent cx="5943600" cy="4054475"/>
            <wp:effectExtent l="0" t="0" r="0" b="3175"/>
            <wp:docPr id="8" name="Picture 8" descr="C:\Users\nbd1cdp\Desktop\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d1cdp\Desktop\Captur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54475"/>
                    </a:xfrm>
                    <a:prstGeom prst="rect">
                      <a:avLst/>
                    </a:prstGeom>
                    <a:noFill/>
                    <a:ln>
                      <a:noFill/>
                    </a:ln>
                  </pic:spPr>
                </pic:pic>
              </a:graphicData>
            </a:graphic>
          </wp:inline>
        </w:drawing>
      </w:r>
    </w:p>
    <w:p w:rsidR="000F5C47" w:rsidRDefault="000F5C47" w:rsidP="000F5C47">
      <w:pPr>
        <w:rPr>
          <w:rFonts w:ascii="Arial" w:hAnsi="Arial" w:cs="Arial"/>
          <w:sz w:val="18"/>
          <w:szCs w:val="20"/>
        </w:rPr>
      </w:pPr>
    </w:p>
    <w:p w:rsidR="000F5C47" w:rsidRDefault="000F5C47" w:rsidP="000F5C47">
      <w:pPr>
        <w:rPr>
          <w:rFonts w:ascii="Arial" w:hAnsi="Arial" w:cs="Arial"/>
          <w:sz w:val="18"/>
          <w:szCs w:val="20"/>
        </w:rPr>
      </w:pPr>
    </w:p>
    <w:p w:rsidR="000F5C47" w:rsidRDefault="000F5C47" w:rsidP="000F5C47">
      <w:pPr>
        <w:rPr>
          <w:rFonts w:ascii="Arial" w:hAnsi="Arial" w:cs="Arial"/>
          <w:sz w:val="18"/>
          <w:szCs w:val="20"/>
        </w:rPr>
      </w:pPr>
    </w:p>
    <w:p w:rsidR="000F5C47" w:rsidRDefault="000F5C47" w:rsidP="000F5C47">
      <w:pPr>
        <w:rPr>
          <w:rFonts w:ascii="Arial" w:hAnsi="Arial" w:cs="Arial"/>
          <w:sz w:val="18"/>
          <w:szCs w:val="20"/>
        </w:rPr>
      </w:pPr>
    </w:p>
    <w:p w:rsidR="000F5C47" w:rsidRDefault="000F5C47" w:rsidP="000F5C47">
      <w:pPr>
        <w:rPr>
          <w:rFonts w:ascii="Arial" w:hAnsi="Arial" w:cs="Arial"/>
          <w:sz w:val="18"/>
          <w:szCs w:val="20"/>
        </w:rPr>
      </w:pPr>
    </w:p>
    <w:p w:rsidR="000F5C47" w:rsidRDefault="000F5C47" w:rsidP="000F5C47">
      <w:pPr>
        <w:rPr>
          <w:rFonts w:ascii="Arial" w:hAnsi="Arial" w:cs="Arial"/>
          <w:sz w:val="18"/>
          <w:szCs w:val="20"/>
        </w:rPr>
      </w:pPr>
    </w:p>
    <w:p w:rsidR="000F5C47" w:rsidRDefault="000F5C47" w:rsidP="000F5C47">
      <w:pPr>
        <w:rPr>
          <w:rFonts w:ascii="Arial" w:hAnsi="Arial" w:cs="Arial"/>
          <w:sz w:val="18"/>
          <w:szCs w:val="20"/>
        </w:rPr>
      </w:pPr>
    </w:p>
    <w:p w:rsidR="000F5C47" w:rsidRDefault="000F5C47" w:rsidP="000F5C47">
      <w:pPr>
        <w:rPr>
          <w:rFonts w:ascii="Arial" w:hAnsi="Arial" w:cs="Arial"/>
          <w:sz w:val="18"/>
          <w:szCs w:val="20"/>
        </w:rPr>
      </w:pPr>
    </w:p>
    <w:p w:rsidR="000F5C47" w:rsidRDefault="000F5C47" w:rsidP="000F5C47">
      <w:pPr>
        <w:rPr>
          <w:rFonts w:ascii="Arial" w:hAnsi="Arial" w:cs="Arial"/>
          <w:sz w:val="18"/>
          <w:szCs w:val="20"/>
        </w:rPr>
      </w:pPr>
    </w:p>
    <w:p w:rsidR="000F5C47" w:rsidRDefault="000F5C47" w:rsidP="000F5C47">
      <w:pPr>
        <w:rPr>
          <w:rFonts w:ascii="Arial" w:hAnsi="Arial" w:cs="Arial"/>
          <w:sz w:val="18"/>
          <w:szCs w:val="20"/>
        </w:rPr>
      </w:pPr>
    </w:p>
    <w:p w:rsidR="000F5C47" w:rsidRDefault="000F5C47" w:rsidP="000F5C47">
      <w:pPr>
        <w:rPr>
          <w:rFonts w:ascii="Arial" w:hAnsi="Arial" w:cs="Arial"/>
          <w:sz w:val="18"/>
          <w:szCs w:val="20"/>
        </w:rPr>
      </w:pPr>
    </w:p>
    <w:p w:rsidR="000F5C47" w:rsidRPr="00E31E3D" w:rsidRDefault="000F5C47" w:rsidP="000F5C47">
      <w:pPr>
        <w:rPr>
          <w:rFonts w:ascii="Arial" w:hAnsi="Arial" w:cs="Arial"/>
          <w:sz w:val="18"/>
          <w:szCs w:val="20"/>
        </w:rPr>
      </w:pPr>
    </w:p>
    <w:p w:rsidR="000F5C47" w:rsidRPr="00E31E3D" w:rsidRDefault="000F5C47" w:rsidP="000F5C47">
      <w:pPr>
        <w:autoSpaceDE w:val="0"/>
        <w:autoSpaceDN w:val="0"/>
        <w:adjustRightInd w:val="0"/>
        <w:ind w:firstLine="720"/>
        <w:rPr>
          <w:rFonts w:ascii="Arial" w:hAnsi="Arial" w:cs="Arial"/>
          <w:b/>
          <w:sz w:val="20"/>
          <w:szCs w:val="20"/>
        </w:rPr>
      </w:pPr>
    </w:p>
    <w:p w:rsidR="000F5C47" w:rsidRDefault="000F5C47" w:rsidP="000F5C47">
      <w:pPr>
        <w:rPr>
          <w:rFonts w:ascii="Arial" w:hAnsi="Arial" w:cs="Arial"/>
          <w:b/>
          <w:sz w:val="20"/>
          <w:szCs w:val="20"/>
        </w:rPr>
      </w:pPr>
      <w:r>
        <w:rPr>
          <w:rFonts w:ascii="Arial" w:hAnsi="Arial" w:cs="Arial"/>
          <w:b/>
          <w:sz w:val="20"/>
          <w:szCs w:val="20"/>
        </w:rPr>
        <w:br w:type="page"/>
      </w:r>
    </w:p>
    <w:p w:rsidR="000F5C47" w:rsidRPr="00E31E3D" w:rsidRDefault="000F5C47" w:rsidP="000F5C47">
      <w:pPr>
        <w:jc w:val="center"/>
        <w:rPr>
          <w:rFonts w:ascii="Arial" w:hAnsi="Arial" w:cs="Arial"/>
          <w:b/>
          <w:sz w:val="20"/>
          <w:szCs w:val="20"/>
        </w:rPr>
      </w:pPr>
      <w:r w:rsidRPr="00E31E3D">
        <w:rPr>
          <w:rFonts w:ascii="Arial" w:hAnsi="Arial" w:cs="Arial"/>
          <w:b/>
          <w:sz w:val="20"/>
          <w:szCs w:val="20"/>
        </w:rPr>
        <w:t xml:space="preserve">Reconciliation of GAAP and non-GAAP Revenue, Revenue Per Piece and As-Adjusted Currency Neutral Operating Profit </w:t>
      </w:r>
    </w:p>
    <w:p w:rsidR="000F5C47" w:rsidRDefault="000F5C47" w:rsidP="000F5C47">
      <w:pPr>
        <w:jc w:val="center"/>
        <w:rPr>
          <w:rFonts w:ascii="Arial" w:hAnsi="Arial" w:cs="Arial"/>
          <w:b/>
          <w:sz w:val="20"/>
          <w:szCs w:val="20"/>
        </w:rPr>
      </w:pPr>
      <w:r w:rsidRPr="00E31E3D">
        <w:rPr>
          <w:rFonts w:ascii="Arial" w:hAnsi="Arial" w:cs="Arial"/>
          <w:b/>
          <w:sz w:val="20"/>
          <w:szCs w:val="20"/>
        </w:rPr>
        <w:t>(in millions, except Per Piece amounts):</w:t>
      </w:r>
    </w:p>
    <w:p w:rsidR="000F5C47" w:rsidRPr="00E31E3D" w:rsidRDefault="000F5C47" w:rsidP="000F5C47">
      <w:pPr>
        <w:jc w:val="center"/>
        <w:rPr>
          <w:rFonts w:ascii="Arial" w:hAnsi="Arial" w:cs="Arial"/>
          <w:b/>
          <w:sz w:val="20"/>
          <w:szCs w:val="20"/>
        </w:rPr>
      </w:pPr>
    </w:p>
    <w:p w:rsidR="000F5C47" w:rsidRDefault="000F5C47" w:rsidP="000F5C47">
      <w:pPr>
        <w:autoSpaceDE w:val="0"/>
        <w:autoSpaceDN w:val="0"/>
        <w:adjustRightInd w:val="0"/>
        <w:ind w:left="-180" w:right="-180"/>
        <w:jc w:val="center"/>
        <w:rPr>
          <w:rFonts w:ascii="Arial" w:hAnsi="Arial" w:cs="Arial"/>
          <w:b/>
          <w:sz w:val="20"/>
          <w:szCs w:val="20"/>
        </w:rPr>
      </w:pPr>
      <w:r w:rsidRPr="001E0222">
        <w:rPr>
          <w:rFonts w:ascii="Arial" w:hAnsi="Arial" w:cs="Arial"/>
          <w:b/>
          <w:noProof/>
          <w:sz w:val="20"/>
          <w:szCs w:val="20"/>
        </w:rPr>
        <w:drawing>
          <wp:inline distT="0" distB="0" distL="0" distR="0" wp14:anchorId="3FF28FD3" wp14:editId="578479F4">
            <wp:extent cx="5943600" cy="45752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75229"/>
                    </a:xfrm>
                    <a:prstGeom prst="rect">
                      <a:avLst/>
                    </a:prstGeom>
                    <a:noFill/>
                    <a:ln>
                      <a:noFill/>
                    </a:ln>
                  </pic:spPr>
                </pic:pic>
              </a:graphicData>
            </a:graphic>
          </wp:inline>
        </w:drawing>
      </w:r>
    </w:p>
    <w:p w:rsidR="000F5C47" w:rsidRDefault="000F5C47" w:rsidP="000F5C47">
      <w:pPr>
        <w:autoSpaceDE w:val="0"/>
        <w:autoSpaceDN w:val="0"/>
        <w:adjustRightInd w:val="0"/>
        <w:jc w:val="center"/>
        <w:rPr>
          <w:rFonts w:ascii="Arial" w:hAnsi="Arial" w:cs="Arial"/>
          <w:b/>
          <w:sz w:val="20"/>
          <w:szCs w:val="20"/>
        </w:rPr>
      </w:pPr>
    </w:p>
    <w:p w:rsidR="000F5C47" w:rsidRDefault="000F5C47" w:rsidP="000F5C47">
      <w:pPr>
        <w:autoSpaceDE w:val="0"/>
        <w:autoSpaceDN w:val="0"/>
        <w:adjustRightInd w:val="0"/>
        <w:jc w:val="center"/>
        <w:rPr>
          <w:rFonts w:ascii="Arial" w:hAnsi="Arial" w:cs="Arial"/>
          <w:b/>
          <w:sz w:val="20"/>
          <w:szCs w:val="20"/>
        </w:rPr>
      </w:pPr>
    </w:p>
    <w:p w:rsidR="000F5C47" w:rsidRDefault="000F5C47" w:rsidP="000F5C47">
      <w:pPr>
        <w:autoSpaceDE w:val="0"/>
        <w:autoSpaceDN w:val="0"/>
        <w:adjustRightInd w:val="0"/>
        <w:jc w:val="center"/>
        <w:rPr>
          <w:rFonts w:ascii="Arial" w:hAnsi="Arial" w:cs="Arial"/>
          <w:b/>
          <w:sz w:val="20"/>
          <w:szCs w:val="20"/>
        </w:rPr>
      </w:pPr>
    </w:p>
    <w:p w:rsidR="000F5C47" w:rsidRDefault="000F5C47" w:rsidP="000F5C47">
      <w:pPr>
        <w:autoSpaceDE w:val="0"/>
        <w:autoSpaceDN w:val="0"/>
        <w:adjustRightInd w:val="0"/>
        <w:jc w:val="center"/>
        <w:rPr>
          <w:rFonts w:ascii="Arial" w:hAnsi="Arial" w:cs="Arial"/>
          <w:b/>
          <w:sz w:val="20"/>
          <w:szCs w:val="20"/>
        </w:rPr>
      </w:pPr>
    </w:p>
    <w:p w:rsidR="000F5C47" w:rsidRDefault="000F5C47" w:rsidP="000F5C47">
      <w:pPr>
        <w:autoSpaceDE w:val="0"/>
        <w:autoSpaceDN w:val="0"/>
        <w:adjustRightInd w:val="0"/>
        <w:jc w:val="center"/>
        <w:rPr>
          <w:rFonts w:ascii="Arial" w:hAnsi="Arial" w:cs="Arial"/>
          <w:b/>
          <w:sz w:val="20"/>
          <w:szCs w:val="20"/>
        </w:rPr>
      </w:pPr>
    </w:p>
    <w:p w:rsidR="000F5C47" w:rsidRDefault="000F5C47" w:rsidP="000F5C47">
      <w:pPr>
        <w:autoSpaceDE w:val="0"/>
        <w:autoSpaceDN w:val="0"/>
        <w:adjustRightInd w:val="0"/>
        <w:jc w:val="center"/>
        <w:rPr>
          <w:rFonts w:ascii="Arial" w:hAnsi="Arial" w:cs="Arial"/>
          <w:b/>
          <w:sz w:val="20"/>
          <w:szCs w:val="20"/>
        </w:rPr>
      </w:pPr>
    </w:p>
    <w:p w:rsidR="000F5C47" w:rsidRDefault="000F5C47" w:rsidP="000F5C47">
      <w:pPr>
        <w:autoSpaceDE w:val="0"/>
        <w:autoSpaceDN w:val="0"/>
        <w:adjustRightInd w:val="0"/>
        <w:jc w:val="center"/>
        <w:rPr>
          <w:rFonts w:ascii="Arial" w:hAnsi="Arial" w:cs="Arial"/>
          <w:b/>
          <w:sz w:val="20"/>
          <w:szCs w:val="20"/>
        </w:rPr>
      </w:pPr>
    </w:p>
    <w:p w:rsidR="000F5C47" w:rsidRPr="00E31E3D" w:rsidRDefault="000F5C47" w:rsidP="000F5C47">
      <w:pPr>
        <w:autoSpaceDE w:val="0"/>
        <w:autoSpaceDN w:val="0"/>
        <w:adjustRightInd w:val="0"/>
        <w:ind w:firstLine="720"/>
        <w:rPr>
          <w:rFonts w:ascii="Arial" w:hAnsi="Arial" w:cs="Arial"/>
          <w:b/>
          <w:sz w:val="20"/>
          <w:szCs w:val="20"/>
        </w:rPr>
      </w:pPr>
    </w:p>
    <w:p w:rsidR="000F5C47" w:rsidRPr="00E31E3D" w:rsidRDefault="000F5C47" w:rsidP="000F5C47">
      <w:pPr>
        <w:autoSpaceDE w:val="0"/>
        <w:autoSpaceDN w:val="0"/>
        <w:adjustRightInd w:val="0"/>
        <w:ind w:firstLine="720"/>
        <w:rPr>
          <w:rFonts w:ascii="Arial" w:hAnsi="Arial" w:cs="Arial"/>
          <w:b/>
          <w:sz w:val="20"/>
          <w:szCs w:val="20"/>
        </w:rPr>
      </w:pPr>
    </w:p>
    <w:p w:rsidR="000F5C47" w:rsidRDefault="000F5C47" w:rsidP="000F5C47">
      <w:pPr>
        <w:rPr>
          <w:rFonts w:ascii="Arial" w:hAnsi="Arial" w:cs="Arial"/>
          <w:u w:val="single"/>
        </w:rPr>
      </w:pPr>
      <w:r>
        <w:rPr>
          <w:rFonts w:ascii="Arial" w:hAnsi="Arial" w:cs="Arial"/>
          <w:u w:val="single"/>
        </w:rPr>
        <w:br w:type="page"/>
      </w:r>
    </w:p>
    <w:p w:rsidR="000F5C47" w:rsidRDefault="000F5C47" w:rsidP="000F5C47">
      <w:pPr>
        <w:autoSpaceDE w:val="0"/>
        <w:autoSpaceDN w:val="0"/>
        <w:adjustRightInd w:val="0"/>
        <w:ind w:firstLine="720"/>
        <w:jc w:val="center"/>
        <w:rPr>
          <w:rFonts w:ascii="Arial" w:hAnsi="Arial" w:cs="Arial"/>
          <w:b/>
          <w:sz w:val="20"/>
          <w:szCs w:val="20"/>
        </w:rPr>
      </w:pPr>
      <w:r w:rsidRPr="00C171A6">
        <w:rPr>
          <w:rFonts w:ascii="Arial" w:hAnsi="Arial" w:cs="Arial"/>
          <w:b/>
          <w:sz w:val="20"/>
          <w:szCs w:val="20"/>
        </w:rPr>
        <w:t xml:space="preserve">Reconciliation of GAAP and </w:t>
      </w:r>
      <w:r>
        <w:rPr>
          <w:rFonts w:ascii="Arial" w:hAnsi="Arial" w:cs="Arial"/>
          <w:b/>
          <w:sz w:val="20"/>
          <w:szCs w:val="20"/>
        </w:rPr>
        <w:t>n</w:t>
      </w:r>
      <w:r w:rsidRPr="00C171A6">
        <w:rPr>
          <w:rFonts w:ascii="Arial" w:hAnsi="Arial" w:cs="Arial"/>
          <w:b/>
          <w:sz w:val="20"/>
          <w:szCs w:val="20"/>
        </w:rPr>
        <w:t xml:space="preserve">on-GAAP </w:t>
      </w:r>
      <w:r>
        <w:rPr>
          <w:rFonts w:ascii="Arial" w:hAnsi="Arial" w:cs="Arial"/>
          <w:b/>
          <w:sz w:val="20"/>
          <w:szCs w:val="20"/>
        </w:rPr>
        <w:t xml:space="preserve">Liquidity Measures </w:t>
      </w:r>
    </w:p>
    <w:p w:rsidR="000F5C47" w:rsidRDefault="000F5C47" w:rsidP="000F5C47">
      <w:pPr>
        <w:autoSpaceDE w:val="0"/>
        <w:autoSpaceDN w:val="0"/>
        <w:adjustRightInd w:val="0"/>
        <w:ind w:firstLine="720"/>
        <w:jc w:val="center"/>
        <w:rPr>
          <w:rFonts w:ascii="Arial" w:hAnsi="Arial" w:cs="Arial"/>
          <w:color w:val="003436"/>
          <w:sz w:val="22"/>
          <w:szCs w:val="22"/>
        </w:rPr>
      </w:pPr>
      <w:r w:rsidRPr="00C171A6">
        <w:rPr>
          <w:rFonts w:ascii="Arial" w:hAnsi="Arial" w:cs="Arial"/>
          <w:b/>
          <w:sz w:val="20"/>
          <w:szCs w:val="20"/>
        </w:rPr>
        <w:t xml:space="preserve">(in </w:t>
      </w:r>
      <w:r>
        <w:rPr>
          <w:rFonts w:ascii="Arial" w:hAnsi="Arial" w:cs="Arial"/>
          <w:b/>
          <w:sz w:val="20"/>
          <w:szCs w:val="20"/>
        </w:rPr>
        <w:t>m</w:t>
      </w:r>
      <w:r w:rsidRPr="00C171A6">
        <w:rPr>
          <w:rFonts w:ascii="Arial" w:hAnsi="Arial" w:cs="Arial"/>
          <w:b/>
          <w:sz w:val="20"/>
          <w:szCs w:val="20"/>
        </w:rPr>
        <w:t>illions</w:t>
      </w:r>
      <w:r>
        <w:rPr>
          <w:rFonts w:ascii="Arial" w:hAnsi="Arial" w:cs="Arial"/>
          <w:b/>
          <w:sz w:val="20"/>
          <w:szCs w:val="20"/>
        </w:rPr>
        <w:t>):</w:t>
      </w:r>
    </w:p>
    <w:p w:rsidR="000F5C47" w:rsidRDefault="000F5C47" w:rsidP="000F5C47">
      <w:pPr>
        <w:autoSpaceDE w:val="0"/>
        <w:autoSpaceDN w:val="0"/>
        <w:adjustRightInd w:val="0"/>
        <w:ind w:firstLine="720"/>
        <w:rPr>
          <w:rFonts w:ascii="Arial" w:hAnsi="Arial" w:cs="Arial"/>
          <w:color w:val="003436"/>
          <w:sz w:val="22"/>
          <w:szCs w:val="22"/>
        </w:rPr>
      </w:pPr>
    </w:p>
    <w:p w:rsidR="000F5C47" w:rsidRDefault="00864E03" w:rsidP="000F5C47">
      <w:pPr>
        <w:autoSpaceDE w:val="0"/>
        <w:autoSpaceDN w:val="0"/>
        <w:adjustRightInd w:val="0"/>
        <w:ind w:firstLine="720"/>
        <w:rPr>
          <w:rFonts w:ascii="Arial" w:hAnsi="Arial" w:cs="Arial"/>
          <w:color w:val="003436"/>
          <w:sz w:val="22"/>
          <w:szCs w:val="22"/>
        </w:rPr>
      </w:pPr>
      <w:r>
        <w:rPr>
          <w:rFonts w:ascii="Arial" w:hAnsi="Arial" w:cs="Arial"/>
          <w:noProof/>
          <w:color w:val="003436"/>
          <w:sz w:val="22"/>
          <w:szCs w:val="22"/>
        </w:rPr>
        <w:drawing>
          <wp:inline distT="0" distB="0" distL="0" distR="0">
            <wp:extent cx="5934710" cy="3950970"/>
            <wp:effectExtent l="0" t="0" r="8890" b="0"/>
            <wp:docPr id="9" name="Picture 9" descr="C:\Users\nbd1cdp\Desktop\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d1cdp\Desktop\Capture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3950970"/>
                    </a:xfrm>
                    <a:prstGeom prst="rect">
                      <a:avLst/>
                    </a:prstGeom>
                    <a:noFill/>
                    <a:ln>
                      <a:noFill/>
                    </a:ln>
                  </pic:spPr>
                </pic:pic>
              </a:graphicData>
            </a:graphic>
          </wp:inline>
        </w:drawing>
      </w:r>
    </w:p>
    <w:p w:rsidR="000F5C47" w:rsidRPr="005B02F3" w:rsidRDefault="000F5C47" w:rsidP="000F5C47">
      <w:pPr>
        <w:autoSpaceDE w:val="0"/>
        <w:autoSpaceDN w:val="0"/>
        <w:adjustRightInd w:val="0"/>
        <w:ind w:firstLine="720"/>
        <w:rPr>
          <w:rFonts w:ascii="Arial" w:hAnsi="Arial" w:cs="Arial"/>
          <w:color w:val="003436"/>
          <w:sz w:val="22"/>
          <w:szCs w:val="22"/>
        </w:rPr>
      </w:pPr>
    </w:p>
    <w:p w:rsidR="000F5C47" w:rsidRPr="00A85056" w:rsidRDefault="000F5C47" w:rsidP="000F5C47">
      <w:pPr>
        <w:ind w:firstLine="720"/>
        <w:rPr>
          <w:rFonts w:ascii="Arial" w:hAnsi="Arial" w:cs="Arial"/>
          <w:sz w:val="22"/>
          <w:szCs w:val="22"/>
        </w:rPr>
      </w:pPr>
    </w:p>
    <w:p w:rsidR="000F5C47" w:rsidRDefault="000F5C47" w:rsidP="000F5C47">
      <w:pPr>
        <w:spacing w:after="240"/>
        <w:rPr>
          <w:rFonts w:ascii="Arial" w:hAnsi="Arial" w:cs="Arial"/>
          <w:u w:val="single"/>
        </w:rPr>
      </w:pPr>
    </w:p>
    <w:p w:rsidR="000F5C47" w:rsidRDefault="000F5C47" w:rsidP="000F5C47">
      <w:pPr>
        <w:spacing w:after="240"/>
        <w:rPr>
          <w:rFonts w:ascii="Arial" w:hAnsi="Arial" w:cs="Arial"/>
          <w:u w:val="single"/>
        </w:rPr>
      </w:pPr>
    </w:p>
    <w:p w:rsidR="000F5C47" w:rsidRDefault="000F5C47" w:rsidP="000F5C47">
      <w:pPr>
        <w:rPr>
          <w:rFonts w:ascii="Arial" w:hAnsi="Arial" w:cs="Arial"/>
          <w:u w:val="single"/>
        </w:rPr>
      </w:pPr>
    </w:p>
    <w:p w:rsidR="00B521AC" w:rsidRDefault="00B521AC" w:rsidP="000F5C47">
      <w:pPr>
        <w:rPr>
          <w:rFonts w:ascii="Arial" w:hAnsi="Arial" w:cs="Arial"/>
          <w:u w:val="single"/>
        </w:rPr>
      </w:pPr>
    </w:p>
    <w:sectPr w:rsidR="00B521AC" w:rsidSect="000346B8">
      <w:headerReference w:type="default" r:id="rId14"/>
      <w:footerReference w:type="default" r:id="rId15"/>
      <w:headerReference w:type="first" r:id="rId16"/>
      <w:footerReference w:type="first" r:id="rId1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EC2" w:rsidRDefault="00AE1EC2">
      <w:r>
        <w:separator/>
      </w:r>
    </w:p>
  </w:endnote>
  <w:endnote w:type="continuationSeparator" w:id="0">
    <w:p w:rsidR="00AE1EC2" w:rsidRDefault="00AE1EC2">
      <w:r>
        <w:continuationSeparator/>
      </w:r>
    </w:p>
  </w:endnote>
  <w:endnote w:type="continuationNotice" w:id="1">
    <w:p w:rsidR="00AE1EC2" w:rsidRDefault="00AE1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3A" w:rsidRPr="00034414" w:rsidRDefault="00A4453A" w:rsidP="00034414">
    <w:pPr>
      <w:pStyle w:val="Footer"/>
      <w:rPr>
        <w:rFonts w:ascii="Arial" w:hAnsi="Arial" w:cs="Arial"/>
      </w:rPr>
    </w:pPr>
    <w:r>
      <w:rPr>
        <w:rFonts w:ascii="Arial" w:hAnsi="Arial" w:cs="Arial"/>
      </w:rPr>
      <w:tab/>
    </w:r>
    <w:r>
      <w:rPr>
        <w:rFonts w:ascii="Arial" w:hAnsi="Arial" w:cs="Arial"/>
      </w:rPr>
      <w:tab/>
    </w:r>
  </w:p>
  <w:p w:rsidR="00A4453A" w:rsidRDefault="00A44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3A" w:rsidRPr="00034414" w:rsidRDefault="00A4453A" w:rsidP="00034414">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EC2" w:rsidRDefault="00AE1EC2">
      <w:r>
        <w:separator/>
      </w:r>
    </w:p>
  </w:footnote>
  <w:footnote w:type="continuationSeparator" w:id="0">
    <w:p w:rsidR="00AE1EC2" w:rsidRDefault="00AE1EC2">
      <w:r>
        <w:continuationSeparator/>
      </w:r>
    </w:p>
  </w:footnote>
  <w:footnote w:type="continuationNotice" w:id="1">
    <w:p w:rsidR="00AE1EC2" w:rsidRDefault="00AE1E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3A" w:rsidRPr="000346B8" w:rsidRDefault="00A4453A" w:rsidP="000346B8">
    <w:pPr>
      <w:pStyle w:val="Header"/>
      <w:tabs>
        <w:tab w:val="clear" w:pos="4320"/>
        <w:tab w:val="center" w:pos="0"/>
        <w:tab w:val="left" w:pos="4665"/>
      </w:tabs>
      <w:ind w:left="3240" w:hanging="3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3A" w:rsidRPr="004B2151" w:rsidRDefault="00A4453A" w:rsidP="00454C84">
    <w:pPr>
      <w:pStyle w:val="Header"/>
      <w:tabs>
        <w:tab w:val="clear" w:pos="4320"/>
        <w:tab w:val="center" w:pos="0"/>
        <w:tab w:val="left" w:pos="3171"/>
        <w:tab w:val="left" w:pos="4665"/>
      </w:tabs>
      <w:ind w:left="3240" w:hanging="3420"/>
      <w:rPr>
        <w:rFonts w:ascii="Arial" w:hAnsi="Arial" w:cs="Arial"/>
        <w:b/>
        <w:color w:val="FF0000"/>
        <w:sz w:val="18"/>
      </w:rPr>
    </w:pPr>
    <w:r>
      <w:rPr>
        <w:rFonts w:ascii="Arial" w:hAnsi="Arial" w:cs="Arial"/>
        <w:b/>
      </w:rPr>
      <w:tab/>
    </w: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D5CD5"/>
    <w:multiLevelType w:val="hybridMultilevel"/>
    <w:tmpl w:val="2482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12482"/>
    <w:multiLevelType w:val="hybridMultilevel"/>
    <w:tmpl w:val="6DF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95787"/>
    <w:multiLevelType w:val="hybridMultilevel"/>
    <w:tmpl w:val="330E2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3793D"/>
    <w:multiLevelType w:val="hybridMultilevel"/>
    <w:tmpl w:val="46860498"/>
    <w:lvl w:ilvl="0" w:tplc="A454CC3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C7720"/>
    <w:multiLevelType w:val="hybridMultilevel"/>
    <w:tmpl w:val="079E9038"/>
    <w:lvl w:ilvl="0" w:tplc="40AC6F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8" w15:restartNumberingAfterBreak="0">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24" w15:restartNumberingAfterBreak="0">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D4FCD"/>
    <w:multiLevelType w:val="hybridMultilevel"/>
    <w:tmpl w:val="8368D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D4DC5"/>
    <w:multiLevelType w:val="hybridMultilevel"/>
    <w:tmpl w:val="9EDA9F5A"/>
    <w:lvl w:ilvl="0" w:tplc="50BA42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BB62ABC"/>
    <w:multiLevelType w:val="hybridMultilevel"/>
    <w:tmpl w:val="9D52D9DC"/>
    <w:lvl w:ilvl="0" w:tplc="2CCCE3C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D1B9B"/>
    <w:multiLevelType w:val="hybridMultilevel"/>
    <w:tmpl w:val="4C026E5E"/>
    <w:lvl w:ilvl="0" w:tplc="A3A46A52">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A6D2D"/>
    <w:multiLevelType w:val="hybridMultilevel"/>
    <w:tmpl w:val="BDFA9068"/>
    <w:lvl w:ilvl="0" w:tplc="B49EAF54">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333CD"/>
    <w:multiLevelType w:val="hybridMultilevel"/>
    <w:tmpl w:val="EE165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2" w15:restartNumberingAfterBreak="0">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0"/>
  </w:num>
  <w:num w:numId="3">
    <w:abstractNumId w:val="27"/>
  </w:num>
  <w:num w:numId="4">
    <w:abstractNumId w:val="21"/>
  </w:num>
  <w:num w:numId="5">
    <w:abstractNumId w:val="18"/>
  </w:num>
  <w:num w:numId="6">
    <w:abstractNumId w:val="7"/>
  </w:num>
  <w:num w:numId="7">
    <w:abstractNumId w:val="10"/>
  </w:num>
  <w:num w:numId="8">
    <w:abstractNumId w:val="37"/>
  </w:num>
  <w:num w:numId="9">
    <w:abstractNumId w:val="34"/>
  </w:num>
  <w:num w:numId="10">
    <w:abstractNumId w:val="33"/>
  </w:num>
  <w:num w:numId="11">
    <w:abstractNumId w:val="30"/>
  </w:num>
  <w:num w:numId="12">
    <w:abstractNumId w:val="42"/>
  </w:num>
  <w:num w:numId="13">
    <w:abstractNumId w:val="38"/>
  </w:num>
  <w:num w:numId="14">
    <w:abstractNumId w:val="6"/>
  </w:num>
  <w:num w:numId="15">
    <w:abstractNumId w:val="24"/>
  </w:num>
  <w:num w:numId="16">
    <w:abstractNumId w:val="0"/>
  </w:num>
  <w:num w:numId="17">
    <w:abstractNumId w:val="16"/>
  </w:num>
  <w:num w:numId="18">
    <w:abstractNumId w:val="20"/>
  </w:num>
  <w:num w:numId="19">
    <w:abstractNumId w:val="13"/>
  </w:num>
  <w:num w:numId="20">
    <w:abstractNumId w:val="25"/>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41"/>
  </w:num>
  <w:num w:numId="32">
    <w:abstractNumId w:val="39"/>
  </w:num>
  <w:num w:numId="33">
    <w:abstractNumId w:val="43"/>
  </w:num>
  <w:num w:numId="34">
    <w:abstractNumId w:val="19"/>
  </w:num>
  <w:num w:numId="35">
    <w:abstractNumId w:val="14"/>
  </w:num>
  <w:num w:numId="36">
    <w:abstractNumId w:val="17"/>
  </w:num>
  <w:num w:numId="37">
    <w:abstractNumId w:val="36"/>
  </w:num>
  <w:num w:numId="38">
    <w:abstractNumId w:val="3"/>
  </w:num>
  <w:num w:numId="39">
    <w:abstractNumId w:val="12"/>
  </w:num>
  <w:num w:numId="40">
    <w:abstractNumId w:val="31"/>
  </w:num>
  <w:num w:numId="41">
    <w:abstractNumId w:val="29"/>
  </w:num>
  <w:num w:numId="42">
    <w:abstractNumId w:val="11"/>
  </w:num>
  <w:num w:numId="43">
    <w:abstractNumId w:val="35"/>
  </w:num>
  <w:num w:numId="44">
    <w:abstractNumId w:val="5"/>
  </w:num>
  <w:num w:numId="45">
    <w:abstractNumId w:val="4"/>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activeWritingStyle w:appName="MSWord" w:lang="en-US" w:vendorID="64" w:dllVersion="6"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E9"/>
    <w:rsid w:val="000001AA"/>
    <w:rsid w:val="000009CE"/>
    <w:rsid w:val="00000BEC"/>
    <w:rsid w:val="00000C78"/>
    <w:rsid w:val="00000CF0"/>
    <w:rsid w:val="00000D48"/>
    <w:rsid w:val="00001817"/>
    <w:rsid w:val="00001EF4"/>
    <w:rsid w:val="00002310"/>
    <w:rsid w:val="0000265D"/>
    <w:rsid w:val="000029E9"/>
    <w:rsid w:val="000036E3"/>
    <w:rsid w:val="00003D72"/>
    <w:rsid w:val="000046CC"/>
    <w:rsid w:val="00004702"/>
    <w:rsid w:val="000048BC"/>
    <w:rsid w:val="000057C1"/>
    <w:rsid w:val="0000599F"/>
    <w:rsid w:val="00006B7B"/>
    <w:rsid w:val="00007181"/>
    <w:rsid w:val="0001037D"/>
    <w:rsid w:val="00010EF6"/>
    <w:rsid w:val="00010EFA"/>
    <w:rsid w:val="0001150F"/>
    <w:rsid w:val="0001185A"/>
    <w:rsid w:val="00011AEF"/>
    <w:rsid w:val="00012B1F"/>
    <w:rsid w:val="000138EB"/>
    <w:rsid w:val="000139B5"/>
    <w:rsid w:val="00013BB0"/>
    <w:rsid w:val="00013EA6"/>
    <w:rsid w:val="00014512"/>
    <w:rsid w:val="000152E7"/>
    <w:rsid w:val="00015BC1"/>
    <w:rsid w:val="00016177"/>
    <w:rsid w:val="00016298"/>
    <w:rsid w:val="00016696"/>
    <w:rsid w:val="00016926"/>
    <w:rsid w:val="00016A51"/>
    <w:rsid w:val="00017619"/>
    <w:rsid w:val="00017624"/>
    <w:rsid w:val="000209FE"/>
    <w:rsid w:val="00020EE2"/>
    <w:rsid w:val="00021289"/>
    <w:rsid w:val="0002227F"/>
    <w:rsid w:val="000223B2"/>
    <w:rsid w:val="00023555"/>
    <w:rsid w:val="000238FA"/>
    <w:rsid w:val="00024A62"/>
    <w:rsid w:val="00024AC7"/>
    <w:rsid w:val="00025957"/>
    <w:rsid w:val="00025ECA"/>
    <w:rsid w:val="000270C6"/>
    <w:rsid w:val="00030419"/>
    <w:rsid w:val="0003069C"/>
    <w:rsid w:val="00030EE2"/>
    <w:rsid w:val="000314AD"/>
    <w:rsid w:val="000314D4"/>
    <w:rsid w:val="00031BA6"/>
    <w:rsid w:val="00031DF5"/>
    <w:rsid w:val="00032756"/>
    <w:rsid w:val="0003277E"/>
    <w:rsid w:val="00032B7A"/>
    <w:rsid w:val="00032F33"/>
    <w:rsid w:val="00033409"/>
    <w:rsid w:val="00033412"/>
    <w:rsid w:val="00033574"/>
    <w:rsid w:val="00034084"/>
    <w:rsid w:val="00034414"/>
    <w:rsid w:val="000346B8"/>
    <w:rsid w:val="00034F95"/>
    <w:rsid w:val="00035AB9"/>
    <w:rsid w:val="000366A1"/>
    <w:rsid w:val="00036A2B"/>
    <w:rsid w:val="00036D8B"/>
    <w:rsid w:val="000370F6"/>
    <w:rsid w:val="000378FA"/>
    <w:rsid w:val="00037CBD"/>
    <w:rsid w:val="0004026C"/>
    <w:rsid w:val="000403BB"/>
    <w:rsid w:val="00041C86"/>
    <w:rsid w:val="0004240D"/>
    <w:rsid w:val="000430CB"/>
    <w:rsid w:val="00044659"/>
    <w:rsid w:val="00044773"/>
    <w:rsid w:val="00044B0F"/>
    <w:rsid w:val="00044D21"/>
    <w:rsid w:val="00044E4A"/>
    <w:rsid w:val="00044E7A"/>
    <w:rsid w:val="00044EE9"/>
    <w:rsid w:val="0004507D"/>
    <w:rsid w:val="00046D73"/>
    <w:rsid w:val="00047024"/>
    <w:rsid w:val="00050B3D"/>
    <w:rsid w:val="00050EEC"/>
    <w:rsid w:val="00051155"/>
    <w:rsid w:val="000519C8"/>
    <w:rsid w:val="00052042"/>
    <w:rsid w:val="00052501"/>
    <w:rsid w:val="00053814"/>
    <w:rsid w:val="0005470C"/>
    <w:rsid w:val="000555D7"/>
    <w:rsid w:val="00055ABC"/>
    <w:rsid w:val="00055C69"/>
    <w:rsid w:val="00055EAA"/>
    <w:rsid w:val="00056BB6"/>
    <w:rsid w:val="00057025"/>
    <w:rsid w:val="00057381"/>
    <w:rsid w:val="000574CB"/>
    <w:rsid w:val="0005777D"/>
    <w:rsid w:val="00057816"/>
    <w:rsid w:val="000601AD"/>
    <w:rsid w:val="000605FD"/>
    <w:rsid w:val="00060E93"/>
    <w:rsid w:val="00061559"/>
    <w:rsid w:val="0006242B"/>
    <w:rsid w:val="000625E9"/>
    <w:rsid w:val="00062C26"/>
    <w:rsid w:val="00062CEA"/>
    <w:rsid w:val="00063266"/>
    <w:rsid w:val="00063957"/>
    <w:rsid w:val="00063A5B"/>
    <w:rsid w:val="000640A6"/>
    <w:rsid w:val="00064925"/>
    <w:rsid w:val="00065863"/>
    <w:rsid w:val="00065DAD"/>
    <w:rsid w:val="00065E6A"/>
    <w:rsid w:val="00066105"/>
    <w:rsid w:val="00066B00"/>
    <w:rsid w:val="00066E53"/>
    <w:rsid w:val="00066EC9"/>
    <w:rsid w:val="0006734E"/>
    <w:rsid w:val="00070311"/>
    <w:rsid w:val="00070680"/>
    <w:rsid w:val="00070906"/>
    <w:rsid w:val="00071848"/>
    <w:rsid w:val="00071CA3"/>
    <w:rsid w:val="00072B36"/>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3090"/>
    <w:rsid w:val="000832F9"/>
    <w:rsid w:val="00084379"/>
    <w:rsid w:val="0008447A"/>
    <w:rsid w:val="0008498E"/>
    <w:rsid w:val="00084CBC"/>
    <w:rsid w:val="00085354"/>
    <w:rsid w:val="00085810"/>
    <w:rsid w:val="000866E0"/>
    <w:rsid w:val="00086F86"/>
    <w:rsid w:val="000903AC"/>
    <w:rsid w:val="00090BCB"/>
    <w:rsid w:val="00090C7C"/>
    <w:rsid w:val="00090CFB"/>
    <w:rsid w:val="0009111F"/>
    <w:rsid w:val="00091121"/>
    <w:rsid w:val="000913F0"/>
    <w:rsid w:val="00091577"/>
    <w:rsid w:val="00091710"/>
    <w:rsid w:val="00092E79"/>
    <w:rsid w:val="00093487"/>
    <w:rsid w:val="00094F32"/>
    <w:rsid w:val="0009544A"/>
    <w:rsid w:val="000954C0"/>
    <w:rsid w:val="000959E5"/>
    <w:rsid w:val="00095A24"/>
    <w:rsid w:val="00097F41"/>
    <w:rsid w:val="00097FCE"/>
    <w:rsid w:val="000A0456"/>
    <w:rsid w:val="000A0B78"/>
    <w:rsid w:val="000A1A16"/>
    <w:rsid w:val="000A1D88"/>
    <w:rsid w:val="000A2085"/>
    <w:rsid w:val="000A2356"/>
    <w:rsid w:val="000A2671"/>
    <w:rsid w:val="000A381B"/>
    <w:rsid w:val="000A3AE6"/>
    <w:rsid w:val="000A505A"/>
    <w:rsid w:val="000A5590"/>
    <w:rsid w:val="000A67E7"/>
    <w:rsid w:val="000A68CB"/>
    <w:rsid w:val="000A6918"/>
    <w:rsid w:val="000A6B8C"/>
    <w:rsid w:val="000A77DA"/>
    <w:rsid w:val="000B0B29"/>
    <w:rsid w:val="000B20CF"/>
    <w:rsid w:val="000B2AE2"/>
    <w:rsid w:val="000B3497"/>
    <w:rsid w:val="000B3C08"/>
    <w:rsid w:val="000B3C30"/>
    <w:rsid w:val="000B442C"/>
    <w:rsid w:val="000B4CC5"/>
    <w:rsid w:val="000B5CF8"/>
    <w:rsid w:val="000B7D22"/>
    <w:rsid w:val="000C06F5"/>
    <w:rsid w:val="000C0B9E"/>
    <w:rsid w:val="000C0DDC"/>
    <w:rsid w:val="000C1699"/>
    <w:rsid w:val="000C1966"/>
    <w:rsid w:val="000C1AC5"/>
    <w:rsid w:val="000C1E48"/>
    <w:rsid w:val="000C2F8C"/>
    <w:rsid w:val="000C36E1"/>
    <w:rsid w:val="000C3A24"/>
    <w:rsid w:val="000C3C38"/>
    <w:rsid w:val="000C3CD2"/>
    <w:rsid w:val="000C41DE"/>
    <w:rsid w:val="000C46BA"/>
    <w:rsid w:val="000C627C"/>
    <w:rsid w:val="000C63BC"/>
    <w:rsid w:val="000C6BEC"/>
    <w:rsid w:val="000C7151"/>
    <w:rsid w:val="000C744F"/>
    <w:rsid w:val="000C75C2"/>
    <w:rsid w:val="000C772F"/>
    <w:rsid w:val="000D0E02"/>
    <w:rsid w:val="000D19DD"/>
    <w:rsid w:val="000D1DDA"/>
    <w:rsid w:val="000D2521"/>
    <w:rsid w:val="000D4493"/>
    <w:rsid w:val="000D4587"/>
    <w:rsid w:val="000D584D"/>
    <w:rsid w:val="000D66BE"/>
    <w:rsid w:val="000D6778"/>
    <w:rsid w:val="000D6DF8"/>
    <w:rsid w:val="000D7811"/>
    <w:rsid w:val="000D78F7"/>
    <w:rsid w:val="000D7D48"/>
    <w:rsid w:val="000E02CF"/>
    <w:rsid w:val="000E0603"/>
    <w:rsid w:val="000E066F"/>
    <w:rsid w:val="000E0F0A"/>
    <w:rsid w:val="000E10CD"/>
    <w:rsid w:val="000E16F8"/>
    <w:rsid w:val="000E1AE0"/>
    <w:rsid w:val="000E26D5"/>
    <w:rsid w:val="000E2A63"/>
    <w:rsid w:val="000E2CAE"/>
    <w:rsid w:val="000E3F10"/>
    <w:rsid w:val="000E4053"/>
    <w:rsid w:val="000E40E0"/>
    <w:rsid w:val="000E4408"/>
    <w:rsid w:val="000E5379"/>
    <w:rsid w:val="000E6019"/>
    <w:rsid w:val="000E624D"/>
    <w:rsid w:val="000E6D0D"/>
    <w:rsid w:val="000E7712"/>
    <w:rsid w:val="000F03F7"/>
    <w:rsid w:val="000F1CE4"/>
    <w:rsid w:val="000F1D36"/>
    <w:rsid w:val="000F1F16"/>
    <w:rsid w:val="000F2042"/>
    <w:rsid w:val="000F2273"/>
    <w:rsid w:val="000F2933"/>
    <w:rsid w:val="000F2B05"/>
    <w:rsid w:val="000F2FEA"/>
    <w:rsid w:val="000F383E"/>
    <w:rsid w:val="000F41A5"/>
    <w:rsid w:val="000F4369"/>
    <w:rsid w:val="000F479D"/>
    <w:rsid w:val="000F5B11"/>
    <w:rsid w:val="000F5B30"/>
    <w:rsid w:val="000F5C47"/>
    <w:rsid w:val="000F6837"/>
    <w:rsid w:val="000F68C4"/>
    <w:rsid w:val="00100269"/>
    <w:rsid w:val="00100F59"/>
    <w:rsid w:val="00101242"/>
    <w:rsid w:val="00101735"/>
    <w:rsid w:val="001022AC"/>
    <w:rsid w:val="0010236F"/>
    <w:rsid w:val="0010313A"/>
    <w:rsid w:val="001031FE"/>
    <w:rsid w:val="0010360F"/>
    <w:rsid w:val="00103DEB"/>
    <w:rsid w:val="001049FC"/>
    <w:rsid w:val="00105EB9"/>
    <w:rsid w:val="00106029"/>
    <w:rsid w:val="00107994"/>
    <w:rsid w:val="00107CA6"/>
    <w:rsid w:val="00110702"/>
    <w:rsid w:val="00110FB5"/>
    <w:rsid w:val="0011100D"/>
    <w:rsid w:val="001113E3"/>
    <w:rsid w:val="00111BC6"/>
    <w:rsid w:val="00112141"/>
    <w:rsid w:val="00112783"/>
    <w:rsid w:val="00112808"/>
    <w:rsid w:val="00112C0B"/>
    <w:rsid w:val="00113F78"/>
    <w:rsid w:val="0011448C"/>
    <w:rsid w:val="00114FED"/>
    <w:rsid w:val="00115A17"/>
    <w:rsid w:val="00115FD4"/>
    <w:rsid w:val="0011639D"/>
    <w:rsid w:val="001170A5"/>
    <w:rsid w:val="001179E3"/>
    <w:rsid w:val="0012056F"/>
    <w:rsid w:val="0012084A"/>
    <w:rsid w:val="00120BAB"/>
    <w:rsid w:val="00120EF6"/>
    <w:rsid w:val="00121323"/>
    <w:rsid w:val="001214B2"/>
    <w:rsid w:val="00121A07"/>
    <w:rsid w:val="001228D4"/>
    <w:rsid w:val="00123815"/>
    <w:rsid w:val="001239F6"/>
    <w:rsid w:val="00123A5B"/>
    <w:rsid w:val="00124D39"/>
    <w:rsid w:val="00126151"/>
    <w:rsid w:val="001262B3"/>
    <w:rsid w:val="0012670D"/>
    <w:rsid w:val="00126BB6"/>
    <w:rsid w:val="00126DED"/>
    <w:rsid w:val="00127993"/>
    <w:rsid w:val="00127D26"/>
    <w:rsid w:val="001303EA"/>
    <w:rsid w:val="00130B44"/>
    <w:rsid w:val="00131B97"/>
    <w:rsid w:val="00131BA1"/>
    <w:rsid w:val="00132068"/>
    <w:rsid w:val="00132DF4"/>
    <w:rsid w:val="00133D62"/>
    <w:rsid w:val="0013469F"/>
    <w:rsid w:val="001375F9"/>
    <w:rsid w:val="00137C83"/>
    <w:rsid w:val="00137E23"/>
    <w:rsid w:val="001410EB"/>
    <w:rsid w:val="00141755"/>
    <w:rsid w:val="001423E9"/>
    <w:rsid w:val="00142542"/>
    <w:rsid w:val="001427D7"/>
    <w:rsid w:val="00142850"/>
    <w:rsid w:val="001436B0"/>
    <w:rsid w:val="00143EEF"/>
    <w:rsid w:val="0014456D"/>
    <w:rsid w:val="00144BC1"/>
    <w:rsid w:val="00144E1A"/>
    <w:rsid w:val="0014511D"/>
    <w:rsid w:val="001457EA"/>
    <w:rsid w:val="00145A21"/>
    <w:rsid w:val="00147835"/>
    <w:rsid w:val="001478CF"/>
    <w:rsid w:val="00150193"/>
    <w:rsid w:val="00150D05"/>
    <w:rsid w:val="00151563"/>
    <w:rsid w:val="00151D74"/>
    <w:rsid w:val="001521FA"/>
    <w:rsid w:val="0015257B"/>
    <w:rsid w:val="00152718"/>
    <w:rsid w:val="001532F3"/>
    <w:rsid w:val="00153395"/>
    <w:rsid w:val="0015414E"/>
    <w:rsid w:val="001542F1"/>
    <w:rsid w:val="00154BB1"/>
    <w:rsid w:val="00155EBB"/>
    <w:rsid w:val="00156195"/>
    <w:rsid w:val="00156DF2"/>
    <w:rsid w:val="00156F5B"/>
    <w:rsid w:val="00157767"/>
    <w:rsid w:val="00157A97"/>
    <w:rsid w:val="00160340"/>
    <w:rsid w:val="00160D2D"/>
    <w:rsid w:val="00160D86"/>
    <w:rsid w:val="0016119F"/>
    <w:rsid w:val="001616A3"/>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140"/>
    <w:rsid w:val="00165792"/>
    <w:rsid w:val="00167165"/>
    <w:rsid w:val="00167BCD"/>
    <w:rsid w:val="00170347"/>
    <w:rsid w:val="001705B2"/>
    <w:rsid w:val="00170B7B"/>
    <w:rsid w:val="00171A92"/>
    <w:rsid w:val="001729EB"/>
    <w:rsid w:val="00172CC5"/>
    <w:rsid w:val="0017330D"/>
    <w:rsid w:val="001737D8"/>
    <w:rsid w:val="00174DB0"/>
    <w:rsid w:val="00175428"/>
    <w:rsid w:val="00175464"/>
    <w:rsid w:val="00175A11"/>
    <w:rsid w:val="00176343"/>
    <w:rsid w:val="00176DD7"/>
    <w:rsid w:val="0017738D"/>
    <w:rsid w:val="0017790C"/>
    <w:rsid w:val="00177AA7"/>
    <w:rsid w:val="00177F98"/>
    <w:rsid w:val="00180F0F"/>
    <w:rsid w:val="00180FDB"/>
    <w:rsid w:val="001818ED"/>
    <w:rsid w:val="0018193E"/>
    <w:rsid w:val="00181C5A"/>
    <w:rsid w:val="00183B0F"/>
    <w:rsid w:val="001840E8"/>
    <w:rsid w:val="00184748"/>
    <w:rsid w:val="001847DD"/>
    <w:rsid w:val="00184CC5"/>
    <w:rsid w:val="00185C6D"/>
    <w:rsid w:val="00185F6B"/>
    <w:rsid w:val="00186D61"/>
    <w:rsid w:val="00187E21"/>
    <w:rsid w:val="00190155"/>
    <w:rsid w:val="0019052C"/>
    <w:rsid w:val="00190B42"/>
    <w:rsid w:val="00191809"/>
    <w:rsid w:val="00192397"/>
    <w:rsid w:val="0019315A"/>
    <w:rsid w:val="001931AA"/>
    <w:rsid w:val="001949D1"/>
    <w:rsid w:val="00195500"/>
    <w:rsid w:val="00195D3E"/>
    <w:rsid w:val="00195F7B"/>
    <w:rsid w:val="0019618E"/>
    <w:rsid w:val="001968AC"/>
    <w:rsid w:val="001A03CC"/>
    <w:rsid w:val="001A09A1"/>
    <w:rsid w:val="001A0CB0"/>
    <w:rsid w:val="001A10DB"/>
    <w:rsid w:val="001A145F"/>
    <w:rsid w:val="001A1AEF"/>
    <w:rsid w:val="001A2156"/>
    <w:rsid w:val="001A2423"/>
    <w:rsid w:val="001A29A7"/>
    <w:rsid w:val="001A31C6"/>
    <w:rsid w:val="001A398E"/>
    <w:rsid w:val="001A4088"/>
    <w:rsid w:val="001A4568"/>
    <w:rsid w:val="001A46F5"/>
    <w:rsid w:val="001A490E"/>
    <w:rsid w:val="001A58DF"/>
    <w:rsid w:val="001A5BBC"/>
    <w:rsid w:val="001A6711"/>
    <w:rsid w:val="001A6E6B"/>
    <w:rsid w:val="001A751B"/>
    <w:rsid w:val="001A7B26"/>
    <w:rsid w:val="001A7DE2"/>
    <w:rsid w:val="001B00F3"/>
    <w:rsid w:val="001B0391"/>
    <w:rsid w:val="001B091F"/>
    <w:rsid w:val="001B0DE0"/>
    <w:rsid w:val="001B1513"/>
    <w:rsid w:val="001B1AD3"/>
    <w:rsid w:val="001B2B30"/>
    <w:rsid w:val="001B2EE4"/>
    <w:rsid w:val="001B2EED"/>
    <w:rsid w:val="001B2F0A"/>
    <w:rsid w:val="001B360A"/>
    <w:rsid w:val="001B400D"/>
    <w:rsid w:val="001B4031"/>
    <w:rsid w:val="001B516E"/>
    <w:rsid w:val="001B5736"/>
    <w:rsid w:val="001B5FF8"/>
    <w:rsid w:val="001B6575"/>
    <w:rsid w:val="001B6FA5"/>
    <w:rsid w:val="001B7B24"/>
    <w:rsid w:val="001C04E5"/>
    <w:rsid w:val="001C076A"/>
    <w:rsid w:val="001C0C20"/>
    <w:rsid w:val="001C0E47"/>
    <w:rsid w:val="001C10FD"/>
    <w:rsid w:val="001C186B"/>
    <w:rsid w:val="001C21A9"/>
    <w:rsid w:val="001C267F"/>
    <w:rsid w:val="001C37C9"/>
    <w:rsid w:val="001C437D"/>
    <w:rsid w:val="001C458D"/>
    <w:rsid w:val="001C45FA"/>
    <w:rsid w:val="001C4A87"/>
    <w:rsid w:val="001C525A"/>
    <w:rsid w:val="001C5786"/>
    <w:rsid w:val="001C5BE1"/>
    <w:rsid w:val="001C5DFB"/>
    <w:rsid w:val="001C6304"/>
    <w:rsid w:val="001C6BD2"/>
    <w:rsid w:val="001C6BFF"/>
    <w:rsid w:val="001C7B5B"/>
    <w:rsid w:val="001C7F78"/>
    <w:rsid w:val="001D0226"/>
    <w:rsid w:val="001D0C17"/>
    <w:rsid w:val="001D1E65"/>
    <w:rsid w:val="001D269F"/>
    <w:rsid w:val="001D3A35"/>
    <w:rsid w:val="001D3EDE"/>
    <w:rsid w:val="001D3F51"/>
    <w:rsid w:val="001D43D7"/>
    <w:rsid w:val="001D476F"/>
    <w:rsid w:val="001D5829"/>
    <w:rsid w:val="001D5B15"/>
    <w:rsid w:val="001E01BC"/>
    <w:rsid w:val="001E0219"/>
    <w:rsid w:val="001E0D30"/>
    <w:rsid w:val="001E11B3"/>
    <w:rsid w:val="001E13A3"/>
    <w:rsid w:val="001E1944"/>
    <w:rsid w:val="001E1A7B"/>
    <w:rsid w:val="001E1EB6"/>
    <w:rsid w:val="001E2211"/>
    <w:rsid w:val="001E2751"/>
    <w:rsid w:val="001E2B01"/>
    <w:rsid w:val="001E2BC9"/>
    <w:rsid w:val="001E32CA"/>
    <w:rsid w:val="001E46E2"/>
    <w:rsid w:val="001E4D69"/>
    <w:rsid w:val="001E5239"/>
    <w:rsid w:val="001E5309"/>
    <w:rsid w:val="001E6577"/>
    <w:rsid w:val="001E6A24"/>
    <w:rsid w:val="001E70C7"/>
    <w:rsid w:val="001E7684"/>
    <w:rsid w:val="001E77B6"/>
    <w:rsid w:val="001F07B4"/>
    <w:rsid w:val="001F0829"/>
    <w:rsid w:val="001F0E82"/>
    <w:rsid w:val="001F1EB0"/>
    <w:rsid w:val="001F2391"/>
    <w:rsid w:val="001F242B"/>
    <w:rsid w:val="001F27E5"/>
    <w:rsid w:val="001F35A2"/>
    <w:rsid w:val="001F3AEF"/>
    <w:rsid w:val="001F405F"/>
    <w:rsid w:val="001F4335"/>
    <w:rsid w:val="001F4769"/>
    <w:rsid w:val="001F4E0D"/>
    <w:rsid w:val="001F58E5"/>
    <w:rsid w:val="001F59B4"/>
    <w:rsid w:val="001F60BC"/>
    <w:rsid w:val="001F6890"/>
    <w:rsid w:val="001F68BC"/>
    <w:rsid w:val="001F6AC8"/>
    <w:rsid w:val="001F7B56"/>
    <w:rsid w:val="001F7F3A"/>
    <w:rsid w:val="0020000E"/>
    <w:rsid w:val="00200C09"/>
    <w:rsid w:val="0020125F"/>
    <w:rsid w:val="00201DAE"/>
    <w:rsid w:val="00202114"/>
    <w:rsid w:val="002028E4"/>
    <w:rsid w:val="00202BFE"/>
    <w:rsid w:val="002034C2"/>
    <w:rsid w:val="00203524"/>
    <w:rsid w:val="00203B9A"/>
    <w:rsid w:val="00203E6F"/>
    <w:rsid w:val="002052A1"/>
    <w:rsid w:val="00205E56"/>
    <w:rsid w:val="002063EE"/>
    <w:rsid w:val="0020682B"/>
    <w:rsid w:val="0020692C"/>
    <w:rsid w:val="00207482"/>
    <w:rsid w:val="002078DF"/>
    <w:rsid w:val="00207CF3"/>
    <w:rsid w:val="00210463"/>
    <w:rsid w:val="00210B1C"/>
    <w:rsid w:val="00210D12"/>
    <w:rsid w:val="0021267B"/>
    <w:rsid w:val="00212D58"/>
    <w:rsid w:val="002131A4"/>
    <w:rsid w:val="0021341B"/>
    <w:rsid w:val="00213A3B"/>
    <w:rsid w:val="00213A8A"/>
    <w:rsid w:val="00214CFB"/>
    <w:rsid w:val="00214F9F"/>
    <w:rsid w:val="00215286"/>
    <w:rsid w:val="002159CE"/>
    <w:rsid w:val="002164FF"/>
    <w:rsid w:val="00216AD0"/>
    <w:rsid w:val="00216AFF"/>
    <w:rsid w:val="00216D83"/>
    <w:rsid w:val="002176E7"/>
    <w:rsid w:val="002215A6"/>
    <w:rsid w:val="00221A2E"/>
    <w:rsid w:val="00221AC5"/>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2A0D"/>
    <w:rsid w:val="00233258"/>
    <w:rsid w:val="00233303"/>
    <w:rsid w:val="0023345C"/>
    <w:rsid w:val="00233513"/>
    <w:rsid w:val="0023358A"/>
    <w:rsid w:val="00233C34"/>
    <w:rsid w:val="0023486D"/>
    <w:rsid w:val="0023562B"/>
    <w:rsid w:val="002358FF"/>
    <w:rsid w:val="002367C5"/>
    <w:rsid w:val="00236E6A"/>
    <w:rsid w:val="002371CB"/>
    <w:rsid w:val="00237EDE"/>
    <w:rsid w:val="00240F9D"/>
    <w:rsid w:val="00241228"/>
    <w:rsid w:val="00241657"/>
    <w:rsid w:val="0024184D"/>
    <w:rsid w:val="00241D35"/>
    <w:rsid w:val="00242034"/>
    <w:rsid w:val="002421D3"/>
    <w:rsid w:val="002422D7"/>
    <w:rsid w:val="002441DE"/>
    <w:rsid w:val="002445FB"/>
    <w:rsid w:val="002449A5"/>
    <w:rsid w:val="0024537A"/>
    <w:rsid w:val="00245DCF"/>
    <w:rsid w:val="00246AB8"/>
    <w:rsid w:val="002509AF"/>
    <w:rsid w:val="00250B77"/>
    <w:rsid w:val="00250CA1"/>
    <w:rsid w:val="00250D5B"/>
    <w:rsid w:val="0025113B"/>
    <w:rsid w:val="00251176"/>
    <w:rsid w:val="00251597"/>
    <w:rsid w:val="00251650"/>
    <w:rsid w:val="00252201"/>
    <w:rsid w:val="00252AB5"/>
    <w:rsid w:val="00252AF9"/>
    <w:rsid w:val="00252D76"/>
    <w:rsid w:val="00252F9C"/>
    <w:rsid w:val="002532E5"/>
    <w:rsid w:val="002543DD"/>
    <w:rsid w:val="0025556C"/>
    <w:rsid w:val="00255667"/>
    <w:rsid w:val="00255A34"/>
    <w:rsid w:val="00257056"/>
    <w:rsid w:val="00257193"/>
    <w:rsid w:val="00257FBE"/>
    <w:rsid w:val="002602F0"/>
    <w:rsid w:val="00260BC3"/>
    <w:rsid w:val="0026130C"/>
    <w:rsid w:val="00262E16"/>
    <w:rsid w:val="00263095"/>
    <w:rsid w:val="00263CC4"/>
    <w:rsid w:val="002645E7"/>
    <w:rsid w:val="00264711"/>
    <w:rsid w:val="002660F8"/>
    <w:rsid w:val="00266BBB"/>
    <w:rsid w:val="00266C36"/>
    <w:rsid w:val="0026708F"/>
    <w:rsid w:val="002670A9"/>
    <w:rsid w:val="00267997"/>
    <w:rsid w:val="00271904"/>
    <w:rsid w:val="0027286F"/>
    <w:rsid w:val="0027295C"/>
    <w:rsid w:val="0027337C"/>
    <w:rsid w:val="00273EF1"/>
    <w:rsid w:val="002740F5"/>
    <w:rsid w:val="00274794"/>
    <w:rsid w:val="00275B6F"/>
    <w:rsid w:val="002760EE"/>
    <w:rsid w:val="00276347"/>
    <w:rsid w:val="0027664C"/>
    <w:rsid w:val="0027702C"/>
    <w:rsid w:val="00277285"/>
    <w:rsid w:val="00277397"/>
    <w:rsid w:val="00280494"/>
    <w:rsid w:val="0028053D"/>
    <w:rsid w:val="00280BE3"/>
    <w:rsid w:val="002812FA"/>
    <w:rsid w:val="00281492"/>
    <w:rsid w:val="00282A71"/>
    <w:rsid w:val="00282E42"/>
    <w:rsid w:val="00283D40"/>
    <w:rsid w:val="00284120"/>
    <w:rsid w:val="00284372"/>
    <w:rsid w:val="0028470C"/>
    <w:rsid w:val="00285167"/>
    <w:rsid w:val="0028609B"/>
    <w:rsid w:val="00286555"/>
    <w:rsid w:val="00287C0A"/>
    <w:rsid w:val="00290263"/>
    <w:rsid w:val="002903C9"/>
    <w:rsid w:val="00290535"/>
    <w:rsid w:val="0029094C"/>
    <w:rsid w:val="00290C1E"/>
    <w:rsid w:val="00290F5C"/>
    <w:rsid w:val="002910F2"/>
    <w:rsid w:val="00291786"/>
    <w:rsid w:val="00291DB1"/>
    <w:rsid w:val="00291FDA"/>
    <w:rsid w:val="0029234C"/>
    <w:rsid w:val="00292462"/>
    <w:rsid w:val="002924E7"/>
    <w:rsid w:val="0029295E"/>
    <w:rsid w:val="0029301C"/>
    <w:rsid w:val="002936E3"/>
    <w:rsid w:val="002937B7"/>
    <w:rsid w:val="00294857"/>
    <w:rsid w:val="00295586"/>
    <w:rsid w:val="00296337"/>
    <w:rsid w:val="0029677C"/>
    <w:rsid w:val="00296A00"/>
    <w:rsid w:val="00296D70"/>
    <w:rsid w:val="00296E9C"/>
    <w:rsid w:val="00297045"/>
    <w:rsid w:val="00297048"/>
    <w:rsid w:val="0029751B"/>
    <w:rsid w:val="00297BF7"/>
    <w:rsid w:val="002A0B48"/>
    <w:rsid w:val="002A0FBC"/>
    <w:rsid w:val="002A0FDD"/>
    <w:rsid w:val="002A2042"/>
    <w:rsid w:val="002A2323"/>
    <w:rsid w:val="002A27F4"/>
    <w:rsid w:val="002A515E"/>
    <w:rsid w:val="002A5271"/>
    <w:rsid w:val="002A572E"/>
    <w:rsid w:val="002A7F95"/>
    <w:rsid w:val="002B04DE"/>
    <w:rsid w:val="002B0864"/>
    <w:rsid w:val="002B0A1D"/>
    <w:rsid w:val="002B0D25"/>
    <w:rsid w:val="002B1882"/>
    <w:rsid w:val="002B1E09"/>
    <w:rsid w:val="002B1E47"/>
    <w:rsid w:val="002B2779"/>
    <w:rsid w:val="002B2931"/>
    <w:rsid w:val="002B368D"/>
    <w:rsid w:val="002B3B76"/>
    <w:rsid w:val="002B3B98"/>
    <w:rsid w:val="002B3FA3"/>
    <w:rsid w:val="002B4324"/>
    <w:rsid w:val="002B435A"/>
    <w:rsid w:val="002B4570"/>
    <w:rsid w:val="002B4663"/>
    <w:rsid w:val="002B482C"/>
    <w:rsid w:val="002B5013"/>
    <w:rsid w:val="002B6068"/>
    <w:rsid w:val="002B60BC"/>
    <w:rsid w:val="002B6C9F"/>
    <w:rsid w:val="002B6D69"/>
    <w:rsid w:val="002B6FC1"/>
    <w:rsid w:val="002B76E5"/>
    <w:rsid w:val="002B7D6A"/>
    <w:rsid w:val="002C0AD0"/>
    <w:rsid w:val="002C0B11"/>
    <w:rsid w:val="002C0D11"/>
    <w:rsid w:val="002C10A9"/>
    <w:rsid w:val="002C1C46"/>
    <w:rsid w:val="002C2BC0"/>
    <w:rsid w:val="002C3A21"/>
    <w:rsid w:val="002C3C90"/>
    <w:rsid w:val="002C3E0A"/>
    <w:rsid w:val="002C49CF"/>
    <w:rsid w:val="002C4A3E"/>
    <w:rsid w:val="002C6F3C"/>
    <w:rsid w:val="002C79D9"/>
    <w:rsid w:val="002C7BAF"/>
    <w:rsid w:val="002C7BF5"/>
    <w:rsid w:val="002C7FEB"/>
    <w:rsid w:val="002D0446"/>
    <w:rsid w:val="002D24F9"/>
    <w:rsid w:val="002D25D2"/>
    <w:rsid w:val="002D304B"/>
    <w:rsid w:val="002D462D"/>
    <w:rsid w:val="002D4C5E"/>
    <w:rsid w:val="002D5A13"/>
    <w:rsid w:val="002D764C"/>
    <w:rsid w:val="002E0FD1"/>
    <w:rsid w:val="002E1477"/>
    <w:rsid w:val="002E177A"/>
    <w:rsid w:val="002E1A21"/>
    <w:rsid w:val="002E1A8F"/>
    <w:rsid w:val="002E1ED9"/>
    <w:rsid w:val="002E28FC"/>
    <w:rsid w:val="002E2EB6"/>
    <w:rsid w:val="002E308D"/>
    <w:rsid w:val="002E39FA"/>
    <w:rsid w:val="002E4052"/>
    <w:rsid w:val="002E46BE"/>
    <w:rsid w:val="002E4926"/>
    <w:rsid w:val="002E59AD"/>
    <w:rsid w:val="002E5CA4"/>
    <w:rsid w:val="002E5D3B"/>
    <w:rsid w:val="002E6F31"/>
    <w:rsid w:val="002E7150"/>
    <w:rsid w:val="002E7388"/>
    <w:rsid w:val="002F06BD"/>
    <w:rsid w:val="002F0707"/>
    <w:rsid w:val="002F0726"/>
    <w:rsid w:val="002F08DC"/>
    <w:rsid w:val="002F0E55"/>
    <w:rsid w:val="002F131C"/>
    <w:rsid w:val="002F13BB"/>
    <w:rsid w:val="002F1507"/>
    <w:rsid w:val="002F1572"/>
    <w:rsid w:val="002F1F0E"/>
    <w:rsid w:val="002F2333"/>
    <w:rsid w:val="002F24A8"/>
    <w:rsid w:val="002F36FD"/>
    <w:rsid w:val="002F3919"/>
    <w:rsid w:val="002F3B34"/>
    <w:rsid w:val="002F3D64"/>
    <w:rsid w:val="002F4199"/>
    <w:rsid w:val="002F6B1D"/>
    <w:rsid w:val="002F6ED9"/>
    <w:rsid w:val="002F7190"/>
    <w:rsid w:val="002F757F"/>
    <w:rsid w:val="002F7C66"/>
    <w:rsid w:val="00300007"/>
    <w:rsid w:val="003014DB"/>
    <w:rsid w:val="0030157A"/>
    <w:rsid w:val="003022D3"/>
    <w:rsid w:val="003035F7"/>
    <w:rsid w:val="00303884"/>
    <w:rsid w:val="003038EA"/>
    <w:rsid w:val="00304417"/>
    <w:rsid w:val="00304941"/>
    <w:rsid w:val="0030549D"/>
    <w:rsid w:val="00305D78"/>
    <w:rsid w:val="00305F6B"/>
    <w:rsid w:val="00305F81"/>
    <w:rsid w:val="003064C6"/>
    <w:rsid w:val="00306FF6"/>
    <w:rsid w:val="0030747A"/>
    <w:rsid w:val="003074E3"/>
    <w:rsid w:val="003124EC"/>
    <w:rsid w:val="00312912"/>
    <w:rsid w:val="00312CCC"/>
    <w:rsid w:val="003139BF"/>
    <w:rsid w:val="00314276"/>
    <w:rsid w:val="00315FBD"/>
    <w:rsid w:val="00316A2C"/>
    <w:rsid w:val="00317653"/>
    <w:rsid w:val="00317D0B"/>
    <w:rsid w:val="00317DE0"/>
    <w:rsid w:val="00320495"/>
    <w:rsid w:val="00320D64"/>
    <w:rsid w:val="00321242"/>
    <w:rsid w:val="0032196C"/>
    <w:rsid w:val="003224C6"/>
    <w:rsid w:val="003239D1"/>
    <w:rsid w:val="00323C3C"/>
    <w:rsid w:val="00323CB0"/>
    <w:rsid w:val="003243FD"/>
    <w:rsid w:val="00324D15"/>
    <w:rsid w:val="00326231"/>
    <w:rsid w:val="00326687"/>
    <w:rsid w:val="00327104"/>
    <w:rsid w:val="0032753C"/>
    <w:rsid w:val="00327DB0"/>
    <w:rsid w:val="003300A5"/>
    <w:rsid w:val="00330FB1"/>
    <w:rsid w:val="00331983"/>
    <w:rsid w:val="003319EB"/>
    <w:rsid w:val="00331C20"/>
    <w:rsid w:val="003320A1"/>
    <w:rsid w:val="003321D6"/>
    <w:rsid w:val="0033266A"/>
    <w:rsid w:val="00332AB7"/>
    <w:rsid w:val="00332B30"/>
    <w:rsid w:val="003333AB"/>
    <w:rsid w:val="003333AF"/>
    <w:rsid w:val="0033359B"/>
    <w:rsid w:val="00333B22"/>
    <w:rsid w:val="00334C0F"/>
    <w:rsid w:val="00334E24"/>
    <w:rsid w:val="00334FAD"/>
    <w:rsid w:val="003352D3"/>
    <w:rsid w:val="0033532C"/>
    <w:rsid w:val="00335590"/>
    <w:rsid w:val="00335F62"/>
    <w:rsid w:val="003360A5"/>
    <w:rsid w:val="00336C2C"/>
    <w:rsid w:val="00336D32"/>
    <w:rsid w:val="00337139"/>
    <w:rsid w:val="003377F9"/>
    <w:rsid w:val="00341118"/>
    <w:rsid w:val="003420C7"/>
    <w:rsid w:val="00342EEA"/>
    <w:rsid w:val="003436E8"/>
    <w:rsid w:val="003448DF"/>
    <w:rsid w:val="003455D8"/>
    <w:rsid w:val="00345833"/>
    <w:rsid w:val="00346BEE"/>
    <w:rsid w:val="00347610"/>
    <w:rsid w:val="00347A40"/>
    <w:rsid w:val="00347E20"/>
    <w:rsid w:val="00347F13"/>
    <w:rsid w:val="00350267"/>
    <w:rsid w:val="00350D66"/>
    <w:rsid w:val="00350F88"/>
    <w:rsid w:val="00351062"/>
    <w:rsid w:val="0035169C"/>
    <w:rsid w:val="00351A7E"/>
    <w:rsid w:val="00351AF2"/>
    <w:rsid w:val="00351E15"/>
    <w:rsid w:val="003523FB"/>
    <w:rsid w:val="003535C6"/>
    <w:rsid w:val="0035394A"/>
    <w:rsid w:val="0035428A"/>
    <w:rsid w:val="003546F4"/>
    <w:rsid w:val="00354DEA"/>
    <w:rsid w:val="00356447"/>
    <w:rsid w:val="003576A7"/>
    <w:rsid w:val="00360288"/>
    <w:rsid w:val="00360A57"/>
    <w:rsid w:val="00361A91"/>
    <w:rsid w:val="00362756"/>
    <w:rsid w:val="00362ACC"/>
    <w:rsid w:val="003642C3"/>
    <w:rsid w:val="003644EA"/>
    <w:rsid w:val="0036461C"/>
    <w:rsid w:val="00364B8F"/>
    <w:rsid w:val="00365000"/>
    <w:rsid w:val="00365AC4"/>
    <w:rsid w:val="0036726F"/>
    <w:rsid w:val="00367A93"/>
    <w:rsid w:val="00370A24"/>
    <w:rsid w:val="00370B43"/>
    <w:rsid w:val="00371983"/>
    <w:rsid w:val="003728D0"/>
    <w:rsid w:val="003739B9"/>
    <w:rsid w:val="00373E6B"/>
    <w:rsid w:val="00374619"/>
    <w:rsid w:val="00374A01"/>
    <w:rsid w:val="00375A12"/>
    <w:rsid w:val="00375C98"/>
    <w:rsid w:val="00376F1A"/>
    <w:rsid w:val="00376FCB"/>
    <w:rsid w:val="0037705D"/>
    <w:rsid w:val="003778E4"/>
    <w:rsid w:val="00377D3D"/>
    <w:rsid w:val="0038030D"/>
    <w:rsid w:val="0038077D"/>
    <w:rsid w:val="00381158"/>
    <w:rsid w:val="00381A5B"/>
    <w:rsid w:val="0038206B"/>
    <w:rsid w:val="00382798"/>
    <w:rsid w:val="00383269"/>
    <w:rsid w:val="00383741"/>
    <w:rsid w:val="00383E0B"/>
    <w:rsid w:val="00384599"/>
    <w:rsid w:val="00385BF7"/>
    <w:rsid w:val="00385D23"/>
    <w:rsid w:val="00385E26"/>
    <w:rsid w:val="003862E2"/>
    <w:rsid w:val="003864EA"/>
    <w:rsid w:val="00386E4C"/>
    <w:rsid w:val="00387E9F"/>
    <w:rsid w:val="003904EC"/>
    <w:rsid w:val="003910AD"/>
    <w:rsid w:val="0039167B"/>
    <w:rsid w:val="003916CC"/>
    <w:rsid w:val="003919AC"/>
    <w:rsid w:val="00391A97"/>
    <w:rsid w:val="00391E3B"/>
    <w:rsid w:val="00392A12"/>
    <w:rsid w:val="003932B4"/>
    <w:rsid w:val="00393C5B"/>
    <w:rsid w:val="0039403B"/>
    <w:rsid w:val="00394997"/>
    <w:rsid w:val="003959CE"/>
    <w:rsid w:val="00395B9E"/>
    <w:rsid w:val="00395E3A"/>
    <w:rsid w:val="003967E0"/>
    <w:rsid w:val="003968EE"/>
    <w:rsid w:val="00397836"/>
    <w:rsid w:val="003A010D"/>
    <w:rsid w:val="003A088A"/>
    <w:rsid w:val="003A0A82"/>
    <w:rsid w:val="003A0FBE"/>
    <w:rsid w:val="003A1A61"/>
    <w:rsid w:val="003A2B6E"/>
    <w:rsid w:val="003A3151"/>
    <w:rsid w:val="003A3E50"/>
    <w:rsid w:val="003A4807"/>
    <w:rsid w:val="003A4903"/>
    <w:rsid w:val="003A49ED"/>
    <w:rsid w:val="003A4A4E"/>
    <w:rsid w:val="003A5543"/>
    <w:rsid w:val="003A557E"/>
    <w:rsid w:val="003A67FF"/>
    <w:rsid w:val="003A7154"/>
    <w:rsid w:val="003A768B"/>
    <w:rsid w:val="003A7BD4"/>
    <w:rsid w:val="003B0194"/>
    <w:rsid w:val="003B0DF0"/>
    <w:rsid w:val="003B0EAC"/>
    <w:rsid w:val="003B113D"/>
    <w:rsid w:val="003B117B"/>
    <w:rsid w:val="003B1C05"/>
    <w:rsid w:val="003B26AB"/>
    <w:rsid w:val="003B28AD"/>
    <w:rsid w:val="003B30B4"/>
    <w:rsid w:val="003B365C"/>
    <w:rsid w:val="003B3E75"/>
    <w:rsid w:val="003B3F01"/>
    <w:rsid w:val="003B42A2"/>
    <w:rsid w:val="003B4545"/>
    <w:rsid w:val="003B48B6"/>
    <w:rsid w:val="003B4F20"/>
    <w:rsid w:val="003B5DD4"/>
    <w:rsid w:val="003B686F"/>
    <w:rsid w:val="003B6974"/>
    <w:rsid w:val="003B6D07"/>
    <w:rsid w:val="003B6D23"/>
    <w:rsid w:val="003B76D7"/>
    <w:rsid w:val="003C0061"/>
    <w:rsid w:val="003C04B5"/>
    <w:rsid w:val="003C0B68"/>
    <w:rsid w:val="003C230F"/>
    <w:rsid w:val="003C2AFF"/>
    <w:rsid w:val="003C4003"/>
    <w:rsid w:val="003C4861"/>
    <w:rsid w:val="003C51E7"/>
    <w:rsid w:val="003C53BE"/>
    <w:rsid w:val="003C6BFB"/>
    <w:rsid w:val="003C728E"/>
    <w:rsid w:val="003C77B5"/>
    <w:rsid w:val="003C7809"/>
    <w:rsid w:val="003D0898"/>
    <w:rsid w:val="003D0A86"/>
    <w:rsid w:val="003D0CF0"/>
    <w:rsid w:val="003D13D6"/>
    <w:rsid w:val="003D1430"/>
    <w:rsid w:val="003D1530"/>
    <w:rsid w:val="003D1745"/>
    <w:rsid w:val="003D1774"/>
    <w:rsid w:val="003D1905"/>
    <w:rsid w:val="003D1C68"/>
    <w:rsid w:val="003D344A"/>
    <w:rsid w:val="003D44AB"/>
    <w:rsid w:val="003D49CF"/>
    <w:rsid w:val="003D53A3"/>
    <w:rsid w:val="003D6BD1"/>
    <w:rsid w:val="003D7EDB"/>
    <w:rsid w:val="003E0627"/>
    <w:rsid w:val="003E08A7"/>
    <w:rsid w:val="003E0D67"/>
    <w:rsid w:val="003E199F"/>
    <w:rsid w:val="003E3D42"/>
    <w:rsid w:val="003E447F"/>
    <w:rsid w:val="003E4E31"/>
    <w:rsid w:val="003E55E6"/>
    <w:rsid w:val="003E6E66"/>
    <w:rsid w:val="003E7116"/>
    <w:rsid w:val="003E7E12"/>
    <w:rsid w:val="003F02CC"/>
    <w:rsid w:val="003F0361"/>
    <w:rsid w:val="003F0A0C"/>
    <w:rsid w:val="003F0D56"/>
    <w:rsid w:val="003F1617"/>
    <w:rsid w:val="003F1672"/>
    <w:rsid w:val="003F1AFC"/>
    <w:rsid w:val="003F1BC5"/>
    <w:rsid w:val="003F20D3"/>
    <w:rsid w:val="003F3821"/>
    <w:rsid w:val="003F4945"/>
    <w:rsid w:val="003F4A21"/>
    <w:rsid w:val="003F4D95"/>
    <w:rsid w:val="003F5055"/>
    <w:rsid w:val="003F5126"/>
    <w:rsid w:val="003F52DB"/>
    <w:rsid w:val="003F5322"/>
    <w:rsid w:val="003F693D"/>
    <w:rsid w:val="003F7B7C"/>
    <w:rsid w:val="0040016C"/>
    <w:rsid w:val="00400311"/>
    <w:rsid w:val="00400C12"/>
    <w:rsid w:val="00401285"/>
    <w:rsid w:val="00402E49"/>
    <w:rsid w:val="004033E4"/>
    <w:rsid w:val="0040346E"/>
    <w:rsid w:val="00403F0E"/>
    <w:rsid w:val="0040408A"/>
    <w:rsid w:val="00404AFC"/>
    <w:rsid w:val="00404C6B"/>
    <w:rsid w:val="00404D37"/>
    <w:rsid w:val="004068B0"/>
    <w:rsid w:val="00407024"/>
    <w:rsid w:val="00410051"/>
    <w:rsid w:val="004109FD"/>
    <w:rsid w:val="00410B71"/>
    <w:rsid w:val="00411C2E"/>
    <w:rsid w:val="00411D2F"/>
    <w:rsid w:val="00412480"/>
    <w:rsid w:val="00412B8D"/>
    <w:rsid w:val="00412C61"/>
    <w:rsid w:val="00413860"/>
    <w:rsid w:val="00413A90"/>
    <w:rsid w:val="00413D56"/>
    <w:rsid w:val="00414514"/>
    <w:rsid w:val="00414E86"/>
    <w:rsid w:val="0041506D"/>
    <w:rsid w:val="0041512A"/>
    <w:rsid w:val="004152E9"/>
    <w:rsid w:val="004156FC"/>
    <w:rsid w:val="00415952"/>
    <w:rsid w:val="00415BFE"/>
    <w:rsid w:val="00416389"/>
    <w:rsid w:val="00416812"/>
    <w:rsid w:val="004174AA"/>
    <w:rsid w:val="004179D5"/>
    <w:rsid w:val="00417AFE"/>
    <w:rsid w:val="004206B6"/>
    <w:rsid w:val="00420A55"/>
    <w:rsid w:val="00421757"/>
    <w:rsid w:val="0042187B"/>
    <w:rsid w:val="004226CA"/>
    <w:rsid w:val="00422A2F"/>
    <w:rsid w:val="00423266"/>
    <w:rsid w:val="00423BEC"/>
    <w:rsid w:val="00424BBA"/>
    <w:rsid w:val="004250D7"/>
    <w:rsid w:val="00425824"/>
    <w:rsid w:val="00426303"/>
    <w:rsid w:val="00426804"/>
    <w:rsid w:val="00426CAB"/>
    <w:rsid w:val="00427ECF"/>
    <w:rsid w:val="004309E0"/>
    <w:rsid w:val="00430C3A"/>
    <w:rsid w:val="00430D60"/>
    <w:rsid w:val="00430F86"/>
    <w:rsid w:val="004320DC"/>
    <w:rsid w:val="00432854"/>
    <w:rsid w:val="00432C40"/>
    <w:rsid w:val="00433270"/>
    <w:rsid w:val="004335E5"/>
    <w:rsid w:val="00433995"/>
    <w:rsid w:val="004348F4"/>
    <w:rsid w:val="004359E0"/>
    <w:rsid w:val="00435A3A"/>
    <w:rsid w:val="00435ECF"/>
    <w:rsid w:val="00436410"/>
    <w:rsid w:val="00436936"/>
    <w:rsid w:val="00436B1F"/>
    <w:rsid w:val="00437ABF"/>
    <w:rsid w:val="00440C3E"/>
    <w:rsid w:val="00440D51"/>
    <w:rsid w:val="00441A0B"/>
    <w:rsid w:val="0044304B"/>
    <w:rsid w:val="00443251"/>
    <w:rsid w:val="00443631"/>
    <w:rsid w:val="00443ED4"/>
    <w:rsid w:val="00444E44"/>
    <w:rsid w:val="004469AC"/>
    <w:rsid w:val="00446ADF"/>
    <w:rsid w:val="00446EC6"/>
    <w:rsid w:val="004476F1"/>
    <w:rsid w:val="00447B63"/>
    <w:rsid w:val="00447C76"/>
    <w:rsid w:val="004501E1"/>
    <w:rsid w:val="004503E4"/>
    <w:rsid w:val="00450F14"/>
    <w:rsid w:val="00451F11"/>
    <w:rsid w:val="004520D5"/>
    <w:rsid w:val="004528BA"/>
    <w:rsid w:val="00452F5A"/>
    <w:rsid w:val="00453183"/>
    <w:rsid w:val="00453378"/>
    <w:rsid w:val="00453D67"/>
    <w:rsid w:val="00453DAD"/>
    <w:rsid w:val="00454C84"/>
    <w:rsid w:val="00455024"/>
    <w:rsid w:val="00456224"/>
    <w:rsid w:val="004562DC"/>
    <w:rsid w:val="00456544"/>
    <w:rsid w:val="00457A87"/>
    <w:rsid w:val="00457C69"/>
    <w:rsid w:val="00457D59"/>
    <w:rsid w:val="0046121D"/>
    <w:rsid w:val="0046290C"/>
    <w:rsid w:val="00463149"/>
    <w:rsid w:val="00463359"/>
    <w:rsid w:val="00463403"/>
    <w:rsid w:val="004634FB"/>
    <w:rsid w:val="00463640"/>
    <w:rsid w:val="00464DA7"/>
    <w:rsid w:val="00465270"/>
    <w:rsid w:val="00465761"/>
    <w:rsid w:val="00465AEA"/>
    <w:rsid w:val="00466139"/>
    <w:rsid w:val="0047084C"/>
    <w:rsid w:val="00470870"/>
    <w:rsid w:val="00470A45"/>
    <w:rsid w:val="004711BF"/>
    <w:rsid w:val="00471350"/>
    <w:rsid w:val="00471AB2"/>
    <w:rsid w:val="00472B12"/>
    <w:rsid w:val="00472BED"/>
    <w:rsid w:val="00473572"/>
    <w:rsid w:val="00473BC7"/>
    <w:rsid w:val="00474C71"/>
    <w:rsid w:val="00475AFD"/>
    <w:rsid w:val="00475E84"/>
    <w:rsid w:val="00476135"/>
    <w:rsid w:val="0047639A"/>
    <w:rsid w:val="00476D63"/>
    <w:rsid w:val="004802A3"/>
    <w:rsid w:val="00480509"/>
    <w:rsid w:val="00480633"/>
    <w:rsid w:val="004806F6"/>
    <w:rsid w:val="004807FE"/>
    <w:rsid w:val="00480E3F"/>
    <w:rsid w:val="00481DE5"/>
    <w:rsid w:val="004822D0"/>
    <w:rsid w:val="00482D96"/>
    <w:rsid w:val="004837C0"/>
    <w:rsid w:val="00483908"/>
    <w:rsid w:val="0048454C"/>
    <w:rsid w:val="00484C92"/>
    <w:rsid w:val="00485163"/>
    <w:rsid w:val="004858F3"/>
    <w:rsid w:val="004858F7"/>
    <w:rsid w:val="004872C4"/>
    <w:rsid w:val="00490DF2"/>
    <w:rsid w:val="00491269"/>
    <w:rsid w:val="004914AA"/>
    <w:rsid w:val="004917E0"/>
    <w:rsid w:val="00491C47"/>
    <w:rsid w:val="00492BF7"/>
    <w:rsid w:val="00494034"/>
    <w:rsid w:val="004940A3"/>
    <w:rsid w:val="00494292"/>
    <w:rsid w:val="00494295"/>
    <w:rsid w:val="00494452"/>
    <w:rsid w:val="00494F43"/>
    <w:rsid w:val="00494F87"/>
    <w:rsid w:val="004955CE"/>
    <w:rsid w:val="00495C19"/>
    <w:rsid w:val="00496E59"/>
    <w:rsid w:val="00497573"/>
    <w:rsid w:val="00497C58"/>
    <w:rsid w:val="004A00C9"/>
    <w:rsid w:val="004A030D"/>
    <w:rsid w:val="004A031D"/>
    <w:rsid w:val="004A087D"/>
    <w:rsid w:val="004A08A3"/>
    <w:rsid w:val="004A0D82"/>
    <w:rsid w:val="004A1F71"/>
    <w:rsid w:val="004A235E"/>
    <w:rsid w:val="004A4319"/>
    <w:rsid w:val="004A559B"/>
    <w:rsid w:val="004A601A"/>
    <w:rsid w:val="004A6B01"/>
    <w:rsid w:val="004A6B0F"/>
    <w:rsid w:val="004A75E8"/>
    <w:rsid w:val="004A7D94"/>
    <w:rsid w:val="004B0F42"/>
    <w:rsid w:val="004B1B99"/>
    <w:rsid w:val="004B2151"/>
    <w:rsid w:val="004B2AB9"/>
    <w:rsid w:val="004B2EC7"/>
    <w:rsid w:val="004B35CC"/>
    <w:rsid w:val="004B45A3"/>
    <w:rsid w:val="004B488D"/>
    <w:rsid w:val="004B62BA"/>
    <w:rsid w:val="004B63AD"/>
    <w:rsid w:val="004B63D7"/>
    <w:rsid w:val="004B7FD8"/>
    <w:rsid w:val="004C0123"/>
    <w:rsid w:val="004C118D"/>
    <w:rsid w:val="004C186E"/>
    <w:rsid w:val="004C221A"/>
    <w:rsid w:val="004C3002"/>
    <w:rsid w:val="004C3185"/>
    <w:rsid w:val="004C4C9D"/>
    <w:rsid w:val="004C4D90"/>
    <w:rsid w:val="004C5432"/>
    <w:rsid w:val="004C54C6"/>
    <w:rsid w:val="004C5C11"/>
    <w:rsid w:val="004C5DDE"/>
    <w:rsid w:val="004C5DEC"/>
    <w:rsid w:val="004C5F94"/>
    <w:rsid w:val="004C7606"/>
    <w:rsid w:val="004C78CC"/>
    <w:rsid w:val="004C7BB8"/>
    <w:rsid w:val="004C7BEC"/>
    <w:rsid w:val="004D0704"/>
    <w:rsid w:val="004D11A1"/>
    <w:rsid w:val="004D127F"/>
    <w:rsid w:val="004D1B0F"/>
    <w:rsid w:val="004D1DFE"/>
    <w:rsid w:val="004D28E4"/>
    <w:rsid w:val="004D2D33"/>
    <w:rsid w:val="004D3353"/>
    <w:rsid w:val="004D4EF9"/>
    <w:rsid w:val="004D5AB8"/>
    <w:rsid w:val="004D5C56"/>
    <w:rsid w:val="004D5CD1"/>
    <w:rsid w:val="004D5D65"/>
    <w:rsid w:val="004D666E"/>
    <w:rsid w:val="004D6A86"/>
    <w:rsid w:val="004D6B37"/>
    <w:rsid w:val="004D6F8E"/>
    <w:rsid w:val="004D7BB1"/>
    <w:rsid w:val="004D7DF2"/>
    <w:rsid w:val="004E1433"/>
    <w:rsid w:val="004E1D2C"/>
    <w:rsid w:val="004E22EA"/>
    <w:rsid w:val="004E29EC"/>
    <w:rsid w:val="004E2D9B"/>
    <w:rsid w:val="004E2F2D"/>
    <w:rsid w:val="004E2FFD"/>
    <w:rsid w:val="004E4046"/>
    <w:rsid w:val="004E54BF"/>
    <w:rsid w:val="004E57D3"/>
    <w:rsid w:val="004E5AE0"/>
    <w:rsid w:val="004E6A1E"/>
    <w:rsid w:val="004E7682"/>
    <w:rsid w:val="004E76EC"/>
    <w:rsid w:val="004E79DA"/>
    <w:rsid w:val="004F01D4"/>
    <w:rsid w:val="004F149B"/>
    <w:rsid w:val="004F188B"/>
    <w:rsid w:val="004F19C4"/>
    <w:rsid w:val="004F1A8D"/>
    <w:rsid w:val="004F2585"/>
    <w:rsid w:val="004F2DB0"/>
    <w:rsid w:val="004F41BD"/>
    <w:rsid w:val="004F4E4D"/>
    <w:rsid w:val="004F4FA0"/>
    <w:rsid w:val="004F564B"/>
    <w:rsid w:val="004F570B"/>
    <w:rsid w:val="004F58B8"/>
    <w:rsid w:val="004F5BFF"/>
    <w:rsid w:val="004F5D05"/>
    <w:rsid w:val="004F5D76"/>
    <w:rsid w:val="004F5DA4"/>
    <w:rsid w:val="004F63F5"/>
    <w:rsid w:val="004F66FF"/>
    <w:rsid w:val="004F7544"/>
    <w:rsid w:val="004F7BE1"/>
    <w:rsid w:val="00501B5C"/>
    <w:rsid w:val="00503AB6"/>
    <w:rsid w:val="00503F57"/>
    <w:rsid w:val="00503F67"/>
    <w:rsid w:val="0050471E"/>
    <w:rsid w:val="00505202"/>
    <w:rsid w:val="00505B9D"/>
    <w:rsid w:val="00505BAE"/>
    <w:rsid w:val="00505C1D"/>
    <w:rsid w:val="0050616F"/>
    <w:rsid w:val="00506254"/>
    <w:rsid w:val="00506661"/>
    <w:rsid w:val="005066CA"/>
    <w:rsid w:val="00506831"/>
    <w:rsid w:val="00506E13"/>
    <w:rsid w:val="00506E85"/>
    <w:rsid w:val="0050714C"/>
    <w:rsid w:val="00507229"/>
    <w:rsid w:val="0050729C"/>
    <w:rsid w:val="005100EB"/>
    <w:rsid w:val="00510B61"/>
    <w:rsid w:val="00511B17"/>
    <w:rsid w:val="00511CBA"/>
    <w:rsid w:val="00512620"/>
    <w:rsid w:val="00512699"/>
    <w:rsid w:val="00512D19"/>
    <w:rsid w:val="00512E39"/>
    <w:rsid w:val="005136D9"/>
    <w:rsid w:val="00513898"/>
    <w:rsid w:val="005144E2"/>
    <w:rsid w:val="005147E8"/>
    <w:rsid w:val="00514BC7"/>
    <w:rsid w:val="00514FC2"/>
    <w:rsid w:val="005150D3"/>
    <w:rsid w:val="00515543"/>
    <w:rsid w:val="00515B4E"/>
    <w:rsid w:val="00516C64"/>
    <w:rsid w:val="00516C9E"/>
    <w:rsid w:val="00516FA6"/>
    <w:rsid w:val="005173E7"/>
    <w:rsid w:val="00517AC1"/>
    <w:rsid w:val="00520112"/>
    <w:rsid w:val="00520807"/>
    <w:rsid w:val="00520AAB"/>
    <w:rsid w:val="00522046"/>
    <w:rsid w:val="00522425"/>
    <w:rsid w:val="005224AB"/>
    <w:rsid w:val="00522708"/>
    <w:rsid w:val="0052299E"/>
    <w:rsid w:val="0052346A"/>
    <w:rsid w:val="0052364F"/>
    <w:rsid w:val="00523B11"/>
    <w:rsid w:val="00523F35"/>
    <w:rsid w:val="0052417E"/>
    <w:rsid w:val="00524BA3"/>
    <w:rsid w:val="005257D2"/>
    <w:rsid w:val="00526752"/>
    <w:rsid w:val="00526F93"/>
    <w:rsid w:val="0052761B"/>
    <w:rsid w:val="00527BC7"/>
    <w:rsid w:val="00531124"/>
    <w:rsid w:val="005313A2"/>
    <w:rsid w:val="005314E3"/>
    <w:rsid w:val="00531A13"/>
    <w:rsid w:val="005326E6"/>
    <w:rsid w:val="0053284E"/>
    <w:rsid w:val="0053294F"/>
    <w:rsid w:val="005329AE"/>
    <w:rsid w:val="00532D27"/>
    <w:rsid w:val="00534F31"/>
    <w:rsid w:val="00535CA2"/>
    <w:rsid w:val="00535D0E"/>
    <w:rsid w:val="00535F99"/>
    <w:rsid w:val="00535FBC"/>
    <w:rsid w:val="005372CD"/>
    <w:rsid w:val="00537344"/>
    <w:rsid w:val="0054067A"/>
    <w:rsid w:val="00540AE2"/>
    <w:rsid w:val="00540C50"/>
    <w:rsid w:val="00540EDF"/>
    <w:rsid w:val="005414C3"/>
    <w:rsid w:val="0054150F"/>
    <w:rsid w:val="00541F81"/>
    <w:rsid w:val="00542271"/>
    <w:rsid w:val="005435A8"/>
    <w:rsid w:val="0054369F"/>
    <w:rsid w:val="005436F7"/>
    <w:rsid w:val="00543B13"/>
    <w:rsid w:val="00544423"/>
    <w:rsid w:val="005453FF"/>
    <w:rsid w:val="005460F4"/>
    <w:rsid w:val="005468F6"/>
    <w:rsid w:val="00547011"/>
    <w:rsid w:val="005475BF"/>
    <w:rsid w:val="0054760B"/>
    <w:rsid w:val="00547E57"/>
    <w:rsid w:val="005502B4"/>
    <w:rsid w:val="0055084F"/>
    <w:rsid w:val="00550969"/>
    <w:rsid w:val="005519E9"/>
    <w:rsid w:val="00551B62"/>
    <w:rsid w:val="00551F9F"/>
    <w:rsid w:val="005525C8"/>
    <w:rsid w:val="00552830"/>
    <w:rsid w:val="00552993"/>
    <w:rsid w:val="00552F2C"/>
    <w:rsid w:val="005533ED"/>
    <w:rsid w:val="005542B0"/>
    <w:rsid w:val="00554C5D"/>
    <w:rsid w:val="00554EC5"/>
    <w:rsid w:val="005555D8"/>
    <w:rsid w:val="00555AFB"/>
    <w:rsid w:val="00556A78"/>
    <w:rsid w:val="00556EC5"/>
    <w:rsid w:val="005576FD"/>
    <w:rsid w:val="00557941"/>
    <w:rsid w:val="005579D4"/>
    <w:rsid w:val="00560592"/>
    <w:rsid w:val="00561212"/>
    <w:rsid w:val="00561798"/>
    <w:rsid w:val="00561D5C"/>
    <w:rsid w:val="0056222E"/>
    <w:rsid w:val="00562E49"/>
    <w:rsid w:val="005630C3"/>
    <w:rsid w:val="00563AE2"/>
    <w:rsid w:val="00563C57"/>
    <w:rsid w:val="00563C58"/>
    <w:rsid w:val="0056459A"/>
    <w:rsid w:val="005645FE"/>
    <w:rsid w:val="00564ADC"/>
    <w:rsid w:val="00564AFF"/>
    <w:rsid w:val="00565ED7"/>
    <w:rsid w:val="0056667B"/>
    <w:rsid w:val="005667D7"/>
    <w:rsid w:val="00566DC1"/>
    <w:rsid w:val="00566F1A"/>
    <w:rsid w:val="00567547"/>
    <w:rsid w:val="00567612"/>
    <w:rsid w:val="0056764C"/>
    <w:rsid w:val="00567A92"/>
    <w:rsid w:val="00570B2F"/>
    <w:rsid w:val="00570E13"/>
    <w:rsid w:val="00570FDF"/>
    <w:rsid w:val="00571312"/>
    <w:rsid w:val="00571798"/>
    <w:rsid w:val="00571CA8"/>
    <w:rsid w:val="005722B8"/>
    <w:rsid w:val="00572527"/>
    <w:rsid w:val="00572679"/>
    <w:rsid w:val="00572906"/>
    <w:rsid w:val="00572913"/>
    <w:rsid w:val="0057304D"/>
    <w:rsid w:val="00573B50"/>
    <w:rsid w:val="00573DA7"/>
    <w:rsid w:val="00574702"/>
    <w:rsid w:val="005761EA"/>
    <w:rsid w:val="00576472"/>
    <w:rsid w:val="00576749"/>
    <w:rsid w:val="00576866"/>
    <w:rsid w:val="00581821"/>
    <w:rsid w:val="00581C75"/>
    <w:rsid w:val="005825B0"/>
    <w:rsid w:val="005833DB"/>
    <w:rsid w:val="005836EA"/>
    <w:rsid w:val="00583A78"/>
    <w:rsid w:val="005848E0"/>
    <w:rsid w:val="00584CD5"/>
    <w:rsid w:val="00585163"/>
    <w:rsid w:val="005855A9"/>
    <w:rsid w:val="005856EE"/>
    <w:rsid w:val="005866B4"/>
    <w:rsid w:val="0058701F"/>
    <w:rsid w:val="00587364"/>
    <w:rsid w:val="0058770A"/>
    <w:rsid w:val="005903B4"/>
    <w:rsid w:val="005903C3"/>
    <w:rsid w:val="00591F9E"/>
    <w:rsid w:val="005922C4"/>
    <w:rsid w:val="00592718"/>
    <w:rsid w:val="00592836"/>
    <w:rsid w:val="00592E41"/>
    <w:rsid w:val="0059328F"/>
    <w:rsid w:val="005932A3"/>
    <w:rsid w:val="0059344E"/>
    <w:rsid w:val="0059374E"/>
    <w:rsid w:val="005944C5"/>
    <w:rsid w:val="005949CC"/>
    <w:rsid w:val="00594B24"/>
    <w:rsid w:val="00594D25"/>
    <w:rsid w:val="00594D96"/>
    <w:rsid w:val="00595339"/>
    <w:rsid w:val="005971B7"/>
    <w:rsid w:val="00597EF1"/>
    <w:rsid w:val="005A034C"/>
    <w:rsid w:val="005A04FD"/>
    <w:rsid w:val="005A0928"/>
    <w:rsid w:val="005A22E1"/>
    <w:rsid w:val="005A2749"/>
    <w:rsid w:val="005A2878"/>
    <w:rsid w:val="005A2CE0"/>
    <w:rsid w:val="005A3B36"/>
    <w:rsid w:val="005A3BE4"/>
    <w:rsid w:val="005A3D45"/>
    <w:rsid w:val="005A4ADF"/>
    <w:rsid w:val="005A5A79"/>
    <w:rsid w:val="005A5BC6"/>
    <w:rsid w:val="005A693E"/>
    <w:rsid w:val="005A7296"/>
    <w:rsid w:val="005B0150"/>
    <w:rsid w:val="005B01EE"/>
    <w:rsid w:val="005B02BE"/>
    <w:rsid w:val="005B02F3"/>
    <w:rsid w:val="005B2079"/>
    <w:rsid w:val="005B2E38"/>
    <w:rsid w:val="005B3713"/>
    <w:rsid w:val="005B4779"/>
    <w:rsid w:val="005B5735"/>
    <w:rsid w:val="005B5E46"/>
    <w:rsid w:val="005B6138"/>
    <w:rsid w:val="005B6541"/>
    <w:rsid w:val="005B67E6"/>
    <w:rsid w:val="005B78BB"/>
    <w:rsid w:val="005C005F"/>
    <w:rsid w:val="005C0918"/>
    <w:rsid w:val="005C093E"/>
    <w:rsid w:val="005C0A25"/>
    <w:rsid w:val="005C1491"/>
    <w:rsid w:val="005C221D"/>
    <w:rsid w:val="005C266A"/>
    <w:rsid w:val="005C2808"/>
    <w:rsid w:val="005C2957"/>
    <w:rsid w:val="005C2B56"/>
    <w:rsid w:val="005C3679"/>
    <w:rsid w:val="005C3695"/>
    <w:rsid w:val="005C42B5"/>
    <w:rsid w:val="005C4454"/>
    <w:rsid w:val="005C4897"/>
    <w:rsid w:val="005C4AF6"/>
    <w:rsid w:val="005C5309"/>
    <w:rsid w:val="005C55F1"/>
    <w:rsid w:val="005C56AB"/>
    <w:rsid w:val="005C6632"/>
    <w:rsid w:val="005C6BE4"/>
    <w:rsid w:val="005C6CB6"/>
    <w:rsid w:val="005C6D5D"/>
    <w:rsid w:val="005C6FE0"/>
    <w:rsid w:val="005C70FB"/>
    <w:rsid w:val="005C72E4"/>
    <w:rsid w:val="005C730A"/>
    <w:rsid w:val="005C7CBA"/>
    <w:rsid w:val="005D0301"/>
    <w:rsid w:val="005D09EB"/>
    <w:rsid w:val="005D0D69"/>
    <w:rsid w:val="005D0DF8"/>
    <w:rsid w:val="005D1240"/>
    <w:rsid w:val="005D162B"/>
    <w:rsid w:val="005D1D0A"/>
    <w:rsid w:val="005D2391"/>
    <w:rsid w:val="005D385D"/>
    <w:rsid w:val="005D3B25"/>
    <w:rsid w:val="005D4337"/>
    <w:rsid w:val="005D5304"/>
    <w:rsid w:val="005D5902"/>
    <w:rsid w:val="005D5A41"/>
    <w:rsid w:val="005D7342"/>
    <w:rsid w:val="005D7529"/>
    <w:rsid w:val="005D77DE"/>
    <w:rsid w:val="005D7836"/>
    <w:rsid w:val="005D7C5C"/>
    <w:rsid w:val="005E03C5"/>
    <w:rsid w:val="005E0688"/>
    <w:rsid w:val="005E0B51"/>
    <w:rsid w:val="005E168E"/>
    <w:rsid w:val="005E23A8"/>
    <w:rsid w:val="005E2E01"/>
    <w:rsid w:val="005E364C"/>
    <w:rsid w:val="005E38BD"/>
    <w:rsid w:val="005E3C86"/>
    <w:rsid w:val="005E3FC5"/>
    <w:rsid w:val="005E43B9"/>
    <w:rsid w:val="005E4608"/>
    <w:rsid w:val="005E4770"/>
    <w:rsid w:val="005E4E94"/>
    <w:rsid w:val="005E5238"/>
    <w:rsid w:val="005E57D8"/>
    <w:rsid w:val="005E5BC4"/>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487"/>
    <w:rsid w:val="005F3585"/>
    <w:rsid w:val="005F3777"/>
    <w:rsid w:val="005F45E8"/>
    <w:rsid w:val="005F4C25"/>
    <w:rsid w:val="005F514B"/>
    <w:rsid w:val="005F55DA"/>
    <w:rsid w:val="005F6AE2"/>
    <w:rsid w:val="00600621"/>
    <w:rsid w:val="006010F4"/>
    <w:rsid w:val="006013E6"/>
    <w:rsid w:val="0060142A"/>
    <w:rsid w:val="00601583"/>
    <w:rsid w:val="006015E8"/>
    <w:rsid w:val="006028CB"/>
    <w:rsid w:val="00603824"/>
    <w:rsid w:val="00605857"/>
    <w:rsid w:val="00605D2F"/>
    <w:rsid w:val="00605F73"/>
    <w:rsid w:val="00606ADB"/>
    <w:rsid w:val="00606C84"/>
    <w:rsid w:val="00606D4B"/>
    <w:rsid w:val="006078B4"/>
    <w:rsid w:val="00607C59"/>
    <w:rsid w:val="00607D89"/>
    <w:rsid w:val="00607F19"/>
    <w:rsid w:val="00607FA2"/>
    <w:rsid w:val="00610124"/>
    <w:rsid w:val="0061073C"/>
    <w:rsid w:val="00610DB7"/>
    <w:rsid w:val="00611334"/>
    <w:rsid w:val="006113E1"/>
    <w:rsid w:val="00611EF4"/>
    <w:rsid w:val="00612401"/>
    <w:rsid w:val="00613473"/>
    <w:rsid w:val="00613828"/>
    <w:rsid w:val="0061452D"/>
    <w:rsid w:val="006148E3"/>
    <w:rsid w:val="00614A9D"/>
    <w:rsid w:val="006156ED"/>
    <w:rsid w:val="00616171"/>
    <w:rsid w:val="00616561"/>
    <w:rsid w:val="0061785B"/>
    <w:rsid w:val="00617EB2"/>
    <w:rsid w:val="00617FD9"/>
    <w:rsid w:val="00620D69"/>
    <w:rsid w:val="00620F13"/>
    <w:rsid w:val="006210D4"/>
    <w:rsid w:val="00621180"/>
    <w:rsid w:val="0062150D"/>
    <w:rsid w:val="006215AB"/>
    <w:rsid w:val="00621A24"/>
    <w:rsid w:val="00621F72"/>
    <w:rsid w:val="00622061"/>
    <w:rsid w:val="00622CB3"/>
    <w:rsid w:val="00622E60"/>
    <w:rsid w:val="00623030"/>
    <w:rsid w:val="00623335"/>
    <w:rsid w:val="006238C0"/>
    <w:rsid w:val="0062392B"/>
    <w:rsid w:val="006255B4"/>
    <w:rsid w:val="006256E7"/>
    <w:rsid w:val="00625945"/>
    <w:rsid w:val="00626F7F"/>
    <w:rsid w:val="00630170"/>
    <w:rsid w:val="006305F8"/>
    <w:rsid w:val="00630717"/>
    <w:rsid w:val="00630E22"/>
    <w:rsid w:val="00631159"/>
    <w:rsid w:val="0063196F"/>
    <w:rsid w:val="00632336"/>
    <w:rsid w:val="006325CA"/>
    <w:rsid w:val="00633827"/>
    <w:rsid w:val="00635123"/>
    <w:rsid w:val="00635A36"/>
    <w:rsid w:val="00636013"/>
    <w:rsid w:val="00636FC8"/>
    <w:rsid w:val="006376D6"/>
    <w:rsid w:val="00637754"/>
    <w:rsid w:val="00637C81"/>
    <w:rsid w:val="00637EC2"/>
    <w:rsid w:val="00640799"/>
    <w:rsid w:val="00640B90"/>
    <w:rsid w:val="00641C40"/>
    <w:rsid w:val="0064305E"/>
    <w:rsid w:val="00643419"/>
    <w:rsid w:val="006449A0"/>
    <w:rsid w:val="00645689"/>
    <w:rsid w:val="00645D68"/>
    <w:rsid w:val="00645FC4"/>
    <w:rsid w:val="0064713A"/>
    <w:rsid w:val="00647ABF"/>
    <w:rsid w:val="00647C6B"/>
    <w:rsid w:val="00651369"/>
    <w:rsid w:val="00651508"/>
    <w:rsid w:val="00651673"/>
    <w:rsid w:val="00651A66"/>
    <w:rsid w:val="00652537"/>
    <w:rsid w:val="006528B8"/>
    <w:rsid w:val="00653198"/>
    <w:rsid w:val="00653414"/>
    <w:rsid w:val="006542A3"/>
    <w:rsid w:val="006545BC"/>
    <w:rsid w:val="006547F1"/>
    <w:rsid w:val="006556A5"/>
    <w:rsid w:val="00655727"/>
    <w:rsid w:val="006566C8"/>
    <w:rsid w:val="00656F6C"/>
    <w:rsid w:val="00657285"/>
    <w:rsid w:val="006608D2"/>
    <w:rsid w:val="00661A5B"/>
    <w:rsid w:val="00662048"/>
    <w:rsid w:val="0066267C"/>
    <w:rsid w:val="00662767"/>
    <w:rsid w:val="006628AF"/>
    <w:rsid w:val="006628EB"/>
    <w:rsid w:val="00662CEB"/>
    <w:rsid w:val="0066300D"/>
    <w:rsid w:val="0066303D"/>
    <w:rsid w:val="00663DAD"/>
    <w:rsid w:val="006641A4"/>
    <w:rsid w:val="006641F2"/>
    <w:rsid w:val="006644F8"/>
    <w:rsid w:val="00664B26"/>
    <w:rsid w:val="006657DF"/>
    <w:rsid w:val="00666830"/>
    <w:rsid w:val="006669EF"/>
    <w:rsid w:val="00666CFA"/>
    <w:rsid w:val="00667D9F"/>
    <w:rsid w:val="00670CAA"/>
    <w:rsid w:val="00672E99"/>
    <w:rsid w:val="00673113"/>
    <w:rsid w:val="00673847"/>
    <w:rsid w:val="00673DB9"/>
    <w:rsid w:val="00676A92"/>
    <w:rsid w:val="0067744C"/>
    <w:rsid w:val="0067751B"/>
    <w:rsid w:val="0067780F"/>
    <w:rsid w:val="00677A1B"/>
    <w:rsid w:val="00677E29"/>
    <w:rsid w:val="0068023F"/>
    <w:rsid w:val="006805D9"/>
    <w:rsid w:val="00680FBC"/>
    <w:rsid w:val="00681246"/>
    <w:rsid w:val="006816E0"/>
    <w:rsid w:val="00681B58"/>
    <w:rsid w:val="00681CA8"/>
    <w:rsid w:val="0068311A"/>
    <w:rsid w:val="006832EC"/>
    <w:rsid w:val="0068386D"/>
    <w:rsid w:val="00683EA1"/>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2124"/>
    <w:rsid w:val="006922B7"/>
    <w:rsid w:val="006924A0"/>
    <w:rsid w:val="00692D42"/>
    <w:rsid w:val="00692FED"/>
    <w:rsid w:val="00693337"/>
    <w:rsid w:val="0069339F"/>
    <w:rsid w:val="006934F0"/>
    <w:rsid w:val="006935C5"/>
    <w:rsid w:val="00693B52"/>
    <w:rsid w:val="00694030"/>
    <w:rsid w:val="00694085"/>
    <w:rsid w:val="00694264"/>
    <w:rsid w:val="00694996"/>
    <w:rsid w:val="0069522D"/>
    <w:rsid w:val="0069573D"/>
    <w:rsid w:val="006965E9"/>
    <w:rsid w:val="006967CA"/>
    <w:rsid w:val="00697331"/>
    <w:rsid w:val="00697D1F"/>
    <w:rsid w:val="006A05AD"/>
    <w:rsid w:val="006A0834"/>
    <w:rsid w:val="006A0C4F"/>
    <w:rsid w:val="006A0C85"/>
    <w:rsid w:val="006A1C92"/>
    <w:rsid w:val="006A1F5C"/>
    <w:rsid w:val="006A24A5"/>
    <w:rsid w:val="006A2BE2"/>
    <w:rsid w:val="006A2DD7"/>
    <w:rsid w:val="006A310D"/>
    <w:rsid w:val="006A32D1"/>
    <w:rsid w:val="006A32FB"/>
    <w:rsid w:val="006A3468"/>
    <w:rsid w:val="006A3691"/>
    <w:rsid w:val="006A3C43"/>
    <w:rsid w:val="006A3DD0"/>
    <w:rsid w:val="006A3E33"/>
    <w:rsid w:val="006A3E99"/>
    <w:rsid w:val="006A4970"/>
    <w:rsid w:val="006A56E7"/>
    <w:rsid w:val="006A570B"/>
    <w:rsid w:val="006A58CA"/>
    <w:rsid w:val="006A6141"/>
    <w:rsid w:val="006A62E7"/>
    <w:rsid w:val="006A64FA"/>
    <w:rsid w:val="006A7037"/>
    <w:rsid w:val="006A71C1"/>
    <w:rsid w:val="006A735C"/>
    <w:rsid w:val="006A744C"/>
    <w:rsid w:val="006A7B24"/>
    <w:rsid w:val="006B0109"/>
    <w:rsid w:val="006B0A83"/>
    <w:rsid w:val="006B1016"/>
    <w:rsid w:val="006B12D8"/>
    <w:rsid w:val="006B2780"/>
    <w:rsid w:val="006B2BC6"/>
    <w:rsid w:val="006B339E"/>
    <w:rsid w:val="006B4233"/>
    <w:rsid w:val="006B4AC3"/>
    <w:rsid w:val="006B4BD1"/>
    <w:rsid w:val="006B4F7E"/>
    <w:rsid w:val="006B50E8"/>
    <w:rsid w:val="006B52CC"/>
    <w:rsid w:val="006B62D6"/>
    <w:rsid w:val="006B7007"/>
    <w:rsid w:val="006B706B"/>
    <w:rsid w:val="006B75BB"/>
    <w:rsid w:val="006C01C1"/>
    <w:rsid w:val="006C097A"/>
    <w:rsid w:val="006C1F54"/>
    <w:rsid w:val="006C2872"/>
    <w:rsid w:val="006C29D3"/>
    <w:rsid w:val="006C29DC"/>
    <w:rsid w:val="006C2BBD"/>
    <w:rsid w:val="006C356E"/>
    <w:rsid w:val="006C378F"/>
    <w:rsid w:val="006C3A93"/>
    <w:rsid w:val="006C3ADE"/>
    <w:rsid w:val="006C4EC9"/>
    <w:rsid w:val="006C5096"/>
    <w:rsid w:val="006C5142"/>
    <w:rsid w:val="006C53CF"/>
    <w:rsid w:val="006C5790"/>
    <w:rsid w:val="006C5C35"/>
    <w:rsid w:val="006C5F1C"/>
    <w:rsid w:val="006C6383"/>
    <w:rsid w:val="006C656F"/>
    <w:rsid w:val="006C6D01"/>
    <w:rsid w:val="006C7CB1"/>
    <w:rsid w:val="006D03C6"/>
    <w:rsid w:val="006D0CE6"/>
    <w:rsid w:val="006D0D6E"/>
    <w:rsid w:val="006D2429"/>
    <w:rsid w:val="006D296C"/>
    <w:rsid w:val="006D31C3"/>
    <w:rsid w:val="006D3682"/>
    <w:rsid w:val="006D3ADE"/>
    <w:rsid w:val="006D4562"/>
    <w:rsid w:val="006D4DE7"/>
    <w:rsid w:val="006D4FA4"/>
    <w:rsid w:val="006D599C"/>
    <w:rsid w:val="006D5F5C"/>
    <w:rsid w:val="006D6829"/>
    <w:rsid w:val="006D6ABF"/>
    <w:rsid w:val="006D739A"/>
    <w:rsid w:val="006D7A56"/>
    <w:rsid w:val="006E02CF"/>
    <w:rsid w:val="006E0623"/>
    <w:rsid w:val="006E1183"/>
    <w:rsid w:val="006E18F7"/>
    <w:rsid w:val="006E1AB4"/>
    <w:rsid w:val="006E1C2A"/>
    <w:rsid w:val="006E1F8F"/>
    <w:rsid w:val="006E26D0"/>
    <w:rsid w:val="006E28E3"/>
    <w:rsid w:val="006E33B3"/>
    <w:rsid w:val="006E4467"/>
    <w:rsid w:val="006E4971"/>
    <w:rsid w:val="006E4BA1"/>
    <w:rsid w:val="006E550E"/>
    <w:rsid w:val="006E5D34"/>
    <w:rsid w:val="006E5DCC"/>
    <w:rsid w:val="006E6181"/>
    <w:rsid w:val="006E70C4"/>
    <w:rsid w:val="006E74F6"/>
    <w:rsid w:val="006F05D3"/>
    <w:rsid w:val="006F09D2"/>
    <w:rsid w:val="006F0D0A"/>
    <w:rsid w:val="006F1F10"/>
    <w:rsid w:val="006F2F69"/>
    <w:rsid w:val="006F2FBF"/>
    <w:rsid w:val="006F36E4"/>
    <w:rsid w:val="006F3D0B"/>
    <w:rsid w:val="006F4227"/>
    <w:rsid w:val="006F46F1"/>
    <w:rsid w:val="006F481D"/>
    <w:rsid w:val="006F49F2"/>
    <w:rsid w:val="006F5319"/>
    <w:rsid w:val="006F62C4"/>
    <w:rsid w:val="006F7955"/>
    <w:rsid w:val="006F7D22"/>
    <w:rsid w:val="006F7F7C"/>
    <w:rsid w:val="007014D5"/>
    <w:rsid w:val="00703401"/>
    <w:rsid w:val="007035DD"/>
    <w:rsid w:val="00703F61"/>
    <w:rsid w:val="0070445A"/>
    <w:rsid w:val="007045FC"/>
    <w:rsid w:val="00705451"/>
    <w:rsid w:val="007059C4"/>
    <w:rsid w:val="00705B1E"/>
    <w:rsid w:val="007060D9"/>
    <w:rsid w:val="007061DF"/>
    <w:rsid w:val="0070624D"/>
    <w:rsid w:val="007067D2"/>
    <w:rsid w:val="0070738F"/>
    <w:rsid w:val="007074F6"/>
    <w:rsid w:val="0070791D"/>
    <w:rsid w:val="00707A94"/>
    <w:rsid w:val="00707C1E"/>
    <w:rsid w:val="00710D8A"/>
    <w:rsid w:val="00710ECE"/>
    <w:rsid w:val="00710F79"/>
    <w:rsid w:val="00710FAB"/>
    <w:rsid w:val="00711173"/>
    <w:rsid w:val="007118CF"/>
    <w:rsid w:val="00712826"/>
    <w:rsid w:val="00713C07"/>
    <w:rsid w:val="00714357"/>
    <w:rsid w:val="007144B9"/>
    <w:rsid w:val="0071456F"/>
    <w:rsid w:val="00714A4B"/>
    <w:rsid w:val="00715AF3"/>
    <w:rsid w:val="00716530"/>
    <w:rsid w:val="007168ED"/>
    <w:rsid w:val="00716A08"/>
    <w:rsid w:val="00716C8C"/>
    <w:rsid w:val="0071785D"/>
    <w:rsid w:val="00717C43"/>
    <w:rsid w:val="00720537"/>
    <w:rsid w:val="00720B05"/>
    <w:rsid w:val="00720B11"/>
    <w:rsid w:val="00721DC1"/>
    <w:rsid w:val="00721F83"/>
    <w:rsid w:val="007220B2"/>
    <w:rsid w:val="00722D24"/>
    <w:rsid w:val="0072320E"/>
    <w:rsid w:val="00724149"/>
    <w:rsid w:val="007241CD"/>
    <w:rsid w:val="00725069"/>
    <w:rsid w:val="007250D9"/>
    <w:rsid w:val="00725F95"/>
    <w:rsid w:val="007260C2"/>
    <w:rsid w:val="00726583"/>
    <w:rsid w:val="00726DB1"/>
    <w:rsid w:val="00727C98"/>
    <w:rsid w:val="00730FFA"/>
    <w:rsid w:val="00732FCE"/>
    <w:rsid w:val="0073314A"/>
    <w:rsid w:val="007338CE"/>
    <w:rsid w:val="00733AC3"/>
    <w:rsid w:val="00734501"/>
    <w:rsid w:val="0073474E"/>
    <w:rsid w:val="00734953"/>
    <w:rsid w:val="00735346"/>
    <w:rsid w:val="007357D9"/>
    <w:rsid w:val="00735A3C"/>
    <w:rsid w:val="007366A1"/>
    <w:rsid w:val="0073678C"/>
    <w:rsid w:val="00736BD5"/>
    <w:rsid w:val="00736C1B"/>
    <w:rsid w:val="00740302"/>
    <w:rsid w:val="00740C41"/>
    <w:rsid w:val="00741BDE"/>
    <w:rsid w:val="00742479"/>
    <w:rsid w:val="007433FF"/>
    <w:rsid w:val="00743673"/>
    <w:rsid w:val="007436B6"/>
    <w:rsid w:val="007436CE"/>
    <w:rsid w:val="00743742"/>
    <w:rsid w:val="0074397A"/>
    <w:rsid w:val="00743D43"/>
    <w:rsid w:val="007444B6"/>
    <w:rsid w:val="00744658"/>
    <w:rsid w:val="00744C36"/>
    <w:rsid w:val="00745F32"/>
    <w:rsid w:val="00746CB8"/>
    <w:rsid w:val="00747008"/>
    <w:rsid w:val="007470DE"/>
    <w:rsid w:val="00747682"/>
    <w:rsid w:val="00747D68"/>
    <w:rsid w:val="00750424"/>
    <w:rsid w:val="00750542"/>
    <w:rsid w:val="00750BF7"/>
    <w:rsid w:val="00750DA4"/>
    <w:rsid w:val="00751000"/>
    <w:rsid w:val="007515E0"/>
    <w:rsid w:val="00751948"/>
    <w:rsid w:val="0075229F"/>
    <w:rsid w:val="00752589"/>
    <w:rsid w:val="0075336D"/>
    <w:rsid w:val="00753AB2"/>
    <w:rsid w:val="00754C98"/>
    <w:rsid w:val="0075603B"/>
    <w:rsid w:val="0075654B"/>
    <w:rsid w:val="0076073F"/>
    <w:rsid w:val="00760937"/>
    <w:rsid w:val="0076096B"/>
    <w:rsid w:val="00760A3D"/>
    <w:rsid w:val="007617B4"/>
    <w:rsid w:val="007628DC"/>
    <w:rsid w:val="007630C1"/>
    <w:rsid w:val="0076377D"/>
    <w:rsid w:val="00763DE7"/>
    <w:rsid w:val="00763F69"/>
    <w:rsid w:val="007643B4"/>
    <w:rsid w:val="00765295"/>
    <w:rsid w:val="00765FA9"/>
    <w:rsid w:val="007667DB"/>
    <w:rsid w:val="0076734B"/>
    <w:rsid w:val="0076761C"/>
    <w:rsid w:val="00770616"/>
    <w:rsid w:val="00770C08"/>
    <w:rsid w:val="007710B6"/>
    <w:rsid w:val="00771488"/>
    <w:rsid w:val="007717D0"/>
    <w:rsid w:val="0077218A"/>
    <w:rsid w:val="00772551"/>
    <w:rsid w:val="007728F2"/>
    <w:rsid w:val="0077335C"/>
    <w:rsid w:val="007733D5"/>
    <w:rsid w:val="00773A72"/>
    <w:rsid w:val="00774984"/>
    <w:rsid w:val="00774A2D"/>
    <w:rsid w:val="00775806"/>
    <w:rsid w:val="00775D61"/>
    <w:rsid w:val="00776478"/>
    <w:rsid w:val="00776E96"/>
    <w:rsid w:val="00776F27"/>
    <w:rsid w:val="00777B27"/>
    <w:rsid w:val="00777B94"/>
    <w:rsid w:val="007822DB"/>
    <w:rsid w:val="0078236D"/>
    <w:rsid w:val="007827B0"/>
    <w:rsid w:val="00783FB0"/>
    <w:rsid w:val="007846A2"/>
    <w:rsid w:val="007854D7"/>
    <w:rsid w:val="00785524"/>
    <w:rsid w:val="00785765"/>
    <w:rsid w:val="007862D6"/>
    <w:rsid w:val="0078630C"/>
    <w:rsid w:val="00786312"/>
    <w:rsid w:val="007870C4"/>
    <w:rsid w:val="007876BA"/>
    <w:rsid w:val="00787C9D"/>
    <w:rsid w:val="00787DD3"/>
    <w:rsid w:val="007901A4"/>
    <w:rsid w:val="007901EB"/>
    <w:rsid w:val="007904E7"/>
    <w:rsid w:val="007905D2"/>
    <w:rsid w:val="0079098A"/>
    <w:rsid w:val="0079376C"/>
    <w:rsid w:val="00793A8B"/>
    <w:rsid w:val="007940DA"/>
    <w:rsid w:val="00794F3B"/>
    <w:rsid w:val="0079516C"/>
    <w:rsid w:val="007951D3"/>
    <w:rsid w:val="00796A5C"/>
    <w:rsid w:val="00796CD2"/>
    <w:rsid w:val="00797DFF"/>
    <w:rsid w:val="00797EC9"/>
    <w:rsid w:val="007A19CD"/>
    <w:rsid w:val="007A23CC"/>
    <w:rsid w:val="007A2E5C"/>
    <w:rsid w:val="007A533B"/>
    <w:rsid w:val="007A55B5"/>
    <w:rsid w:val="007A59E2"/>
    <w:rsid w:val="007A5A58"/>
    <w:rsid w:val="007A5BD8"/>
    <w:rsid w:val="007A62C4"/>
    <w:rsid w:val="007A6A25"/>
    <w:rsid w:val="007A77C9"/>
    <w:rsid w:val="007A79A6"/>
    <w:rsid w:val="007A7FD3"/>
    <w:rsid w:val="007B0C53"/>
    <w:rsid w:val="007B1F33"/>
    <w:rsid w:val="007B26BF"/>
    <w:rsid w:val="007B2983"/>
    <w:rsid w:val="007B2E3F"/>
    <w:rsid w:val="007B318F"/>
    <w:rsid w:val="007B357E"/>
    <w:rsid w:val="007B38A7"/>
    <w:rsid w:val="007B3A64"/>
    <w:rsid w:val="007B3B00"/>
    <w:rsid w:val="007B3BA0"/>
    <w:rsid w:val="007B3BAD"/>
    <w:rsid w:val="007B3FAB"/>
    <w:rsid w:val="007B4037"/>
    <w:rsid w:val="007B4392"/>
    <w:rsid w:val="007B4409"/>
    <w:rsid w:val="007B450A"/>
    <w:rsid w:val="007B4B60"/>
    <w:rsid w:val="007B58E0"/>
    <w:rsid w:val="007B5B67"/>
    <w:rsid w:val="007B74B0"/>
    <w:rsid w:val="007C09CD"/>
    <w:rsid w:val="007C338C"/>
    <w:rsid w:val="007C37EA"/>
    <w:rsid w:val="007C4BBF"/>
    <w:rsid w:val="007C4D9A"/>
    <w:rsid w:val="007C589B"/>
    <w:rsid w:val="007C6789"/>
    <w:rsid w:val="007C70B5"/>
    <w:rsid w:val="007C70E1"/>
    <w:rsid w:val="007C73B2"/>
    <w:rsid w:val="007C7BF2"/>
    <w:rsid w:val="007C7DEE"/>
    <w:rsid w:val="007D0A9F"/>
    <w:rsid w:val="007D0BBC"/>
    <w:rsid w:val="007D0FBA"/>
    <w:rsid w:val="007D16B9"/>
    <w:rsid w:val="007D3C11"/>
    <w:rsid w:val="007D4ACD"/>
    <w:rsid w:val="007D4D2A"/>
    <w:rsid w:val="007D5F63"/>
    <w:rsid w:val="007D61EA"/>
    <w:rsid w:val="007D65E4"/>
    <w:rsid w:val="007D7855"/>
    <w:rsid w:val="007D7949"/>
    <w:rsid w:val="007D7987"/>
    <w:rsid w:val="007D7B04"/>
    <w:rsid w:val="007D7D02"/>
    <w:rsid w:val="007E0B9B"/>
    <w:rsid w:val="007E0CA6"/>
    <w:rsid w:val="007E0CAB"/>
    <w:rsid w:val="007E0E73"/>
    <w:rsid w:val="007E2A0B"/>
    <w:rsid w:val="007E2B1A"/>
    <w:rsid w:val="007E3277"/>
    <w:rsid w:val="007E35B2"/>
    <w:rsid w:val="007E36AC"/>
    <w:rsid w:val="007E412A"/>
    <w:rsid w:val="007E502F"/>
    <w:rsid w:val="007E53D3"/>
    <w:rsid w:val="007E5954"/>
    <w:rsid w:val="007E5D88"/>
    <w:rsid w:val="007E5F41"/>
    <w:rsid w:val="007E5F87"/>
    <w:rsid w:val="007E6DF7"/>
    <w:rsid w:val="007E6E49"/>
    <w:rsid w:val="007E733A"/>
    <w:rsid w:val="007F0036"/>
    <w:rsid w:val="007F1341"/>
    <w:rsid w:val="007F1A03"/>
    <w:rsid w:val="007F2DD4"/>
    <w:rsid w:val="007F35A6"/>
    <w:rsid w:val="007F3889"/>
    <w:rsid w:val="007F3DFA"/>
    <w:rsid w:val="007F3F5A"/>
    <w:rsid w:val="007F4495"/>
    <w:rsid w:val="007F4A58"/>
    <w:rsid w:val="007F4DCD"/>
    <w:rsid w:val="007F516D"/>
    <w:rsid w:val="007F53CA"/>
    <w:rsid w:val="007F553D"/>
    <w:rsid w:val="007F59C2"/>
    <w:rsid w:val="007F68DB"/>
    <w:rsid w:val="007F6AC4"/>
    <w:rsid w:val="007F6CB5"/>
    <w:rsid w:val="008003D4"/>
    <w:rsid w:val="008019F4"/>
    <w:rsid w:val="00801EED"/>
    <w:rsid w:val="00801F1D"/>
    <w:rsid w:val="00802178"/>
    <w:rsid w:val="0080233A"/>
    <w:rsid w:val="00802517"/>
    <w:rsid w:val="0080274A"/>
    <w:rsid w:val="00803770"/>
    <w:rsid w:val="00805EF1"/>
    <w:rsid w:val="00807497"/>
    <w:rsid w:val="0081004B"/>
    <w:rsid w:val="008101D3"/>
    <w:rsid w:val="008101EC"/>
    <w:rsid w:val="00810F3E"/>
    <w:rsid w:val="00811D29"/>
    <w:rsid w:val="00811F89"/>
    <w:rsid w:val="008125A0"/>
    <w:rsid w:val="00813372"/>
    <w:rsid w:val="00814946"/>
    <w:rsid w:val="00815345"/>
    <w:rsid w:val="008169A2"/>
    <w:rsid w:val="00816BAD"/>
    <w:rsid w:val="0081777B"/>
    <w:rsid w:val="0081791F"/>
    <w:rsid w:val="008179B5"/>
    <w:rsid w:val="00821927"/>
    <w:rsid w:val="00821BD4"/>
    <w:rsid w:val="00822684"/>
    <w:rsid w:val="00822843"/>
    <w:rsid w:val="008244D3"/>
    <w:rsid w:val="00824AD9"/>
    <w:rsid w:val="00825A62"/>
    <w:rsid w:val="00826BE1"/>
    <w:rsid w:val="008271EE"/>
    <w:rsid w:val="00827D31"/>
    <w:rsid w:val="00827EFA"/>
    <w:rsid w:val="00830145"/>
    <w:rsid w:val="0083138F"/>
    <w:rsid w:val="00832233"/>
    <w:rsid w:val="00832759"/>
    <w:rsid w:val="00832CB9"/>
    <w:rsid w:val="00832F1A"/>
    <w:rsid w:val="008333BA"/>
    <w:rsid w:val="00835682"/>
    <w:rsid w:val="00835AC6"/>
    <w:rsid w:val="00836A9E"/>
    <w:rsid w:val="00836C5C"/>
    <w:rsid w:val="00840123"/>
    <w:rsid w:val="00840CCA"/>
    <w:rsid w:val="00841142"/>
    <w:rsid w:val="00841B13"/>
    <w:rsid w:val="00842BC0"/>
    <w:rsid w:val="00843713"/>
    <w:rsid w:val="00843C62"/>
    <w:rsid w:val="0084458B"/>
    <w:rsid w:val="00844779"/>
    <w:rsid w:val="008461E4"/>
    <w:rsid w:val="0084675F"/>
    <w:rsid w:val="0084706C"/>
    <w:rsid w:val="00847218"/>
    <w:rsid w:val="008474E9"/>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198"/>
    <w:rsid w:val="00854399"/>
    <w:rsid w:val="00855B64"/>
    <w:rsid w:val="00856346"/>
    <w:rsid w:val="00856401"/>
    <w:rsid w:val="00857F2F"/>
    <w:rsid w:val="00860139"/>
    <w:rsid w:val="00860266"/>
    <w:rsid w:val="00860723"/>
    <w:rsid w:val="00861461"/>
    <w:rsid w:val="00861BEC"/>
    <w:rsid w:val="00862640"/>
    <w:rsid w:val="008632C2"/>
    <w:rsid w:val="00863344"/>
    <w:rsid w:val="00863491"/>
    <w:rsid w:val="00863593"/>
    <w:rsid w:val="008642CF"/>
    <w:rsid w:val="00864E03"/>
    <w:rsid w:val="00865E87"/>
    <w:rsid w:val="008673BD"/>
    <w:rsid w:val="00871F5B"/>
    <w:rsid w:val="00872530"/>
    <w:rsid w:val="008726AD"/>
    <w:rsid w:val="00872BC4"/>
    <w:rsid w:val="00872CA1"/>
    <w:rsid w:val="008734B9"/>
    <w:rsid w:val="0087364A"/>
    <w:rsid w:val="00873C71"/>
    <w:rsid w:val="00873D35"/>
    <w:rsid w:val="00874706"/>
    <w:rsid w:val="00874B17"/>
    <w:rsid w:val="00875F9E"/>
    <w:rsid w:val="0087616E"/>
    <w:rsid w:val="00876FFB"/>
    <w:rsid w:val="00877091"/>
    <w:rsid w:val="00877242"/>
    <w:rsid w:val="00877587"/>
    <w:rsid w:val="00880BD0"/>
    <w:rsid w:val="00881B8E"/>
    <w:rsid w:val="008825E9"/>
    <w:rsid w:val="008829DC"/>
    <w:rsid w:val="008838E0"/>
    <w:rsid w:val="00883BC7"/>
    <w:rsid w:val="008845B3"/>
    <w:rsid w:val="00884F61"/>
    <w:rsid w:val="00885779"/>
    <w:rsid w:val="00885B88"/>
    <w:rsid w:val="008866EE"/>
    <w:rsid w:val="0088716B"/>
    <w:rsid w:val="00887F51"/>
    <w:rsid w:val="00891746"/>
    <w:rsid w:val="00891CF6"/>
    <w:rsid w:val="00891FFE"/>
    <w:rsid w:val="008921E3"/>
    <w:rsid w:val="008922D9"/>
    <w:rsid w:val="00893DD6"/>
    <w:rsid w:val="00894915"/>
    <w:rsid w:val="0089611A"/>
    <w:rsid w:val="00896396"/>
    <w:rsid w:val="008A0771"/>
    <w:rsid w:val="008A0E14"/>
    <w:rsid w:val="008A1D38"/>
    <w:rsid w:val="008A1F7F"/>
    <w:rsid w:val="008A2393"/>
    <w:rsid w:val="008A29E7"/>
    <w:rsid w:val="008A2A70"/>
    <w:rsid w:val="008A2BAD"/>
    <w:rsid w:val="008A2FD0"/>
    <w:rsid w:val="008A383E"/>
    <w:rsid w:val="008A397B"/>
    <w:rsid w:val="008A3E32"/>
    <w:rsid w:val="008A3E52"/>
    <w:rsid w:val="008A41F0"/>
    <w:rsid w:val="008A4A62"/>
    <w:rsid w:val="008A52AB"/>
    <w:rsid w:val="008A59BF"/>
    <w:rsid w:val="008A5AA9"/>
    <w:rsid w:val="008A61BF"/>
    <w:rsid w:val="008A714D"/>
    <w:rsid w:val="008A7C24"/>
    <w:rsid w:val="008A7C3C"/>
    <w:rsid w:val="008A7D8D"/>
    <w:rsid w:val="008A7FBC"/>
    <w:rsid w:val="008B005F"/>
    <w:rsid w:val="008B02E6"/>
    <w:rsid w:val="008B09C8"/>
    <w:rsid w:val="008B0B3C"/>
    <w:rsid w:val="008B1265"/>
    <w:rsid w:val="008B135B"/>
    <w:rsid w:val="008B16FD"/>
    <w:rsid w:val="008B174E"/>
    <w:rsid w:val="008B3F7E"/>
    <w:rsid w:val="008B447F"/>
    <w:rsid w:val="008B4D10"/>
    <w:rsid w:val="008B53DC"/>
    <w:rsid w:val="008B61BA"/>
    <w:rsid w:val="008B6B8F"/>
    <w:rsid w:val="008B737A"/>
    <w:rsid w:val="008B7BB3"/>
    <w:rsid w:val="008C0F29"/>
    <w:rsid w:val="008C1315"/>
    <w:rsid w:val="008C1955"/>
    <w:rsid w:val="008C2071"/>
    <w:rsid w:val="008C30D5"/>
    <w:rsid w:val="008C36DE"/>
    <w:rsid w:val="008C53D4"/>
    <w:rsid w:val="008C5D48"/>
    <w:rsid w:val="008C5DEC"/>
    <w:rsid w:val="008C695E"/>
    <w:rsid w:val="008C6DC2"/>
    <w:rsid w:val="008C71E2"/>
    <w:rsid w:val="008C759B"/>
    <w:rsid w:val="008D0088"/>
    <w:rsid w:val="008D143C"/>
    <w:rsid w:val="008D2088"/>
    <w:rsid w:val="008D2269"/>
    <w:rsid w:val="008D2415"/>
    <w:rsid w:val="008D408E"/>
    <w:rsid w:val="008D4937"/>
    <w:rsid w:val="008D4DBF"/>
    <w:rsid w:val="008D52CF"/>
    <w:rsid w:val="008D53E1"/>
    <w:rsid w:val="008D5E88"/>
    <w:rsid w:val="008D62FD"/>
    <w:rsid w:val="008D73BF"/>
    <w:rsid w:val="008D7BA8"/>
    <w:rsid w:val="008D7E0D"/>
    <w:rsid w:val="008E1877"/>
    <w:rsid w:val="008E1DBA"/>
    <w:rsid w:val="008E221B"/>
    <w:rsid w:val="008E2FE4"/>
    <w:rsid w:val="008E31DD"/>
    <w:rsid w:val="008E4408"/>
    <w:rsid w:val="008E4B15"/>
    <w:rsid w:val="008E510F"/>
    <w:rsid w:val="008E56E4"/>
    <w:rsid w:val="008E5C31"/>
    <w:rsid w:val="008E6258"/>
    <w:rsid w:val="008E66DC"/>
    <w:rsid w:val="008E73DF"/>
    <w:rsid w:val="008E7730"/>
    <w:rsid w:val="008F02D2"/>
    <w:rsid w:val="008F19DD"/>
    <w:rsid w:val="008F1CDB"/>
    <w:rsid w:val="008F210E"/>
    <w:rsid w:val="008F217C"/>
    <w:rsid w:val="008F282D"/>
    <w:rsid w:val="008F2DE0"/>
    <w:rsid w:val="008F415C"/>
    <w:rsid w:val="008F4E90"/>
    <w:rsid w:val="008F4EE9"/>
    <w:rsid w:val="008F53EF"/>
    <w:rsid w:val="008F6EBA"/>
    <w:rsid w:val="008F7AAB"/>
    <w:rsid w:val="00900E91"/>
    <w:rsid w:val="00901059"/>
    <w:rsid w:val="00901D1D"/>
    <w:rsid w:val="0090288A"/>
    <w:rsid w:val="00902B38"/>
    <w:rsid w:val="009036A3"/>
    <w:rsid w:val="00903AEE"/>
    <w:rsid w:val="00904379"/>
    <w:rsid w:val="00904396"/>
    <w:rsid w:val="00910158"/>
    <w:rsid w:val="009101E9"/>
    <w:rsid w:val="009104B2"/>
    <w:rsid w:val="00911004"/>
    <w:rsid w:val="009115D5"/>
    <w:rsid w:val="009120DD"/>
    <w:rsid w:val="00912A35"/>
    <w:rsid w:val="009130E8"/>
    <w:rsid w:val="00913255"/>
    <w:rsid w:val="00913834"/>
    <w:rsid w:val="00914127"/>
    <w:rsid w:val="00914C73"/>
    <w:rsid w:val="009156B7"/>
    <w:rsid w:val="00915B38"/>
    <w:rsid w:val="00915CD8"/>
    <w:rsid w:val="0091746C"/>
    <w:rsid w:val="0091751C"/>
    <w:rsid w:val="00917701"/>
    <w:rsid w:val="00921255"/>
    <w:rsid w:val="009214A9"/>
    <w:rsid w:val="00921A62"/>
    <w:rsid w:val="00921B4D"/>
    <w:rsid w:val="00922434"/>
    <w:rsid w:val="009227CE"/>
    <w:rsid w:val="009227E1"/>
    <w:rsid w:val="00922C78"/>
    <w:rsid w:val="009234F5"/>
    <w:rsid w:val="00923671"/>
    <w:rsid w:val="009238AC"/>
    <w:rsid w:val="0092416D"/>
    <w:rsid w:val="00924807"/>
    <w:rsid w:val="009252DB"/>
    <w:rsid w:val="00925791"/>
    <w:rsid w:val="009258ED"/>
    <w:rsid w:val="0092613D"/>
    <w:rsid w:val="00926B0B"/>
    <w:rsid w:val="00926B76"/>
    <w:rsid w:val="00927B36"/>
    <w:rsid w:val="00927E0D"/>
    <w:rsid w:val="00930286"/>
    <w:rsid w:val="009303CC"/>
    <w:rsid w:val="00930597"/>
    <w:rsid w:val="00930D58"/>
    <w:rsid w:val="00930F1A"/>
    <w:rsid w:val="00931013"/>
    <w:rsid w:val="00931214"/>
    <w:rsid w:val="009318E1"/>
    <w:rsid w:val="00933116"/>
    <w:rsid w:val="009332B9"/>
    <w:rsid w:val="00933519"/>
    <w:rsid w:val="00933CBE"/>
    <w:rsid w:val="00933E7F"/>
    <w:rsid w:val="00933FEB"/>
    <w:rsid w:val="009342C2"/>
    <w:rsid w:val="00934587"/>
    <w:rsid w:val="00934CD5"/>
    <w:rsid w:val="00935495"/>
    <w:rsid w:val="009356E8"/>
    <w:rsid w:val="00935C31"/>
    <w:rsid w:val="00935EC3"/>
    <w:rsid w:val="00936461"/>
    <w:rsid w:val="0093659E"/>
    <w:rsid w:val="00937234"/>
    <w:rsid w:val="0093787F"/>
    <w:rsid w:val="00940241"/>
    <w:rsid w:val="009403C9"/>
    <w:rsid w:val="00940A78"/>
    <w:rsid w:val="00940C84"/>
    <w:rsid w:val="00940D74"/>
    <w:rsid w:val="00941031"/>
    <w:rsid w:val="00941BD6"/>
    <w:rsid w:val="00941FD4"/>
    <w:rsid w:val="0094301B"/>
    <w:rsid w:val="009441B7"/>
    <w:rsid w:val="009447A9"/>
    <w:rsid w:val="00944B3E"/>
    <w:rsid w:val="00944C3C"/>
    <w:rsid w:val="00945779"/>
    <w:rsid w:val="00945ECF"/>
    <w:rsid w:val="00945FB4"/>
    <w:rsid w:val="009462FD"/>
    <w:rsid w:val="009470FC"/>
    <w:rsid w:val="00947889"/>
    <w:rsid w:val="00947AF3"/>
    <w:rsid w:val="00947C81"/>
    <w:rsid w:val="0095048E"/>
    <w:rsid w:val="00950D38"/>
    <w:rsid w:val="009514EF"/>
    <w:rsid w:val="009516F2"/>
    <w:rsid w:val="009518EB"/>
    <w:rsid w:val="009527CC"/>
    <w:rsid w:val="00952F29"/>
    <w:rsid w:val="00953033"/>
    <w:rsid w:val="00953C0E"/>
    <w:rsid w:val="009545BC"/>
    <w:rsid w:val="00954823"/>
    <w:rsid w:val="009549D4"/>
    <w:rsid w:val="00954DFC"/>
    <w:rsid w:val="00955561"/>
    <w:rsid w:val="009557C5"/>
    <w:rsid w:val="00955C2B"/>
    <w:rsid w:val="00956BA1"/>
    <w:rsid w:val="00956BC9"/>
    <w:rsid w:val="00956CC9"/>
    <w:rsid w:val="00956E2E"/>
    <w:rsid w:val="009573F5"/>
    <w:rsid w:val="00957E9D"/>
    <w:rsid w:val="0096036C"/>
    <w:rsid w:val="00961D12"/>
    <w:rsid w:val="00962008"/>
    <w:rsid w:val="00962096"/>
    <w:rsid w:val="009626CB"/>
    <w:rsid w:val="009627F7"/>
    <w:rsid w:val="00962D37"/>
    <w:rsid w:val="00963BB7"/>
    <w:rsid w:val="00963D6A"/>
    <w:rsid w:val="00963FDF"/>
    <w:rsid w:val="00964346"/>
    <w:rsid w:val="00964C69"/>
    <w:rsid w:val="00964DF4"/>
    <w:rsid w:val="00964E31"/>
    <w:rsid w:val="00964E52"/>
    <w:rsid w:val="0096556F"/>
    <w:rsid w:val="00965758"/>
    <w:rsid w:val="0096675B"/>
    <w:rsid w:val="009670D3"/>
    <w:rsid w:val="00970832"/>
    <w:rsid w:val="00970A20"/>
    <w:rsid w:val="00971197"/>
    <w:rsid w:val="009712B6"/>
    <w:rsid w:val="009718F8"/>
    <w:rsid w:val="009720B9"/>
    <w:rsid w:val="00973D16"/>
    <w:rsid w:val="00974024"/>
    <w:rsid w:val="0097482B"/>
    <w:rsid w:val="00974B25"/>
    <w:rsid w:val="00974FCF"/>
    <w:rsid w:val="009755D0"/>
    <w:rsid w:val="00975676"/>
    <w:rsid w:val="0097774E"/>
    <w:rsid w:val="009801BB"/>
    <w:rsid w:val="009803C3"/>
    <w:rsid w:val="009803FC"/>
    <w:rsid w:val="00980554"/>
    <w:rsid w:val="00980CB6"/>
    <w:rsid w:val="00981904"/>
    <w:rsid w:val="00981A83"/>
    <w:rsid w:val="00981F1B"/>
    <w:rsid w:val="00982752"/>
    <w:rsid w:val="00982843"/>
    <w:rsid w:val="009829C2"/>
    <w:rsid w:val="00983FD9"/>
    <w:rsid w:val="00984F8F"/>
    <w:rsid w:val="00984FF4"/>
    <w:rsid w:val="00985236"/>
    <w:rsid w:val="00985CDF"/>
    <w:rsid w:val="00990203"/>
    <w:rsid w:val="0099081E"/>
    <w:rsid w:val="009909F4"/>
    <w:rsid w:val="009916CF"/>
    <w:rsid w:val="00991BC7"/>
    <w:rsid w:val="009921AA"/>
    <w:rsid w:val="009925A5"/>
    <w:rsid w:val="00992E10"/>
    <w:rsid w:val="00993D55"/>
    <w:rsid w:val="00994576"/>
    <w:rsid w:val="009945CE"/>
    <w:rsid w:val="00994718"/>
    <w:rsid w:val="009950D1"/>
    <w:rsid w:val="00995265"/>
    <w:rsid w:val="00995478"/>
    <w:rsid w:val="00996E0A"/>
    <w:rsid w:val="009974BC"/>
    <w:rsid w:val="00997EA1"/>
    <w:rsid w:val="009A0386"/>
    <w:rsid w:val="009A1427"/>
    <w:rsid w:val="009A2046"/>
    <w:rsid w:val="009A24C7"/>
    <w:rsid w:val="009A2BEE"/>
    <w:rsid w:val="009A329F"/>
    <w:rsid w:val="009A4E6F"/>
    <w:rsid w:val="009A4F50"/>
    <w:rsid w:val="009A5A96"/>
    <w:rsid w:val="009A7264"/>
    <w:rsid w:val="009A79E1"/>
    <w:rsid w:val="009A7DFA"/>
    <w:rsid w:val="009B0276"/>
    <w:rsid w:val="009B0B70"/>
    <w:rsid w:val="009B0E8A"/>
    <w:rsid w:val="009B1060"/>
    <w:rsid w:val="009B28E7"/>
    <w:rsid w:val="009B31B2"/>
    <w:rsid w:val="009B369C"/>
    <w:rsid w:val="009B3FEA"/>
    <w:rsid w:val="009B474B"/>
    <w:rsid w:val="009B4C07"/>
    <w:rsid w:val="009B541B"/>
    <w:rsid w:val="009B63DE"/>
    <w:rsid w:val="009B732D"/>
    <w:rsid w:val="009C11E3"/>
    <w:rsid w:val="009C2375"/>
    <w:rsid w:val="009C243A"/>
    <w:rsid w:val="009C2BEB"/>
    <w:rsid w:val="009C2C76"/>
    <w:rsid w:val="009C548B"/>
    <w:rsid w:val="009C5536"/>
    <w:rsid w:val="009C60A0"/>
    <w:rsid w:val="009C66BA"/>
    <w:rsid w:val="009C6A36"/>
    <w:rsid w:val="009C75D0"/>
    <w:rsid w:val="009D0481"/>
    <w:rsid w:val="009D0C8C"/>
    <w:rsid w:val="009D0E69"/>
    <w:rsid w:val="009D0F6B"/>
    <w:rsid w:val="009D1E1F"/>
    <w:rsid w:val="009D21DD"/>
    <w:rsid w:val="009D2476"/>
    <w:rsid w:val="009D311B"/>
    <w:rsid w:val="009D3E47"/>
    <w:rsid w:val="009D3F11"/>
    <w:rsid w:val="009D452D"/>
    <w:rsid w:val="009D4AD6"/>
    <w:rsid w:val="009D516D"/>
    <w:rsid w:val="009D5377"/>
    <w:rsid w:val="009D70A8"/>
    <w:rsid w:val="009D72E9"/>
    <w:rsid w:val="009D756C"/>
    <w:rsid w:val="009D78B3"/>
    <w:rsid w:val="009D7FBB"/>
    <w:rsid w:val="009E0720"/>
    <w:rsid w:val="009E0924"/>
    <w:rsid w:val="009E0F45"/>
    <w:rsid w:val="009E0F68"/>
    <w:rsid w:val="009E1005"/>
    <w:rsid w:val="009E1419"/>
    <w:rsid w:val="009E14F9"/>
    <w:rsid w:val="009E1639"/>
    <w:rsid w:val="009E16A7"/>
    <w:rsid w:val="009E1B4C"/>
    <w:rsid w:val="009E2CE0"/>
    <w:rsid w:val="009E2EAC"/>
    <w:rsid w:val="009E35C7"/>
    <w:rsid w:val="009E3C60"/>
    <w:rsid w:val="009E3FDD"/>
    <w:rsid w:val="009E460C"/>
    <w:rsid w:val="009E4A65"/>
    <w:rsid w:val="009E4B9D"/>
    <w:rsid w:val="009E549A"/>
    <w:rsid w:val="009E58BB"/>
    <w:rsid w:val="009E620E"/>
    <w:rsid w:val="009E712D"/>
    <w:rsid w:val="009E75C2"/>
    <w:rsid w:val="009E7DA3"/>
    <w:rsid w:val="009E7EED"/>
    <w:rsid w:val="009F04B2"/>
    <w:rsid w:val="009F04FB"/>
    <w:rsid w:val="009F10E6"/>
    <w:rsid w:val="009F118B"/>
    <w:rsid w:val="009F1551"/>
    <w:rsid w:val="009F192E"/>
    <w:rsid w:val="009F1D1B"/>
    <w:rsid w:val="009F29DC"/>
    <w:rsid w:val="009F33FC"/>
    <w:rsid w:val="009F4637"/>
    <w:rsid w:val="009F5286"/>
    <w:rsid w:val="009F57BC"/>
    <w:rsid w:val="009F59A0"/>
    <w:rsid w:val="009F5DB1"/>
    <w:rsid w:val="009F5F69"/>
    <w:rsid w:val="009F66E7"/>
    <w:rsid w:val="009F76D6"/>
    <w:rsid w:val="009F77A9"/>
    <w:rsid w:val="009F7DD6"/>
    <w:rsid w:val="00A00066"/>
    <w:rsid w:val="00A00BBA"/>
    <w:rsid w:val="00A00CA3"/>
    <w:rsid w:val="00A01903"/>
    <w:rsid w:val="00A01B74"/>
    <w:rsid w:val="00A021EE"/>
    <w:rsid w:val="00A02499"/>
    <w:rsid w:val="00A024D8"/>
    <w:rsid w:val="00A0283F"/>
    <w:rsid w:val="00A0296C"/>
    <w:rsid w:val="00A03DC3"/>
    <w:rsid w:val="00A04177"/>
    <w:rsid w:val="00A04642"/>
    <w:rsid w:val="00A04C1C"/>
    <w:rsid w:val="00A04C5E"/>
    <w:rsid w:val="00A05440"/>
    <w:rsid w:val="00A063EE"/>
    <w:rsid w:val="00A066F8"/>
    <w:rsid w:val="00A06D28"/>
    <w:rsid w:val="00A06D5D"/>
    <w:rsid w:val="00A07295"/>
    <w:rsid w:val="00A073CF"/>
    <w:rsid w:val="00A104CC"/>
    <w:rsid w:val="00A105EE"/>
    <w:rsid w:val="00A1065C"/>
    <w:rsid w:val="00A10AB9"/>
    <w:rsid w:val="00A10AD6"/>
    <w:rsid w:val="00A113BF"/>
    <w:rsid w:val="00A113CC"/>
    <w:rsid w:val="00A12784"/>
    <w:rsid w:val="00A12E42"/>
    <w:rsid w:val="00A130E3"/>
    <w:rsid w:val="00A140F0"/>
    <w:rsid w:val="00A14364"/>
    <w:rsid w:val="00A14EF6"/>
    <w:rsid w:val="00A1543B"/>
    <w:rsid w:val="00A157EE"/>
    <w:rsid w:val="00A15832"/>
    <w:rsid w:val="00A16209"/>
    <w:rsid w:val="00A16456"/>
    <w:rsid w:val="00A165C6"/>
    <w:rsid w:val="00A16C85"/>
    <w:rsid w:val="00A16DE0"/>
    <w:rsid w:val="00A1726E"/>
    <w:rsid w:val="00A17696"/>
    <w:rsid w:val="00A17CF0"/>
    <w:rsid w:val="00A200DB"/>
    <w:rsid w:val="00A20181"/>
    <w:rsid w:val="00A201EE"/>
    <w:rsid w:val="00A20E87"/>
    <w:rsid w:val="00A22732"/>
    <w:rsid w:val="00A23497"/>
    <w:rsid w:val="00A24D43"/>
    <w:rsid w:val="00A25571"/>
    <w:rsid w:val="00A267C3"/>
    <w:rsid w:val="00A26BF6"/>
    <w:rsid w:val="00A27335"/>
    <w:rsid w:val="00A30941"/>
    <w:rsid w:val="00A30A5D"/>
    <w:rsid w:val="00A3136F"/>
    <w:rsid w:val="00A31472"/>
    <w:rsid w:val="00A3155A"/>
    <w:rsid w:val="00A315B7"/>
    <w:rsid w:val="00A32534"/>
    <w:rsid w:val="00A32590"/>
    <w:rsid w:val="00A325CC"/>
    <w:rsid w:val="00A329BF"/>
    <w:rsid w:val="00A32F52"/>
    <w:rsid w:val="00A33161"/>
    <w:rsid w:val="00A342C9"/>
    <w:rsid w:val="00A34339"/>
    <w:rsid w:val="00A358DF"/>
    <w:rsid w:val="00A366FC"/>
    <w:rsid w:val="00A36AA7"/>
    <w:rsid w:val="00A37C93"/>
    <w:rsid w:val="00A37FB6"/>
    <w:rsid w:val="00A40297"/>
    <w:rsid w:val="00A40640"/>
    <w:rsid w:val="00A4095E"/>
    <w:rsid w:val="00A41388"/>
    <w:rsid w:val="00A41583"/>
    <w:rsid w:val="00A41751"/>
    <w:rsid w:val="00A41E54"/>
    <w:rsid w:val="00A42057"/>
    <w:rsid w:val="00A43389"/>
    <w:rsid w:val="00A43DDB"/>
    <w:rsid w:val="00A43F10"/>
    <w:rsid w:val="00A440BE"/>
    <w:rsid w:val="00A4431B"/>
    <w:rsid w:val="00A4453A"/>
    <w:rsid w:val="00A44560"/>
    <w:rsid w:val="00A4464E"/>
    <w:rsid w:val="00A44671"/>
    <w:rsid w:val="00A4496C"/>
    <w:rsid w:val="00A44E3B"/>
    <w:rsid w:val="00A4567E"/>
    <w:rsid w:val="00A46B7B"/>
    <w:rsid w:val="00A50CF1"/>
    <w:rsid w:val="00A50DDD"/>
    <w:rsid w:val="00A51245"/>
    <w:rsid w:val="00A52656"/>
    <w:rsid w:val="00A52D01"/>
    <w:rsid w:val="00A52D69"/>
    <w:rsid w:val="00A52E74"/>
    <w:rsid w:val="00A532B0"/>
    <w:rsid w:val="00A539F6"/>
    <w:rsid w:val="00A53EF4"/>
    <w:rsid w:val="00A543A9"/>
    <w:rsid w:val="00A54EBB"/>
    <w:rsid w:val="00A55009"/>
    <w:rsid w:val="00A55AF4"/>
    <w:rsid w:val="00A560A5"/>
    <w:rsid w:val="00A5627D"/>
    <w:rsid w:val="00A566A0"/>
    <w:rsid w:val="00A57BF6"/>
    <w:rsid w:val="00A57C78"/>
    <w:rsid w:val="00A60067"/>
    <w:rsid w:val="00A603F1"/>
    <w:rsid w:val="00A61C61"/>
    <w:rsid w:val="00A62458"/>
    <w:rsid w:val="00A63566"/>
    <w:rsid w:val="00A637D3"/>
    <w:rsid w:val="00A64A0C"/>
    <w:rsid w:val="00A64C55"/>
    <w:rsid w:val="00A662B8"/>
    <w:rsid w:val="00A6688E"/>
    <w:rsid w:val="00A70C44"/>
    <w:rsid w:val="00A70DAD"/>
    <w:rsid w:val="00A7132A"/>
    <w:rsid w:val="00A71457"/>
    <w:rsid w:val="00A718C9"/>
    <w:rsid w:val="00A71921"/>
    <w:rsid w:val="00A7210D"/>
    <w:rsid w:val="00A725AE"/>
    <w:rsid w:val="00A7263A"/>
    <w:rsid w:val="00A72B86"/>
    <w:rsid w:val="00A73401"/>
    <w:rsid w:val="00A738B7"/>
    <w:rsid w:val="00A73FBF"/>
    <w:rsid w:val="00A7465C"/>
    <w:rsid w:val="00A75041"/>
    <w:rsid w:val="00A760B4"/>
    <w:rsid w:val="00A766A8"/>
    <w:rsid w:val="00A76EB4"/>
    <w:rsid w:val="00A777B2"/>
    <w:rsid w:val="00A77A43"/>
    <w:rsid w:val="00A77C50"/>
    <w:rsid w:val="00A77D3C"/>
    <w:rsid w:val="00A77D70"/>
    <w:rsid w:val="00A804CB"/>
    <w:rsid w:val="00A817CA"/>
    <w:rsid w:val="00A81DE3"/>
    <w:rsid w:val="00A821AA"/>
    <w:rsid w:val="00A822FB"/>
    <w:rsid w:val="00A83B61"/>
    <w:rsid w:val="00A83BFD"/>
    <w:rsid w:val="00A84212"/>
    <w:rsid w:val="00A85056"/>
    <w:rsid w:val="00A879AA"/>
    <w:rsid w:val="00A9119C"/>
    <w:rsid w:val="00A92922"/>
    <w:rsid w:val="00A9346A"/>
    <w:rsid w:val="00A941AE"/>
    <w:rsid w:val="00A9420F"/>
    <w:rsid w:val="00A94F2F"/>
    <w:rsid w:val="00A953A1"/>
    <w:rsid w:val="00A95DA6"/>
    <w:rsid w:val="00A96497"/>
    <w:rsid w:val="00A967CB"/>
    <w:rsid w:val="00A96924"/>
    <w:rsid w:val="00A96ACD"/>
    <w:rsid w:val="00A9703B"/>
    <w:rsid w:val="00AA176F"/>
    <w:rsid w:val="00AA1841"/>
    <w:rsid w:val="00AA2931"/>
    <w:rsid w:val="00AA3B9B"/>
    <w:rsid w:val="00AA4403"/>
    <w:rsid w:val="00AA445C"/>
    <w:rsid w:val="00AA464F"/>
    <w:rsid w:val="00AA49CE"/>
    <w:rsid w:val="00AA6E7D"/>
    <w:rsid w:val="00AA7203"/>
    <w:rsid w:val="00AA7853"/>
    <w:rsid w:val="00AB044C"/>
    <w:rsid w:val="00AB06AB"/>
    <w:rsid w:val="00AB11F6"/>
    <w:rsid w:val="00AB1EED"/>
    <w:rsid w:val="00AB267F"/>
    <w:rsid w:val="00AB391D"/>
    <w:rsid w:val="00AB4312"/>
    <w:rsid w:val="00AB438B"/>
    <w:rsid w:val="00AB43B3"/>
    <w:rsid w:val="00AB5208"/>
    <w:rsid w:val="00AB5238"/>
    <w:rsid w:val="00AB5772"/>
    <w:rsid w:val="00AB69FD"/>
    <w:rsid w:val="00AB6B92"/>
    <w:rsid w:val="00AB6DC0"/>
    <w:rsid w:val="00AB7664"/>
    <w:rsid w:val="00AB775F"/>
    <w:rsid w:val="00AB787E"/>
    <w:rsid w:val="00AB7A6D"/>
    <w:rsid w:val="00AB7E89"/>
    <w:rsid w:val="00AC0A2D"/>
    <w:rsid w:val="00AC1DC0"/>
    <w:rsid w:val="00AC1F74"/>
    <w:rsid w:val="00AC206E"/>
    <w:rsid w:val="00AC29A5"/>
    <w:rsid w:val="00AC367E"/>
    <w:rsid w:val="00AC394D"/>
    <w:rsid w:val="00AC3ABC"/>
    <w:rsid w:val="00AC4396"/>
    <w:rsid w:val="00AC57F9"/>
    <w:rsid w:val="00AC6324"/>
    <w:rsid w:val="00AC647D"/>
    <w:rsid w:val="00AC65C1"/>
    <w:rsid w:val="00AC6632"/>
    <w:rsid w:val="00AC7142"/>
    <w:rsid w:val="00AD0646"/>
    <w:rsid w:val="00AD070F"/>
    <w:rsid w:val="00AD1969"/>
    <w:rsid w:val="00AD279C"/>
    <w:rsid w:val="00AD2A30"/>
    <w:rsid w:val="00AD3589"/>
    <w:rsid w:val="00AD3A86"/>
    <w:rsid w:val="00AD407D"/>
    <w:rsid w:val="00AD46A1"/>
    <w:rsid w:val="00AD476E"/>
    <w:rsid w:val="00AD5CC7"/>
    <w:rsid w:val="00AD5D6E"/>
    <w:rsid w:val="00AD6699"/>
    <w:rsid w:val="00AD69B7"/>
    <w:rsid w:val="00AD73BF"/>
    <w:rsid w:val="00AD741C"/>
    <w:rsid w:val="00AD7520"/>
    <w:rsid w:val="00AD7D7F"/>
    <w:rsid w:val="00AD7F51"/>
    <w:rsid w:val="00AE04CF"/>
    <w:rsid w:val="00AE09CA"/>
    <w:rsid w:val="00AE0AD8"/>
    <w:rsid w:val="00AE11C1"/>
    <w:rsid w:val="00AE1353"/>
    <w:rsid w:val="00AE1424"/>
    <w:rsid w:val="00AE1A2A"/>
    <w:rsid w:val="00AE1BB4"/>
    <w:rsid w:val="00AE1BB6"/>
    <w:rsid w:val="00AE1EC2"/>
    <w:rsid w:val="00AE2300"/>
    <w:rsid w:val="00AE299B"/>
    <w:rsid w:val="00AE3D3F"/>
    <w:rsid w:val="00AE4990"/>
    <w:rsid w:val="00AE4C23"/>
    <w:rsid w:val="00AE4E6F"/>
    <w:rsid w:val="00AE556B"/>
    <w:rsid w:val="00AE59A0"/>
    <w:rsid w:val="00AE5CDF"/>
    <w:rsid w:val="00AE5ED4"/>
    <w:rsid w:val="00AE5F32"/>
    <w:rsid w:val="00AE7014"/>
    <w:rsid w:val="00AE7403"/>
    <w:rsid w:val="00AE779E"/>
    <w:rsid w:val="00AE7B9A"/>
    <w:rsid w:val="00AE7E86"/>
    <w:rsid w:val="00AF057D"/>
    <w:rsid w:val="00AF2B82"/>
    <w:rsid w:val="00AF348F"/>
    <w:rsid w:val="00AF3934"/>
    <w:rsid w:val="00AF4DBC"/>
    <w:rsid w:val="00AF50A1"/>
    <w:rsid w:val="00AF63FA"/>
    <w:rsid w:val="00AF6B78"/>
    <w:rsid w:val="00AF6BBC"/>
    <w:rsid w:val="00AF7423"/>
    <w:rsid w:val="00AF76E2"/>
    <w:rsid w:val="00B00138"/>
    <w:rsid w:val="00B01125"/>
    <w:rsid w:val="00B0128F"/>
    <w:rsid w:val="00B01445"/>
    <w:rsid w:val="00B01D06"/>
    <w:rsid w:val="00B01D37"/>
    <w:rsid w:val="00B01E2D"/>
    <w:rsid w:val="00B01FEA"/>
    <w:rsid w:val="00B02815"/>
    <w:rsid w:val="00B02B03"/>
    <w:rsid w:val="00B035FB"/>
    <w:rsid w:val="00B0367B"/>
    <w:rsid w:val="00B04319"/>
    <w:rsid w:val="00B048C3"/>
    <w:rsid w:val="00B05385"/>
    <w:rsid w:val="00B05B06"/>
    <w:rsid w:val="00B06280"/>
    <w:rsid w:val="00B07242"/>
    <w:rsid w:val="00B07B96"/>
    <w:rsid w:val="00B07C96"/>
    <w:rsid w:val="00B10064"/>
    <w:rsid w:val="00B10D3D"/>
    <w:rsid w:val="00B10FA2"/>
    <w:rsid w:val="00B11915"/>
    <w:rsid w:val="00B122E9"/>
    <w:rsid w:val="00B1275C"/>
    <w:rsid w:val="00B12A9C"/>
    <w:rsid w:val="00B12F3D"/>
    <w:rsid w:val="00B130BE"/>
    <w:rsid w:val="00B131BB"/>
    <w:rsid w:val="00B132DB"/>
    <w:rsid w:val="00B137A1"/>
    <w:rsid w:val="00B13BA6"/>
    <w:rsid w:val="00B146B1"/>
    <w:rsid w:val="00B14C69"/>
    <w:rsid w:val="00B151F7"/>
    <w:rsid w:val="00B15991"/>
    <w:rsid w:val="00B15F10"/>
    <w:rsid w:val="00B1604B"/>
    <w:rsid w:val="00B176F3"/>
    <w:rsid w:val="00B17AD2"/>
    <w:rsid w:val="00B17C6C"/>
    <w:rsid w:val="00B204CF"/>
    <w:rsid w:val="00B20EE5"/>
    <w:rsid w:val="00B21F9C"/>
    <w:rsid w:val="00B22566"/>
    <w:rsid w:val="00B225E2"/>
    <w:rsid w:val="00B2286E"/>
    <w:rsid w:val="00B22FF4"/>
    <w:rsid w:val="00B23E25"/>
    <w:rsid w:val="00B24889"/>
    <w:rsid w:val="00B24EAB"/>
    <w:rsid w:val="00B24F67"/>
    <w:rsid w:val="00B25510"/>
    <w:rsid w:val="00B264B0"/>
    <w:rsid w:val="00B26C42"/>
    <w:rsid w:val="00B27662"/>
    <w:rsid w:val="00B30670"/>
    <w:rsid w:val="00B31530"/>
    <w:rsid w:val="00B3160D"/>
    <w:rsid w:val="00B316DA"/>
    <w:rsid w:val="00B31E3F"/>
    <w:rsid w:val="00B32686"/>
    <w:rsid w:val="00B33945"/>
    <w:rsid w:val="00B341C8"/>
    <w:rsid w:val="00B3435A"/>
    <w:rsid w:val="00B351D7"/>
    <w:rsid w:val="00B366C7"/>
    <w:rsid w:val="00B376B7"/>
    <w:rsid w:val="00B37D27"/>
    <w:rsid w:val="00B37FF7"/>
    <w:rsid w:val="00B407F4"/>
    <w:rsid w:val="00B415B0"/>
    <w:rsid w:val="00B41C54"/>
    <w:rsid w:val="00B41DF2"/>
    <w:rsid w:val="00B4382C"/>
    <w:rsid w:val="00B43D37"/>
    <w:rsid w:val="00B44878"/>
    <w:rsid w:val="00B4583E"/>
    <w:rsid w:val="00B45C5D"/>
    <w:rsid w:val="00B45CED"/>
    <w:rsid w:val="00B46836"/>
    <w:rsid w:val="00B46E02"/>
    <w:rsid w:val="00B47330"/>
    <w:rsid w:val="00B47CCC"/>
    <w:rsid w:val="00B47F01"/>
    <w:rsid w:val="00B500A0"/>
    <w:rsid w:val="00B5024E"/>
    <w:rsid w:val="00B50478"/>
    <w:rsid w:val="00B51654"/>
    <w:rsid w:val="00B518E7"/>
    <w:rsid w:val="00B51E24"/>
    <w:rsid w:val="00B51F1E"/>
    <w:rsid w:val="00B521AC"/>
    <w:rsid w:val="00B52EAC"/>
    <w:rsid w:val="00B534DA"/>
    <w:rsid w:val="00B53C36"/>
    <w:rsid w:val="00B53F13"/>
    <w:rsid w:val="00B54057"/>
    <w:rsid w:val="00B54509"/>
    <w:rsid w:val="00B55419"/>
    <w:rsid w:val="00B55718"/>
    <w:rsid w:val="00B55A71"/>
    <w:rsid w:val="00B55DA4"/>
    <w:rsid w:val="00B56152"/>
    <w:rsid w:val="00B5666E"/>
    <w:rsid w:val="00B57761"/>
    <w:rsid w:val="00B57D76"/>
    <w:rsid w:val="00B57E40"/>
    <w:rsid w:val="00B61810"/>
    <w:rsid w:val="00B61F7C"/>
    <w:rsid w:val="00B6322E"/>
    <w:rsid w:val="00B63678"/>
    <w:rsid w:val="00B64B2B"/>
    <w:rsid w:val="00B64F36"/>
    <w:rsid w:val="00B67356"/>
    <w:rsid w:val="00B67465"/>
    <w:rsid w:val="00B674AC"/>
    <w:rsid w:val="00B708AB"/>
    <w:rsid w:val="00B708F6"/>
    <w:rsid w:val="00B7094B"/>
    <w:rsid w:val="00B70BA5"/>
    <w:rsid w:val="00B71814"/>
    <w:rsid w:val="00B71B34"/>
    <w:rsid w:val="00B71BD1"/>
    <w:rsid w:val="00B720B0"/>
    <w:rsid w:val="00B73442"/>
    <w:rsid w:val="00B73783"/>
    <w:rsid w:val="00B75E09"/>
    <w:rsid w:val="00B75F16"/>
    <w:rsid w:val="00B7649F"/>
    <w:rsid w:val="00B7675D"/>
    <w:rsid w:val="00B76E37"/>
    <w:rsid w:val="00B76FF1"/>
    <w:rsid w:val="00B771B0"/>
    <w:rsid w:val="00B77423"/>
    <w:rsid w:val="00B775B3"/>
    <w:rsid w:val="00B779CE"/>
    <w:rsid w:val="00B81CB9"/>
    <w:rsid w:val="00B81D30"/>
    <w:rsid w:val="00B8229C"/>
    <w:rsid w:val="00B845C4"/>
    <w:rsid w:val="00B85CCD"/>
    <w:rsid w:val="00B86C7E"/>
    <w:rsid w:val="00B87B14"/>
    <w:rsid w:val="00B87D0B"/>
    <w:rsid w:val="00B91167"/>
    <w:rsid w:val="00B92228"/>
    <w:rsid w:val="00B932F8"/>
    <w:rsid w:val="00B93D37"/>
    <w:rsid w:val="00B93F32"/>
    <w:rsid w:val="00B94943"/>
    <w:rsid w:val="00B94CAF"/>
    <w:rsid w:val="00B95034"/>
    <w:rsid w:val="00B95C5D"/>
    <w:rsid w:val="00B96583"/>
    <w:rsid w:val="00B96AD7"/>
    <w:rsid w:val="00BA12D8"/>
    <w:rsid w:val="00BA18F5"/>
    <w:rsid w:val="00BA1C19"/>
    <w:rsid w:val="00BA2280"/>
    <w:rsid w:val="00BA38A4"/>
    <w:rsid w:val="00BA38AF"/>
    <w:rsid w:val="00BA3F05"/>
    <w:rsid w:val="00BA4900"/>
    <w:rsid w:val="00BA5F92"/>
    <w:rsid w:val="00BA5FE0"/>
    <w:rsid w:val="00BA63E9"/>
    <w:rsid w:val="00BA689F"/>
    <w:rsid w:val="00BA6C65"/>
    <w:rsid w:val="00BB025D"/>
    <w:rsid w:val="00BB0902"/>
    <w:rsid w:val="00BB0ED4"/>
    <w:rsid w:val="00BB1444"/>
    <w:rsid w:val="00BB1AB9"/>
    <w:rsid w:val="00BB29EE"/>
    <w:rsid w:val="00BB2A80"/>
    <w:rsid w:val="00BB3101"/>
    <w:rsid w:val="00BB3168"/>
    <w:rsid w:val="00BB393B"/>
    <w:rsid w:val="00BB46C1"/>
    <w:rsid w:val="00BB4C5C"/>
    <w:rsid w:val="00BB4C9E"/>
    <w:rsid w:val="00BB50E4"/>
    <w:rsid w:val="00BB53C5"/>
    <w:rsid w:val="00BB5970"/>
    <w:rsid w:val="00BB62D1"/>
    <w:rsid w:val="00BB6FFE"/>
    <w:rsid w:val="00BB7B54"/>
    <w:rsid w:val="00BC0583"/>
    <w:rsid w:val="00BC22F4"/>
    <w:rsid w:val="00BC25A7"/>
    <w:rsid w:val="00BC2708"/>
    <w:rsid w:val="00BC29D0"/>
    <w:rsid w:val="00BC2A7C"/>
    <w:rsid w:val="00BC2D3A"/>
    <w:rsid w:val="00BC2EC4"/>
    <w:rsid w:val="00BC38EC"/>
    <w:rsid w:val="00BC3B8B"/>
    <w:rsid w:val="00BC3E9F"/>
    <w:rsid w:val="00BC45BE"/>
    <w:rsid w:val="00BC5CF7"/>
    <w:rsid w:val="00BC6106"/>
    <w:rsid w:val="00BC7049"/>
    <w:rsid w:val="00BC7D50"/>
    <w:rsid w:val="00BD0611"/>
    <w:rsid w:val="00BD1519"/>
    <w:rsid w:val="00BD1F2A"/>
    <w:rsid w:val="00BD41CC"/>
    <w:rsid w:val="00BD42C6"/>
    <w:rsid w:val="00BD436C"/>
    <w:rsid w:val="00BD4763"/>
    <w:rsid w:val="00BD4DB8"/>
    <w:rsid w:val="00BD564B"/>
    <w:rsid w:val="00BD5A74"/>
    <w:rsid w:val="00BD6427"/>
    <w:rsid w:val="00BD65EE"/>
    <w:rsid w:val="00BD6760"/>
    <w:rsid w:val="00BE06FB"/>
    <w:rsid w:val="00BE0830"/>
    <w:rsid w:val="00BE0D54"/>
    <w:rsid w:val="00BE0DAF"/>
    <w:rsid w:val="00BE0F9A"/>
    <w:rsid w:val="00BE293B"/>
    <w:rsid w:val="00BE2B43"/>
    <w:rsid w:val="00BE2C4D"/>
    <w:rsid w:val="00BE3322"/>
    <w:rsid w:val="00BE3635"/>
    <w:rsid w:val="00BE48D5"/>
    <w:rsid w:val="00BE4CA7"/>
    <w:rsid w:val="00BE74C8"/>
    <w:rsid w:val="00BE76CC"/>
    <w:rsid w:val="00BF26E5"/>
    <w:rsid w:val="00BF3CAA"/>
    <w:rsid w:val="00BF3E79"/>
    <w:rsid w:val="00BF4BFB"/>
    <w:rsid w:val="00BF5A66"/>
    <w:rsid w:val="00BF6102"/>
    <w:rsid w:val="00BF65C0"/>
    <w:rsid w:val="00BF6754"/>
    <w:rsid w:val="00BF688D"/>
    <w:rsid w:val="00BF6D0F"/>
    <w:rsid w:val="00BF73A7"/>
    <w:rsid w:val="00BF77CE"/>
    <w:rsid w:val="00C000BC"/>
    <w:rsid w:val="00C0026F"/>
    <w:rsid w:val="00C00566"/>
    <w:rsid w:val="00C016FC"/>
    <w:rsid w:val="00C01A20"/>
    <w:rsid w:val="00C02A7A"/>
    <w:rsid w:val="00C0333D"/>
    <w:rsid w:val="00C0385C"/>
    <w:rsid w:val="00C03955"/>
    <w:rsid w:val="00C03F51"/>
    <w:rsid w:val="00C04063"/>
    <w:rsid w:val="00C047FE"/>
    <w:rsid w:val="00C04EB3"/>
    <w:rsid w:val="00C05F18"/>
    <w:rsid w:val="00C05FD6"/>
    <w:rsid w:val="00C075BA"/>
    <w:rsid w:val="00C07BB3"/>
    <w:rsid w:val="00C100C1"/>
    <w:rsid w:val="00C10536"/>
    <w:rsid w:val="00C10A32"/>
    <w:rsid w:val="00C112EE"/>
    <w:rsid w:val="00C11978"/>
    <w:rsid w:val="00C11D14"/>
    <w:rsid w:val="00C12580"/>
    <w:rsid w:val="00C1289C"/>
    <w:rsid w:val="00C12FDA"/>
    <w:rsid w:val="00C1336A"/>
    <w:rsid w:val="00C14B2F"/>
    <w:rsid w:val="00C1570C"/>
    <w:rsid w:val="00C1593B"/>
    <w:rsid w:val="00C15EF9"/>
    <w:rsid w:val="00C163AB"/>
    <w:rsid w:val="00C165A2"/>
    <w:rsid w:val="00C17582"/>
    <w:rsid w:val="00C17E30"/>
    <w:rsid w:val="00C17E42"/>
    <w:rsid w:val="00C17E6E"/>
    <w:rsid w:val="00C2069E"/>
    <w:rsid w:val="00C20FFF"/>
    <w:rsid w:val="00C210E8"/>
    <w:rsid w:val="00C22275"/>
    <w:rsid w:val="00C22D61"/>
    <w:rsid w:val="00C23509"/>
    <w:rsid w:val="00C23CD1"/>
    <w:rsid w:val="00C242FD"/>
    <w:rsid w:val="00C244C5"/>
    <w:rsid w:val="00C24D53"/>
    <w:rsid w:val="00C254A4"/>
    <w:rsid w:val="00C258CB"/>
    <w:rsid w:val="00C259E6"/>
    <w:rsid w:val="00C261F3"/>
    <w:rsid w:val="00C262B0"/>
    <w:rsid w:val="00C2688D"/>
    <w:rsid w:val="00C2742D"/>
    <w:rsid w:val="00C27ECC"/>
    <w:rsid w:val="00C303B9"/>
    <w:rsid w:val="00C30A56"/>
    <w:rsid w:val="00C31199"/>
    <w:rsid w:val="00C31C95"/>
    <w:rsid w:val="00C323BA"/>
    <w:rsid w:val="00C32749"/>
    <w:rsid w:val="00C32CDB"/>
    <w:rsid w:val="00C332EE"/>
    <w:rsid w:val="00C35882"/>
    <w:rsid w:val="00C35A5F"/>
    <w:rsid w:val="00C35AC6"/>
    <w:rsid w:val="00C35E33"/>
    <w:rsid w:val="00C36109"/>
    <w:rsid w:val="00C36185"/>
    <w:rsid w:val="00C366F2"/>
    <w:rsid w:val="00C36CA7"/>
    <w:rsid w:val="00C3724C"/>
    <w:rsid w:val="00C40079"/>
    <w:rsid w:val="00C406DE"/>
    <w:rsid w:val="00C41503"/>
    <w:rsid w:val="00C42657"/>
    <w:rsid w:val="00C426DC"/>
    <w:rsid w:val="00C43017"/>
    <w:rsid w:val="00C43B27"/>
    <w:rsid w:val="00C44F7A"/>
    <w:rsid w:val="00C4548E"/>
    <w:rsid w:val="00C46A33"/>
    <w:rsid w:val="00C477BC"/>
    <w:rsid w:val="00C47985"/>
    <w:rsid w:val="00C47B80"/>
    <w:rsid w:val="00C50E31"/>
    <w:rsid w:val="00C5142D"/>
    <w:rsid w:val="00C51936"/>
    <w:rsid w:val="00C519CA"/>
    <w:rsid w:val="00C52A01"/>
    <w:rsid w:val="00C53B27"/>
    <w:rsid w:val="00C53B86"/>
    <w:rsid w:val="00C54396"/>
    <w:rsid w:val="00C54686"/>
    <w:rsid w:val="00C54D88"/>
    <w:rsid w:val="00C553F1"/>
    <w:rsid w:val="00C55C88"/>
    <w:rsid w:val="00C55F74"/>
    <w:rsid w:val="00C567FD"/>
    <w:rsid w:val="00C56F55"/>
    <w:rsid w:val="00C60839"/>
    <w:rsid w:val="00C61338"/>
    <w:rsid w:val="00C61F23"/>
    <w:rsid w:val="00C62E47"/>
    <w:rsid w:val="00C62F4A"/>
    <w:rsid w:val="00C63849"/>
    <w:rsid w:val="00C64612"/>
    <w:rsid w:val="00C65099"/>
    <w:rsid w:val="00C6537E"/>
    <w:rsid w:val="00C66BAA"/>
    <w:rsid w:val="00C67589"/>
    <w:rsid w:val="00C70520"/>
    <w:rsid w:val="00C71594"/>
    <w:rsid w:val="00C71BA0"/>
    <w:rsid w:val="00C71CE1"/>
    <w:rsid w:val="00C71D36"/>
    <w:rsid w:val="00C72268"/>
    <w:rsid w:val="00C734E5"/>
    <w:rsid w:val="00C73674"/>
    <w:rsid w:val="00C74040"/>
    <w:rsid w:val="00C740F8"/>
    <w:rsid w:val="00C745D6"/>
    <w:rsid w:val="00C750FA"/>
    <w:rsid w:val="00C7581B"/>
    <w:rsid w:val="00C75E98"/>
    <w:rsid w:val="00C7685F"/>
    <w:rsid w:val="00C76EE5"/>
    <w:rsid w:val="00C80B8D"/>
    <w:rsid w:val="00C80C13"/>
    <w:rsid w:val="00C80E3A"/>
    <w:rsid w:val="00C81655"/>
    <w:rsid w:val="00C8166E"/>
    <w:rsid w:val="00C8186C"/>
    <w:rsid w:val="00C81C12"/>
    <w:rsid w:val="00C82288"/>
    <w:rsid w:val="00C828B9"/>
    <w:rsid w:val="00C829E4"/>
    <w:rsid w:val="00C82D71"/>
    <w:rsid w:val="00C82EFA"/>
    <w:rsid w:val="00C83190"/>
    <w:rsid w:val="00C83C5C"/>
    <w:rsid w:val="00C844C9"/>
    <w:rsid w:val="00C84519"/>
    <w:rsid w:val="00C85A8D"/>
    <w:rsid w:val="00C867D9"/>
    <w:rsid w:val="00C87C3E"/>
    <w:rsid w:val="00C87EAE"/>
    <w:rsid w:val="00C9198E"/>
    <w:rsid w:val="00C92633"/>
    <w:rsid w:val="00C927FE"/>
    <w:rsid w:val="00C9296B"/>
    <w:rsid w:val="00C92AED"/>
    <w:rsid w:val="00C92F22"/>
    <w:rsid w:val="00C932C6"/>
    <w:rsid w:val="00C93ABE"/>
    <w:rsid w:val="00C944E2"/>
    <w:rsid w:val="00C945DC"/>
    <w:rsid w:val="00C94B39"/>
    <w:rsid w:val="00C951E7"/>
    <w:rsid w:val="00C95306"/>
    <w:rsid w:val="00C9554F"/>
    <w:rsid w:val="00C95F5A"/>
    <w:rsid w:val="00C96645"/>
    <w:rsid w:val="00C96DDC"/>
    <w:rsid w:val="00C96F54"/>
    <w:rsid w:val="00C972DE"/>
    <w:rsid w:val="00C97AE6"/>
    <w:rsid w:val="00CA06BD"/>
    <w:rsid w:val="00CA0B61"/>
    <w:rsid w:val="00CA0D7D"/>
    <w:rsid w:val="00CA1E39"/>
    <w:rsid w:val="00CA1E58"/>
    <w:rsid w:val="00CA27DA"/>
    <w:rsid w:val="00CA3158"/>
    <w:rsid w:val="00CA32C0"/>
    <w:rsid w:val="00CA33EE"/>
    <w:rsid w:val="00CA3849"/>
    <w:rsid w:val="00CA47DE"/>
    <w:rsid w:val="00CA4942"/>
    <w:rsid w:val="00CA4A25"/>
    <w:rsid w:val="00CA4B23"/>
    <w:rsid w:val="00CA4E0C"/>
    <w:rsid w:val="00CA60C5"/>
    <w:rsid w:val="00CA6ED4"/>
    <w:rsid w:val="00CA7B06"/>
    <w:rsid w:val="00CB040A"/>
    <w:rsid w:val="00CB07C1"/>
    <w:rsid w:val="00CB0D07"/>
    <w:rsid w:val="00CB15DB"/>
    <w:rsid w:val="00CB22C0"/>
    <w:rsid w:val="00CB37F1"/>
    <w:rsid w:val="00CB4083"/>
    <w:rsid w:val="00CB426C"/>
    <w:rsid w:val="00CB5096"/>
    <w:rsid w:val="00CB5755"/>
    <w:rsid w:val="00CB6140"/>
    <w:rsid w:val="00CB6E25"/>
    <w:rsid w:val="00CB7049"/>
    <w:rsid w:val="00CB71D1"/>
    <w:rsid w:val="00CB7B06"/>
    <w:rsid w:val="00CC0900"/>
    <w:rsid w:val="00CC1CA8"/>
    <w:rsid w:val="00CC1D7A"/>
    <w:rsid w:val="00CC1F7A"/>
    <w:rsid w:val="00CC2252"/>
    <w:rsid w:val="00CC424D"/>
    <w:rsid w:val="00CC4689"/>
    <w:rsid w:val="00CC4947"/>
    <w:rsid w:val="00CC4A10"/>
    <w:rsid w:val="00CC4F42"/>
    <w:rsid w:val="00CC5D20"/>
    <w:rsid w:val="00CC699C"/>
    <w:rsid w:val="00CC6BD2"/>
    <w:rsid w:val="00CC6CB3"/>
    <w:rsid w:val="00CC6D2D"/>
    <w:rsid w:val="00CC6E59"/>
    <w:rsid w:val="00CC6EE5"/>
    <w:rsid w:val="00CD049D"/>
    <w:rsid w:val="00CD0872"/>
    <w:rsid w:val="00CD08A5"/>
    <w:rsid w:val="00CD0938"/>
    <w:rsid w:val="00CD0B96"/>
    <w:rsid w:val="00CD0E57"/>
    <w:rsid w:val="00CD1107"/>
    <w:rsid w:val="00CD1485"/>
    <w:rsid w:val="00CD161F"/>
    <w:rsid w:val="00CD21E2"/>
    <w:rsid w:val="00CD2A7B"/>
    <w:rsid w:val="00CD422E"/>
    <w:rsid w:val="00CD471B"/>
    <w:rsid w:val="00CD4B34"/>
    <w:rsid w:val="00CD4C36"/>
    <w:rsid w:val="00CD538B"/>
    <w:rsid w:val="00CD5D4E"/>
    <w:rsid w:val="00CD653B"/>
    <w:rsid w:val="00CD6B4B"/>
    <w:rsid w:val="00CD6C42"/>
    <w:rsid w:val="00CD7F12"/>
    <w:rsid w:val="00CD7F56"/>
    <w:rsid w:val="00CE14C2"/>
    <w:rsid w:val="00CE1A62"/>
    <w:rsid w:val="00CE1E9D"/>
    <w:rsid w:val="00CE254C"/>
    <w:rsid w:val="00CE29BB"/>
    <w:rsid w:val="00CE2F5C"/>
    <w:rsid w:val="00CE34C7"/>
    <w:rsid w:val="00CE39FA"/>
    <w:rsid w:val="00CE4DE1"/>
    <w:rsid w:val="00CE538D"/>
    <w:rsid w:val="00CE56B1"/>
    <w:rsid w:val="00CE5899"/>
    <w:rsid w:val="00CE5D07"/>
    <w:rsid w:val="00CE64FD"/>
    <w:rsid w:val="00CE6661"/>
    <w:rsid w:val="00CE6E02"/>
    <w:rsid w:val="00CE70F5"/>
    <w:rsid w:val="00CE7261"/>
    <w:rsid w:val="00CF05BE"/>
    <w:rsid w:val="00CF0C2A"/>
    <w:rsid w:val="00CF10B7"/>
    <w:rsid w:val="00CF1D4B"/>
    <w:rsid w:val="00CF233A"/>
    <w:rsid w:val="00CF2B2F"/>
    <w:rsid w:val="00CF31F5"/>
    <w:rsid w:val="00CF39AC"/>
    <w:rsid w:val="00CF3E71"/>
    <w:rsid w:val="00CF5000"/>
    <w:rsid w:val="00CF51E7"/>
    <w:rsid w:val="00CF5A5A"/>
    <w:rsid w:val="00CF5EB1"/>
    <w:rsid w:val="00CF69FC"/>
    <w:rsid w:val="00CF6BC6"/>
    <w:rsid w:val="00CF7657"/>
    <w:rsid w:val="00CF79C0"/>
    <w:rsid w:val="00D02362"/>
    <w:rsid w:val="00D03012"/>
    <w:rsid w:val="00D03884"/>
    <w:rsid w:val="00D039CD"/>
    <w:rsid w:val="00D057A2"/>
    <w:rsid w:val="00D05840"/>
    <w:rsid w:val="00D05AA9"/>
    <w:rsid w:val="00D06164"/>
    <w:rsid w:val="00D069E4"/>
    <w:rsid w:val="00D076A4"/>
    <w:rsid w:val="00D07A0E"/>
    <w:rsid w:val="00D10351"/>
    <w:rsid w:val="00D10893"/>
    <w:rsid w:val="00D10D58"/>
    <w:rsid w:val="00D10FEF"/>
    <w:rsid w:val="00D118DE"/>
    <w:rsid w:val="00D12477"/>
    <w:rsid w:val="00D12D8C"/>
    <w:rsid w:val="00D130C8"/>
    <w:rsid w:val="00D144E2"/>
    <w:rsid w:val="00D1532A"/>
    <w:rsid w:val="00D15C3F"/>
    <w:rsid w:val="00D1707C"/>
    <w:rsid w:val="00D17629"/>
    <w:rsid w:val="00D17F0E"/>
    <w:rsid w:val="00D205D7"/>
    <w:rsid w:val="00D20C15"/>
    <w:rsid w:val="00D20E37"/>
    <w:rsid w:val="00D214DD"/>
    <w:rsid w:val="00D21607"/>
    <w:rsid w:val="00D21932"/>
    <w:rsid w:val="00D22355"/>
    <w:rsid w:val="00D23A03"/>
    <w:rsid w:val="00D25661"/>
    <w:rsid w:val="00D2568E"/>
    <w:rsid w:val="00D264B0"/>
    <w:rsid w:val="00D266F8"/>
    <w:rsid w:val="00D26D91"/>
    <w:rsid w:val="00D27AC5"/>
    <w:rsid w:val="00D30195"/>
    <w:rsid w:val="00D30DFB"/>
    <w:rsid w:val="00D31243"/>
    <w:rsid w:val="00D31426"/>
    <w:rsid w:val="00D31BF4"/>
    <w:rsid w:val="00D3230F"/>
    <w:rsid w:val="00D3265B"/>
    <w:rsid w:val="00D32C2D"/>
    <w:rsid w:val="00D33CF0"/>
    <w:rsid w:val="00D34681"/>
    <w:rsid w:val="00D34882"/>
    <w:rsid w:val="00D3488E"/>
    <w:rsid w:val="00D348F1"/>
    <w:rsid w:val="00D34C22"/>
    <w:rsid w:val="00D34E4E"/>
    <w:rsid w:val="00D34F68"/>
    <w:rsid w:val="00D352E2"/>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2096"/>
    <w:rsid w:val="00D428F5"/>
    <w:rsid w:val="00D44441"/>
    <w:rsid w:val="00D44D8F"/>
    <w:rsid w:val="00D4535B"/>
    <w:rsid w:val="00D458C2"/>
    <w:rsid w:val="00D458FC"/>
    <w:rsid w:val="00D45B60"/>
    <w:rsid w:val="00D46400"/>
    <w:rsid w:val="00D47B89"/>
    <w:rsid w:val="00D50D45"/>
    <w:rsid w:val="00D51412"/>
    <w:rsid w:val="00D52350"/>
    <w:rsid w:val="00D52A7A"/>
    <w:rsid w:val="00D52FBE"/>
    <w:rsid w:val="00D532CA"/>
    <w:rsid w:val="00D546D8"/>
    <w:rsid w:val="00D54A19"/>
    <w:rsid w:val="00D54D52"/>
    <w:rsid w:val="00D54ED3"/>
    <w:rsid w:val="00D550C9"/>
    <w:rsid w:val="00D56676"/>
    <w:rsid w:val="00D56B52"/>
    <w:rsid w:val="00D56C78"/>
    <w:rsid w:val="00D56F3B"/>
    <w:rsid w:val="00D576F8"/>
    <w:rsid w:val="00D57777"/>
    <w:rsid w:val="00D579A1"/>
    <w:rsid w:val="00D57D92"/>
    <w:rsid w:val="00D60108"/>
    <w:rsid w:val="00D60D92"/>
    <w:rsid w:val="00D612AF"/>
    <w:rsid w:val="00D61BCF"/>
    <w:rsid w:val="00D61C85"/>
    <w:rsid w:val="00D62147"/>
    <w:rsid w:val="00D6222A"/>
    <w:rsid w:val="00D62B35"/>
    <w:rsid w:val="00D62CC8"/>
    <w:rsid w:val="00D62CF8"/>
    <w:rsid w:val="00D62D9D"/>
    <w:rsid w:val="00D62DFC"/>
    <w:rsid w:val="00D63B3E"/>
    <w:rsid w:val="00D63DFD"/>
    <w:rsid w:val="00D65509"/>
    <w:rsid w:val="00D657C9"/>
    <w:rsid w:val="00D6619E"/>
    <w:rsid w:val="00D66288"/>
    <w:rsid w:val="00D67B72"/>
    <w:rsid w:val="00D67BF7"/>
    <w:rsid w:val="00D70D07"/>
    <w:rsid w:val="00D70F3F"/>
    <w:rsid w:val="00D71305"/>
    <w:rsid w:val="00D715D9"/>
    <w:rsid w:val="00D725F7"/>
    <w:rsid w:val="00D72F36"/>
    <w:rsid w:val="00D72FEC"/>
    <w:rsid w:val="00D7305A"/>
    <w:rsid w:val="00D739FD"/>
    <w:rsid w:val="00D744B2"/>
    <w:rsid w:val="00D74548"/>
    <w:rsid w:val="00D75CE1"/>
    <w:rsid w:val="00D7629E"/>
    <w:rsid w:val="00D763D0"/>
    <w:rsid w:val="00D76673"/>
    <w:rsid w:val="00D7683C"/>
    <w:rsid w:val="00D77FAA"/>
    <w:rsid w:val="00D8122D"/>
    <w:rsid w:val="00D81563"/>
    <w:rsid w:val="00D824B5"/>
    <w:rsid w:val="00D833FA"/>
    <w:rsid w:val="00D8397A"/>
    <w:rsid w:val="00D841BE"/>
    <w:rsid w:val="00D84E10"/>
    <w:rsid w:val="00D84EA9"/>
    <w:rsid w:val="00D8561E"/>
    <w:rsid w:val="00D8587D"/>
    <w:rsid w:val="00D86289"/>
    <w:rsid w:val="00D867C7"/>
    <w:rsid w:val="00D86F8A"/>
    <w:rsid w:val="00D90F2E"/>
    <w:rsid w:val="00D91499"/>
    <w:rsid w:val="00D922EC"/>
    <w:rsid w:val="00D9270E"/>
    <w:rsid w:val="00D929CE"/>
    <w:rsid w:val="00D92A4A"/>
    <w:rsid w:val="00D9515B"/>
    <w:rsid w:val="00D97F6A"/>
    <w:rsid w:val="00DA0739"/>
    <w:rsid w:val="00DA084F"/>
    <w:rsid w:val="00DA1249"/>
    <w:rsid w:val="00DA1C6F"/>
    <w:rsid w:val="00DA1DD9"/>
    <w:rsid w:val="00DA3377"/>
    <w:rsid w:val="00DA3735"/>
    <w:rsid w:val="00DA37FC"/>
    <w:rsid w:val="00DA43F0"/>
    <w:rsid w:val="00DA4586"/>
    <w:rsid w:val="00DA5007"/>
    <w:rsid w:val="00DA71F3"/>
    <w:rsid w:val="00DA798B"/>
    <w:rsid w:val="00DA7B83"/>
    <w:rsid w:val="00DA7CFB"/>
    <w:rsid w:val="00DA7F66"/>
    <w:rsid w:val="00DB0229"/>
    <w:rsid w:val="00DB02EC"/>
    <w:rsid w:val="00DB0610"/>
    <w:rsid w:val="00DB0670"/>
    <w:rsid w:val="00DB09BF"/>
    <w:rsid w:val="00DB1213"/>
    <w:rsid w:val="00DB2F31"/>
    <w:rsid w:val="00DB3865"/>
    <w:rsid w:val="00DB39FF"/>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47E"/>
    <w:rsid w:val="00DC16E7"/>
    <w:rsid w:val="00DC211B"/>
    <w:rsid w:val="00DC244E"/>
    <w:rsid w:val="00DC24DD"/>
    <w:rsid w:val="00DC25E3"/>
    <w:rsid w:val="00DC30AC"/>
    <w:rsid w:val="00DC3894"/>
    <w:rsid w:val="00DC3E87"/>
    <w:rsid w:val="00DC3FAD"/>
    <w:rsid w:val="00DC4011"/>
    <w:rsid w:val="00DC47CA"/>
    <w:rsid w:val="00DC55C0"/>
    <w:rsid w:val="00DC574C"/>
    <w:rsid w:val="00DC598C"/>
    <w:rsid w:val="00DC642B"/>
    <w:rsid w:val="00DC670C"/>
    <w:rsid w:val="00DC6FE5"/>
    <w:rsid w:val="00DC775A"/>
    <w:rsid w:val="00DD07D4"/>
    <w:rsid w:val="00DD09D6"/>
    <w:rsid w:val="00DD0A86"/>
    <w:rsid w:val="00DD18F0"/>
    <w:rsid w:val="00DD1A0F"/>
    <w:rsid w:val="00DD1B26"/>
    <w:rsid w:val="00DD1BB9"/>
    <w:rsid w:val="00DD27FF"/>
    <w:rsid w:val="00DD2E7C"/>
    <w:rsid w:val="00DD33A0"/>
    <w:rsid w:val="00DD386B"/>
    <w:rsid w:val="00DD3B66"/>
    <w:rsid w:val="00DD3BCC"/>
    <w:rsid w:val="00DD472A"/>
    <w:rsid w:val="00DD5192"/>
    <w:rsid w:val="00DD5370"/>
    <w:rsid w:val="00DD5610"/>
    <w:rsid w:val="00DD5A1E"/>
    <w:rsid w:val="00DD5C40"/>
    <w:rsid w:val="00DD702F"/>
    <w:rsid w:val="00DD7244"/>
    <w:rsid w:val="00DE0363"/>
    <w:rsid w:val="00DE1100"/>
    <w:rsid w:val="00DE1672"/>
    <w:rsid w:val="00DE18FB"/>
    <w:rsid w:val="00DE22C4"/>
    <w:rsid w:val="00DE26B9"/>
    <w:rsid w:val="00DE2D0E"/>
    <w:rsid w:val="00DE31F7"/>
    <w:rsid w:val="00DE4B55"/>
    <w:rsid w:val="00DE4D27"/>
    <w:rsid w:val="00DE4FFF"/>
    <w:rsid w:val="00DE5449"/>
    <w:rsid w:val="00DE5AD5"/>
    <w:rsid w:val="00DE6725"/>
    <w:rsid w:val="00DE68B7"/>
    <w:rsid w:val="00DE69F2"/>
    <w:rsid w:val="00DE75C0"/>
    <w:rsid w:val="00DF05DB"/>
    <w:rsid w:val="00DF1B4B"/>
    <w:rsid w:val="00DF32FA"/>
    <w:rsid w:val="00DF35C0"/>
    <w:rsid w:val="00DF38DC"/>
    <w:rsid w:val="00DF3AD8"/>
    <w:rsid w:val="00DF4B67"/>
    <w:rsid w:val="00DF4CC7"/>
    <w:rsid w:val="00DF60EA"/>
    <w:rsid w:val="00DF641D"/>
    <w:rsid w:val="00DF66B9"/>
    <w:rsid w:val="00DF6878"/>
    <w:rsid w:val="00DF6F68"/>
    <w:rsid w:val="00DF7166"/>
    <w:rsid w:val="00DF72D6"/>
    <w:rsid w:val="00DF7392"/>
    <w:rsid w:val="00DF758D"/>
    <w:rsid w:val="00DF77EB"/>
    <w:rsid w:val="00DF7902"/>
    <w:rsid w:val="00DF7C84"/>
    <w:rsid w:val="00E00EDC"/>
    <w:rsid w:val="00E011E7"/>
    <w:rsid w:val="00E016BE"/>
    <w:rsid w:val="00E0249C"/>
    <w:rsid w:val="00E0261C"/>
    <w:rsid w:val="00E02D12"/>
    <w:rsid w:val="00E02D38"/>
    <w:rsid w:val="00E037D2"/>
    <w:rsid w:val="00E03B2C"/>
    <w:rsid w:val="00E03C04"/>
    <w:rsid w:val="00E03D9C"/>
    <w:rsid w:val="00E03DD0"/>
    <w:rsid w:val="00E045EE"/>
    <w:rsid w:val="00E04FAE"/>
    <w:rsid w:val="00E051DB"/>
    <w:rsid w:val="00E057C3"/>
    <w:rsid w:val="00E10001"/>
    <w:rsid w:val="00E1008F"/>
    <w:rsid w:val="00E1052E"/>
    <w:rsid w:val="00E10BC1"/>
    <w:rsid w:val="00E10C20"/>
    <w:rsid w:val="00E10FC6"/>
    <w:rsid w:val="00E11B41"/>
    <w:rsid w:val="00E11DA2"/>
    <w:rsid w:val="00E11F4C"/>
    <w:rsid w:val="00E120F1"/>
    <w:rsid w:val="00E133CA"/>
    <w:rsid w:val="00E1343F"/>
    <w:rsid w:val="00E136D0"/>
    <w:rsid w:val="00E13923"/>
    <w:rsid w:val="00E13975"/>
    <w:rsid w:val="00E14616"/>
    <w:rsid w:val="00E151DD"/>
    <w:rsid w:val="00E15ADB"/>
    <w:rsid w:val="00E15F84"/>
    <w:rsid w:val="00E16469"/>
    <w:rsid w:val="00E16905"/>
    <w:rsid w:val="00E174D0"/>
    <w:rsid w:val="00E20282"/>
    <w:rsid w:val="00E21A5C"/>
    <w:rsid w:val="00E21BC8"/>
    <w:rsid w:val="00E21F5A"/>
    <w:rsid w:val="00E22001"/>
    <w:rsid w:val="00E224FC"/>
    <w:rsid w:val="00E23592"/>
    <w:rsid w:val="00E2369C"/>
    <w:rsid w:val="00E24706"/>
    <w:rsid w:val="00E250D7"/>
    <w:rsid w:val="00E25916"/>
    <w:rsid w:val="00E2620B"/>
    <w:rsid w:val="00E26477"/>
    <w:rsid w:val="00E2681B"/>
    <w:rsid w:val="00E30387"/>
    <w:rsid w:val="00E30897"/>
    <w:rsid w:val="00E30903"/>
    <w:rsid w:val="00E311BC"/>
    <w:rsid w:val="00E329D5"/>
    <w:rsid w:val="00E334AB"/>
    <w:rsid w:val="00E340C6"/>
    <w:rsid w:val="00E34422"/>
    <w:rsid w:val="00E34908"/>
    <w:rsid w:val="00E34F53"/>
    <w:rsid w:val="00E35A87"/>
    <w:rsid w:val="00E35BCA"/>
    <w:rsid w:val="00E35D21"/>
    <w:rsid w:val="00E369F1"/>
    <w:rsid w:val="00E36FDC"/>
    <w:rsid w:val="00E37475"/>
    <w:rsid w:val="00E37DD2"/>
    <w:rsid w:val="00E4007D"/>
    <w:rsid w:val="00E40131"/>
    <w:rsid w:val="00E40569"/>
    <w:rsid w:val="00E40AC6"/>
    <w:rsid w:val="00E40F22"/>
    <w:rsid w:val="00E413D5"/>
    <w:rsid w:val="00E41770"/>
    <w:rsid w:val="00E44691"/>
    <w:rsid w:val="00E44A70"/>
    <w:rsid w:val="00E45618"/>
    <w:rsid w:val="00E4625D"/>
    <w:rsid w:val="00E465B3"/>
    <w:rsid w:val="00E466EA"/>
    <w:rsid w:val="00E46E99"/>
    <w:rsid w:val="00E4792A"/>
    <w:rsid w:val="00E47C8B"/>
    <w:rsid w:val="00E504D5"/>
    <w:rsid w:val="00E50C82"/>
    <w:rsid w:val="00E523D9"/>
    <w:rsid w:val="00E524E4"/>
    <w:rsid w:val="00E52928"/>
    <w:rsid w:val="00E549DD"/>
    <w:rsid w:val="00E54D73"/>
    <w:rsid w:val="00E55255"/>
    <w:rsid w:val="00E55AC7"/>
    <w:rsid w:val="00E56FE0"/>
    <w:rsid w:val="00E57561"/>
    <w:rsid w:val="00E576A6"/>
    <w:rsid w:val="00E57851"/>
    <w:rsid w:val="00E6004D"/>
    <w:rsid w:val="00E60232"/>
    <w:rsid w:val="00E612B1"/>
    <w:rsid w:val="00E61699"/>
    <w:rsid w:val="00E61E56"/>
    <w:rsid w:val="00E62F1D"/>
    <w:rsid w:val="00E6412E"/>
    <w:rsid w:val="00E642C3"/>
    <w:rsid w:val="00E6473F"/>
    <w:rsid w:val="00E64FBF"/>
    <w:rsid w:val="00E654CE"/>
    <w:rsid w:val="00E6557C"/>
    <w:rsid w:val="00E65980"/>
    <w:rsid w:val="00E65C5A"/>
    <w:rsid w:val="00E65FB9"/>
    <w:rsid w:val="00E664EA"/>
    <w:rsid w:val="00E66DD6"/>
    <w:rsid w:val="00E6700B"/>
    <w:rsid w:val="00E67137"/>
    <w:rsid w:val="00E679CA"/>
    <w:rsid w:val="00E70233"/>
    <w:rsid w:val="00E7085F"/>
    <w:rsid w:val="00E7120C"/>
    <w:rsid w:val="00E714E2"/>
    <w:rsid w:val="00E72387"/>
    <w:rsid w:val="00E733D5"/>
    <w:rsid w:val="00E73C49"/>
    <w:rsid w:val="00E74002"/>
    <w:rsid w:val="00E7437D"/>
    <w:rsid w:val="00E74574"/>
    <w:rsid w:val="00E747DD"/>
    <w:rsid w:val="00E74BF4"/>
    <w:rsid w:val="00E751EF"/>
    <w:rsid w:val="00E75454"/>
    <w:rsid w:val="00E75F85"/>
    <w:rsid w:val="00E77079"/>
    <w:rsid w:val="00E77F3A"/>
    <w:rsid w:val="00E8079C"/>
    <w:rsid w:val="00E80845"/>
    <w:rsid w:val="00E810FA"/>
    <w:rsid w:val="00E815E3"/>
    <w:rsid w:val="00E81732"/>
    <w:rsid w:val="00E81D5D"/>
    <w:rsid w:val="00E81E52"/>
    <w:rsid w:val="00E82D07"/>
    <w:rsid w:val="00E84074"/>
    <w:rsid w:val="00E84F4E"/>
    <w:rsid w:val="00E858D9"/>
    <w:rsid w:val="00E86212"/>
    <w:rsid w:val="00E86231"/>
    <w:rsid w:val="00E86369"/>
    <w:rsid w:val="00E86A52"/>
    <w:rsid w:val="00E86B94"/>
    <w:rsid w:val="00E876CA"/>
    <w:rsid w:val="00E8795E"/>
    <w:rsid w:val="00E90849"/>
    <w:rsid w:val="00E90B30"/>
    <w:rsid w:val="00E90C45"/>
    <w:rsid w:val="00E91AEF"/>
    <w:rsid w:val="00E91D7C"/>
    <w:rsid w:val="00E930A5"/>
    <w:rsid w:val="00E93C1B"/>
    <w:rsid w:val="00E93F92"/>
    <w:rsid w:val="00E94439"/>
    <w:rsid w:val="00E95588"/>
    <w:rsid w:val="00E95D3A"/>
    <w:rsid w:val="00E971BE"/>
    <w:rsid w:val="00EA004C"/>
    <w:rsid w:val="00EA01DB"/>
    <w:rsid w:val="00EA0759"/>
    <w:rsid w:val="00EA0B78"/>
    <w:rsid w:val="00EA0C8A"/>
    <w:rsid w:val="00EA14C1"/>
    <w:rsid w:val="00EA1DC5"/>
    <w:rsid w:val="00EA1F7D"/>
    <w:rsid w:val="00EA33E3"/>
    <w:rsid w:val="00EA34E8"/>
    <w:rsid w:val="00EA4361"/>
    <w:rsid w:val="00EA4750"/>
    <w:rsid w:val="00EA4F0E"/>
    <w:rsid w:val="00EA5AAA"/>
    <w:rsid w:val="00EA5CB8"/>
    <w:rsid w:val="00EA5D2A"/>
    <w:rsid w:val="00EA5D2C"/>
    <w:rsid w:val="00EA60BC"/>
    <w:rsid w:val="00EA657A"/>
    <w:rsid w:val="00EA7AB1"/>
    <w:rsid w:val="00EB01EF"/>
    <w:rsid w:val="00EB0341"/>
    <w:rsid w:val="00EB0380"/>
    <w:rsid w:val="00EB0AC0"/>
    <w:rsid w:val="00EB0C13"/>
    <w:rsid w:val="00EB176F"/>
    <w:rsid w:val="00EB1B39"/>
    <w:rsid w:val="00EB21CE"/>
    <w:rsid w:val="00EB2B80"/>
    <w:rsid w:val="00EB2D76"/>
    <w:rsid w:val="00EB304B"/>
    <w:rsid w:val="00EB45BC"/>
    <w:rsid w:val="00EB46E0"/>
    <w:rsid w:val="00EB5A2A"/>
    <w:rsid w:val="00EB5C95"/>
    <w:rsid w:val="00EB5D89"/>
    <w:rsid w:val="00EB5E50"/>
    <w:rsid w:val="00EB64C3"/>
    <w:rsid w:val="00EB6A26"/>
    <w:rsid w:val="00EB6A50"/>
    <w:rsid w:val="00EB7075"/>
    <w:rsid w:val="00EB739D"/>
    <w:rsid w:val="00EB73F1"/>
    <w:rsid w:val="00EB7E9F"/>
    <w:rsid w:val="00EC1089"/>
    <w:rsid w:val="00EC14D7"/>
    <w:rsid w:val="00EC14E9"/>
    <w:rsid w:val="00EC154E"/>
    <w:rsid w:val="00EC16FA"/>
    <w:rsid w:val="00EC181D"/>
    <w:rsid w:val="00EC31CC"/>
    <w:rsid w:val="00EC3B42"/>
    <w:rsid w:val="00EC3D80"/>
    <w:rsid w:val="00EC4386"/>
    <w:rsid w:val="00EC4616"/>
    <w:rsid w:val="00EC4D10"/>
    <w:rsid w:val="00EC5E00"/>
    <w:rsid w:val="00EC5F2B"/>
    <w:rsid w:val="00EC6408"/>
    <w:rsid w:val="00EC65EE"/>
    <w:rsid w:val="00EC6E97"/>
    <w:rsid w:val="00EC6FA4"/>
    <w:rsid w:val="00EC7398"/>
    <w:rsid w:val="00EC798B"/>
    <w:rsid w:val="00ED0994"/>
    <w:rsid w:val="00ED0998"/>
    <w:rsid w:val="00ED1A6D"/>
    <w:rsid w:val="00ED1BE7"/>
    <w:rsid w:val="00ED1C11"/>
    <w:rsid w:val="00ED2E18"/>
    <w:rsid w:val="00ED2F76"/>
    <w:rsid w:val="00ED3429"/>
    <w:rsid w:val="00ED3DA3"/>
    <w:rsid w:val="00ED434E"/>
    <w:rsid w:val="00ED53A1"/>
    <w:rsid w:val="00ED5C94"/>
    <w:rsid w:val="00ED5E39"/>
    <w:rsid w:val="00ED5ECF"/>
    <w:rsid w:val="00ED669A"/>
    <w:rsid w:val="00ED6A75"/>
    <w:rsid w:val="00ED6AAA"/>
    <w:rsid w:val="00ED7CBE"/>
    <w:rsid w:val="00EE02CE"/>
    <w:rsid w:val="00EE0E20"/>
    <w:rsid w:val="00EE210E"/>
    <w:rsid w:val="00EE2AA0"/>
    <w:rsid w:val="00EE2E88"/>
    <w:rsid w:val="00EE2F89"/>
    <w:rsid w:val="00EE30B8"/>
    <w:rsid w:val="00EE328B"/>
    <w:rsid w:val="00EE39F5"/>
    <w:rsid w:val="00EE4828"/>
    <w:rsid w:val="00EE4FAE"/>
    <w:rsid w:val="00EE5019"/>
    <w:rsid w:val="00EE50AA"/>
    <w:rsid w:val="00EE5F7B"/>
    <w:rsid w:val="00EE6834"/>
    <w:rsid w:val="00EE6CF1"/>
    <w:rsid w:val="00EE72BE"/>
    <w:rsid w:val="00EE7503"/>
    <w:rsid w:val="00EE76F3"/>
    <w:rsid w:val="00EE7A56"/>
    <w:rsid w:val="00EF0343"/>
    <w:rsid w:val="00EF0688"/>
    <w:rsid w:val="00EF185B"/>
    <w:rsid w:val="00EF26E3"/>
    <w:rsid w:val="00EF448E"/>
    <w:rsid w:val="00EF4A6C"/>
    <w:rsid w:val="00EF53D7"/>
    <w:rsid w:val="00EF56F5"/>
    <w:rsid w:val="00EF5AB4"/>
    <w:rsid w:val="00EF6405"/>
    <w:rsid w:val="00EF6F7B"/>
    <w:rsid w:val="00EF71E7"/>
    <w:rsid w:val="00EF7421"/>
    <w:rsid w:val="00EF78CD"/>
    <w:rsid w:val="00EF7C14"/>
    <w:rsid w:val="00F00506"/>
    <w:rsid w:val="00F007E5"/>
    <w:rsid w:val="00F027A1"/>
    <w:rsid w:val="00F02963"/>
    <w:rsid w:val="00F02A59"/>
    <w:rsid w:val="00F03792"/>
    <w:rsid w:val="00F04038"/>
    <w:rsid w:val="00F0450B"/>
    <w:rsid w:val="00F047EC"/>
    <w:rsid w:val="00F052BA"/>
    <w:rsid w:val="00F05303"/>
    <w:rsid w:val="00F05609"/>
    <w:rsid w:val="00F061AB"/>
    <w:rsid w:val="00F0734D"/>
    <w:rsid w:val="00F07957"/>
    <w:rsid w:val="00F106EC"/>
    <w:rsid w:val="00F1116E"/>
    <w:rsid w:val="00F1206E"/>
    <w:rsid w:val="00F127FD"/>
    <w:rsid w:val="00F1291B"/>
    <w:rsid w:val="00F129AF"/>
    <w:rsid w:val="00F13DC3"/>
    <w:rsid w:val="00F1412C"/>
    <w:rsid w:val="00F14E96"/>
    <w:rsid w:val="00F14F44"/>
    <w:rsid w:val="00F15649"/>
    <w:rsid w:val="00F1655C"/>
    <w:rsid w:val="00F16AFB"/>
    <w:rsid w:val="00F170E7"/>
    <w:rsid w:val="00F173C9"/>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AE3"/>
    <w:rsid w:val="00F26D23"/>
    <w:rsid w:val="00F26F69"/>
    <w:rsid w:val="00F27931"/>
    <w:rsid w:val="00F306B8"/>
    <w:rsid w:val="00F310C3"/>
    <w:rsid w:val="00F31F1A"/>
    <w:rsid w:val="00F320A3"/>
    <w:rsid w:val="00F349B4"/>
    <w:rsid w:val="00F34B80"/>
    <w:rsid w:val="00F3665D"/>
    <w:rsid w:val="00F36923"/>
    <w:rsid w:val="00F36D5B"/>
    <w:rsid w:val="00F406CC"/>
    <w:rsid w:val="00F40C5A"/>
    <w:rsid w:val="00F40D47"/>
    <w:rsid w:val="00F41413"/>
    <w:rsid w:val="00F41846"/>
    <w:rsid w:val="00F419BE"/>
    <w:rsid w:val="00F41A85"/>
    <w:rsid w:val="00F423C4"/>
    <w:rsid w:val="00F43453"/>
    <w:rsid w:val="00F43F4D"/>
    <w:rsid w:val="00F4419C"/>
    <w:rsid w:val="00F44373"/>
    <w:rsid w:val="00F4460D"/>
    <w:rsid w:val="00F45BCE"/>
    <w:rsid w:val="00F45EE3"/>
    <w:rsid w:val="00F45F7D"/>
    <w:rsid w:val="00F474A7"/>
    <w:rsid w:val="00F47723"/>
    <w:rsid w:val="00F47BC9"/>
    <w:rsid w:val="00F47EAA"/>
    <w:rsid w:val="00F504D2"/>
    <w:rsid w:val="00F50615"/>
    <w:rsid w:val="00F50D5C"/>
    <w:rsid w:val="00F519D3"/>
    <w:rsid w:val="00F52C51"/>
    <w:rsid w:val="00F53463"/>
    <w:rsid w:val="00F5406A"/>
    <w:rsid w:val="00F54184"/>
    <w:rsid w:val="00F545E3"/>
    <w:rsid w:val="00F54FC0"/>
    <w:rsid w:val="00F5642D"/>
    <w:rsid w:val="00F56510"/>
    <w:rsid w:val="00F5680A"/>
    <w:rsid w:val="00F56B64"/>
    <w:rsid w:val="00F57935"/>
    <w:rsid w:val="00F57D06"/>
    <w:rsid w:val="00F60996"/>
    <w:rsid w:val="00F60A88"/>
    <w:rsid w:val="00F60DDB"/>
    <w:rsid w:val="00F61520"/>
    <w:rsid w:val="00F61884"/>
    <w:rsid w:val="00F629EF"/>
    <w:rsid w:val="00F63100"/>
    <w:rsid w:val="00F6332A"/>
    <w:rsid w:val="00F63D54"/>
    <w:rsid w:val="00F65D37"/>
    <w:rsid w:val="00F661D0"/>
    <w:rsid w:val="00F66E50"/>
    <w:rsid w:val="00F6710E"/>
    <w:rsid w:val="00F700D3"/>
    <w:rsid w:val="00F70342"/>
    <w:rsid w:val="00F709BD"/>
    <w:rsid w:val="00F71174"/>
    <w:rsid w:val="00F711FF"/>
    <w:rsid w:val="00F719D4"/>
    <w:rsid w:val="00F72BF7"/>
    <w:rsid w:val="00F72DE1"/>
    <w:rsid w:val="00F744B4"/>
    <w:rsid w:val="00F74A08"/>
    <w:rsid w:val="00F74A33"/>
    <w:rsid w:val="00F74BCF"/>
    <w:rsid w:val="00F75204"/>
    <w:rsid w:val="00F75BD2"/>
    <w:rsid w:val="00F765BA"/>
    <w:rsid w:val="00F767EC"/>
    <w:rsid w:val="00F76CA8"/>
    <w:rsid w:val="00F8001F"/>
    <w:rsid w:val="00F80C6E"/>
    <w:rsid w:val="00F81127"/>
    <w:rsid w:val="00F81AAF"/>
    <w:rsid w:val="00F81E59"/>
    <w:rsid w:val="00F81EA1"/>
    <w:rsid w:val="00F825F0"/>
    <w:rsid w:val="00F82687"/>
    <w:rsid w:val="00F841D9"/>
    <w:rsid w:val="00F849DD"/>
    <w:rsid w:val="00F84F68"/>
    <w:rsid w:val="00F864B0"/>
    <w:rsid w:val="00F867D0"/>
    <w:rsid w:val="00F8741F"/>
    <w:rsid w:val="00F874AA"/>
    <w:rsid w:val="00F875F4"/>
    <w:rsid w:val="00F878A9"/>
    <w:rsid w:val="00F87E74"/>
    <w:rsid w:val="00F9024E"/>
    <w:rsid w:val="00F9088C"/>
    <w:rsid w:val="00F911FB"/>
    <w:rsid w:val="00F93D6E"/>
    <w:rsid w:val="00F94709"/>
    <w:rsid w:val="00F97E6F"/>
    <w:rsid w:val="00FA017D"/>
    <w:rsid w:val="00FA01F0"/>
    <w:rsid w:val="00FA0951"/>
    <w:rsid w:val="00FA18C6"/>
    <w:rsid w:val="00FA1B31"/>
    <w:rsid w:val="00FA202E"/>
    <w:rsid w:val="00FA24FA"/>
    <w:rsid w:val="00FA56D1"/>
    <w:rsid w:val="00FA64A0"/>
    <w:rsid w:val="00FA6E64"/>
    <w:rsid w:val="00FA770C"/>
    <w:rsid w:val="00FA7A64"/>
    <w:rsid w:val="00FA7CB6"/>
    <w:rsid w:val="00FB040E"/>
    <w:rsid w:val="00FB0B7F"/>
    <w:rsid w:val="00FB0E54"/>
    <w:rsid w:val="00FB129E"/>
    <w:rsid w:val="00FB1E7B"/>
    <w:rsid w:val="00FB24D0"/>
    <w:rsid w:val="00FB28DA"/>
    <w:rsid w:val="00FB2B5A"/>
    <w:rsid w:val="00FB2E74"/>
    <w:rsid w:val="00FB33C0"/>
    <w:rsid w:val="00FB34D2"/>
    <w:rsid w:val="00FB3FA2"/>
    <w:rsid w:val="00FB43C6"/>
    <w:rsid w:val="00FB4FFD"/>
    <w:rsid w:val="00FB5ECF"/>
    <w:rsid w:val="00FB5FF2"/>
    <w:rsid w:val="00FB644C"/>
    <w:rsid w:val="00FB668E"/>
    <w:rsid w:val="00FB6B8F"/>
    <w:rsid w:val="00FB6C4F"/>
    <w:rsid w:val="00FB6F92"/>
    <w:rsid w:val="00FB74FC"/>
    <w:rsid w:val="00FB79E6"/>
    <w:rsid w:val="00FC00AF"/>
    <w:rsid w:val="00FC0127"/>
    <w:rsid w:val="00FC1040"/>
    <w:rsid w:val="00FC11C1"/>
    <w:rsid w:val="00FC121A"/>
    <w:rsid w:val="00FC1818"/>
    <w:rsid w:val="00FC18B0"/>
    <w:rsid w:val="00FC2C65"/>
    <w:rsid w:val="00FC2DA8"/>
    <w:rsid w:val="00FC35BE"/>
    <w:rsid w:val="00FC3A09"/>
    <w:rsid w:val="00FC488C"/>
    <w:rsid w:val="00FC511E"/>
    <w:rsid w:val="00FC5156"/>
    <w:rsid w:val="00FC5455"/>
    <w:rsid w:val="00FC640E"/>
    <w:rsid w:val="00FC677C"/>
    <w:rsid w:val="00FC6A39"/>
    <w:rsid w:val="00FC6F41"/>
    <w:rsid w:val="00FC7A3D"/>
    <w:rsid w:val="00FC7E98"/>
    <w:rsid w:val="00FD013A"/>
    <w:rsid w:val="00FD0169"/>
    <w:rsid w:val="00FD144E"/>
    <w:rsid w:val="00FD1700"/>
    <w:rsid w:val="00FD2160"/>
    <w:rsid w:val="00FD22D2"/>
    <w:rsid w:val="00FD2DE9"/>
    <w:rsid w:val="00FD30F7"/>
    <w:rsid w:val="00FD3868"/>
    <w:rsid w:val="00FD3F74"/>
    <w:rsid w:val="00FD4B43"/>
    <w:rsid w:val="00FD5384"/>
    <w:rsid w:val="00FD5622"/>
    <w:rsid w:val="00FD7411"/>
    <w:rsid w:val="00FD77D0"/>
    <w:rsid w:val="00FD7B3B"/>
    <w:rsid w:val="00FE1A45"/>
    <w:rsid w:val="00FE279E"/>
    <w:rsid w:val="00FE2DF2"/>
    <w:rsid w:val="00FE3879"/>
    <w:rsid w:val="00FE3B8B"/>
    <w:rsid w:val="00FE3C0A"/>
    <w:rsid w:val="00FE41A4"/>
    <w:rsid w:val="00FE4534"/>
    <w:rsid w:val="00FE4559"/>
    <w:rsid w:val="00FE5BB6"/>
    <w:rsid w:val="00FE6606"/>
    <w:rsid w:val="00FE6A00"/>
    <w:rsid w:val="00FE79CB"/>
    <w:rsid w:val="00FF09EE"/>
    <w:rsid w:val="00FF0B90"/>
    <w:rsid w:val="00FF0C18"/>
    <w:rsid w:val="00FF14A7"/>
    <w:rsid w:val="00FF1519"/>
    <w:rsid w:val="00FF2045"/>
    <w:rsid w:val="00FF2C86"/>
    <w:rsid w:val="00FF2FB8"/>
    <w:rsid w:val="00FF2FF5"/>
    <w:rsid w:val="00FF3680"/>
    <w:rsid w:val="00FF3744"/>
    <w:rsid w:val="00FF4A80"/>
    <w:rsid w:val="00FF5149"/>
    <w:rsid w:val="00FF59B9"/>
    <w:rsid w:val="00FF5EBD"/>
    <w:rsid w:val="00FF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D955C42-CE5E-4AC0-B9E0-4120A368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EB6"/>
    <w:rPr>
      <w:sz w:val="24"/>
      <w:szCs w:val="24"/>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rFonts w:cs="Times New Roman"/>
      <w:b/>
      <w:bCs/>
      <w:sz w:val="20"/>
      <w:szCs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rPr>
  </w:style>
  <w:style w:type="paragraph" w:styleId="ListParagraph">
    <w:name w:val="List Paragraph"/>
    <w:basedOn w:val="Normal"/>
    <w:uiPriority w:val="34"/>
    <w:qFormat/>
    <w:rsid w:val="001E2211"/>
    <w:pPr>
      <w:ind w:left="720"/>
      <w:contextualSpacing/>
    </w:pPr>
  </w:style>
  <w:style w:type="table" w:styleId="TableGrid">
    <w:name w:val="Table Grid"/>
    <w:basedOn w:val="TableNormal"/>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DD386B"/>
    <w:rPr>
      <w:rFonts w:ascii="Times New Roman" w:hAnsi="Times New Roman" w:cs="Times New Roman"/>
      <w:b w:val="0"/>
      <w:i w:val="0"/>
      <w:caps w:val="0"/>
      <w:vanish w:val="0"/>
      <w:color w:val="000000"/>
      <w:sz w:val="16"/>
      <w:szCs w:val="20"/>
      <w:u w:val="none"/>
    </w:rPr>
  </w:style>
  <w:style w:type="character" w:styleId="PlaceholderText">
    <w:name w:val="Placeholder Text"/>
    <w:basedOn w:val="DefaultParagraphFont"/>
    <w:uiPriority w:val="99"/>
    <w:semiHidden/>
    <w:rsid w:val="00DD386B"/>
    <w:rPr>
      <w:color w:val="808080"/>
    </w:rPr>
  </w:style>
  <w:style w:type="paragraph" w:styleId="FootnoteText">
    <w:name w:val="footnote text"/>
    <w:basedOn w:val="Normal"/>
    <w:link w:val="FootnoteTextChar"/>
    <w:uiPriority w:val="99"/>
    <w:semiHidden/>
    <w:unhideWhenUsed/>
    <w:rsid w:val="00DE18FB"/>
    <w:rPr>
      <w:sz w:val="20"/>
      <w:szCs w:val="20"/>
    </w:rPr>
  </w:style>
  <w:style w:type="character" w:customStyle="1" w:styleId="FootnoteTextChar">
    <w:name w:val="Footnote Text Char"/>
    <w:basedOn w:val="DefaultParagraphFont"/>
    <w:link w:val="FootnoteText"/>
    <w:uiPriority w:val="99"/>
    <w:semiHidden/>
    <w:rsid w:val="00DE18FB"/>
    <w:rPr>
      <w:sz w:val="20"/>
      <w:szCs w:val="20"/>
    </w:rPr>
  </w:style>
  <w:style w:type="character" w:styleId="FootnoteReference">
    <w:name w:val="footnote reference"/>
    <w:basedOn w:val="DefaultParagraphFont"/>
    <w:uiPriority w:val="99"/>
    <w:semiHidden/>
    <w:unhideWhenUsed/>
    <w:rsid w:val="00DE1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95943">
      <w:bodyDiv w:val="1"/>
      <w:marLeft w:val="0"/>
      <w:marRight w:val="0"/>
      <w:marTop w:val="0"/>
      <w:marBottom w:val="0"/>
      <w:divBdr>
        <w:top w:val="none" w:sz="0" w:space="0" w:color="auto"/>
        <w:left w:val="none" w:sz="0" w:space="0" w:color="auto"/>
        <w:bottom w:val="none" w:sz="0" w:space="0" w:color="auto"/>
        <w:right w:val="none" w:sz="0" w:space="0" w:color="auto"/>
      </w:divBdr>
    </w:div>
    <w:div w:id="1579368207">
      <w:marLeft w:val="0"/>
      <w:marRight w:val="0"/>
      <w:marTop w:val="0"/>
      <w:marBottom w:val="0"/>
      <w:divBdr>
        <w:top w:val="none" w:sz="0" w:space="0" w:color="auto"/>
        <w:left w:val="none" w:sz="0" w:space="0" w:color="auto"/>
        <w:bottom w:val="none" w:sz="0" w:space="0" w:color="auto"/>
        <w:right w:val="none" w:sz="0" w:space="0" w:color="auto"/>
      </w:divBdr>
    </w:div>
    <w:div w:id="1579368208">
      <w:marLeft w:val="0"/>
      <w:marRight w:val="0"/>
      <w:marTop w:val="0"/>
      <w:marBottom w:val="0"/>
      <w:divBdr>
        <w:top w:val="none" w:sz="0" w:space="0" w:color="auto"/>
        <w:left w:val="none" w:sz="0" w:space="0" w:color="auto"/>
        <w:bottom w:val="none" w:sz="0" w:space="0" w:color="auto"/>
        <w:right w:val="none" w:sz="0" w:space="0" w:color="auto"/>
      </w:divBdr>
    </w:div>
    <w:div w:id="1579368209">
      <w:marLeft w:val="0"/>
      <w:marRight w:val="0"/>
      <w:marTop w:val="0"/>
      <w:marBottom w:val="0"/>
      <w:divBdr>
        <w:top w:val="none" w:sz="0" w:space="0" w:color="auto"/>
        <w:left w:val="none" w:sz="0" w:space="0" w:color="auto"/>
        <w:bottom w:val="none" w:sz="0" w:space="0" w:color="auto"/>
        <w:right w:val="none" w:sz="0" w:space="0" w:color="auto"/>
      </w:divBdr>
    </w:div>
    <w:div w:id="1579368210">
      <w:marLeft w:val="0"/>
      <w:marRight w:val="0"/>
      <w:marTop w:val="0"/>
      <w:marBottom w:val="0"/>
      <w:divBdr>
        <w:top w:val="none" w:sz="0" w:space="0" w:color="auto"/>
        <w:left w:val="none" w:sz="0" w:space="0" w:color="auto"/>
        <w:bottom w:val="none" w:sz="0" w:space="0" w:color="auto"/>
        <w:right w:val="none" w:sz="0" w:space="0" w:color="auto"/>
      </w:divBdr>
      <w:divsChild>
        <w:div w:id="1579368211">
          <w:marLeft w:val="0"/>
          <w:marRight w:val="0"/>
          <w:marTop w:val="45"/>
          <w:marBottom w:val="225"/>
          <w:divBdr>
            <w:top w:val="none" w:sz="0" w:space="0" w:color="auto"/>
            <w:left w:val="none" w:sz="0" w:space="0" w:color="auto"/>
            <w:bottom w:val="none" w:sz="0" w:space="0" w:color="auto"/>
            <w:right w:val="none" w:sz="0" w:space="0" w:color="auto"/>
          </w:divBdr>
          <w:divsChild>
            <w:div w:id="1579368212">
              <w:marLeft w:val="150"/>
              <w:marRight w:val="0"/>
              <w:marTop w:val="300"/>
              <w:marBottom w:val="0"/>
              <w:divBdr>
                <w:top w:val="none" w:sz="0" w:space="0" w:color="auto"/>
                <w:left w:val="none" w:sz="0" w:space="0" w:color="auto"/>
                <w:bottom w:val="none" w:sz="0" w:space="0" w:color="auto"/>
                <w:right w:val="none" w:sz="0" w:space="0" w:color="auto"/>
              </w:divBdr>
              <w:divsChild>
                <w:div w:id="15793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5">
      <w:marLeft w:val="0"/>
      <w:marRight w:val="0"/>
      <w:marTop w:val="0"/>
      <w:marBottom w:val="0"/>
      <w:divBdr>
        <w:top w:val="none" w:sz="0" w:space="0" w:color="auto"/>
        <w:left w:val="none" w:sz="0" w:space="0" w:color="auto"/>
        <w:bottom w:val="none" w:sz="0" w:space="0" w:color="auto"/>
        <w:right w:val="none" w:sz="0" w:space="0" w:color="auto"/>
      </w:divBdr>
      <w:divsChild>
        <w:div w:id="1579368213">
          <w:marLeft w:val="0"/>
          <w:marRight w:val="0"/>
          <w:marTop w:val="45"/>
          <w:marBottom w:val="225"/>
          <w:divBdr>
            <w:top w:val="none" w:sz="0" w:space="0" w:color="auto"/>
            <w:left w:val="none" w:sz="0" w:space="0" w:color="auto"/>
            <w:bottom w:val="none" w:sz="0" w:space="0" w:color="auto"/>
            <w:right w:val="none" w:sz="0" w:space="0" w:color="auto"/>
          </w:divBdr>
          <w:divsChild>
            <w:div w:id="1579368217">
              <w:marLeft w:val="150"/>
              <w:marRight w:val="0"/>
              <w:marTop w:val="300"/>
              <w:marBottom w:val="0"/>
              <w:divBdr>
                <w:top w:val="none" w:sz="0" w:space="0" w:color="auto"/>
                <w:left w:val="none" w:sz="0" w:space="0" w:color="auto"/>
                <w:bottom w:val="none" w:sz="0" w:space="0" w:color="auto"/>
                <w:right w:val="none" w:sz="0" w:space="0" w:color="auto"/>
              </w:divBdr>
              <w:divsChild>
                <w:div w:id="157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8">
      <w:marLeft w:val="0"/>
      <w:marRight w:val="0"/>
      <w:marTop w:val="0"/>
      <w:marBottom w:val="0"/>
      <w:divBdr>
        <w:top w:val="none" w:sz="0" w:space="0" w:color="auto"/>
        <w:left w:val="none" w:sz="0" w:space="0" w:color="auto"/>
        <w:bottom w:val="none" w:sz="0" w:space="0" w:color="auto"/>
        <w:right w:val="none" w:sz="0" w:space="0" w:color="auto"/>
      </w:divBdr>
    </w:div>
    <w:div w:id="1579368219">
      <w:marLeft w:val="0"/>
      <w:marRight w:val="0"/>
      <w:marTop w:val="0"/>
      <w:marBottom w:val="0"/>
      <w:divBdr>
        <w:top w:val="none" w:sz="0" w:space="0" w:color="auto"/>
        <w:left w:val="none" w:sz="0" w:space="0" w:color="auto"/>
        <w:bottom w:val="none" w:sz="0" w:space="0" w:color="auto"/>
        <w:right w:val="none" w:sz="0" w:space="0" w:color="auto"/>
      </w:divBdr>
    </w:div>
    <w:div w:id="1727489492">
      <w:bodyDiv w:val="1"/>
      <w:marLeft w:val="0"/>
      <w:marRight w:val="0"/>
      <w:marTop w:val="0"/>
      <w:marBottom w:val="0"/>
      <w:divBdr>
        <w:top w:val="none" w:sz="0" w:space="0" w:color="auto"/>
        <w:left w:val="none" w:sz="0" w:space="0" w:color="auto"/>
        <w:bottom w:val="none" w:sz="0" w:space="0" w:color="auto"/>
        <w:right w:val="none" w:sz="0" w:space="0" w:color="auto"/>
      </w:divBdr>
    </w:div>
    <w:div w:id="19966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93E2D-238E-4EC6-BD30-07D7FDC8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2003</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13807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Keith A. (chi1kac)</dc:creator>
  <cp:keywords/>
  <dc:description/>
  <cp:lastModifiedBy>Michal Donath</cp:lastModifiedBy>
  <cp:revision>3</cp:revision>
  <cp:lastPrinted>2018-07-23T19:05:00Z</cp:lastPrinted>
  <dcterms:created xsi:type="dcterms:W3CDTF">2018-07-25T11:25:00Z</dcterms:created>
  <dcterms:modified xsi:type="dcterms:W3CDTF">2018-07-25T11:26:00Z</dcterms:modified>
</cp:coreProperties>
</file>