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sz w:val="20"/>
          <w:szCs w:val="20"/>
          <w:lang w:val="cs-CZ"/>
        </w:rPr>
      </w:pPr>
      <w:r>
        <w:rPr>
          <w:lang w:val="cs-CZ"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5123815</wp:posOffset>
            </wp:positionH>
            <wp:positionV relativeFrom="paragraph">
              <wp:posOffset>-71120</wp:posOffset>
            </wp:positionV>
            <wp:extent cx="828675" cy="936625"/>
            <wp:effectExtent l="0" t="0" r="11430" b="6350"/>
            <wp:wrapTight wrapText="bothSides">
              <wp:wrapPolygon>
                <wp:start x="0" y="0"/>
                <wp:lineTo x="0" y="20956"/>
                <wp:lineTo x="21004" y="20956"/>
                <wp:lineTo x="21004" y="0"/>
                <wp:lineTo x="0" y="0"/>
              </wp:wrapPolygon>
            </wp:wrapTight>
            <wp:docPr id="1" name="Picture 2" descr="1187734~UPS_Flat_Shield_2Color_RGB-1080.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1187734~UPS_Flat_Shield_2Color_RGB-1080.108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Arial" w:hAnsi="Arial" w:cs="Arial"/>
          <w:sz w:val="20"/>
          <w:szCs w:val="20"/>
          <w:lang w:val="en-US"/>
        </w:rPr>
        <w:t>K</w:t>
      </w:r>
      <w:r>
        <w:rPr>
          <w:rFonts w:ascii="Arial" w:hAnsi="Arial" w:cs="Arial"/>
          <w:sz w:val="20"/>
          <w:szCs w:val="20"/>
        </w:rPr>
        <w:t xml:space="preserve">ontakty: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cs-CZ"/>
        </w:rPr>
        <w:t xml:space="preserve">Karla Krejčí, Donath Business &amp; Media </w:t>
      </w:r>
      <w:r>
        <w:rPr>
          <w:rFonts w:ascii="Arial" w:hAnsi="Arial" w:cs="Arial"/>
          <w:sz w:val="20"/>
          <w:szCs w:val="20"/>
          <w:lang w:val="cs-CZ"/>
        </w:rPr>
        <w:br w:type="textWrapping"/>
      </w:r>
      <w:r>
        <w:rPr>
          <w:rFonts w:hint="default" w:ascii="Arial" w:hAnsi="Arial" w:cs="Arial"/>
          <w:sz w:val="20"/>
          <w:szCs w:val="20"/>
          <w:lang w:val="en-US"/>
        </w:rPr>
        <w:tab/>
      </w:r>
      <w:r>
        <w:rPr>
          <w:rFonts w:hint="default"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cs-CZ"/>
        </w:rPr>
        <w:t>+420 224 211 220</w:t>
      </w:r>
      <w:r>
        <w:rPr>
          <w:rFonts w:ascii="Arial" w:hAnsi="Arial" w:cs="Arial"/>
          <w:sz w:val="20"/>
          <w:szCs w:val="20"/>
          <w:lang w:val="cs-CZ"/>
        </w:rPr>
        <w:br w:type="textWrapping"/>
      </w:r>
      <w:r>
        <w:rPr>
          <w:rFonts w:hint="default" w:ascii="Arial" w:hAnsi="Arial" w:cs="Arial"/>
          <w:sz w:val="20"/>
          <w:szCs w:val="20"/>
          <w:lang w:val="en-US"/>
        </w:rPr>
        <w:tab/>
      </w:r>
      <w:r>
        <w:rPr>
          <w:rFonts w:hint="default" w:ascii="Arial" w:hAnsi="Arial" w:cs="Arial"/>
          <w:sz w:val="20"/>
          <w:szCs w:val="20"/>
          <w:lang w:val="en-US"/>
        </w:rPr>
        <w:tab/>
      </w:r>
      <w:r>
        <w:fldChar w:fldCharType="begin"/>
      </w:r>
      <w:r>
        <w:instrText xml:space="preserve"> HYPERLINK "mailto:karla.krejci@dbm.cz" \h </w:instrText>
      </w:r>
      <w:r>
        <w:fldChar w:fldCharType="separate"/>
      </w:r>
      <w:r>
        <w:rPr>
          <w:rStyle w:val="19"/>
          <w:rFonts w:ascii="Arial" w:hAnsi="Arial" w:cs="Arial"/>
          <w:sz w:val="20"/>
          <w:szCs w:val="20"/>
          <w:lang w:val="cs-CZ"/>
        </w:rPr>
        <w:t>karla.krejci@dbm.cz</w:t>
      </w:r>
      <w:r>
        <w:rPr>
          <w:rStyle w:val="19"/>
          <w:rFonts w:ascii="Arial" w:hAnsi="Arial" w:cs="Arial"/>
          <w:sz w:val="20"/>
          <w:szCs w:val="20"/>
          <w:lang w:val="cs-CZ"/>
        </w:rPr>
        <w:fldChar w:fldCharType="end"/>
      </w:r>
      <w:bookmarkStart w:id="0" w:name="Section1"/>
      <w:bookmarkEnd w:id="0"/>
    </w:p>
    <w:p>
      <w:pPr>
        <w:spacing w:before="0" w:after="0" w:line="240" w:lineRule="auto"/>
        <w:rPr>
          <w:rFonts w:ascii="Tahoma" w:hAnsi="Tahoma" w:cs="Tahoma"/>
          <w:b/>
          <w:sz w:val="28"/>
          <w:szCs w:val="28"/>
          <w:lang w:val="cs-CZ"/>
        </w:rPr>
      </w:pPr>
    </w:p>
    <w:p>
      <w:pPr>
        <w:spacing w:before="0" w:after="0" w:line="240" w:lineRule="auto"/>
        <w:rPr>
          <w:rFonts w:ascii="Tahoma" w:hAnsi="Tahoma" w:cs="Tahoma"/>
          <w:b/>
          <w:sz w:val="28"/>
          <w:szCs w:val="28"/>
          <w:lang w:val="cs-CZ"/>
        </w:rPr>
      </w:pPr>
    </w:p>
    <w:p>
      <w:pPr>
        <w:spacing w:before="0" w:after="0" w:line="240" w:lineRule="auto"/>
        <w:jc w:val="center"/>
        <w:rPr>
          <w:rFonts w:ascii="Tahoma" w:hAnsi="Tahoma" w:cs="Tahoma"/>
          <w:b/>
          <w:sz w:val="28"/>
          <w:szCs w:val="28"/>
          <w:lang w:val="cs-CZ"/>
        </w:rPr>
      </w:pPr>
    </w:p>
    <w:p>
      <w:pPr>
        <w:spacing w:before="0" w:after="0" w:line="240" w:lineRule="auto"/>
        <w:jc w:val="center"/>
        <w:rPr>
          <w:rFonts w:ascii="Tahoma" w:hAnsi="Tahoma" w:cs="Tahoma"/>
          <w:b/>
          <w:sz w:val="28"/>
          <w:szCs w:val="28"/>
          <w:lang w:val="cs-CZ"/>
        </w:rPr>
      </w:pPr>
      <w:r>
        <w:rPr>
          <w:rFonts w:ascii="Tahoma" w:hAnsi="Tahoma" w:cs="Tahoma"/>
          <w:b/>
          <w:sz w:val="28"/>
          <w:szCs w:val="28"/>
          <w:lang w:val="cs-CZ"/>
        </w:rPr>
        <w:t xml:space="preserve">UPS Healthcare zdvojnásobila prostory v Ostravě, </w:t>
      </w:r>
    </w:p>
    <w:p>
      <w:pPr>
        <w:spacing w:before="0" w:after="0" w:line="240" w:lineRule="auto"/>
        <w:jc w:val="center"/>
        <w:rPr>
          <w:rFonts w:ascii="Tahoma" w:hAnsi="Tahoma" w:cs="Tahoma"/>
          <w:b/>
          <w:sz w:val="28"/>
          <w:szCs w:val="28"/>
          <w:lang w:val="cs-CZ"/>
        </w:rPr>
      </w:pPr>
      <w:r>
        <w:rPr>
          <w:rFonts w:ascii="Tahoma" w:hAnsi="Tahoma" w:cs="Tahoma"/>
          <w:b/>
          <w:sz w:val="28"/>
          <w:szCs w:val="28"/>
          <w:lang w:val="cs-CZ"/>
        </w:rPr>
        <w:t>a vytvořila tak 50 nových pracovních míst</w:t>
      </w:r>
    </w:p>
    <w:p>
      <w:pPr>
        <w:spacing w:before="0" w:after="0" w:line="240" w:lineRule="auto"/>
        <w:rPr>
          <w:rFonts w:ascii="Tahoma" w:hAnsi="Tahoma" w:cs="Tahoma"/>
          <w:b/>
          <w:sz w:val="28"/>
          <w:szCs w:val="28"/>
        </w:rPr>
      </w:pPr>
    </w:p>
    <w:p>
      <w:pPr>
        <w:pStyle w:val="22"/>
        <w:numPr>
          <w:ilvl w:val="-3"/>
          <w:numId w:val="0"/>
        </w:numPr>
        <w:spacing w:line="235" w:lineRule="atLeast"/>
        <w:rPr>
          <w:rFonts w:hint="default" w:ascii="Tahoma" w:hAnsi="Tahoma" w:eastAsia="Times New Roman" w:cs="Tahoma"/>
          <w:b/>
          <w:bCs/>
          <w:sz w:val="20"/>
          <w:szCs w:val="20"/>
          <w:lang w:val="en-US"/>
        </w:rPr>
      </w:pPr>
    </w:p>
    <w:p>
      <w:pPr>
        <w:pStyle w:val="22"/>
        <w:numPr>
          <w:ilvl w:val="-3"/>
          <w:numId w:val="0"/>
        </w:numPr>
        <w:spacing w:line="235" w:lineRule="atLeast"/>
        <w:rPr>
          <w:rFonts w:ascii="Tahoma" w:hAnsi="Tahoma" w:eastAsia="Times New Roman" w:cs="Tahoma"/>
          <w:sz w:val="20"/>
          <w:szCs w:val="20"/>
          <w:lang w:val="cs-CZ"/>
        </w:rPr>
      </w:pPr>
      <w:bookmarkStart w:id="2" w:name="_GoBack"/>
      <w:bookmarkEnd w:id="2"/>
      <w:r>
        <w:rPr>
          <w:rFonts w:hint="default" w:ascii="Tahoma" w:hAnsi="Tahoma" w:eastAsia="Times New Roman" w:cs="Tahoma"/>
          <w:b/>
          <w:bCs/>
          <w:sz w:val="20"/>
          <w:szCs w:val="20"/>
          <w:lang w:val="en-US"/>
        </w:rPr>
        <w:t xml:space="preserve">Ostrava, 9. listopadu 2022 - </w:t>
      </w:r>
      <w:r>
        <w:rPr>
          <w:rFonts w:ascii="Tahoma" w:hAnsi="Tahoma" w:eastAsia="Times New Roman" w:cs="Tahoma"/>
          <w:sz w:val="20"/>
          <w:szCs w:val="20"/>
          <w:lang w:val="cs-CZ"/>
        </w:rPr>
        <w:t>Společnost</w:t>
      </w:r>
      <w:r>
        <w:rPr>
          <w:rFonts w:hint="default" w:ascii="Tahoma" w:hAnsi="Tahoma" w:eastAsia="Times New Roman" w:cs="Tahoma"/>
          <w:sz w:val="20"/>
          <w:szCs w:val="20"/>
          <w:lang w:val="en-US"/>
        </w:rPr>
        <w:t xml:space="preserve"> </w:t>
      </w:r>
      <w:r>
        <w:rPr>
          <w:rFonts w:ascii="Tahoma" w:hAnsi="Tahoma" w:eastAsia="Times New Roman" w:cs="Tahoma"/>
          <w:sz w:val="20"/>
          <w:szCs w:val="20"/>
          <w:lang w:val="cs-CZ"/>
        </w:rPr>
        <w:t xml:space="preserve">UPS více než zdvojnásobila velikost svého logistického centra UPS Healthcare v Ostravě a vytvořila až 50 nových pracovních míst. </w:t>
      </w:r>
      <w:bookmarkStart w:id="1" w:name="__DdeLink__165_158407908"/>
      <w:r>
        <w:rPr>
          <w:rFonts w:ascii="Tahoma" w:hAnsi="Tahoma" w:eastAsia="Times New Roman" w:cs="Tahoma"/>
          <w:sz w:val="20"/>
          <w:szCs w:val="20"/>
          <w:lang w:val="cs-CZ"/>
        </w:rPr>
        <w:t xml:space="preserve">V areálu </w:t>
      </w:r>
      <w:r>
        <w:rPr>
          <w:rFonts w:hint="default" w:ascii="Tahoma" w:hAnsi="Tahoma" w:eastAsia="Times New Roman" w:cs="Tahoma"/>
          <w:sz w:val="20"/>
          <w:szCs w:val="20"/>
          <w:lang w:val="en-US"/>
        </w:rPr>
        <w:t xml:space="preserve">rozšířeném </w:t>
      </w:r>
      <w:r>
        <w:rPr>
          <w:rFonts w:ascii="Tahoma" w:hAnsi="Tahoma" w:eastAsia="Times New Roman" w:cs="Tahoma"/>
          <w:sz w:val="20"/>
          <w:szCs w:val="20"/>
          <w:lang w:val="cs-CZ"/>
        </w:rPr>
        <w:t>o 6000 m</w:t>
      </w:r>
      <w:r>
        <w:rPr>
          <w:rFonts w:ascii="Tahoma" w:hAnsi="Tahoma" w:eastAsia="Times New Roman" w:cs="Tahoma"/>
          <w:sz w:val="20"/>
          <w:szCs w:val="20"/>
          <w:vertAlign w:val="superscript"/>
          <w:lang w:val="cs-CZ"/>
        </w:rPr>
        <w:t>2</w:t>
      </w:r>
      <w:r>
        <w:rPr>
          <w:rFonts w:ascii="Tahoma" w:hAnsi="Tahoma" w:eastAsia="Times New Roman" w:cs="Tahoma"/>
          <w:sz w:val="20"/>
          <w:szCs w:val="20"/>
          <w:lang w:val="cs-CZ"/>
        </w:rPr>
        <w:t>,</w:t>
      </w:r>
      <w:bookmarkEnd w:id="1"/>
      <w:r>
        <w:rPr>
          <w:rFonts w:ascii="Tahoma" w:hAnsi="Tahoma" w:eastAsia="Times New Roman" w:cs="Tahoma"/>
          <w:sz w:val="20"/>
          <w:szCs w:val="20"/>
          <w:lang w:val="cs-CZ"/>
        </w:rPr>
        <w:t xml:space="preserve"> který </w:t>
      </w:r>
      <w:r>
        <w:rPr>
          <w:rFonts w:ascii="Helv" w:hAnsi="Helv" w:cs="Helv"/>
          <w:color w:val="000000"/>
          <w:sz w:val="20"/>
          <w:szCs w:val="20"/>
          <w:lang w:val="cs-CZ"/>
        </w:rPr>
        <w:t>odpovídá požadavkům správné distribuční praxe (GDP)</w:t>
      </w:r>
      <w:r>
        <w:rPr>
          <w:rFonts w:ascii="Tahoma" w:hAnsi="Tahoma" w:eastAsia="Times New Roman" w:cs="Tahoma"/>
          <w:sz w:val="20"/>
          <w:szCs w:val="20"/>
          <w:lang w:val="cs-CZ"/>
        </w:rPr>
        <w:t xml:space="preserve">, </w:t>
      </w:r>
      <w:r>
        <w:rPr>
          <w:rFonts w:ascii="Helv" w:hAnsi="Helv" w:cs="Helv"/>
          <w:color w:val="000000"/>
          <w:sz w:val="20"/>
          <w:szCs w:val="20"/>
          <w:lang w:val="cs-CZ"/>
        </w:rPr>
        <w:t>se nachází prostory s kontrolovanou teplotou pro přepravu a skladování léků a biologických látek citlivých na výkyvy teploty.</w:t>
      </w:r>
    </w:p>
    <w:p>
      <w:pPr>
        <w:pStyle w:val="22"/>
        <w:spacing w:line="235" w:lineRule="atLeast"/>
        <w:ind w:left="0" w:leftChars="0"/>
        <w:rPr>
          <w:rFonts w:ascii="Tahoma" w:hAnsi="Tahoma" w:eastAsia="Times New Roman" w:cs="Tahoma"/>
          <w:color w:val="4472C4" w:themeColor="accent5"/>
          <w:sz w:val="20"/>
          <w:szCs w:val="20"/>
          <w:lang w:val="cs-CZ"/>
          <w14:textFill>
            <w14:solidFill>
              <w14:schemeClr w14:val="accent5"/>
            </w14:solidFill>
          </w14:textFill>
        </w:rPr>
      </w:pPr>
    </w:p>
    <w:p>
      <w:pPr>
        <w:spacing w:before="0" w:after="0" w:line="240" w:lineRule="auto"/>
        <w:rPr>
          <w:rFonts w:ascii="Tahoma" w:hAnsi="Tahoma" w:cs="Tahoma"/>
          <w:b w:val="0"/>
          <w:bCs w:val="0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 xml:space="preserve">„Naši zákazníci působí na jednom z nejrychleji rostoucích zdravotnických trhů na světě a jejich produkty nové generace vyžadují špičkové služby. Investujeme nejen proto, abychom uspokojili potřeby našich zákazníků v oblasti kvalitních komplexních řešení, podporujeme také </w:t>
      </w:r>
      <w:r>
        <w:rPr>
          <w:rFonts w:hint="default" w:ascii="Tahoma" w:hAnsi="Tahoma" w:cs="Tahoma"/>
          <w:sz w:val="20"/>
          <w:szCs w:val="20"/>
          <w:lang w:val="en-US"/>
        </w:rPr>
        <w:t xml:space="preserve">místní </w:t>
      </w:r>
      <w:r>
        <w:rPr>
          <w:rFonts w:ascii="Tahoma" w:hAnsi="Tahoma" w:cs="Tahoma"/>
          <w:sz w:val="20"/>
          <w:szCs w:val="20"/>
          <w:lang w:val="cs-CZ"/>
        </w:rPr>
        <w:t>komunity a vytváříme nová pracovní míst</w:t>
      </w:r>
      <w:r>
        <w:rPr>
          <w:rFonts w:ascii="Tahoma" w:hAnsi="Tahoma" w:cs="Tahoma"/>
          <w:b w:val="0"/>
          <w:bCs w:val="0"/>
          <w:sz w:val="20"/>
          <w:szCs w:val="20"/>
          <w:lang w:val="cs-CZ"/>
        </w:rPr>
        <w:t>a,“ uvedl Fredrik Jansson, generální ředitel UPS Healthcare Europe pro střední a východní Evropu.</w:t>
      </w:r>
    </w:p>
    <w:p>
      <w:pPr>
        <w:spacing w:before="0" w:after="0" w:line="240" w:lineRule="auto"/>
        <w:rPr>
          <w:rFonts w:ascii="Tahoma" w:hAnsi="Tahoma" w:cs="Tahoma"/>
          <w:b w:val="0"/>
          <w:bCs w:val="0"/>
          <w:sz w:val="20"/>
          <w:szCs w:val="20"/>
          <w:lang w:val="cs-CZ"/>
        </w:rPr>
      </w:pPr>
    </w:p>
    <w:p>
      <w:pPr>
        <w:pStyle w:val="22"/>
        <w:numPr>
          <w:ilvl w:val="-3"/>
          <w:numId w:val="0"/>
        </w:numPr>
        <w:spacing w:line="235" w:lineRule="atLeast"/>
        <w:rPr>
          <w:rFonts w:ascii="Helv" w:hAnsi="Helv" w:cs="Helv"/>
          <w:color w:val="000000"/>
          <w:sz w:val="20"/>
          <w:szCs w:val="20"/>
          <w:highlight w:val="none"/>
          <w:lang w:val="cs-CZ"/>
        </w:rPr>
      </w:pPr>
      <w:r>
        <w:rPr>
          <w:rFonts w:ascii="Tahoma" w:hAnsi="Tahoma" w:cs="Tahoma"/>
          <w:sz w:val="20"/>
          <w:szCs w:val="20"/>
          <w:highlight w:val="none"/>
          <w:lang w:val="cs-CZ"/>
        </w:rPr>
        <w:t>„</w:t>
      </w:r>
      <w:r>
        <w:rPr>
          <w:rFonts w:hint="default" w:ascii="Tahoma" w:hAnsi="Tahoma"/>
          <w:b w:val="0"/>
          <w:bCs w:val="0"/>
          <w:color w:val="auto"/>
          <w:sz w:val="20"/>
          <w:szCs w:val="20"/>
          <w:highlight w:val="none"/>
          <w:lang w:val="en-US"/>
        </w:rPr>
        <w:t>Úspěch ostravského centra a rostoucí poptávka po přepravě farmaceutických a zdravotnických výrobků si vyžádaly více než dvojnásobné rozšíření našeho centra. Chtěla bych poděkovat zaměstnancům ostravského centra za jejich enormní úsilí a podporu,</w:t>
      </w:r>
      <w:r>
        <w:rPr>
          <w:rFonts w:ascii="Tahoma" w:hAnsi="Tahoma" w:cs="Tahoma"/>
          <w:b w:val="0"/>
          <w:bCs w:val="0"/>
          <w:sz w:val="20"/>
          <w:szCs w:val="20"/>
          <w:highlight w:val="none"/>
          <w:lang w:val="cs-CZ"/>
        </w:rPr>
        <w:t>“</w:t>
      </w:r>
      <w:r>
        <w:rPr>
          <w:rFonts w:hint="default" w:ascii="Tahoma" w:hAnsi="Tahoma"/>
          <w:b w:val="0"/>
          <w:bCs w:val="0"/>
          <w:color w:val="auto"/>
          <w:sz w:val="20"/>
          <w:szCs w:val="20"/>
          <w:highlight w:val="none"/>
          <w:lang w:val="en-US"/>
        </w:rPr>
        <w:t xml:space="preserve"> uvedla Kateřina Kuhnová, ředitelka UPS Healthcare v Ostravě. </w:t>
      </w:r>
    </w:p>
    <w:p>
      <w:pPr>
        <w:pStyle w:val="22"/>
        <w:numPr>
          <w:ilvl w:val="-3"/>
          <w:numId w:val="0"/>
        </w:numPr>
        <w:spacing w:line="235" w:lineRule="atLeast"/>
        <w:rPr>
          <w:rFonts w:ascii="Helv" w:hAnsi="Helv" w:cs="Helv"/>
          <w:color w:val="000000"/>
          <w:sz w:val="20"/>
          <w:szCs w:val="20"/>
          <w:lang w:val="cs-CZ"/>
        </w:rPr>
      </w:pPr>
    </w:p>
    <w:p>
      <w:pPr>
        <w:pStyle w:val="22"/>
        <w:numPr>
          <w:ilvl w:val="-3"/>
          <w:numId w:val="0"/>
        </w:numPr>
        <w:spacing w:line="235" w:lineRule="atLeast"/>
        <w:rPr>
          <w:rFonts w:ascii="Tahoma" w:hAnsi="Tahoma" w:eastAsia="Times New Roman" w:cs="Tahoma"/>
          <w:sz w:val="20"/>
          <w:szCs w:val="20"/>
          <w:lang w:val="cs-CZ"/>
        </w:rPr>
      </w:pPr>
      <w:r>
        <w:rPr>
          <w:rFonts w:ascii="Helv" w:hAnsi="Helv" w:cs="Helv"/>
          <w:color w:val="000000"/>
          <w:sz w:val="20"/>
          <w:szCs w:val="20"/>
          <w:lang w:val="cs-CZ"/>
        </w:rPr>
        <w:t xml:space="preserve">Logistické centrum v srdci střední a východní Evropy nabízí lepší přístup na rychle rostoucí východoevropské trhy a </w:t>
      </w:r>
      <w:r>
        <w:rPr>
          <w:rFonts w:ascii="Tahoma" w:hAnsi="Tahoma" w:eastAsia="Times New Roman" w:cs="Tahoma"/>
          <w:sz w:val="20"/>
          <w:szCs w:val="20"/>
          <w:lang w:val="cs-CZ"/>
        </w:rPr>
        <w:t>zaj</w:t>
      </w:r>
      <w:r>
        <w:rPr>
          <w:rFonts w:hint="default" w:ascii="Tahoma" w:hAnsi="Tahoma" w:eastAsia="Times New Roman" w:cs="Tahoma"/>
          <w:sz w:val="20"/>
          <w:szCs w:val="20"/>
          <w:lang w:val="en-US"/>
        </w:rPr>
        <w:t>išťuje</w:t>
      </w:r>
      <w:r>
        <w:rPr>
          <w:rFonts w:ascii="Tahoma" w:hAnsi="Tahoma" w:eastAsia="Times New Roman" w:cs="Tahoma"/>
          <w:sz w:val="20"/>
          <w:szCs w:val="20"/>
          <w:lang w:val="cs-CZ"/>
        </w:rPr>
        <w:t xml:space="preserve"> zákazníkům z oblasti léčiv a zdravotnických prostředků v České republice </w:t>
      </w:r>
      <w:r>
        <w:rPr>
          <w:rFonts w:ascii="Helv" w:hAnsi="Helv" w:cs="Helv"/>
          <w:color w:val="000000"/>
          <w:sz w:val="20"/>
          <w:szCs w:val="20"/>
          <w:lang w:val="cs-CZ"/>
        </w:rPr>
        <w:t xml:space="preserve">další přímé propojení Evropy s globální sítí UPS. </w:t>
      </w:r>
    </w:p>
    <w:p>
      <w:pPr>
        <w:pStyle w:val="22"/>
        <w:ind w:left="0" w:leftChars="0"/>
        <w:rPr>
          <w:rFonts w:ascii="Tahoma" w:hAnsi="Tahoma" w:eastAsia="Times New Roman" w:cs="Tahoma"/>
          <w:sz w:val="20"/>
          <w:szCs w:val="20"/>
          <w:lang w:val="cs-CZ"/>
        </w:rPr>
      </w:pPr>
    </w:p>
    <w:p>
      <w:pPr>
        <w:pStyle w:val="22"/>
        <w:numPr>
          <w:ilvl w:val="-3"/>
          <w:numId w:val="0"/>
        </w:numPr>
        <w:spacing w:line="235" w:lineRule="atLeast"/>
        <w:rPr>
          <w:rFonts w:ascii="Tahoma" w:hAnsi="Tahoma" w:eastAsia="Times New Roman" w:cs="Tahoma"/>
          <w:sz w:val="20"/>
          <w:szCs w:val="20"/>
          <w:lang w:val="cs-CZ"/>
        </w:rPr>
      </w:pPr>
      <w:r>
        <w:rPr>
          <w:rFonts w:ascii="Tahoma" w:hAnsi="Tahoma" w:eastAsia="Times New Roman" w:cs="Tahoma"/>
          <w:sz w:val="20"/>
          <w:szCs w:val="20"/>
          <w:lang w:val="cs-CZ"/>
        </w:rPr>
        <w:t>Ostravský areál s původní rozlohou 3</w:t>
      </w:r>
      <w:r>
        <w:rPr>
          <w:rFonts w:hint="default" w:ascii="Tahoma" w:hAnsi="Tahoma" w:eastAsia="Times New Roman" w:cs="Tahoma"/>
          <w:sz w:val="20"/>
          <w:szCs w:val="20"/>
          <w:lang w:val="en-US"/>
        </w:rPr>
        <w:t>8</w:t>
      </w:r>
      <w:r>
        <w:rPr>
          <w:rFonts w:ascii="Tahoma" w:hAnsi="Tahoma" w:eastAsia="Times New Roman" w:cs="Tahoma"/>
          <w:sz w:val="20"/>
          <w:szCs w:val="20"/>
          <w:lang w:val="cs-CZ"/>
        </w:rPr>
        <w:t>00 m</w:t>
      </w:r>
      <w:r>
        <w:rPr>
          <w:rFonts w:ascii="Tahoma" w:hAnsi="Tahoma" w:eastAsia="Times New Roman" w:cs="Tahoma"/>
          <w:sz w:val="20"/>
          <w:szCs w:val="20"/>
          <w:vertAlign w:val="superscript"/>
          <w:lang w:val="cs-CZ"/>
        </w:rPr>
        <w:t>2</w:t>
      </w:r>
      <w:r>
        <w:rPr>
          <w:rFonts w:ascii="Tahoma" w:hAnsi="Tahoma" w:eastAsia="Times New Roman" w:cs="Tahoma"/>
          <w:sz w:val="20"/>
          <w:szCs w:val="20"/>
          <w:lang w:val="cs-CZ"/>
        </w:rPr>
        <w:t xml:space="preserve"> byl otevřený v říjnu loňského roku a je p</w:t>
      </w:r>
      <w:r>
        <w:rPr>
          <w:rFonts w:ascii="Helv" w:hAnsi="Helv" w:cs="Helv"/>
          <w:color w:val="000000"/>
          <w:sz w:val="20"/>
          <w:szCs w:val="20"/>
          <w:lang w:val="cs-CZ"/>
        </w:rPr>
        <w:t>rvním logistickým centrem UPS zaměřeným na segment zdravotnictví</w:t>
      </w:r>
      <w:r>
        <w:rPr>
          <w:rFonts w:ascii="Tahoma" w:hAnsi="Tahoma" w:eastAsia="Times New Roman" w:cs="Tahoma"/>
          <w:sz w:val="20"/>
          <w:szCs w:val="20"/>
          <w:lang w:val="cs-CZ"/>
        </w:rPr>
        <w:t xml:space="preserve"> u nás. Rozšíření centra umožní zákazníkům zkrátit dobu přepravy, zvýšit flexibilitu a </w:t>
      </w:r>
      <w:r>
        <w:rPr>
          <w:rFonts w:hint="default" w:ascii="Tahoma" w:hAnsi="Tahoma" w:eastAsia="Times New Roman" w:cs="Tahoma"/>
          <w:sz w:val="20"/>
          <w:szCs w:val="20"/>
          <w:lang w:val="en-US"/>
        </w:rPr>
        <w:t xml:space="preserve">zajistit </w:t>
      </w:r>
      <w:r>
        <w:rPr>
          <w:rFonts w:ascii="Tahoma" w:hAnsi="Tahoma" w:eastAsia="Times New Roman" w:cs="Tahoma"/>
          <w:sz w:val="20"/>
          <w:szCs w:val="20"/>
          <w:lang w:val="cs-CZ"/>
        </w:rPr>
        <w:t>distribuci léčiv a farmaceutických výrobků na Slovensko, do Polska a Maďarska.</w:t>
      </w:r>
    </w:p>
    <w:p>
      <w:pPr>
        <w:pStyle w:val="22"/>
        <w:spacing w:line="235" w:lineRule="atLeast"/>
        <w:ind w:left="0" w:leftChars="0"/>
        <w:rPr>
          <w:rFonts w:ascii="Tahoma" w:hAnsi="Tahoma" w:eastAsia="Times New Roman" w:cs="Tahoma"/>
          <w:sz w:val="20"/>
          <w:szCs w:val="20"/>
          <w:lang w:val="cs-CZ"/>
        </w:rPr>
      </w:pPr>
    </w:p>
    <w:p>
      <w:pPr>
        <w:pStyle w:val="22"/>
        <w:numPr>
          <w:ilvl w:val="-3"/>
          <w:numId w:val="0"/>
        </w:numPr>
        <w:spacing w:line="235" w:lineRule="atLeast"/>
        <w:rPr>
          <w:rFonts w:ascii="Tahoma" w:hAnsi="Tahoma" w:eastAsia="Times New Roman" w:cs="Tahoma"/>
          <w:sz w:val="20"/>
          <w:szCs w:val="20"/>
          <w:lang w:val="cs-CZ"/>
        </w:rPr>
      </w:pPr>
      <w:r>
        <w:rPr>
          <w:rFonts w:ascii="Tahoma" w:hAnsi="Tahoma" w:eastAsia="Times New Roman" w:cs="Tahoma"/>
          <w:sz w:val="20"/>
          <w:szCs w:val="20"/>
          <w:lang w:val="cs-CZ"/>
        </w:rPr>
        <w:t xml:space="preserve">Díky inovacím v oblasti biologických </w:t>
      </w:r>
      <w:r>
        <w:rPr>
          <w:rFonts w:hint="default" w:ascii="Tahoma" w:hAnsi="Tahoma" w:eastAsia="Times New Roman" w:cs="Tahoma"/>
          <w:sz w:val="20"/>
          <w:szCs w:val="20"/>
          <w:lang w:val="en-US"/>
        </w:rPr>
        <w:t xml:space="preserve">a </w:t>
      </w:r>
      <w:r>
        <w:rPr>
          <w:rFonts w:ascii="Tahoma" w:hAnsi="Tahoma" w:eastAsia="Times New Roman" w:cs="Tahoma"/>
          <w:sz w:val="20"/>
          <w:szCs w:val="20"/>
          <w:lang w:val="cs-CZ"/>
        </w:rPr>
        <w:t>speciálních léčiv a personalizované medicíny nyní vyžaduje zhruba 80 procent farmaceutických výrobků v Evropě přepravu s řízenou teplotou. UPS </w:t>
      </w:r>
      <w:r>
        <w:rPr>
          <w:rFonts w:hint="default" w:ascii="Tahoma" w:hAnsi="Tahoma" w:eastAsia="Times New Roman" w:cs="Tahoma"/>
          <w:sz w:val="20"/>
          <w:szCs w:val="20"/>
          <w:lang w:val="en-US"/>
        </w:rPr>
        <w:t xml:space="preserve">v reakci </w:t>
      </w:r>
      <w:r>
        <w:rPr>
          <w:rFonts w:ascii="Tahoma" w:hAnsi="Tahoma" w:eastAsia="Times New Roman" w:cs="Tahoma"/>
          <w:sz w:val="20"/>
          <w:szCs w:val="20"/>
          <w:lang w:val="cs-CZ"/>
        </w:rPr>
        <w:t xml:space="preserve">na </w:t>
      </w:r>
      <w:r>
        <w:rPr>
          <w:rFonts w:hint="default" w:ascii="Tahoma" w:hAnsi="Tahoma" w:eastAsia="Times New Roman" w:cs="Tahoma"/>
          <w:sz w:val="20"/>
          <w:szCs w:val="20"/>
          <w:lang w:val="en-US"/>
        </w:rPr>
        <w:t xml:space="preserve">tento </w:t>
      </w:r>
      <w:r>
        <w:rPr>
          <w:rFonts w:ascii="Tahoma" w:hAnsi="Tahoma" w:eastAsia="Times New Roman" w:cs="Tahoma"/>
          <w:sz w:val="20"/>
          <w:szCs w:val="20"/>
          <w:lang w:val="cs-CZ"/>
        </w:rPr>
        <w:t xml:space="preserve">trend </w:t>
      </w:r>
      <w:r>
        <w:rPr>
          <w:rFonts w:hint="default" w:ascii="Tahoma" w:hAnsi="Tahoma" w:eastAsia="Times New Roman" w:cs="Tahoma"/>
          <w:sz w:val="20"/>
          <w:szCs w:val="20"/>
          <w:lang w:val="en-US"/>
        </w:rPr>
        <w:t xml:space="preserve">in nadále pokračuje </w:t>
      </w:r>
      <w:r>
        <w:rPr>
          <w:rFonts w:ascii="Tahoma" w:hAnsi="Tahoma" w:eastAsia="Times New Roman" w:cs="Tahoma"/>
          <w:sz w:val="20"/>
          <w:szCs w:val="20"/>
          <w:lang w:val="cs-CZ"/>
        </w:rPr>
        <w:t>v investicích.</w:t>
      </w:r>
    </w:p>
    <w:p>
      <w:pPr>
        <w:pStyle w:val="22"/>
        <w:spacing w:line="235" w:lineRule="atLeast"/>
        <w:ind w:left="0" w:leftChars="0"/>
        <w:rPr>
          <w:rFonts w:ascii="Tahoma" w:hAnsi="Tahoma" w:eastAsia="Times New Roman" w:cs="Tahoma"/>
          <w:sz w:val="20"/>
          <w:szCs w:val="20"/>
          <w:lang w:val="cs-CZ"/>
        </w:rPr>
      </w:pPr>
    </w:p>
    <w:p>
      <w:pPr>
        <w:pStyle w:val="22"/>
        <w:numPr>
          <w:ilvl w:val="-3"/>
          <w:numId w:val="0"/>
        </w:numPr>
        <w:spacing w:line="235" w:lineRule="atLeast"/>
        <w:rPr>
          <w:rFonts w:ascii="Tahoma" w:hAnsi="Tahoma" w:eastAsia="Times New Roman" w:cs="Tahoma"/>
          <w:sz w:val="20"/>
          <w:szCs w:val="20"/>
          <w:lang w:val="cs-CZ"/>
        </w:rPr>
      </w:pPr>
      <w:r>
        <w:rPr>
          <w:rFonts w:ascii="Tahoma" w:hAnsi="Tahoma" w:eastAsia="Times New Roman" w:cs="Tahoma"/>
          <w:sz w:val="20"/>
          <w:szCs w:val="20"/>
          <w:lang w:val="cs-CZ"/>
        </w:rPr>
        <w:t>Nedávno UPS oznámila plány na akvizici společnosti Bomi Group, která má centra s řízenou teplotou ve 14 zemích Evropy a Latinské Ameriky a téměř 3000 vysoce kvalifikovaných odborníků. Díky této schválené akvizici, která má být dokončena do roku 2023, společnost UPS Healthcare od roku 2020 více než zdvojnásobí plochu svých center.</w:t>
      </w:r>
    </w:p>
    <w:p>
      <w:pPr>
        <w:pStyle w:val="22"/>
        <w:ind w:left="0" w:leftChars="0"/>
        <w:rPr>
          <w:rFonts w:ascii="Tahoma" w:hAnsi="Tahoma" w:cs="Tahoma"/>
          <w:sz w:val="20"/>
          <w:szCs w:val="20"/>
          <w:lang w:val="cs-CZ"/>
        </w:rPr>
      </w:pPr>
    </w:p>
    <w:p>
      <w:pPr>
        <w:pStyle w:val="22"/>
        <w:numPr>
          <w:ilvl w:val="-3"/>
          <w:numId w:val="0"/>
        </w:numPr>
        <w:spacing w:line="235" w:lineRule="atLeast"/>
        <w:rPr>
          <w:rFonts w:ascii="Tahoma" w:hAnsi="Tahoma" w:eastAsia="Times New Roman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 xml:space="preserve">Díky rozšíření areálu také posílí expresní doručovací služba UPS Premier, která je založená na moderních technologiích. Pokročilé senzorické technologie umožňují modernizaci přepravy zásilek a současně garantují prioritní </w:t>
      </w:r>
      <w:r>
        <w:rPr>
          <w:rFonts w:hint="default" w:ascii="Tahoma" w:hAnsi="Tahoma" w:cs="Tahoma"/>
          <w:sz w:val="20"/>
          <w:szCs w:val="20"/>
          <w:lang w:val="en-US"/>
        </w:rPr>
        <w:t xml:space="preserve">přepravní </w:t>
      </w:r>
      <w:r>
        <w:rPr>
          <w:rFonts w:ascii="Tahoma" w:hAnsi="Tahoma" w:cs="Tahoma"/>
          <w:sz w:val="20"/>
          <w:szCs w:val="20"/>
          <w:lang w:val="cs-CZ"/>
        </w:rPr>
        <w:t xml:space="preserve">pruh v globální síti UPS. </w:t>
      </w:r>
    </w:p>
    <w:p>
      <w:pPr>
        <w:pStyle w:val="22"/>
        <w:ind w:left="0" w:leftChars="0"/>
        <w:rPr>
          <w:rFonts w:ascii="Tahoma" w:hAnsi="Tahoma" w:eastAsia="Times New Roman" w:cs="Tahoma"/>
          <w:sz w:val="20"/>
          <w:szCs w:val="20"/>
          <w:lang w:val="cs-CZ"/>
        </w:rPr>
      </w:pPr>
    </w:p>
    <w:p>
      <w:pPr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240" w:lineRule="auto"/>
        <w:textAlignment w:val="auto"/>
        <w:rPr>
          <w:rFonts w:hint="default" w:ascii="Tahoma" w:hAnsi="Tahoma" w:cs="Tahoma"/>
          <w:b/>
          <w:color w:val="000000"/>
          <w:sz w:val="20"/>
          <w:szCs w:val="20"/>
          <w:lang w:val="cs-CZ"/>
        </w:rPr>
      </w:pPr>
      <w:r>
        <w:rPr>
          <w:rFonts w:hint="default" w:ascii="Tahoma" w:hAnsi="Tahoma" w:cs="Tahoma"/>
          <w:b/>
          <w:color w:val="000000"/>
          <w:sz w:val="20"/>
          <w:szCs w:val="20"/>
          <w:lang w:val="cs-CZ"/>
        </w:rPr>
        <w:t>UPS Healthcare</w:t>
      </w:r>
    </w:p>
    <w:p>
      <w:pPr>
        <w:pStyle w:val="2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240" w:lineRule="auto"/>
        <w:ind w:left="0"/>
        <w:textAlignment w:val="auto"/>
        <w:rPr>
          <w:rFonts w:hint="default" w:ascii="Tahoma" w:hAnsi="Tahoma" w:cs="Tahoma"/>
          <w:color w:val="000000"/>
          <w:sz w:val="20"/>
          <w:szCs w:val="20"/>
          <w:lang w:val="cs-CZ"/>
        </w:rPr>
      </w:pPr>
      <w:r>
        <w:rPr>
          <w:rFonts w:hint="default" w:ascii="Tahoma" w:hAnsi="Tahoma" w:cs="Tahoma"/>
          <w:sz w:val="20"/>
          <w:szCs w:val="20"/>
          <w:lang w:val="cs-CZ"/>
        </w:rPr>
        <w:t xml:space="preserve">Společnost UPS Healthcare poskytuje svým zákazníkům po celém světě jedinečné logistické znalosti v oblasti zdravotnictví. Firma má po celém světě více než 3,35 mil. m2 (11 milionů ft2) distribučních prostor pro zdravotnickou péči v souladu se standardy správné výrobní a distribuční praxe (cGMP a GDP). Služby zahrnují řízení zásob, balení a přepravu v chladírenském řetězci, skladování a dodávku zdravotnických prostředků a zajištění logistiky pro laboratorní a klinické studie. Globální infrastruktura společnosti UPS Healthcare, její služba UPS® Premier </w:t>
      </w:r>
      <w:r>
        <w:rPr>
          <w:rFonts w:hint="default" w:ascii="Tahoma" w:hAnsi="Tahoma" w:cs="Tahoma"/>
          <w:sz w:val="20"/>
          <w:szCs w:val="20"/>
          <w:lang w:val="en-US"/>
        </w:rPr>
        <w:t xml:space="preserve">zajišťující </w:t>
      </w:r>
      <w:r>
        <w:rPr>
          <w:rFonts w:hint="default" w:ascii="Tahoma" w:hAnsi="Tahoma" w:cs="Tahoma"/>
          <w:sz w:val="20"/>
          <w:szCs w:val="20"/>
          <w:lang w:val="cs-CZ"/>
        </w:rPr>
        <w:t xml:space="preserve">viditelnost zásilek, technologie pro sledování a dohledání zásilky a globální systém kvality jsou dobře uzpůsobené pro splnění </w:t>
      </w:r>
      <w:r>
        <w:rPr>
          <w:rFonts w:hint="default" w:ascii="Tahoma" w:hAnsi="Tahoma" w:cs="Tahoma"/>
          <w:sz w:val="20"/>
          <w:szCs w:val="20"/>
          <w:lang w:val="en-US"/>
        </w:rPr>
        <w:t xml:space="preserve">současných </w:t>
      </w:r>
      <w:r>
        <w:rPr>
          <w:rFonts w:hint="default" w:ascii="Tahoma" w:hAnsi="Tahoma" w:cs="Tahoma"/>
          <w:sz w:val="20"/>
          <w:szCs w:val="20"/>
          <w:lang w:val="cs-CZ"/>
        </w:rPr>
        <w:t xml:space="preserve">složitých logistických požadavků odvětví farmacie, zdravotnických prostředků a laboratorní diagnostiky. Více </w:t>
      </w:r>
      <w:r>
        <w:rPr>
          <w:rFonts w:hint="default" w:ascii="Tahoma" w:hAnsi="Tahoma" w:cs="Tahoma"/>
          <w:color w:val="000000"/>
          <w:sz w:val="20"/>
          <w:szCs w:val="20"/>
          <w:lang w:val="cs-CZ"/>
        </w:rPr>
        <w:t>informací naleznete na</w:t>
      </w:r>
      <w:r>
        <w:rPr>
          <w:rFonts w:hint="default" w:ascii="Tahoma" w:hAnsi="Tahoma" w:cs="Tahoma"/>
          <w:color w:val="0000FF"/>
          <w:sz w:val="20"/>
          <w:szCs w:val="20"/>
          <w:lang w:val="cs-CZ"/>
        </w:rPr>
        <w:t xml:space="preserve"> </w:t>
      </w:r>
      <w:r>
        <w:rPr>
          <w:rFonts w:hint="default" w:ascii="Tahoma" w:hAnsi="Tahoma" w:cs="Tahoma"/>
          <w:color w:val="0000FF"/>
          <w:sz w:val="20"/>
          <w:szCs w:val="20"/>
        </w:rPr>
        <w:fldChar w:fldCharType="begin"/>
      </w:r>
      <w:r>
        <w:rPr>
          <w:rFonts w:hint="default" w:ascii="Tahoma" w:hAnsi="Tahoma" w:cs="Tahoma"/>
          <w:color w:val="0000FF"/>
          <w:sz w:val="20"/>
          <w:szCs w:val="20"/>
        </w:rPr>
        <w:instrText xml:space="preserve"> HYPERLINK "http://www.about.ups.com/" </w:instrText>
      </w:r>
      <w:r>
        <w:rPr>
          <w:rFonts w:hint="default" w:ascii="Tahoma" w:hAnsi="Tahoma" w:cs="Tahoma"/>
          <w:color w:val="0000FF"/>
          <w:sz w:val="20"/>
          <w:szCs w:val="20"/>
        </w:rPr>
        <w:fldChar w:fldCharType="separate"/>
      </w:r>
      <w:r>
        <w:rPr>
          <w:rFonts w:hint="default" w:ascii="Tahoma" w:hAnsi="Tahoma" w:eastAsia="Calibri" w:cs="Tahoma"/>
          <w:color w:val="0000FF"/>
          <w:sz w:val="20"/>
          <w:szCs w:val="20"/>
          <w:lang w:eastAsia="en-US"/>
        </w:rPr>
        <w:t>healthcare.ups.com</w:t>
      </w:r>
      <w:r>
        <w:rPr>
          <w:rFonts w:hint="default" w:ascii="Tahoma" w:hAnsi="Tahoma" w:eastAsia="Calibri" w:cs="Tahoma"/>
          <w:color w:val="0000FF"/>
          <w:sz w:val="20"/>
          <w:szCs w:val="20"/>
          <w:lang w:eastAsia="en-US"/>
        </w:rPr>
        <w:fldChar w:fldCharType="end"/>
      </w:r>
      <w:r>
        <w:rPr>
          <w:rFonts w:hint="default" w:ascii="Tahoma" w:hAnsi="Tahoma" w:cs="Tahoma"/>
          <w:color w:val="000000"/>
          <w:sz w:val="20"/>
          <w:szCs w:val="20"/>
          <w:lang w:val="cs-CZ"/>
        </w:rPr>
        <w:t>.</w:t>
      </w:r>
    </w:p>
    <w:p>
      <w:pPr>
        <w:pStyle w:val="88"/>
        <w:spacing w:before="0" w:beforeAutospacing="0" w:after="0" w:afterAutospacing="0"/>
        <w:textAlignment w:val="baseline"/>
        <w:rPr>
          <w:rFonts w:hint="default" w:ascii="Tahoma" w:hAnsi="Tahoma" w:cs="Tahoma"/>
          <w:sz w:val="20"/>
          <w:szCs w:val="20"/>
        </w:rPr>
      </w:pPr>
    </w:p>
    <w:sectPr>
      <w:pgSz w:w="12240" w:h="15840"/>
      <w:pgMar w:top="1440" w:right="1440" w:bottom="1440" w:left="1440" w:header="0" w:footer="0" w:gutter="0"/>
      <w:pgNumType w:fmt="decimal"/>
      <w:cols w:space="720" w:num="1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Liberation Serif;Times New Roma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FreeSans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1"/>
    <w:family w:val="roman"/>
    <w:pitch w:val="default"/>
    <w:sig w:usb0="E1002EFF" w:usb1="C000605B" w:usb2="00000029" w:usb3="00000000" w:csb0="200101FF" w:csb1="20280000"/>
  </w:font>
  <w:font w:name="Liberation Sans;Arial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to Sans CJK SC Regular">
    <w:altName w:val="Noto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to Sans">
    <w:panose1 w:val="020B0502040504020204"/>
    <w:charset w:val="00"/>
    <w:family w:val="auto"/>
    <w:pitch w:val="default"/>
    <w:sig w:usb0="E00002FF" w:usb1="4000001F" w:usb2="08000029" w:usb3="00100000" w:csb0="00000000" w:csb1="00000000"/>
  </w:font>
  <w:font w:name="Helv">
    <w:altName w:val="Arial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E04D27"/>
    <w:rsid w:val="0D3341C8"/>
    <w:rsid w:val="132827E8"/>
    <w:rsid w:val="187C591E"/>
    <w:rsid w:val="2F1A71CC"/>
    <w:rsid w:val="2F4E7176"/>
    <w:rsid w:val="476C1495"/>
    <w:rsid w:val="4D9D150D"/>
    <w:rsid w:val="60405A0D"/>
    <w:rsid w:val="67894C20"/>
    <w:rsid w:val="68EB7BD2"/>
    <w:rsid w:val="6ABD3F6D"/>
    <w:rsid w:val="77700028"/>
    <w:rsid w:val="7A5D4C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/>
      <w:bidi w:val="0"/>
      <w:spacing w:before="0" w:after="160" w:line="259" w:lineRule="auto"/>
      <w:jc w:val="left"/>
    </w:pPr>
    <w:rPr>
      <w:rFonts w:asciiTheme="minorHAnsi" w:hAnsiTheme="minorHAnsi" w:eastAsiaTheme="minorHAnsi" w:cstheme="minorBidi"/>
      <w:color w:val="auto"/>
      <w:kern w:val="0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before="0" w:after="140" w:line="276" w:lineRule="auto"/>
    </w:pPr>
  </w:style>
  <w:style w:type="paragraph" w:styleId="5">
    <w:name w:val="caption"/>
    <w:basedOn w:val="1"/>
    <w:next w:val="1"/>
    <w:qFormat/>
    <w:uiPriority w:val="0"/>
    <w:pPr>
      <w:suppressLineNumbers/>
      <w:spacing w:before="120" w:after="120"/>
    </w:pPr>
    <w:rPr>
      <w:rFonts w:ascii="Liberation Serif;Times New Roma" w:hAnsi="Liberation Serif;Times New Roma" w:cs="FreeSans"/>
      <w:i/>
      <w:iCs/>
      <w:sz w:val="24"/>
      <w:szCs w:val="24"/>
    </w:rPr>
  </w:style>
  <w:style w:type="character" w:styleId="6">
    <w:name w:val="annotation reference"/>
    <w:basedOn w:val="2"/>
    <w:semiHidden/>
    <w:unhideWhenUsed/>
    <w:qFormat/>
    <w:uiPriority w:val="99"/>
    <w:rPr>
      <w:sz w:val="16"/>
      <w:szCs w:val="16"/>
    </w:rPr>
  </w:style>
  <w:style w:type="paragraph" w:styleId="7">
    <w:name w:val="annotation text"/>
    <w:basedOn w:val="1"/>
    <w:link w:val="23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8">
    <w:name w:val="annotation subject"/>
    <w:basedOn w:val="7"/>
    <w:next w:val="7"/>
    <w:link w:val="24"/>
    <w:semiHidden/>
    <w:unhideWhenUsed/>
    <w:qFormat/>
    <w:uiPriority w:val="99"/>
    <w:rPr>
      <w:b/>
      <w:bCs/>
    </w:rPr>
  </w:style>
  <w:style w:type="paragraph" w:styleId="9">
    <w:name w:val="footnote text"/>
    <w:basedOn w:val="1"/>
    <w:link w:val="16"/>
    <w:semiHidden/>
    <w:unhideWhenUsed/>
    <w:qFormat/>
    <w:uiPriority w:val="99"/>
    <w:pPr>
      <w:spacing w:before="0" w:after="0" w:line="240" w:lineRule="auto"/>
    </w:pPr>
    <w:rPr>
      <w:sz w:val="20"/>
      <w:szCs w:val="20"/>
    </w:rPr>
  </w:style>
  <w:style w:type="paragraph" w:styleId="10">
    <w:name w:val="List"/>
    <w:basedOn w:val="4"/>
    <w:qFormat/>
    <w:uiPriority w:val="0"/>
    <w:rPr>
      <w:rFonts w:ascii="Liberation Serif;Times New Roma" w:hAnsi="Liberation Serif;Times New Roma" w:cs="FreeSans"/>
    </w:rPr>
  </w:style>
  <w:style w:type="character" w:customStyle="1" w:styleId="11">
    <w:name w:val="normaltextrun"/>
    <w:basedOn w:val="2"/>
    <w:qFormat/>
    <w:uiPriority w:val="0"/>
  </w:style>
  <w:style w:type="character" w:customStyle="1" w:styleId="12">
    <w:name w:val="eop"/>
    <w:basedOn w:val="2"/>
    <w:qFormat/>
    <w:uiPriority w:val="0"/>
  </w:style>
  <w:style w:type="character" w:customStyle="1" w:styleId="13">
    <w:name w:val="contextualspellingandgrammarerror"/>
    <w:basedOn w:val="2"/>
    <w:qFormat/>
    <w:uiPriority w:val="0"/>
  </w:style>
  <w:style w:type="character" w:customStyle="1" w:styleId="14">
    <w:name w:val="spellingerror"/>
    <w:basedOn w:val="2"/>
    <w:qFormat/>
    <w:uiPriority w:val="0"/>
  </w:style>
  <w:style w:type="character" w:customStyle="1" w:styleId="15">
    <w:name w:val="gmail-normaltextrun"/>
    <w:basedOn w:val="2"/>
    <w:qFormat/>
    <w:uiPriority w:val="0"/>
  </w:style>
  <w:style w:type="character" w:customStyle="1" w:styleId="16">
    <w:name w:val="Text pozn. pod čarou Char"/>
    <w:basedOn w:val="2"/>
    <w:link w:val="9"/>
    <w:semiHidden/>
    <w:qFormat/>
    <w:uiPriority w:val="99"/>
    <w:rPr>
      <w:sz w:val="20"/>
      <w:szCs w:val="20"/>
    </w:rPr>
  </w:style>
  <w:style w:type="character" w:customStyle="1" w:styleId="17">
    <w:name w:val="Ukotvení poznámky pod čarou"/>
    <w:qFormat/>
    <w:uiPriority w:val="0"/>
    <w:rPr>
      <w:vertAlign w:val="superscript"/>
    </w:rPr>
  </w:style>
  <w:style w:type="character" w:customStyle="1" w:styleId="18">
    <w:name w:val="Footnote Characters"/>
    <w:basedOn w:val="2"/>
    <w:semiHidden/>
    <w:unhideWhenUsed/>
    <w:qFormat/>
    <w:uiPriority w:val="99"/>
    <w:rPr>
      <w:vertAlign w:val="superscript"/>
    </w:rPr>
  </w:style>
  <w:style w:type="character" w:customStyle="1" w:styleId="19">
    <w:name w:val="Internetový odkaz"/>
    <w:basedOn w:val="2"/>
    <w:unhideWhenUsed/>
    <w:qFormat/>
    <w:uiPriority w:val="99"/>
    <w:rPr>
      <w:color w:val="0563C1"/>
      <w:u w:val="single"/>
    </w:rPr>
  </w:style>
  <w:style w:type="character" w:customStyle="1" w:styleId="20">
    <w:name w:val="Unresolved Mention"/>
    <w:basedOn w:val="2"/>
    <w:semiHidden/>
    <w:unhideWhenUsed/>
    <w:qFormat/>
    <w:uiPriority w:val="99"/>
    <w:rPr>
      <w:color w:val="605E5C"/>
      <w:shd w:val="clear" w:fill="E1DFDD"/>
    </w:rPr>
  </w:style>
  <w:style w:type="character" w:customStyle="1" w:styleId="21">
    <w:name w:val="Odstavec se seznamem Char"/>
    <w:basedOn w:val="2"/>
    <w:link w:val="22"/>
    <w:qFormat/>
    <w:locked/>
    <w:uiPriority w:val="34"/>
  </w:style>
  <w:style w:type="paragraph" w:styleId="22">
    <w:name w:val="List Paragraph"/>
    <w:basedOn w:val="1"/>
    <w:link w:val="21"/>
    <w:qFormat/>
    <w:uiPriority w:val="34"/>
    <w:pPr>
      <w:spacing w:before="0" w:after="160"/>
      <w:ind w:left="720" w:firstLine="0"/>
      <w:contextualSpacing/>
    </w:pPr>
  </w:style>
  <w:style w:type="character" w:customStyle="1" w:styleId="23">
    <w:name w:val="Text komentáře Char"/>
    <w:basedOn w:val="2"/>
    <w:link w:val="7"/>
    <w:semiHidden/>
    <w:qFormat/>
    <w:uiPriority w:val="99"/>
    <w:rPr>
      <w:sz w:val="20"/>
      <w:szCs w:val="20"/>
    </w:rPr>
  </w:style>
  <w:style w:type="character" w:customStyle="1" w:styleId="24">
    <w:name w:val="Předmět komentáře Char"/>
    <w:basedOn w:val="23"/>
    <w:link w:val="8"/>
    <w:semiHidden/>
    <w:qFormat/>
    <w:uiPriority w:val="99"/>
    <w:rPr>
      <w:b/>
      <w:bCs/>
      <w:sz w:val="20"/>
      <w:szCs w:val="20"/>
    </w:rPr>
  </w:style>
  <w:style w:type="character" w:customStyle="1" w:styleId="25">
    <w:name w:val="ListLabel 1"/>
    <w:qFormat/>
    <w:uiPriority w:val="0"/>
    <w:rPr>
      <w:sz w:val="20"/>
    </w:rPr>
  </w:style>
  <w:style w:type="character" w:customStyle="1" w:styleId="26">
    <w:name w:val="ListLabel 2"/>
    <w:qFormat/>
    <w:uiPriority w:val="0"/>
    <w:rPr>
      <w:sz w:val="20"/>
    </w:rPr>
  </w:style>
  <w:style w:type="character" w:customStyle="1" w:styleId="27">
    <w:name w:val="ListLabel 3"/>
    <w:qFormat/>
    <w:uiPriority w:val="0"/>
    <w:rPr>
      <w:sz w:val="20"/>
    </w:rPr>
  </w:style>
  <w:style w:type="character" w:customStyle="1" w:styleId="28">
    <w:name w:val="ListLabel 4"/>
    <w:qFormat/>
    <w:uiPriority w:val="0"/>
    <w:rPr>
      <w:sz w:val="20"/>
    </w:rPr>
  </w:style>
  <w:style w:type="character" w:customStyle="1" w:styleId="29">
    <w:name w:val="ListLabel 5"/>
    <w:qFormat/>
    <w:uiPriority w:val="0"/>
    <w:rPr>
      <w:sz w:val="20"/>
    </w:rPr>
  </w:style>
  <w:style w:type="character" w:customStyle="1" w:styleId="30">
    <w:name w:val="ListLabel 6"/>
    <w:qFormat/>
    <w:uiPriority w:val="0"/>
    <w:rPr>
      <w:sz w:val="20"/>
    </w:rPr>
  </w:style>
  <w:style w:type="character" w:customStyle="1" w:styleId="31">
    <w:name w:val="ListLabel 7"/>
    <w:qFormat/>
    <w:uiPriority w:val="0"/>
    <w:rPr>
      <w:sz w:val="20"/>
    </w:rPr>
  </w:style>
  <w:style w:type="character" w:customStyle="1" w:styleId="32">
    <w:name w:val="ListLabel 8"/>
    <w:qFormat/>
    <w:uiPriority w:val="0"/>
    <w:rPr>
      <w:sz w:val="20"/>
    </w:rPr>
  </w:style>
  <w:style w:type="character" w:customStyle="1" w:styleId="33">
    <w:name w:val="ListLabel 9"/>
    <w:qFormat/>
    <w:uiPriority w:val="0"/>
    <w:rPr>
      <w:sz w:val="20"/>
    </w:rPr>
  </w:style>
  <w:style w:type="character" w:customStyle="1" w:styleId="34">
    <w:name w:val="ListLabel 10"/>
    <w:qFormat/>
    <w:uiPriority w:val="0"/>
    <w:rPr>
      <w:sz w:val="20"/>
    </w:rPr>
  </w:style>
  <w:style w:type="character" w:customStyle="1" w:styleId="35">
    <w:name w:val="ListLabel 11"/>
    <w:qFormat/>
    <w:uiPriority w:val="0"/>
    <w:rPr>
      <w:sz w:val="20"/>
    </w:rPr>
  </w:style>
  <w:style w:type="character" w:customStyle="1" w:styleId="36">
    <w:name w:val="ListLabel 12"/>
    <w:qFormat/>
    <w:uiPriority w:val="0"/>
    <w:rPr>
      <w:sz w:val="20"/>
    </w:rPr>
  </w:style>
  <w:style w:type="character" w:customStyle="1" w:styleId="37">
    <w:name w:val="ListLabel 13"/>
    <w:qFormat/>
    <w:uiPriority w:val="0"/>
    <w:rPr>
      <w:sz w:val="20"/>
    </w:rPr>
  </w:style>
  <w:style w:type="character" w:customStyle="1" w:styleId="38">
    <w:name w:val="ListLabel 14"/>
    <w:qFormat/>
    <w:uiPriority w:val="0"/>
    <w:rPr>
      <w:sz w:val="20"/>
    </w:rPr>
  </w:style>
  <w:style w:type="character" w:customStyle="1" w:styleId="39">
    <w:name w:val="ListLabel 15"/>
    <w:qFormat/>
    <w:uiPriority w:val="0"/>
    <w:rPr>
      <w:sz w:val="20"/>
    </w:rPr>
  </w:style>
  <w:style w:type="character" w:customStyle="1" w:styleId="40">
    <w:name w:val="ListLabel 16"/>
    <w:qFormat/>
    <w:uiPriority w:val="0"/>
    <w:rPr>
      <w:sz w:val="20"/>
    </w:rPr>
  </w:style>
  <w:style w:type="character" w:customStyle="1" w:styleId="41">
    <w:name w:val="ListLabel 17"/>
    <w:qFormat/>
    <w:uiPriority w:val="0"/>
    <w:rPr>
      <w:sz w:val="20"/>
    </w:rPr>
  </w:style>
  <w:style w:type="character" w:customStyle="1" w:styleId="42">
    <w:name w:val="ListLabel 18"/>
    <w:qFormat/>
    <w:uiPriority w:val="0"/>
    <w:rPr>
      <w:sz w:val="20"/>
    </w:rPr>
  </w:style>
  <w:style w:type="character" w:customStyle="1" w:styleId="43">
    <w:name w:val="ListLabel 19"/>
    <w:qFormat/>
    <w:uiPriority w:val="0"/>
    <w:rPr>
      <w:sz w:val="20"/>
    </w:rPr>
  </w:style>
  <w:style w:type="character" w:customStyle="1" w:styleId="44">
    <w:name w:val="ListLabel 20"/>
    <w:qFormat/>
    <w:uiPriority w:val="0"/>
    <w:rPr>
      <w:sz w:val="20"/>
    </w:rPr>
  </w:style>
  <w:style w:type="character" w:customStyle="1" w:styleId="45">
    <w:name w:val="ListLabel 21"/>
    <w:qFormat/>
    <w:uiPriority w:val="0"/>
    <w:rPr>
      <w:sz w:val="20"/>
    </w:rPr>
  </w:style>
  <w:style w:type="character" w:customStyle="1" w:styleId="46">
    <w:name w:val="ListLabel 22"/>
    <w:qFormat/>
    <w:uiPriority w:val="0"/>
    <w:rPr>
      <w:sz w:val="20"/>
    </w:rPr>
  </w:style>
  <w:style w:type="character" w:customStyle="1" w:styleId="47">
    <w:name w:val="ListLabel 23"/>
    <w:qFormat/>
    <w:uiPriority w:val="0"/>
    <w:rPr>
      <w:sz w:val="20"/>
    </w:rPr>
  </w:style>
  <w:style w:type="character" w:customStyle="1" w:styleId="48">
    <w:name w:val="ListLabel 24"/>
    <w:qFormat/>
    <w:uiPriority w:val="0"/>
    <w:rPr>
      <w:sz w:val="20"/>
    </w:rPr>
  </w:style>
  <w:style w:type="character" w:customStyle="1" w:styleId="49">
    <w:name w:val="ListLabel 25"/>
    <w:qFormat/>
    <w:uiPriority w:val="0"/>
    <w:rPr>
      <w:sz w:val="20"/>
    </w:rPr>
  </w:style>
  <w:style w:type="character" w:customStyle="1" w:styleId="50">
    <w:name w:val="ListLabel 26"/>
    <w:qFormat/>
    <w:uiPriority w:val="0"/>
    <w:rPr>
      <w:sz w:val="20"/>
    </w:rPr>
  </w:style>
  <w:style w:type="character" w:customStyle="1" w:styleId="51">
    <w:name w:val="ListLabel 27"/>
    <w:qFormat/>
    <w:uiPriority w:val="0"/>
    <w:rPr>
      <w:sz w:val="20"/>
    </w:rPr>
  </w:style>
  <w:style w:type="character" w:customStyle="1" w:styleId="52">
    <w:name w:val="ListLabel 28"/>
    <w:qFormat/>
    <w:uiPriority w:val="0"/>
    <w:rPr>
      <w:sz w:val="20"/>
    </w:rPr>
  </w:style>
  <w:style w:type="character" w:customStyle="1" w:styleId="53">
    <w:name w:val="ListLabel 29"/>
    <w:qFormat/>
    <w:uiPriority w:val="0"/>
    <w:rPr>
      <w:sz w:val="20"/>
    </w:rPr>
  </w:style>
  <w:style w:type="character" w:customStyle="1" w:styleId="54">
    <w:name w:val="ListLabel 30"/>
    <w:qFormat/>
    <w:uiPriority w:val="0"/>
    <w:rPr>
      <w:sz w:val="20"/>
    </w:rPr>
  </w:style>
  <w:style w:type="character" w:customStyle="1" w:styleId="55">
    <w:name w:val="ListLabel 31"/>
    <w:qFormat/>
    <w:uiPriority w:val="0"/>
    <w:rPr>
      <w:sz w:val="20"/>
    </w:rPr>
  </w:style>
  <w:style w:type="character" w:customStyle="1" w:styleId="56">
    <w:name w:val="ListLabel 32"/>
    <w:qFormat/>
    <w:uiPriority w:val="0"/>
    <w:rPr>
      <w:sz w:val="20"/>
    </w:rPr>
  </w:style>
  <w:style w:type="character" w:customStyle="1" w:styleId="57">
    <w:name w:val="ListLabel 33"/>
    <w:qFormat/>
    <w:uiPriority w:val="0"/>
    <w:rPr>
      <w:sz w:val="20"/>
    </w:rPr>
  </w:style>
  <w:style w:type="character" w:customStyle="1" w:styleId="58">
    <w:name w:val="ListLabel 34"/>
    <w:qFormat/>
    <w:uiPriority w:val="0"/>
    <w:rPr>
      <w:sz w:val="20"/>
    </w:rPr>
  </w:style>
  <w:style w:type="character" w:customStyle="1" w:styleId="59">
    <w:name w:val="ListLabel 35"/>
    <w:qFormat/>
    <w:uiPriority w:val="0"/>
    <w:rPr>
      <w:sz w:val="20"/>
    </w:rPr>
  </w:style>
  <w:style w:type="character" w:customStyle="1" w:styleId="60">
    <w:name w:val="ListLabel 36"/>
    <w:qFormat/>
    <w:uiPriority w:val="0"/>
    <w:rPr>
      <w:sz w:val="20"/>
    </w:rPr>
  </w:style>
  <w:style w:type="character" w:customStyle="1" w:styleId="61">
    <w:name w:val="ListLabel 37"/>
    <w:qFormat/>
    <w:uiPriority w:val="0"/>
    <w:rPr>
      <w:sz w:val="20"/>
    </w:rPr>
  </w:style>
  <w:style w:type="character" w:customStyle="1" w:styleId="62">
    <w:name w:val="ListLabel 38"/>
    <w:qFormat/>
    <w:uiPriority w:val="0"/>
    <w:rPr>
      <w:sz w:val="20"/>
    </w:rPr>
  </w:style>
  <w:style w:type="character" w:customStyle="1" w:styleId="63">
    <w:name w:val="ListLabel 39"/>
    <w:qFormat/>
    <w:uiPriority w:val="0"/>
    <w:rPr>
      <w:sz w:val="20"/>
    </w:rPr>
  </w:style>
  <w:style w:type="character" w:customStyle="1" w:styleId="64">
    <w:name w:val="ListLabel 40"/>
    <w:qFormat/>
    <w:uiPriority w:val="0"/>
    <w:rPr>
      <w:sz w:val="20"/>
    </w:rPr>
  </w:style>
  <w:style w:type="character" w:customStyle="1" w:styleId="65">
    <w:name w:val="ListLabel 41"/>
    <w:qFormat/>
    <w:uiPriority w:val="0"/>
    <w:rPr>
      <w:sz w:val="20"/>
    </w:rPr>
  </w:style>
  <w:style w:type="character" w:customStyle="1" w:styleId="66">
    <w:name w:val="ListLabel 42"/>
    <w:qFormat/>
    <w:uiPriority w:val="0"/>
    <w:rPr>
      <w:sz w:val="20"/>
    </w:rPr>
  </w:style>
  <w:style w:type="character" w:customStyle="1" w:styleId="67">
    <w:name w:val="ListLabel 43"/>
    <w:qFormat/>
    <w:uiPriority w:val="0"/>
    <w:rPr>
      <w:sz w:val="20"/>
    </w:rPr>
  </w:style>
  <w:style w:type="character" w:customStyle="1" w:styleId="68">
    <w:name w:val="ListLabel 44"/>
    <w:qFormat/>
    <w:uiPriority w:val="0"/>
    <w:rPr>
      <w:sz w:val="20"/>
    </w:rPr>
  </w:style>
  <w:style w:type="character" w:customStyle="1" w:styleId="69">
    <w:name w:val="ListLabel 45"/>
    <w:qFormat/>
    <w:uiPriority w:val="0"/>
    <w:rPr>
      <w:sz w:val="20"/>
    </w:rPr>
  </w:style>
  <w:style w:type="character" w:customStyle="1" w:styleId="70">
    <w:name w:val="ListLabel 46"/>
    <w:qFormat/>
    <w:uiPriority w:val="0"/>
    <w:rPr>
      <w:rFonts w:cs="Courier New"/>
    </w:rPr>
  </w:style>
  <w:style w:type="character" w:customStyle="1" w:styleId="71">
    <w:name w:val="ListLabel 47"/>
    <w:qFormat/>
    <w:uiPriority w:val="0"/>
    <w:rPr>
      <w:rFonts w:cs="Courier New"/>
    </w:rPr>
  </w:style>
  <w:style w:type="character" w:customStyle="1" w:styleId="72">
    <w:name w:val="ListLabel 48"/>
    <w:qFormat/>
    <w:uiPriority w:val="0"/>
    <w:rPr>
      <w:rFonts w:cs="Courier New"/>
    </w:rPr>
  </w:style>
  <w:style w:type="character" w:customStyle="1" w:styleId="73">
    <w:name w:val="ListLabel 49"/>
    <w:qFormat/>
    <w:uiPriority w:val="0"/>
    <w:rPr>
      <w:rFonts w:cs="Courier New"/>
    </w:rPr>
  </w:style>
  <w:style w:type="character" w:customStyle="1" w:styleId="74">
    <w:name w:val="ListLabel 50"/>
    <w:qFormat/>
    <w:uiPriority w:val="0"/>
    <w:rPr>
      <w:rFonts w:cs="Courier New"/>
    </w:rPr>
  </w:style>
  <w:style w:type="character" w:customStyle="1" w:styleId="75">
    <w:name w:val="ListLabel 51"/>
    <w:qFormat/>
    <w:uiPriority w:val="0"/>
    <w:rPr>
      <w:rFonts w:cs="Courier New"/>
    </w:rPr>
  </w:style>
  <w:style w:type="character" w:customStyle="1" w:styleId="76">
    <w:name w:val="ListLabel 52"/>
    <w:qFormat/>
    <w:uiPriority w:val="0"/>
    <w:rPr>
      <w:rFonts w:cs="Courier New"/>
    </w:rPr>
  </w:style>
  <w:style w:type="character" w:customStyle="1" w:styleId="77">
    <w:name w:val="ListLabel 53"/>
    <w:qFormat/>
    <w:uiPriority w:val="0"/>
    <w:rPr>
      <w:rFonts w:cs="Courier New"/>
    </w:rPr>
  </w:style>
  <w:style w:type="character" w:customStyle="1" w:styleId="78">
    <w:name w:val="ListLabel 54"/>
    <w:qFormat/>
    <w:uiPriority w:val="0"/>
    <w:rPr>
      <w:rFonts w:cs="Courier New"/>
    </w:rPr>
  </w:style>
  <w:style w:type="character" w:customStyle="1" w:styleId="79">
    <w:name w:val="ListLabel 55"/>
    <w:qFormat/>
    <w:uiPriority w:val="0"/>
    <w:rPr>
      <w:rFonts w:cs="Courier New"/>
    </w:rPr>
  </w:style>
  <w:style w:type="character" w:customStyle="1" w:styleId="80">
    <w:name w:val="ListLabel 56"/>
    <w:qFormat/>
    <w:uiPriority w:val="0"/>
    <w:rPr>
      <w:rFonts w:cs="Courier New"/>
    </w:rPr>
  </w:style>
  <w:style w:type="character" w:customStyle="1" w:styleId="81">
    <w:name w:val="ListLabel 57"/>
    <w:qFormat/>
    <w:uiPriority w:val="0"/>
    <w:rPr>
      <w:rFonts w:cs="Courier New"/>
    </w:rPr>
  </w:style>
  <w:style w:type="character" w:customStyle="1" w:styleId="82">
    <w:name w:val="ListLabel 58"/>
    <w:qFormat/>
    <w:uiPriority w:val="0"/>
    <w:rPr>
      <w:rFonts w:eastAsia="Calibri" w:cs="Tahoma"/>
    </w:rPr>
  </w:style>
  <w:style w:type="character" w:customStyle="1" w:styleId="83">
    <w:name w:val="ListLabel 59"/>
    <w:qFormat/>
    <w:uiPriority w:val="0"/>
    <w:rPr>
      <w:rFonts w:cs="Courier New"/>
    </w:rPr>
  </w:style>
  <w:style w:type="character" w:customStyle="1" w:styleId="84">
    <w:name w:val="ListLabel 60"/>
    <w:qFormat/>
    <w:uiPriority w:val="0"/>
    <w:rPr>
      <w:rFonts w:cs="Courier New"/>
    </w:rPr>
  </w:style>
  <w:style w:type="character" w:customStyle="1" w:styleId="85">
    <w:name w:val="ListLabel 61"/>
    <w:qFormat/>
    <w:uiPriority w:val="0"/>
    <w:rPr>
      <w:rFonts w:cs="Courier New"/>
    </w:rPr>
  </w:style>
  <w:style w:type="paragraph" w:customStyle="1" w:styleId="86">
    <w:name w:val="Nadpis"/>
    <w:basedOn w:val="1"/>
    <w:next w:val="4"/>
    <w:qFormat/>
    <w:uiPriority w:val="0"/>
    <w:pPr>
      <w:keepNext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customStyle="1" w:styleId="87">
    <w:name w:val="Rejstřík"/>
    <w:basedOn w:val="1"/>
    <w:qFormat/>
    <w:uiPriority w:val="0"/>
    <w:pPr>
      <w:suppressLineNumbers/>
    </w:pPr>
    <w:rPr>
      <w:rFonts w:ascii="Liberation Serif;Times New Roma" w:hAnsi="Liberation Serif;Times New Roma" w:cs="FreeSans"/>
    </w:rPr>
  </w:style>
  <w:style w:type="paragraph" w:customStyle="1" w:styleId="88">
    <w:name w:val="paragraph"/>
    <w:basedOn w:val="1"/>
    <w:qFormat/>
    <w:uiPriority w:val="0"/>
    <w:pPr>
      <w:spacing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89">
    <w:name w:val="gmail-paragraph"/>
    <w:basedOn w:val="1"/>
    <w:qFormat/>
    <w:uiPriority w:val="0"/>
    <w:pPr>
      <w:spacing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7917E-36CC-4E30-868C-A722C88020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UPS Inc.</Company>
  <Pages>2</Pages>
  <Words>671</Words>
  <Characters>3898</Characters>
  <Paragraphs>16</Paragraphs>
  <TotalTime>21</TotalTime>
  <ScaleCrop>false</ScaleCrop>
  <LinksUpToDate>false</LinksUpToDate>
  <CharactersWithSpaces>4545</CharactersWithSpaces>
  <Application>WPS Office_11.2.0.11380_F1E327BC-269C-435d-A152-05C5408002CA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2022-10-19T18:57:00Z</dcterms:created>
  <dc:creator>Saul Markcoons</dc:creator>
  <cp:lastModifiedBy>karla.krejci</cp:lastModifiedBy>
  <dcterms:modified xsi:type="dcterms:W3CDTF">2022-11-09T10:35:21Z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UPS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1033-11.2.0.11380</vt:lpwstr>
  </property>
  <property fmtid="{D5CDD505-2E9C-101B-9397-08002B2CF9AE}" pid="10" name="ICV">
    <vt:lpwstr>400FA62F7F2B4F74BA08A08873BC7AD1</vt:lpwstr>
  </property>
</Properties>
</file>