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0CB" w:rsidRDefault="005E40CB">
      <w:pPr>
        <w:rPr>
          <w:rFonts w:ascii="Arial" w:hAnsi="Arial" w:cs="Arial"/>
          <w:sz w:val="20"/>
          <w:szCs w:val="20"/>
        </w:rPr>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423pt;margin-top:9pt;width:45pt;height:54pt;z-index:251658240;visibility:visible">
            <v:imagedata r:id="rId7" o:title=""/>
            <w10:wrap type="square"/>
          </v:shape>
        </w:pict>
      </w:r>
    </w:p>
    <w:p w:rsidR="005E40CB" w:rsidRDefault="005E40CB" w:rsidP="005C42B5">
      <w:pPr>
        <w:rPr>
          <w:rFonts w:ascii="Arial" w:hAnsi="Arial" w:cs="Arial"/>
          <w:sz w:val="20"/>
          <w:szCs w:val="20"/>
        </w:rPr>
      </w:pPr>
      <w:r>
        <w:rPr>
          <w:rFonts w:ascii="Arial" w:hAnsi="Arial" w:cs="Arial"/>
          <w:sz w:val="20"/>
          <w:szCs w:val="20"/>
        </w:rPr>
        <w:t>Contacts</w:t>
      </w:r>
      <w:r w:rsidRPr="00B85CCD">
        <w:rPr>
          <w:rFonts w:ascii="Arial" w:hAnsi="Arial" w:cs="Arial"/>
          <w:sz w:val="20"/>
          <w:szCs w:val="20"/>
        </w:rPr>
        <w:t>:</w:t>
      </w:r>
      <w:r w:rsidRPr="00B85CCD">
        <w:rPr>
          <w:rFonts w:ascii="Arial" w:hAnsi="Arial" w:cs="Arial"/>
          <w:sz w:val="16"/>
        </w:rPr>
        <w:tab/>
      </w:r>
      <w:r>
        <w:rPr>
          <w:rFonts w:ascii="Arial" w:hAnsi="Arial" w:cs="Arial"/>
          <w:sz w:val="20"/>
          <w:szCs w:val="20"/>
        </w:rPr>
        <w:t>Steve Gaut,</w:t>
      </w:r>
      <w:r w:rsidRPr="00B85CCD">
        <w:rPr>
          <w:rFonts w:ascii="Arial" w:hAnsi="Arial" w:cs="Arial"/>
          <w:sz w:val="20"/>
          <w:szCs w:val="20"/>
        </w:rPr>
        <w:t xml:space="preserve"> Public Relations</w:t>
      </w:r>
    </w:p>
    <w:p w:rsidR="005E40CB" w:rsidRDefault="005E40CB" w:rsidP="00CF5EB1">
      <w:pPr>
        <w:ind w:left="720" w:firstLine="720"/>
        <w:rPr>
          <w:rFonts w:ascii="Arial" w:hAnsi="Arial" w:cs="Arial"/>
          <w:sz w:val="20"/>
          <w:szCs w:val="20"/>
        </w:rPr>
      </w:pPr>
      <w:r w:rsidRPr="00B85CCD">
        <w:rPr>
          <w:rFonts w:ascii="Arial" w:hAnsi="Arial" w:cs="Arial"/>
          <w:sz w:val="20"/>
          <w:szCs w:val="20"/>
        </w:rPr>
        <w:t>404-828-</w:t>
      </w:r>
      <w:r>
        <w:rPr>
          <w:rFonts w:ascii="Arial" w:hAnsi="Arial" w:cs="Arial"/>
          <w:sz w:val="20"/>
          <w:szCs w:val="20"/>
        </w:rPr>
        <w:t>8787</w:t>
      </w:r>
    </w:p>
    <w:p w:rsidR="005E40CB" w:rsidRDefault="005E40CB">
      <w:pPr>
        <w:pStyle w:val="Heading4"/>
        <w:spacing w:before="0" w:after="0"/>
        <w:ind w:left="720" w:firstLine="720"/>
        <w:rPr>
          <w:rFonts w:ascii="Arial" w:hAnsi="Arial" w:cs="Arial"/>
          <w:b w:val="0"/>
          <w:sz w:val="16"/>
          <w:szCs w:val="16"/>
        </w:rPr>
      </w:pPr>
    </w:p>
    <w:p w:rsidR="005E40CB" w:rsidRPr="00B85CCD" w:rsidRDefault="005E40CB">
      <w:pPr>
        <w:pStyle w:val="Heading4"/>
        <w:spacing w:before="0" w:after="0"/>
        <w:ind w:left="720" w:firstLine="720"/>
        <w:rPr>
          <w:rFonts w:ascii="Arial" w:hAnsi="Arial" w:cs="Arial"/>
          <w:b w:val="0"/>
          <w:sz w:val="20"/>
          <w:szCs w:val="20"/>
        </w:rPr>
      </w:pPr>
      <w:r>
        <w:rPr>
          <w:rFonts w:ascii="Arial" w:hAnsi="Arial" w:cs="Arial"/>
          <w:b w:val="0"/>
          <w:sz w:val="20"/>
          <w:szCs w:val="20"/>
        </w:rPr>
        <w:t>Scott Childress</w:t>
      </w:r>
      <w:r w:rsidRPr="00B85CCD">
        <w:rPr>
          <w:rFonts w:ascii="Arial" w:hAnsi="Arial" w:cs="Arial"/>
          <w:b w:val="0"/>
          <w:sz w:val="20"/>
          <w:szCs w:val="20"/>
        </w:rPr>
        <w:t>, Investor Relations</w:t>
      </w:r>
    </w:p>
    <w:p w:rsidR="005E40CB" w:rsidRDefault="005E40CB">
      <w:pPr>
        <w:rPr>
          <w:rFonts w:ascii="Arial" w:hAnsi="Arial" w:cs="Arial"/>
          <w:sz w:val="20"/>
          <w:szCs w:val="20"/>
        </w:rPr>
      </w:pPr>
      <w:r w:rsidRPr="00B85CCD">
        <w:rPr>
          <w:rFonts w:ascii="Arial" w:hAnsi="Arial" w:cs="Arial"/>
          <w:sz w:val="20"/>
          <w:szCs w:val="20"/>
        </w:rPr>
        <w:tab/>
      </w:r>
      <w:r w:rsidRPr="00B85CCD">
        <w:rPr>
          <w:rFonts w:ascii="Arial" w:hAnsi="Arial" w:cs="Arial"/>
          <w:sz w:val="20"/>
          <w:szCs w:val="20"/>
        </w:rPr>
        <w:tab/>
        <w:t>404-828-</w:t>
      </w:r>
      <w:r>
        <w:rPr>
          <w:rFonts w:ascii="Arial" w:hAnsi="Arial" w:cs="Arial"/>
          <w:sz w:val="20"/>
          <w:szCs w:val="20"/>
        </w:rPr>
        <w:t>7957</w:t>
      </w:r>
    </w:p>
    <w:p w:rsidR="005E40CB" w:rsidRDefault="005E40CB">
      <w:pPr>
        <w:rPr>
          <w:rFonts w:ascii="Arial" w:hAnsi="Arial" w:cs="Arial"/>
          <w:sz w:val="20"/>
          <w:szCs w:val="20"/>
        </w:rPr>
      </w:pPr>
    </w:p>
    <w:p w:rsidR="005E40CB" w:rsidRDefault="005E40CB" w:rsidP="00827F59">
      <w:pPr>
        <w:pStyle w:val="msonospacing0"/>
        <w:ind w:left="720" w:firstLine="720"/>
        <w:rPr>
          <w:rFonts w:ascii="Arial" w:hAnsi="Arial" w:cs="Arial"/>
          <w:sz w:val="20"/>
          <w:szCs w:val="20"/>
        </w:rPr>
      </w:pPr>
      <w:r>
        <w:rPr>
          <w:rFonts w:ascii="Arial" w:hAnsi="Arial" w:cs="Arial"/>
          <w:sz w:val="20"/>
          <w:szCs w:val="20"/>
        </w:rPr>
        <w:t>Karla Krejci, Donath Business &amp; Media</w:t>
      </w:r>
    </w:p>
    <w:p w:rsidR="005E40CB" w:rsidRDefault="005E40CB" w:rsidP="00827F59">
      <w:pPr>
        <w:pStyle w:val="Heading4"/>
        <w:keepNext w:val="0"/>
        <w:spacing w:before="0" w:after="0"/>
        <w:ind w:left="1440"/>
        <w:rPr>
          <w:rFonts w:ascii="Arial" w:hAnsi="Arial" w:cs="Arial"/>
          <w:sz w:val="20"/>
          <w:szCs w:val="20"/>
        </w:rPr>
      </w:pPr>
      <w:r>
        <w:rPr>
          <w:rFonts w:ascii="Arial" w:hAnsi="Arial" w:cs="Arial"/>
          <w:b w:val="0"/>
          <w:sz w:val="20"/>
          <w:szCs w:val="20"/>
          <w:lang w:val="cs-CZ"/>
        </w:rPr>
        <w:t>+420 224 211 220</w:t>
      </w:r>
    </w:p>
    <w:p w:rsidR="005E40CB" w:rsidRDefault="005E40CB" w:rsidP="00827F59">
      <w:pPr>
        <w:ind w:left="589" w:firstLine="851"/>
        <w:rPr>
          <w:rFonts w:ascii="Arial" w:hAnsi="Arial" w:cs="Arial"/>
          <w:sz w:val="20"/>
          <w:szCs w:val="20"/>
          <w:lang w:val="cs-CZ"/>
        </w:rPr>
      </w:pPr>
      <w:hyperlink r:id="rId8" w:history="1">
        <w:r>
          <w:rPr>
            <w:rStyle w:val="Hyperlink"/>
            <w:rFonts w:ascii="Arial" w:hAnsi="Arial" w:cs="Arial"/>
            <w:sz w:val="20"/>
            <w:szCs w:val="20"/>
          </w:rPr>
          <w:t>karla.krejci@dbm.cz</w:t>
        </w:r>
      </w:hyperlink>
    </w:p>
    <w:p w:rsidR="005E40CB" w:rsidRPr="00EF7421" w:rsidRDefault="005E40CB" w:rsidP="00827F59">
      <w:pPr>
        <w:rPr>
          <w:rFonts w:ascii="Arial" w:hAnsi="Arial" w:cs="Arial"/>
          <w:szCs w:val="20"/>
        </w:rPr>
      </w:pPr>
    </w:p>
    <w:p w:rsidR="005E40CB" w:rsidRPr="00827F59" w:rsidRDefault="005E40CB">
      <w:pPr>
        <w:rPr>
          <w:rFonts w:ascii="Arial" w:hAnsi="Arial" w:cs="Arial"/>
          <w:sz w:val="20"/>
          <w:szCs w:val="20"/>
        </w:rPr>
      </w:pPr>
    </w:p>
    <w:p w:rsidR="005E40CB" w:rsidRPr="001D3F51" w:rsidRDefault="005E40CB" w:rsidP="007B357E">
      <w:pPr>
        <w:rPr>
          <w:rFonts w:ascii="Arial" w:hAnsi="Arial" w:cs="Arial"/>
          <w:sz w:val="18"/>
          <w:szCs w:val="22"/>
        </w:rPr>
      </w:pPr>
    </w:p>
    <w:p w:rsidR="005E40CB" w:rsidRDefault="005E40CB" w:rsidP="001D3F51">
      <w:pPr>
        <w:ind w:left="180"/>
        <w:jc w:val="center"/>
        <w:rPr>
          <w:rFonts w:ascii="Arial" w:hAnsi="Arial" w:cs="Arial"/>
          <w:b/>
          <w:sz w:val="28"/>
          <w:szCs w:val="30"/>
        </w:rPr>
      </w:pPr>
      <w:r w:rsidRPr="00594B24">
        <w:rPr>
          <w:rFonts w:ascii="Arial" w:hAnsi="Arial" w:cs="Arial"/>
          <w:b/>
          <w:sz w:val="28"/>
          <w:szCs w:val="30"/>
        </w:rPr>
        <w:t xml:space="preserve">UPS </w:t>
      </w:r>
      <w:r>
        <w:rPr>
          <w:rFonts w:ascii="Arial" w:hAnsi="Arial" w:cs="Arial"/>
          <w:b/>
          <w:sz w:val="28"/>
          <w:szCs w:val="30"/>
        </w:rPr>
        <w:t>GENERATES 6.2% REVENUE</w:t>
      </w:r>
      <w:r w:rsidRPr="00594B24">
        <w:rPr>
          <w:rFonts w:ascii="Arial" w:hAnsi="Arial" w:cs="Arial"/>
          <w:b/>
          <w:sz w:val="28"/>
          <w:szCs w:val="30"/>
        </w:rPr>
        <w:t xml:space="preserve"> </w:t>
      </w:r>
      <w:r>
        <w:rPr>
          <w:rFonts w:ascii="Arial" w:hAnsi="Arial" w:cs="Arial"/>
          <w:b/>
          <w:sz w:val="28"/>
          <w:szCs w:val="30"/>
        </w:rPr>
        <w:t xml:space="preserve">GROWTH </w:t>
      </w:r>
    </w:p>
    <w:p w:rsidR="005E40CB" w:rsidRPr="00594B24" w:rsidRDefault="005E40CB" w:rsidP="001D3F51">
      <w:pPr>
        <w:ind w:left="180"/>
        <w:jc w:val="center"/>
        <w:rPr>
          <w:rFonts w:ascii="Arial" w:hAnsi="Arial" w:cs="Arial"/>
          <w:b/>
          <w:sz w:val="28"/>
          <w:szCs w:val="30"/>
        </w:rPr>
      </w:pPr>
      <w:r>
        <w:rPr>
          <w:rFonts w:ascii="Arial" w:hAnsi="Arial" w:cs="Arial"/>
          <w:b/>
          <w:sz w:val="28"/>
          <w:szCs w:val="30"/>
        </w:rPr>
        <w:t xml:space="preserve">AND INCREASES Q1 EPS TO $1.32 </w:t>
      </w:r>
    </w:p>
    <w:p w:rsidR="005E40CB" w:rsidRPr="001D3F51" w:rsidRDefault="005E40CB" w:rsidP="001D3F51">
      <w:pPr>
        <w:ind w:left="180"/>
        <w:jc w:val="center"/>
        <w:rPr>
          <w:rFonts w:ascii="Arial" w:hAnsi="Arial" w:cs="Arial"/>
          <w:b/>
          <w:sz w:val="22"/>
          <w:szCs w:val="44"/>
        </w:rPr>
      </w:pPr>
    </w:p>
    <w:p w:rsidR="005E40CB" w:rsidRDefault="005E40CB" w:rsidP="00365000">
      <w:pPr>
        <w:pStyle w:val="ListParagraph"/>
        <w:numPr>
          <w:ilvl w:val="0"/>
          <w:numId w:val="35"/>
        </w:numPr>
        <w:ind w:left="540"/>
        <w:rPr>
          <w:rFonts w:ascii="Arial" w:hAnsi="Arial" w:cs="Arial"/>
          <w:b/>
          <w:i/>
        </w:rPr>
      </w:pPr>
      <w:r>
        <w:rPr>
          <w:rFonts w:ascii="Arial" w:hAnsi="Arial" w:cs="Arial"/>
          <w:b/>
          <w:i/>
        </w:rPr>
        <w:t>U.S. Domestic Revenue Increases 5.0% as Package Yield Expands on Continued Ecommerce Demand</w:t>
      </w:r>
    </w:p>
    <w:p w:rsidR="005E40CB" w:rsidRPr="00016A51" w:rsidRDefault="005E40CB" w:rsidP="00E84F4E">
      <w:pPr>
        <w:pStyle w:val="ListParagraph"/>
        <w:numPr>
          <w:ilvl w:val="0"/>
          <w:numId w:val="35"/>
        </w:numPr>
        <w:ind w:left="540"/>
        <w:rPr>
          <w:rFonts w:ascii="Arial" w:hAnsi="Arial" w:cs="Arial"/>
          <w:b/>
          <w:i/>
        </w:rPr>
      </w:pPr>
      <w:r w:rsidRPr="0092416D">
        <w:rPr>
          <w:rFonts w:ascii="Arial" w:hAnsi="Arial" w:cs="Arial"/>
          <w:b/>
          <w:i/>
        </w:rPr>
        <w:t xml:space="preserve">International Reported </w:t>
      </w:r>
      <w:r w:rsidRPr="005B78BB">
        <w:rPr>
          <w:rFonts w:ascii="Arial" w:hAnsi="Arial" w:cs="Arial"/>
          <w:b/>
          <w:i/>
        </w:rPr>
        <w:t xml:space="preserve">Operating Profit </w:t>
      </w:r>
      <w:r w:rsidRPr="00566F1A">
        <w:rPr>
          <w:rFonts w:ascii="Arial" w:hAnsi="Arial" w:cs="Arial"/>
          <w:b/>
          <w:i/>
        </w:rPr>
        <w:t>$529 Million</w:t>
      </w:r>
      <w:r w:rsidRPr="00016A51">
        <w:rPr>
          <w:rFonts w:ascii="Arial" w:hAnsi="Arial" w:cs="Arial"/>
          <w:b/>
          <w:i/>
        </w:rPr>
        <w:t xml:space="preserve">, Currency-Neutral Operating Profit </w:t>
      </w:r>
      <w:r w:rsidRPr="00566F1A">
        <w:rPr>
          <w:rFonts w:ascii="Arial" w:hAnsi="Arial" w:cs="Arial"/>
          <w:b/>
          <w:i/>
        </w:rPr>
        <w:t>$648 Million</w:t>
      </w:r>
      <w:r w:rsidRPr="00016A51">
        <w:rPr>
          <w:rFonts w:ascii="Arial" w:hAnsi="Arial" w:cs="Arial"/>
          <w:b/>
          <w:i/>
        </w:rPr>
        <w:t xml:space="preserve"> </w:t>
      </w:r>
    </w:p>
    <w:p w:rsidR="005E40CB" w:rsidRDefault="005E40CB" w:rsidP="00E84F4E">
      <w:pPr>
        <w:pStyle w:val="ListParagraph"/>
        <w:numPr>
          <w:ilvl w:val="0"/>
          <w:numId w:val="35"/>
        </w:numPr>
        <w:ind w:left="540"/>
        <w:rPr>
          <w:rFonts w:ascii="Arial" w:hAnsi="Arial" w:cs="Arial"/>
          <w:b/>
          <w:i/>
        </w:rPr>
      </w:pPr>
      <w:r>
        <w:rPr>
          <w:rFonts w:ascii="Arial" w:hAnsi="Arial" w:cs="Arial"/>
          <w:b/>
          <w:i/>
        </w:rPr>
        <w:t xml:space="preserve">Supply Chain &amp; Freight Building Momentum as Operating Profit Jumps 22% on 13% Revenue Growth </w:t>
      </w:r>
    </w:p>
    <w:p w:rsidR="005E40CB" w:rsidRDefault="005E40CB">
      <w:pPr>
        <w:pStyle w:val="ListParagraph"/>
        <w:numPr>
          <w:ilvl w:val="0"/>
          <w:numId w:val="35"/>
        </w:numPr>
        <w:ind w:left="540"/>
        <w:rPr>
          <w:rFonts w:ascii="Arial" w:hAnsi="Arial" w:cs="Arial"/>
          <w:b/>
          <w:i/>
        </w:rPr>
      </w:pPr>
      <w:r>
        <w:rPr>
          <w:rFonts w:ascii="Arial" w:hAnsi="Arial" w:cs="Arial"/>
          <w:b/>
          <w:i/>
        </w:rPr>
        <w:t xml:space="preserve">Operating Profit Growth Dampened by Fuel Surcharge Lag </w:t>
      </w:r>
    </w:p>
    <w:p w:rsidR="005E40CB" w:rsidRPr="004F5D76" w:rsidRDefault="005E40CB">
      <w:pPr>
        <w:pStyle w:val="ListParagraph"/>
        <w:numPr>
          <w:ilvl w:val="0"/>
          <w:numId w:val="35"/>
        </w:numPr>
        <w:ind w:left="540"/>
        <w:rPr>
          <w:rFonts w:ascii="Arial" w:hAnsi="Arial" w:cs="Arial"/>
          <w:b/>
          <w:i/>
        </w:rPr>
      </w:pPr>
      <w:r>
        <w:rPr>
          <w:rFonts w:ascii="Arial" w:hAnsi="Arial" w:cs="Arial"/>
          <w:b/>
          <w:i/>
        </w:rPr>
        <w:t>Reaffirms</w:t>
      </w:r>
      <w:r w:rsidRPr="004F5D76">
        <w:rPr>
          <w:rFonts w:ascii="Arial" w:hAnsi="Arial" w:cs="Arial"/>
          <w:b/>
          <w:i/>
        </w:rPr>
        <w:t xml:space="preserve"> Full-Year 201</w:t>
      </w:r>
      <w:r>
        <w:rPr>
          <w:rFonts w:ascii="Arial" w:hAnsi="Arial" w:cs="Arial"/>
          <w:b/>
          <w:i/>
        </w:rPr>
        <w:t>7</w:t>
      </w:r>
      <w:r w:rsidRPr="004F5D76">
        <w:rPr>
          <w:rFonts w:ascii="Arial" w:hAnsi="Arial" w:cs="Arial"/>
          <w:b/>
          <w:i/>
        </w:rPr>
        <w:t xml:space="preserve"> </w:t>
      </w:r>
      <w:r>
        <w:rPr>
          <w:rFonts w:ascii="Arial" w:hAnsi="Arial" w:cs="Arial"/>
          <w:b/>
          <w:i/>
        </w:rPr>
        <w:t>Adjusted</w:t>
      </w:r>
      <w:r w:rsidRPr="004F5D76">
        <w:rPr>
          <w:rFonts w:ascii="Arial" w:hAnsi="Arial" w:cs="Arial"/>
          <w:b/>
          <w:i/>
        </w:rPr>
        <w:t xml:space="preserve"> EPS Guidance</w:t>
      </w:r>
    </w:p>
    <w:p w:rsidR="005E40CB" w:rsidRDefault="005E40CB" w:rsidP="000E624D">
      <w:pPr>
        <w:rPr>
          <w:rFonts w:ascii="Arial" w:hAnsi="Arial" w:cs="Arial"/>
          <w:b/>
          <w:szCs w:val="20"/>
        </w:rPr>
      </w:pPr>
    </w:p>
    <w:p w:rsidR="005E40CB" w:rsidRDefault="005E40CB" w:rsidP="000E624D">
      <w:pPr>
        <w:rPr>
          <w:rFonts w:ascii="Arial" w:hAnsi="Arial" w:cs="Arial"/>
          <w:sz w:val="22"/>
        </w:rPr>
      </w:pPr>
      <w:r w:rsidRPr="004F5D76">
        <w:rPr>
          <w:rFonts w:ascii="Arial" w:hAnsi="Arial" w:cs="Arial"/>
          <w:b/>
        </w:rPr>
        <w:t>A</w:t>
      </w:r>
      <w:r>
        <w:rPr>
          <w:rFonts w:ascii="Arial" w:hAnsi="Arial" w:cs="Arial"/>
          <w:b/>
        </w:rPr>
        <w:t>TLANTA -</w:t>
      </w:r>
      <w:r w:rsidRPr="004F5D76">
        <w:rPr>
          <w:rFonts w:ascii="Arial" w:hAnsi="Arial" w:cs="Arial"/>
          <w:b/>
        </w:rPr>
        <w:t xml:space="preserve"> </w:t>
      </w:r>
      <w:r>
        <w:rPr>
          <w:rFonts w:ascii="Arial" w:hAnsi="Arial" w:cs="Arial"/>
          <w:b/>
        </w:rPr>
        <w:t>April 27</w:t>
      </w:r>
      <w:r w:rsidRPr="004F5D76">
        <w:rPr>
          <w:rFonts w:ascii="Arial" w:hAnsi="Arial" w:cs="Arial"/>
          <w:b/>
        </w:rPr>
        <w:t>, 201</w:t>
      </w:r>
      <w:r>
        <w:rPr>
          <w:rFonts w:ascii="Arial" w:hAnsi="Arial" w:cs="Arial"/>
          <w:b/>
        </w:rPr>
        <w:t>7</w:t>
      </w:r>
      <w:r w:rsidRPr="004F5D76">
        <w:rPr>
          <w:rFonts w:ascii="Arial" w:hAnsi="Arial" w:cs="Arial"/>
          <w:sz w:val="22"/>
        </w:rPr>
        <w:t xml:space="preserve"> – UPS (NYSE:UPS) today announced </w:t>
      </w:r>
      <w:r>
        <w:rPr>
          <w:rFonts w:ascii="Arial" w:hAnsi="Arial" w:cs="Arial"/>
          <w:sz w:val="22"/>
        </w:rPr>
        <w:t>first-</w:t>
      </w:r>
      <w:r w:rsidRPr="004F5D76">
        <w:rPr>
          <w:rFonts w:ascii="Arial" w:hAnsi="Arial" w:cs="Arial"/>
          <w:sz w:val="22"/>
        </w:rPr>
        <w:t>quarter 201</w:t>
      </w:r>
      <w:r>
        <w:rPr>
          <w:rFonts w:ascii="Arial" w:hAnsi="Arial" w:cs="Arial"/>
          <w:sz w:val="22"/>
        </w:rPr>
        <w:t>7</w:t>
      </w:r>
      <w:r w:rsidRPr="004F5D76">
        <w:rPr>
          <w:rFonts w:ascii="Arial" w:hAnsi="Arial" w:cs="Arial"/>
          <w:sz w:val="22"/>
        </w:rPr>
        <w:t xml:space="preserve"> operating results</w:t>
      </w:r>
      <w:r>
        <w:rPr>
          <w:rFonts w:ascii="Arial" w:hAnsi="Arial" w:cs="Arial"/>
          <w:sz w:val="22"/>
        </w:rPr>
        <w:t xml:space="preserve"> with healthy revenue growth across all three segments.</w:t>
      </w:r>
      <w:r w:rsidRPr="004F5D76">
        <w:rPr>
          <w:rFonts w:ascii="Arial" w:hAnsi="Arial" w:cs="Arial"/>
          <w:sz w:val="22"/>
        </w:rPr>
        <w:t xml:space="preserve">  </w:t>
      </w:r>
      <w:r>
        <w:rPr>
          <w:rFonts w:ascii="Arial" w:hAnsi="Arial" w:cs="Arial"/>
          <w:sz w:val="22"/>
        </w:rPr>
        <w:t>The company improved earnings per share by 3.9% versus the same period in 2016.  The improved per-share result was due to a 22% increase in Supply Chain and Freight segment operating profit, strong underlying performance in the International segment and solid results in the Domestic segment, plus the favorable tax impact of adopting the new stock compensation accounting standard (ASU 2016-9).</w:t>
      </w:r>
    </w:p>
    <w:p w:rsidR="005E40CB" w:rsidRDefault="005E40CB" w:rsidP="000E624D">
      <w:pPr>
        <w:rPr>
          <w:rFonts w:ascii="Arial" w:hAnsi="Arial" w:cs="Arial"/>
          <w:sz w:val="22"/>
        </w:rPr>
      </w:pPr>
    </w:p>
    <w:tbl>
      <w:tblPr>
        <w:tblW w:w="8208" w:type="dxa"/>
        <w:jc w:val="center"/>
        <w:tblLook w:val="00A0" w:firstRow="1" w:lastRow="0" w:firstColumn="1" w:lastColumn="0" w:noHBand="0" w:noVBand="0"/>
      </w:tblPr>
      <w:tblGrid>
        <w:gridCol w:w="4608"/>
        <w:gridCol w:w="1440"/>
        <w:gridCol w:w="2160"/>
      </w:tblGrid>
      <w:tr w:rsidR="005E40CB" w:rsidRPr="001E1EB6" w:rsidTr="00CD3147">
        <w:trPr>
          <w:jc w:val="center"/>
        </w:trPr>
        <w:tc>
          <w:tcPr>
            <w:tcW w:w="4608" w:type="dxa"/>
          </w:tcPr>
          <w:p w:rsidR="005E40CB" w:rsidRPr="00CD3147" w:rsidRDefault="005E40CB" w:rsidP="004872C4">
            <w:pPr>
              <w:rPr>
                <w:rFonts w:ascii="Arial" w:hAnsi="Arial" w:cs="Arial"/>
                <w:b/>
                <w:sz w:val="20"/>
                <w:u w:val="single"/>
              </w:rPr>
            </w:pPr>
            <w:r w:rsidRPr="00CD3147">
              <w:rPr>
                <w:rFonts w:ascii="Arial" w:hAnsi="Arial" w:cs="Arial"/>
                <w:b/>
                <w:sz w:val="20"/>
                <w:szCs w:val="22"/>
                <w:u w:val="single"/>
              </w:rPr>
              <w:t>Consolidated Results</w:t>
            </w:r>
          </w:p>
        </w:tc>
        <w:tc>
          <w:tcPr>
            <w:tcW w:w="1440" w:type="dxa"/>
          </w:tcPr>
          <w:p w:rsidR="005E40CB" w:rsidRPr="00CD3147" w:rsidRDefault="005E40CB" w:rsidP="00CD3147">
            <w:pPr>
              <w:jc w:val="right"/>
              <w:rPr>
                <w:rFonts w:ascii="Arial" w:hAnsi="Arial" w:cs="Arial"/>
                <w:b/>
                <w:sz w:val="20"/>
                <w:u w:val="single"/>
              </w:rPr>
            </w:pPr>
            <w:r w:rsidRPr="00CD3147">
              <w:rPr>
                <w:rFonts w:ascii="Arial" w:hAnsi="Arial" w:cs="Arial"/>
                <w:b/>
                <w:sz w:val="20"/>
                <w:szCs w:val="22"/>
                <w:u w:val="single"/>
              </w:rPr>
              <w:t>1Q 2017</w:t>
            </w:r>
          </w:p>
        </w:tc>
        <w:tc>
          <w:tcPr>
            <w:tcW w:w="2160" w:type="dxa"/>
          </w:tcPr>
          <w:p w:rsidR="005E40CB" w:rsidRPr="00CD3147" w:rsidRDefault="005E40CB" w:rsidP="00CD3147">
            <w:pPr>
              <w:jc w:val="right"/>
              <w:rPr>
                <w:rFonts w:ascii="Arial" w:hAnsi="Arial" w:cs="Arial"/>
                <w:b/>
                <w:sz w:val="20"/>
                <w:u w:val="single"/>
              </w:rPr>
            </w:pPr>
            <w:r w:rsidRPr="00CD3147">
              <w:rPr>
                <w:rFonts w:ascii="Arial" w:hAnsi="Arial" w:cs="Arial"/>
                <w:b/>
                <w:sz w:val="20"/>
                <w:szCs w:val="22"/>
                <w:u w:val="single"/>
              </w:rPr>
              <w:t>1Q 2016</w:t>
            </w:r>
          </w:p>
        </w:tc>
      </w:tr>
      <w:tr w:rsidR="005E40CB" w:rsidRPr="001E1EB6" w:rsidTr="00CD3147">
        <w:trPr>
          <w:jc w:val="center"/>
        </w:trPr>
        <w:tc>
          <w:tcPr>
            <w:tcW w:w="4608" w:type="dxa"/>
          </w:tcPr>
          <w:p w:rsidR="005E40CB" w:rsidRPr="00CD3147" w:rsidRDefault="005E40CB" w:rsidP="009318E1">
            <w:pPr>
              <w:rPr>
                <w:rFonts w:ascii="Arial" w:hAnsi="Arial" w:cs="Arial"/>
                <w:sz w:val="20"/>
              </w:rPr>
            </w:pPr>
            <w:r w:rsidRPr="00CD3147">
              <w:rPr>
                <w:rFonts w:ascii="Arial" w:hAnsi="Arial" w:cs="Arial"/>
                <w:sz w:val="20"/>
                <w:szCs w:val="22"/>
              </w:rPr>
              <w:t>Revenue</w:t>
            </w:r>
          </w:p>
        </w:tc>
        <w:tc>
          <w:tcPr>
            <w:tcW w:w="1440" w:type="dxa"/>
          </w:tcPr>
          <w:p w:rsidR="005E40CB" w:rsidRPr="00CD3147" w:rsidRDefault="005E40CB" w:rsidP="00CD3147">
            <w:pPr>
              <w:jc w:val="right"/>
              <w:rPr>
                <w:rFonts w:ascii="Arial" w:hAnsi="Arial" w:cs="Arial"/>
                <w:sz w:val="20"/>
              </w:rPr>
            </w:pPr>
            <w:r w:rsidRPr="00CD3147">
              <w:rPr>
                <w:rFonts w:ascii="Arial" w:hAnsi="Arial" w:cs="Arial"/>
                <w:sz w:val="20"/>
                <w:szCs w:val="22"/>
              </w:rPr>
              <w:t>$15,315 M</w:t>
            </w:r>
          </w:p>
        </w:tc>
        <w:tc>
          <w:tcPr>
            <w:tcW w:w="2160" w:type="dxa"/>
          </w:tcPr>
          <w:p w:rsidR="005E40CB" w:rsidRPr="00CD3147" w:rsidRDefault="005E40CB" w:rsidP="00CD3147">
            <w:pPr>
              <w:jc w:val="right"/>
              <w:rPr>
                <w:rFonts w:ascii="Arial" w:hAnsi="Arial" w:cs="Arial"/>
                <w:sz w:val="20"/>
              </w:rPr>
            </w:pPr>
            <w:r w:rsidRPr="00CD3147">
              <w:rPr>
                <w:rFonts w:ascii="Arial" w:hAnsi="Arial" w:cs="Arial"/>
                <w:sz w:val="20"/>
                <w:szCs w:val="22"/>
              </w:rPr>
              <w:t>$14,418 M</w:t>
            </w:r>
          </w:p>
        </w:tc>
      </w:tr>
      <w:tr w:rsidR="005E40CB" w:rsidRPr="001E1EB6" w:rsidTr="00CD3147">
        <w:trPr>
          <w:jc w:val="center"/>
        </w:trPr>
        <w:tc>
          <w:tcPr>
            <w:tcW w:w="4608" w:type="dxa"/>
          </w:tcPr>
          <w:p w:rsidR="005E40CB" w:rsidRPr="00CD3147" w:rsidRDefault="005E40CB" w:rsidP="00BF73A7">
            <w:pPr>
              <w:rPr>
                <w:rFonts w:ascii="Arial" w:hAnsi="Arial" w:cs="Arial"/>
                <w:sz w:val="20"/>
              </w:rPr>
            </w:pPr>
            <w:r w:rsidRPr="00CD3147">
              <w:rPr>
                <w:rFonts w:ascii="Arial" w:hAnsi="Arial" w:cs="Arial"/>
                <w:sz w:val="20"/>
                <w:szCs w:val="22"/>
              </w:rPr>
              <w:t>Operating profit</w:t>
            </w:r>
          </w:p>
        </w:tc>
        <w:tc>
          <w:tcPr>
            <w:tcW w:w="1440" w:type="dxa"/>
          </w:tcPr>
          <w:p w:rsidR="005E40CB" w:rsidRPr="00CD3147" w:rsidRDefault="005E40CB" w:rsidP="00CD3147">
            <w:pPr>
              <w:jc w:val="right"/>
              <w:rPr>
                <w:rFonts w:ascii="Arial" w:hAnsi="Arial" w:cs="Arial"/>
                <w:sz w:val="20"/>
              </w:rPr>
            </w:pPr>
            <w:r w:rsidRPr="00CD3147">
              <w:rPr>
                <w:rFonts w:ascii="Arial" w:hAnsi="Arial" w:cs="Arial"/>
                <w:sz w:val="20"/>
                <w:szCs w:val="22"/>
              </w:rPr>
              <w:t>$1,784 M</w:t>
            </w:r>
          </w:p>
        </w:tc>
        <w:tc>
          <w:tcPr>
            <w:tcW w:w="2160" w:type="dxa"/>
          </w:tcPr>
          <w:p w:rsidR="005E40CB" w:rsidRPr="00CD3147" w:rsidRDefault="005E40CB" w:rsidP="00CD3147">
            <w:pPr>
              <w:jc w:val="right"/>
              <w:rPr>
                <w:rFonts w:ascii="Arial" w:hAnsi="Arial" w:cs="Arial"/>
                <w:sz w:val="20"/>
              </w:rPr>
            </w:pPr>
            <w:r w:rsidRPr="00CD3147">
              <w:rPr>
                <w:rFonts w:ascii="Arial" w:hAnsi="Arial" w:cs="Arial"/>
                <w:sz w:val="20"/>
                <w:szCs w:val="22"/>
              </w:rPr>
              <w:t>$1,823 M</w:t>
            </w:r>
          </w:p>
        </w:tc>
      </w:tr>
      <w:tr w:rsidR="005E40CB" w:rsidRPr="001E1EB6" w:rsidTr="00CD3147">
        <w:trPr>
          <w:jc w:val="center"/>
        </w:trPr>
        <w:tc>
          <w:tcPr>
            <w:tcW w:w="4608" w:type="dxa"/>
          </w:tcPr>
          <w:p w:rsidR="005E40CB" w:rsidRPr="00CD3147" w:rsidRDefault="005E40CB">
            <w:pPr>
              <w:rPr>
                <w:rFonts w:ascii="Arial" w:hAnsi="Arial" w:cs="Arial"/>
                <w:sz w:val="20"/>
              </w:rPr>
            </w:pPr>
            <w:r w:rsidRPr="00CD3147">
              <w:rPr>
                <w:rFonts w:ascii="Arial" w:hAnsi="Arial" w:cs="Arial"/>
                <w:sz w:val="20"/>
                <w:szCs w:val="22"/>
              </w:rPr>
              <w:t>Currency-neutral operating profit*</w:t>
            </w:r>
          </w:p>
        </w:tc>
        <w:tc>
          <w:tcPr>
            <w:tcW w:w="1440" w:type="dxa"/>
          </w:tcPr>
          <w:p w:rsidR="005E40CB" w:rsidRPr="00CD3147" w:rsidRDefault="005E40CB" w:rsidP="00CD3147">
            <w:pPr>
              <w:jc w:val="right"/>
              <w:rPr>
                <w:rFonts w:ascii="Arial" w:hAnsi="Arial" w:cs="Arial"/>
                <w:sz w:val="20"/>
              </w:rPr>
            </w:pPr>
            <w:r w:rsidRPr="00CD3147">
              <w:rPr>
                <w:rFonts w:ascii="Arial" w:hAnsi="Arial" w:cs="Arial"/>
                <w:sz w:val="20"/>
                <w:szCs w:val="22"/>
              </w:rPr>
              <w:t>$1,904 M</w:t>
            </w:r>
          </w:p>
        </w:tc>
        <w:tc>
          <w:tcPr>
            <w:tcW w:w="2160" w:type="dxa"/>
          </w:tcPr>
          <w:p w:rsidR="005E40CB" w:rsidRPr="00CD3147" w:rsidRDefault="005E40CB" w:rsidP="00CD3147">
            <w:pPr>
              <w:jc w:val="right"/>
              <w:rPr>
                <w:rFonts w:ascii="Arial" w:hAnsi="Arial" w:cs="Arial"/>
                <w:sz w:val="20"/>
              </w:rPr>
            </w:pPr>
          </w:p>
        </w:tc>
      </w:tr>
      <w:tr w:rsidR="005E40CB" w:rsidRPr="001E1EB6" w:rsidTr="00CD3147">
        <w:trPr>
          <w:jc w:val="center"/>
        </w:trPr>
        <w:tc>
          <w:tcPr>
            <w:tcW w:w="4608" w:type="dxa"/>
          </w:tcPr>
          <w:p w:rsidR="005E40CB" w:rsidRPr="00CD3147" w:rsidRDefault="005E40CB" w:rsidP="00BF73A7">
            <w:pPr>
              <w:rPr>
                <w:rFonts w:ascii="Arial" w:hAnsi="Arial" w:cs="Arial"/>
                <w:sz w:val="20"/>
              </w:rPr>
            </w:pPr>
          </w:p>
        </w:tc>
        <w:tc>
          <w:tcPr>
            <w:tcW w:w="1440" w:type="dxa"/>
          </w:tcPr>
          <w:p w:rsidR="005E40CB" w:rsidRPr="00CD3147" w:rsidRDefault="005E40CB" w:rsidP="00CD3147">
            <w:pPr>
              <w:jc w:val="right"/>
              <w:rPr>
                <w:rFonts w:ascii="Arial" w:hAnsi="Arial" w:cs="Arial"/>
                <w:sz w:val="20"/>
              </w:rPr>
            </w:pPr>
          </w:p>
        </w:tc>
        <w:tc>
          <w:tcPr>
            <w:tcW w:w="2160" w:type="dxa"/>
          </w:tcPr>
          <w:p w:rsidR="005E40CB" w:rsidRPr="00CD3147" w:rsidRDefault="005E40CB" w:rsidP="00CD3147">
            <w:pPr>
              <w:jc w:val="right"/>
              <w:rPr>
                <w:rFonts w:ascii="Arial" w:hAnsi="Arial" w:cs="Arial"/>
                <w:sz w:val="20"/>
              </w:rPr>
            </w:pPr>
          </w:p>
        </w:tc>
      </w:tr>
      <w:tr w:rsidR="005E40CB" w:rsidRPr="001E1EB6" w:rsidTr="00CD3147">
        <w:trPr>
          <w:jc w:val="center"/>
        </w:trPr>
        <w:tc>
          <w:tcPr>
            <w:tcW w:w="4608" w:type="dxa"/>
          </w:tcPr>
          <w:p w:rsidR="005E40CB" w:rsidRPr="00CD3147" w:rsidRDefault="005E40CB" w:rsidP="00BF73A7">
            <w:pPr>
              <w:rPr>
                <w:rFonts w:ascii="Arial" w:hAnsi="Arial" w:cs="Arial"/>
                <w:sz w:val="20"/>
              </w:rPr>
            </w:pPr>
            <w:r w:rsidRPr="00CD3147">
              <w:rPr>
                <w:rFonts w:ascii="Arial" w:hAnsi="Arial" w:cs="Arial"/>
                <w:sz w:val="20"/>
                <w:szCs w:val="22"/>
              </w:rPr>
              <w:t>Diluted earnings per share</w:t>
            </w:r>
          </w:p>
        </w:tc>
        <w:tc>
          <w:tcPr>
            <w:tcW w:w="1440" w:type="dxa"/>
          </w:tcPr>
          <w:p w:rsidR="005E40CB" w:rsidRPr="00CD3147" w:rsidRDefault="005E40CB" w:rsidP="00CD3147">
            <w:pPr>
              <w:jc w:val="right"/>
              <w:rPr>
                <w:rFonts w:ascii="Arial" w:hAnsi="Arial" w:cs="Arial"/>
                <w:sz w:val="20"/>
              </w:rPr>
            </w:pPr>
            <w:r w:rsidRPr="00CD3147">
              <w:rPr>
                <w:rFonts w:ascii="Arial" w:hAnsi="Arial" w:cs="Arial"/>
                <w:sz w:val="20"/>
                <w:szCs w:val="22"/>
              </w:rPr>
              <w:t>$1.32</w:t>
            </w:r>
          </w:p>
        </w:tc>
        <w:tc>
          <w:tcPr>
            <w:tcW w:w="2160" w:type="dxa"/>
          </w:tcPr>
          <w:p w:rsidR="005E40CB" w:rsidRPr="00CD3147" w:rsidRDefault="005E40CB" w:rsidP="00CD3147">
            <w:pPr>
              <w:jc w:val="right"/>
              <w:rPr>
                <w:rFonts w:ascii="Arial" w:hAnsi="Arial" w:cs="Arial"/>
                <w:sz w:val="20"/>
              </w:rPr>
            </w:pPr>
            <w:r w:rsidRPr="00CD3147">
              <w:rPr>
                <w:rFonts w:ascii="Arial" w:hAnsi="Arial" w:cs="Arial"/>
                <w:sz w:val="20"/>
                <w:szCs w:val="22"/>
              </w:rPr>
              <w:t>$1.27</w:t>
            </w:r>
          </w:p>
        </w:tc>
      </w:tr>
    </w:tbl>
    <w:p w:rsidR="005E40CB" w:rsidRDefault="005E40CB" w:rsidP="000E624D">
      <w:pPr>
        <w:rPr>
          <w:rFonts w:ascii="Arial" w:hAnsi="Arial" w:cs="Arial"/>
          <w:sz w:val="22"/>
          <w:szCs w:val="22"/>
        </w:rPr>
      </w:pPr>
    </w:p>
    <w:p w:rsidR="005E40CB" w:rsidRDefault="005E40CB" w:rsidP="000E624D">
      <w:pPr>
        <w:rPr>
          <w:rFonts w:ascii="Arial" w:hAnsi="Arial" w:cs="Arial"/>
          <w:sz w:val="22"/>
        </w:rPr>
      </w:pPr>
      <w:r w:rsidRPr="004F5D76">
        <w:rPr>
          <w:rFonts w:ascii="Arial" w:hAnsi="Arial" w:cs="Arial"/>
          <w:sz w:val="22"/>
          <w:szCs w:val="22"/>
        </w:rPr>
        <w:t>“</w:t>
      </w:r>
      <w:r>
        <w:rPr>
          <w:rFonts w:ascii="Arial" w:hAnsi="Arial" w:cs="Arial"/>
          <w:sz w:val="22"/>
          <w:szCs w:val="22"/>
        </w:rPr>
        <w:t xml:space="preserve">Revenue came in strong this quarter with all segments adding to the topline,” </w:t>
      </w:r>
      <w:r w:rsidRPr="004F5D76">
        <w:rPr>
          <w:rFonts w:ascii="Arial" w:hAnsi="Arial" w:cs="Arial"/>
          <w:sz w:val="22"/>
          <w:szCs w:val="22"/>
        </w:rPr>
        <w:t xml:space="preserve">said David Abney, UPS </w:t>
      </w:r>
      <w:r>
        <w:rPr>
          <w:rFonts w:ascii="Arial" w:hAnsi="Arial" w:cs="Arial"/>
          <w:sz w:val="22"/>
          <w:szCs w:val="22"/>
        </w:rPr>
        <w:t>chairman and CEO.  “We are accelerating investments to create the industry’s leading smart global logistics network and value-creating portfolio.  UPS customers are benefiting from expanded capacity, choice and improved time-in-transit, while technology solutions continue to deliver efficiencies.</w:t>
      </w:r>
      <w:r>
        <w:rPr>
          <w:rFonts w:ascii="Arial" w:hAnsi="Arial" w:cs="Arial"/>
          <w:sz w:val="22"/>
        </w:rPr>
        <w:t>”</w:t>
      </w:r>
    </w:p>
    <w:p w:rsidR="005E40CB" w:rsidRDefault="005E40CB" w:rsidP="000E624D">
      <w:pPr>
        <w:rPr>
          <w:rFonts w:ascii="Arial" w:hAnsi="Arial" w:cs="Arial"/>
          <w:sz w:val="22"/>
        </w:rPr>
      </w:pPr>
    </w:p>
    <w:p w:rsidR="005E40CB" w:rsidRDefault="005E40CB" w:rsidP="000E624D">
      <w:pPr>
        <w:rPr>
          <w:rFonts w:ascii="Arial" w:hAnsi="Arial" w:cs="Arial"/>
          <w:sz w:val="22"/>
        </w:rPr>
      </w:pPr>
      <w:r>
        <w:rPr>
          <w:rFonts w:ascii="Arial" w:hAnsi="Arial" w:cs="Arial"/>
          <w:sz w:val="22"/>
        </w:rPr>
        <w:t>For the total company in Q1 2017:</w:t>
      </w:r>
    </w:p>
    <w:p w:rsidR="005E40CB" w:rsidRDefault="005E40CB" w:rsidP="00FB4FFD">
      <w:pPr>
        <w:pStyle w:val="ListParagraph"/>
        <w:numPr>
          <w:ilvl w:val="0"/>
          <w:numId w:val="37"/>
        </w:numPr>
        <w:ind w:left="360"/>
        <w:rPr>
          <w:rFonts w:ascii="Arial" w:hAnsi="Arial" w:cs="Arial"/>
          <w:sz w:val="22"/>
        </w:rPr>
      </w:pPr>
      <w:r>
        <w:rPr>
          <w:rFonts w:ascii="Arial" w:hAnsi="Arial" w:cs="Arial"/>
          <w:sz w:val="22"/>
        </w:rPr>
        <w:t>Total revenue climbed 6.2% and currency-neutral revenue increased 7.5%.</w:t>
      </w:r>
    </w:p>
    <w:p w:rsidR="005E40CB" w:rsidRDefault="005E40CB" w:rsidP="00FB4FFD">
      <w:pPr>
        <w:pStyle w:val="ListParagraph"/>
        <w:numPr>
          <w:ilvl w:val="0"/>
          <w:numId w:val="37"/>
        </w:numPr>
        <w:ind w:left="360"/>
        <w:rPr>
          <w:rFonts w:ascii="Arial" w:hAnsi="Arial" w:cs="Arial"/>
          <w:sz w:val="22"/>
        </w:rPr>
      </w:pPr>
      <w:r>
        <w:rPr>
          <w:rFonts w:ascii="Arial" w:hAnsi="Arial" w:cs="Arial"/>
          <w:sz w:val="22"/>
        </w:rPr>
        <w:t>Revenue grew in all segments and in all major product categories, as balanced market demand occurred across the company’s broad product portfolio.</w:t>
      </w:r>
    </w:p>
    <w:p w:rsidR="005E40CB" w:rsidRPr="00EB5E50" w:rsidRDefault="005E40CB" w:rsidP="00EB5E50">
      <w:pPr>
        <w:pStyle w:val="ListParagraph"/>
        <w:numPr>
          <w:ilvl w:val="0"/>
          <w:numId w:val="37"/>
        </w:numPr>
        <w:ind w:left="360"/>
        <w:rPr>
          <w:rFonts w:ascii="Arial" w:hAnsi="Arial" w:cs="Arial"/>
          <w:sz w:val="22"/>
        </w:rPr>
      </w:pPr>
      <w:r>
        <w:rPr>
          <w:rFonts w:ascii="Arial" w:hAnsi="Arial" w:cs="Arial"/>
          <w:sz w:val="22"/>
        </w:rPr>
        <w:t>Total fuel expense increased $187 million or 43% over Q1 2016.  The fuel surcharge revenue lagged expense, however a February 2017 surcharge change mitigates this variance for future periods.</w:t>
      </w:r>
    </w:p>
    <w:p w:rsidR="005E40CB" w:rsidRDefault="005E40CB" w:rsidP="00A5627D">
      <w:pPr>
        <w:pStyle w:val="ListParagraph"/>
        <w:numPr>
          <w:ilvl w:val="0"/>
          <w:numId w:val="37"/>
        </w:numPr>
        <w:ind w:left="360"/>
        <w:rPr>
          <w:rFonts w:ascii="Arial" w:hAnsi="Arial" w:cs="Arial"/>
          <w:sz w:val="22"/>
        </w:rPr>
      </w:pPr>
      <w:r>
        <w:rPr>
          <w:rFonts w:ascii="Arial" w:hAnsi="Arial" w:cs="Arial"/>
          <w:sz w:val="22"/>
        </w:rPr>
        <w:t>Capital expenditures to support network enhancements were $938 million during the quarter, demonstrating a run-rate at the annualized guidance level.</w:t>
      </w:r>
    </w:p>
    <w:p w:rsidR="005E40CB" w:rsidRDefault="005E40CB" w:rsidP="00AB43B3">
      <w:pPr>
        <w:pStyle w:val="ListParagraph"/>
        <w:numPr>
          <w:ilvl w:val="0"/>
          <w:numId w:val="37"/>
        </w:numPr>
        <w:ind w:left="360"/>
        <w:rPr>
          <w:rFonts w:ascii="Arial" w:hAnsi="Arial" w:cs="Arial"/>
          <w:sz w:val="22"/>
        </w:rPr>
      </w:pPr>
      <w:r>
        <w:rPr>
          <w:rFonts w:ascii="Arial" w:hAnsi="Arial" w:cs="Arial"/>
          <w:sz w:val="22"/>
        </w:rPr>
        <w:t>UPS p</w:t>
      </w:r>
      <w:r w:rsidRPr="001F1EB0">
        <w:rPr>
          <w:rFonts w:ascii="Arial" w:hAnsi="Arial" w:cs="Arial"/>
          <w:sz w:val="22"/>
        </w:rPr>
        <w:t>aid dividends of $</w:t>
      </w:r>
      <w:r>
        <w:rPr>
          <w:rFonts w:ascii="Arial" w:hAnsi="Arial" w:cs="Arial"/>
          <w:sz w:val="22"/>
        </w:rPr>
        <w:t>774</w:t>
      </w:r>
      <w:r w:rsidRPr="001F1EB0">
        <w:rPr>
          <w:rFonts w:ascii="Arial" w:hAnsi="Arial" w:cs="Arial"/>
          <w:sz w:val="22"/>
        </w:rPr>
        <w:t xml:space="preserve"> </w:t>
      </w:r>
      <w:r>
        <w:rPr>
          <w:rFonts w:ascii="Arial" w:hAnsi="Arial" w:cs="Arial"/>
          <w:sz w:val="22"/>
        </w:rPr>
        <w:t>m</w:t>
      </w:r>
      <w:r w:rsidRPr="001F1EB0">
        <w:rPr>
          <w:rFonts w:ascii="Arial" w:hAnsi="Arial" w:cs="Arial"/>
          <w:sz w:val="22"/>
        </w:rPr>
        <w:t xml:space="preserve">illion, an increase of </w:t>
      </w:r>
      <w:r>
        <w:rPr>
          <w:rFonts w:ascii="Arial" w:hAnsi="Arial" w:cs="Arial"/>
          <w:sz w:val="22"/>
        </w:rPr>
        <w:t>6.4</w:t>
      </w:r>
      <w:r w:rsidRPr="001F1EB0">
        <w:rPr>
          <w:rFonts w:ascii="Arial" w:hAnsi="Arial" w:cs="Arial"/>
          <w:sz w:val="22"/>
        </w:rPr>
        <w:t>%</w:t>
      </w:r>
      <w:r>
        <w:rPr>
          <w:rFonts w:ascii="Arial" w:hAnsi="Arial" w:cs="Arial"/>
          <w:sz w:val="22"/>
        </w:rPr>
        <w:t xml:space="preserve"> per share over the prior year, rewarding shareowners with continued strong dividend yield.</w:t>
      </w:r>
    </w:p>
    <w:p w:rsidR="005E40CB" w:rsidRDefault="005E40CB" w:rsidP="00AB43B3">
      <w:pPr>
        <w:pStyle w:val="ListParagraph"/>
        <w:numPr>
          <w:ilvl w:val="0"/>
          <w:numId w:val="37"/>
        </w:numPr>
        <w:ind w:left="360"/>
        <w:rPr>
          <w:rFonts w:ascii="Arial" w:hAnsi="Arial" w:cs="Arial"/>
          <w:sz w:val="22"/>
        </w:rPr>
      </w:pPr>
      <w:r>
        <w:rPr>
          <w:rFonts w:ascii="Arial" w:hAnsi="Arial" w:cs="Arial"/>
          <w:sz w:val="22"/>
        </w:rPr>
        <w:t>The company r</w:t>
      </w:r>
      <w:r w:rsidRPr="001F1EB0">
        <w:rPr>
          <w:rFonts w:ascii="Arial" w:hAnsi="Arial" w:cs="Arial"/>
          <w:sz w:val="22"/>
        </w:rPr>
        <w:t xml:space="preserve">epurchased </w:t>
      </w:r>
      <w:r>
        <w:rPr>
          <w:rFonts w:ascii="Arial" w:hAnsi="Arial" w:cs="Arial"/>
          <w:sz w:val="22"/>
        </w:rPr>
        <w:t>4.2</w:t>
      </w:r>
      <w:r w:rsidRPr="001F1EB0">
        <w:rPr>
          <w:rFonts w:ascii="Arial" w:hAnsi="Arial" w:cs="Arial"/>
          <w:sz w:val="22"/>
        </w:rPr>
        <w:t xml:space="preserve"> million shares for approximately $</w:t>
      </w:r>
      <w:r>
        <w:rPr>
          <w:rFonts w:ascii="Arial" w:hAnsi="Arial" w:cs="Arial"/>
          <w:sz w:val="22"/>
        </w:rPr>
        <w:t>450</w:t>
      </w:r>
      <w:r w:rsidRPr="001F1EB0">
        <w:rPr>
          <w:rFonts w:ascii="Arial" w:hAnsi="Arial" w:cs="Arial"/>
          <w:sz w:val="22"/>
        </w:rPr>
        <w:t xml:space="preserve"> million</w:t>
      </w:r>
      <w:r>
        <w:rPr>
          <w:rFonts w:ascii="Arial" w:hAnsi="Arial" w:cs="Arial"/>
          <w:sz w:val="22"/>
        </w:rPr>
        <w:t xml:space="preserve"> in line with the company’s capital allocation policy</w:t>
      </w:r>
      <w:r w:rsidRPr="001F1EB0">
        <w:rPr>
          <w:rFonts w:ascii="Arial" w:hAnsi="Arial" w:cs="Arial"/>
          <w:sz w:val="22"/>
        </w:rPr>
        <w:t xml:space="preserve">. </w:t>
      </w:r>
    </w:p>
    <w:p w:rsidR="005E40CB" w:rsidRDefault="005E40CB" w:rsidP="00B54509">
      <w:pPr>
        <w:rPr>
          <w:rFonts w:ascii="Arial" w:hAnsi="Arial" w:cs="Arial"/>
          <w:sz w:val="22"/>
        </w:rPr>
      </w:pPr>
    </w:p>
    <w:p w:rsidR="005E40CB" w:rsidRPr="00B54509" w:rsidRDefault="005E40CB" w:rsidP="00B54509">
      <w:pPr>
        <w:rPr>
          <w:rFonts w:ascii="Arial" w:hAnsi="Arial" w:cs="Arial"/>
          <w:b/>
          <w:sz w:val="22"/>
          <w:u w:val="single"/>
        </w:rPr>
      </w:pPr>
      <w:r w:rsidRPr="00B54509">
        <w:rPr>
          <w:rFonts w:ascii="Arial" w:hAnsi="Arial" w:cs="Arial"/>
          <w:b/>
          <w:sz w:val="22"/>
          <w:u w:val="single"/>
        </w:rPr>
        <w:t>U.S. Domestic Segment</w:t>
      </w:r>
    </w:p>
    <w:p w:rsidR="005E40CB" w:rsidRDefault="005E40CB" w:rsidP="000E624D">
      <w:pPr>
        <w:rPr>
          <w:rFonts w:ascii="Arial" w:hAnsi="Arial" w:cs="Arial"/>
          <w:sz w:val="22"/>
        </w:rPr>
      </w:pPr>
    </w:p>
    <w:p w:rsidR="005E40CB" w:rsidRDefault="005E40CB" w:rsidP="000E624D">
      <w:pPr>
        <w:rPr>
          <w:rFonts w:ascii="Arial" w:hAnsi="Arial" w:cs="Arial"/>
          <w:sz w:val="22"/>
        </w:rPr>
      </w:pPr>
      <w:r>
        <w:rPr>
          <w:rFonts w:ascii="Arial" w:hAnsi="Arial" w:cs="Arial"/>
          <w:sz w:val="22"/>
        </w:rPr>
        <w:t xml:space="preserve">The Domestic segment benefitted from strong demand for ecommerce deliveries and revenue was up 5% over Q1 2016.  The U.S. consumer continues to transform retail consumption due, in part to the simplicity, personal convenience and reliable delivery solutions offered by UPS.  </w:t>
      </w:r>
    </w:p>
    <w:p w:rsidR="005E40CB" w:rsidRDefault="005E40CB" w:rsidP="000E624D">
      <w:pPr>
        <w:rPr>
          <w:rFonts w:ascii="Arial" w:hAnsi="Arial" w:cs="Arial"/>
          <w:sz w:val="22"/>
        </w:rPr>
      </w:pPr>
    </w:p>
    <w:tbl>
      <w:tblPr>
        <w:tblW w:w="8208" w:type="dxa"/>
        <w:jc w:val="center"/>
        <w:tblLook w:val="00A0" w:firstRow="1" w:lastRow="0" w:firstColumn="1" w:lastColumn="0" w:noHBand="0" w:noVBand="0"/>
      </w:tblPr>
      <w:tblGrid>
        <w:gridCol w:w="4608"/>
        <w:gridCol w:w="1440"/>
        <w:gridCol w:w="2160"/>
      </w:tblGrid>
      <w:tr w:rsidR="005E40CB" w:rsidRPr="001E1EB6" w:rsidTr="00CD3147">
        <w:trPr>
          <w:jc w:val="center"/>
        </w:trPr>
        <w:tc>
          <w:tcPr>
            <w:tcW w:w="4608" w:type="dxa"/>
          </w:tcPr>
          <w:p w:rsidR="005E40CB" w:rsidRPr="00CD3147" w:rsidRDefault="005E40CB" w:rsidP="00CD3147">
            <w:pPr>
              <w:ind w:left="-108"/>
              <w:rPr>
                <w:rFonts w:ascii="Arial" w:hAnsi="Arial" w:cs="Arial"/>
                <w:b/>
                <w:sz w:val="20"/>
                <w:u w:val="single"/>
              </w:rPr>
            </w:pPr>
          </w:p>
        </w:tc>
        <w:tc>
          <w:tcPr>
            <w:tcW w:w="1440" w:type="dxa"/>
          </w:tcPr>
          <w:p w:rsidR="005E40CB" w:rsidRPr="00CD3147" w:rsidRDefault="005E40CB" w:rsidP="00CD3147">
            <w:pPr>
              <w:jc w:val="right"/>
              <w:rPr>
                <w:rFonts w:ascii="Arial" w:hAnsi="Arial" w:cs="Arial"/>
                <w:b/>
                <w:sz w:val="20"/>
                <w:u w:val="single"/>
              </w:rPr>
            </w:pPr>
            <w:r w:rsidRPr="00CD3147">
              <w:rPr>
                <w:rFonts w:ascii="Arial" w:hAnsi="Arial" w:cs="Arial"/>
                <w:b/>
                <w:sz w:val="20"/>
                <w:szCs w:val="22"/>
                <w:u w:val="single"/>
              </w:rPr>
              <w:t>1Q 2017</w:t>
            </w:r>
          </w:p>
        </w:tc>
        <w:tc>
          <w:tcPr>
            <w:tcW w:w="2160" w:type="dxa"/>
          </w:tcPr>
          <w:p w:rsidR="005E40CB" w:rsidRPr="00CD3147" w:rsidRDefault="005E40CB" w:rsidP="00CD3147">
            <w:pPr>
              <w:jc w:val="right"/>
              <w:rPr>
                <w:rFonts w:ascii="Arial" w:hAnsi="Arial" w:cs="Arial"/>
                <w:b/>
                <w:sz w:val="20"/>
                <w:u w:val="single"/>
              </w:rPr>
            </w:pPr>
            <w:r w:rsidRPr="00CD3147">
              <w:rPr>
                <w:rFonts w:ascii="Arial" w:hAnsi="Arial" w:cs="Arial"/>
                <w:b/>
                <w:sz w:val="20"/>
                <w:szCs w:val="22"/>
                <w:u w:val="single"/>
              </w:rPr>
              <w:t>1Q 2016</w:t>
            </w:r>
          </w:p>
        </w:tc>
      </w:tr>
      <w:tr w:rsidR="005E40CB" w:rsidRPr="001E1EB6" w:rsidTr="00CD3147">
        <w:trPr>
          <w:jc w:val="center"/>
        </w:trPr>
        <w:tc>
          <w:tcPr>
            <w:tcW w:w="4608" w:type="dxa"/>
          </w:tcPr>
          <w:p w:rsidR="005E40CB" w:rsidRPr="00CD3147" w:rsidRDefault="005E40CB" w:rsidP="00CD3147">
            <w:pPr>
              <w:ind w:left="-108"/>
              <w:rPr>
                <w:rFonts w:ascii="Arial" w:hAnsi="Arial" w:cs="Arial"/>
                <w:sz w:val="20"/>
              </w:rPr>
            </w:pPr>
            <w:r w:rsidRPr="00CD3147">
              <w:rPr>
                <w:rFonts w:ascii="Arial" w:hAnsi="Arial" w:cs="Arial"/>
                <w:sz w:val="20"/>
                <w:szCs w:val="22"/>
              </w:rPr>
              <w:t>Revenue</w:t>
            </w:r>
          </w:p>
        </w:tc>
        <w:tc>
          <w:tcPr>
            <w:tcW w:w="1440" w:type="dxa"/>
          </w:tcPr>
          <w:p w:rsidR="005E40CB" w:rsidRPr="00CD3147" w:rsidRDefault="005E40CB" w:rsidP="00CD3147">
            <w:pPr>
              <w:jc w:val="right"/>
              <w:rPr>
                <w:rFonts w:ascii="Arial" w:hAnsi="Arial" w:cs="Arial"/>
                <w:sz w:val="20"/>
              </w:rPr>
            </w:pPr>
            <w:r w:rsidRPr="00CD3147">
              <w:rPr>
                <w:rFonts w:ascii="Arial" w:hAnsi="Arial" w:cs="Arial"/>
                <w:sz w:val="20"/>
                <w:szCs w:val="22"/>
              </w:rPr>
              <w:t>$9,535 M</w:t>
            </w:r>
          </w:p>
        </w:tc>
        <w:tc>
          <w:tcPr>
            <w:tcW w:w="2160" w:type="dxa"/>
          </w:tcPr>
          <w:p w:rsidR="005E40CB" w:rsidRPr="00CD3147" w:rsidRDefault="005E40CB" w:rsidP="00CD3147">
            <w:pPr>
              <w:jc w:val="right"/>
              <w:rPr>
                <w:rFonts w:ascii="Arial" w:hAnsi="Arial" w:cs="Arial"/>
                <w:sz w:val="20"/>
              </w:rPr>
            </w:pPr>
            <w:r w:rsidRPr="00CD3147">
              <w:rPr>
                <w:rFonts w:ascii="Arial" w:hAnsi="Arial" w:cs="Arial"/>
                <w:sz w:val="20"/>
                <w:szCs w:val="22"/>
              </w:rPr>
              <w:t>$9,084 M</w:t>
            </w:r>
          </w:p>
        </w:tc>
      </w:tr>
      <w:tr w:rsidR="005E40CB" w:rsidRPr="001E1EB6" w:rsidTr="00CD3147">
        <w:trPr>
          <w:jc w:val="center"/>
        </w:trPr>
        <w:tc>
          <w:tcPr>
            <w:tcW w:w="4608" w:type="dxa"/>
          </w:tcPr>
          <w:p w:rsidR="005E40CB" w:rsidRPr="00CD3147" w:rsidRDefault="005E40CB" w:rsidP="00CD3147">
            <w:pPr>
              <w:ind w:left="-108"/>
              <w:rPr>
                <w:rFonts w:ascii="Arial" w:hAnsi="Arial" w:cs="Arial"/>
                <w:sz w:val="20"/>
              </w:rPr>
            </w:pPr>
            <w:r w:rsidRPr="00CD3147">
              <w:rPr>
                <w:rFonts w:ascii="Arial" w:hAnsi="Arial" w:cs="Arial"/>
                <w:sz w:val="20"/>
                <w:szCs w:val="22"/>
              </w:rPr>
              <w:t>Operating profit</w:t>
            </w:r>
          </w:p>
        </w:tc>
        <w:tc>
          <w:tcPr>
            <w:tcW w:w="1440" w:type="dxa"/>
          </w:tcPr>
          <w:p w:rsidR="005E40CB" w:rsidRPr="00CD3147" w:rsidRDefault="005E40CB" w:rsidP="00CD3147">
            <w:pPr>
              <w:jc w:val="right"/>
              <w:rPr>
                <w:rFonts w:ascii="Arial" w:hAnsi="Arial" w:cs="Arial"/>
                <w:sz w:val="20"/>
              </w:rPr>
            </w:pPr>
            <w:r w:rsidRPr="00CD3147">
              <w:rPr>
                <w:rFonts w:ascii="Arial" w:hAnsi="Arial" w:cs="Arial"/>
                <w:sz w:val="20"/>
                <w:szCs w:val="22"/>
              </w:rPr>
              <w:t>$1,076 M</w:t>
            </w:r>
          </w:p>
        </w:tc>
        <w:tc>
          <w:tcPr>
            <w:tcW w:w="2160" w:type="dxa"/>
          </w:tcPr>
          <w:p w:rsidR="005E40CB" w:rsidRPr="00CD3147" w:rsidRDefault="005E40CB" w:rsidP="00CD3147">
            <w:pPr>
              <w:jc w:val="right"/>
              <w:rPr>
                <w:rFonts w:ascii="Arial" w:hAnsi="Arial" w:cs="Arial"/>
                <w:sz w:val="20"/>
              </w:rPr>
            </w:pPr>
            <w:r w:rsidRPr="00CD3147">
              <w:rPr>
                <w:rFonts w:ascii="Arial" w:hAnsi="Arial" w:cs="Arial"/>
                <w:sz w:val="20"/>
                <w:szCs w:val="22"/>
              </w:rPr>
              <w:t>$1,102 M</w:t>
            </w:r>
          </w:p>
        </w:tc>
      </w:tr>
    </w:tbl>
    <w:p w:rsidR="005E40CB" w:rsidRDefault="005E40CB" w:rsidP="000E624D">
      <w:pPr>
        <w:rPr>
          <w:rFonts w:ascii="Arial" w:hAnsi="Arial" w:cs="Arial"/>
          <w:sz w:val="22"/>
        </w:rPr>
      </w:pPr>
    </w:p>
    <w:p w:rsidR="005E40CB" w:rsidRDefault="005E40CB" w:rsidP="000E624D">
      <w:pPr>
        <w:rPr>
          <w:rFonts w:ascii="Arial" w:hAnsi="Arial" w:cs="Arial"/>
          <w:sz w:val="22"/>
        </w:rPr>
      </w:pPr>
      <w:r>
        <w:rPr>
          <w:rFonts w:ascii="Arial" w:hAnsi="Arial" w:cs="Arial"/>
          <w:sz w:val="22"/>
        </w:rPr>
        <w:t>For the U.S. Domestic segment in Q1 2017:</w:t>
      </w:r>
    </w:p>
    <w:p w:rsidR="005E40CB" w:rsidRPr="004F5D76" w:rsidRDefault="005E40CB" w:rsidP="00FB4FFD">
      <w:pPr>
        <w:pStyle w:val="ListParagraph"/>
        <w:numPr>
          <w:ilvl w:val="0"/>
          <w:numId w:val="37"/>
        </w:numPr>
        <w:ind w:left="360"/>
        <w:rPr>
          <w:rFonts w:ascii="Arial" w:hAnsi="Arial" w:cs="Arial"/>
          <w:sz w:val="22"/>
        </w:rPr>
      </w:pPr>
      <w:r w:rsidRPr="004F5D76">
        <w:rPr>
          <w:rFonts w:ascii="Arial" w:hAnsi="Arial" w:cs="Arial"/>
          <w:sz w:val="22"/>
        </w:rPr>
        <w:t>Revenue increased $</w:t>
      </w:r>
      <w:r>
        <w:rPr>
          <w:rFonts w:ascii="Arial" w:hAnsi="Arial" w:cs="Arial"/>
          <w:sz w:val="22"/>
        </w:rPr>
        <w:t>451</w:t>
      </w:r>
      <w:r w:rsidRPr="004F5D76">
        <w:rPr>
          <w:rFonts w:ascii="Arial" w:hAnsi="Arial" w:cs="Arial"/>
          <w:sz w:val="22"/>
        </w:rPr>
        <w:t xml:space="preserve"> million over </w:t>
      </w:r>
      <w:r>
        <w:rPr>
          <w:rFonts w:ascii="Arial" w:hAnsi="Arial" w:cs="Arial"/>
          <w:sz w:val="22"/>
        </w:rPr>
        <w:t>Q1 2016 as B2C deliveries rose</w:t>
      </w:r>
      <w:r w:rsidRPr="004F5D76">
        <w:rPr>
          <w:rFonts w:ascii="Arial" w:hAnsi="Arial" w:cs="Arial"/>
          <w:sz w:val="22"/>
        </w:rPr>
        <w:t>.</w:t>
      </w:r>
    </w:p>
    <w:p w:rsidR="005E40CB" w:rsidRPr="00EF4A6C" w:rsidRDefault="005E40CB" w:rsidP="00594B24">
      <w:pPr>
        <w:pStyle w:val="ListParagraph"/>
        <w:numPr>
          <w:ilvl w:val="0"/>
          <w:numId w:val="37"/>
        </w:numPr>
        <w:ind w:left="360"/>
        <w:rPr>
          <w:rFonts w:ascii="Arial" w:hAnsi="Arial" w:cs="Arial"/>
          <w:sz w:val="22"/>
        </w:rPr>
      </w:pPr>
      <w:r w:rsidRPr="00EF4A6C">
        <w:rPr>
          <w:rFonts w:ascii="Arial" w:hAnsi="Arial" w:cs="Arial"/>
          <w:sz w:val="22"/>
        </w:rPr>
        <w:t>Revenue per piece increased across all products, up 2.4% in total, as the company benefitted from previously implemented base rate pricing actions.</w:t>
      </w:r>
    </w:p>
    <w:p w:rsidR="005E40CB" w:rsidRPr="00EF4A6C" w:rsidRDefault="005E40CB" w:rsidP="00D12477">
      <w:pPr>
        <w:pStyle w:val="ListParagraph"/>
        <w:numPr>
          <w:ilvl w:val="0"/>
          <w:numId w:val="37"/>
        </w:numPr>
        <w:ind w:left="360"/>
        <w:rPr>
          <w:rFonts w:ascii="Arial" w:hAnsi="Arial" w:cs="Arial"/>
          <w:sz w:val="22"/>
        </w:rPr>
      </w:pPr>
      <w:r w:rsidRPr="00EF4A6C">
        <w:rPr>
          <w:rFonts w:ascii="Arial" w:hAnsi="Arial" w:cs="Arial"/>
          <w:sz w:val="22"/>
        </w:rPr>
        <w:t>Next Day Air and Deferred Air shipments were up 3.9% and 4.1% respectively, as consumers continue to select UPS’s quick and convenient solutions.</w:t>
      </w:r>
    </w:p>
    <w:p w:rsidR="005E40CB" w:rsidRPr="00EF4A6C" w:rsidRDefault="005E40CB" w:rsidP="00594B24">
      <w:pPr>
        <w:pStyle w:val="ListParagraph"/>
        <w:numPr>
          <w:ilvl w:val="0"/>
          <w:numId w:val="37"/>
        </w:numPr>
        <w:ind w:left="360"/>
        <w:rPr>
          <w:rFonts w:ascii="Arial" w:hAnsi="Arial" w:cs="Arial"/>
          <w:sz w:val="22"/>
        </w:rPr>
      </w:pPr>
      <w:r w:rsidRPr="00EF4A6C">
        <w:rPr>
          <w:rFonts w:ascii="Arial" w:hAnsi="Arial" w:cs="Arial"/>
          <w:sz w:val="22"/>
        </w:rPr>
        <w:t xml:space="preserve">Construction is now underway on 17 major facility projects (over 5 million square feet) to create capacity and efficiency to </w:t>
      </w:r>
      <w:r>
        <w:rPr>
          <w:rFonts w:ascii="Arial" w:hAnsi="Arial" w:cs="Arial"/>
          <w:sz w:val="22"/>
        </w:rPr>
        <w:t>support</w:t>
      </w:r>
      <w:r w:rsidRPr="00EF4A6C">
        <w:rPr>
          <w:rFonts w:ascii="Arial" w:hAnsi="Arial" w:cs="Arial"/>
          <w:sz w:val="22"/>
        </w:rPr>
        <w:t xml:space="preserve"> further B2B and B2C growth. </w:t>
      </w:r>
    </w:p>
    <w:p w:rsidR="005E40CB" w:rsidRPr="00EF4A6C" w:rsidRDefault="005E40CB" w:rsidP="00594B24">
      <w:pPr>
        <w:pStyle w:val="ListParagraph"/>
        <w:numPr>
          <w:ilvl w:val="0"/>
          <w:numId w:val="37"/>
        </w:numPr>
        <w:ind w:left="360"/>
        <w:rPr>
          <w:rFonts w:ascii="Arial" w:hAnsi="Arial" w:cs="Arial"/>
          <w:sz w:val="22"/>
        </w:rPr>
      </w:pPr>
      <w:r w:rsidRPr="00EF4A6C">
        <w:rPr>
          <w:rFonts w:ascii="Arial" w:hAnsi="Arial" w:cs="Arial"/>
          <w:sz w:val="22"/>
        </w:rPr>
        <w:t>The UPS portfolio expanded through an initiative to pick-up and deliver Ground products on Saturday in 15 major metropolitan areas during the quarter. This begins the rapid deployment to more than 4,700 cities by the peak holiday season in 2017.</w:t>
      </w:r>
    </w:p>
    <w:p w:rsidR="005E40CB" w:rsidRPr="00566F1A" w:rsidRDefault="005E40CB" w:rsidP="00350F88">
      <w:pPr>
        <w:pStyle w:val="ListParagraph"/>
        <w:numPr>
          <w:ilvl w:val="0"/>
          <w:numId w:val="37"/>
        </w:numPr>
        <w:ind w:left="360"/>
        <w:rPr>
          <w:rFonts w:ascii="Arial" w:hAnsi="Arial" w:cs="Arial"/>
          <w:sz w:val="22"/>
        </w:rPr>
      </w:pPr>
      <w:r w:rsidRPr="00016A51">
        <w:rPr>
          <w:rFonts w:ascii="Arial" w:hAnsi="Arial" w:cs="Arial"/>
          <w:sz w:val="22"/>
        </w:rPr>
        <w:t xml:space="preserve">Operating costs for facility construction and </w:t>
      </w:r>
      <w:r w:rsidRPr="005B78BB">
        <w:rPr>
          <w:rFonts w:ascii="Arial" w:hAnsi="Arial" w:cs="Arial"/>
          <w:sz w:val="22"/>
        </w:rPr>
        <w:t>Saturday</w:t>
      </w:r>
      <w:r w:rsidRPr="00016A51">
        <w:rPr>
          <w:rFonts w:ascii="Arial" w:hAnsi="Arial" w:cs="Arial"/>
          <w:sz w:val="22"/>
        </w:rPr>
        <w:t xml:space="preserve"> </w:t>
      </w:r>
      <w:r w:rsidRPr="005B78BB">
        <w:rPr>
          <w:rFonts w:ascii="Arial" w:hAnsi="Arial" w:cs="Arial"/>
          <w:sz w:val="22"/>
        </w:rPr>
        <w:t>initiative increased operating costs by approximately $35 million during the quarter.</w:t>
      </w:r>
    </w:p>
    <w:p w:rsidR="005E40CB" w:rsidRPr="005B78BB" w:rsidRDefault="005E40CB" w:rsidP="00350F88">
      <w:pPr>
        <w:pStyle w:val="ListParagraph"/>
        <w:numPr>
          <w:ilvl w:val="0"/>
          <w:numId w:val="37"/>
        </w:numPr>
        <w:ind w:left="360"/>
        <w:rPr>
          <w:rFonts w:ascii="Arial" w:hAnsi="Arial" w:cs="Arial"/>
          <w:sz w:val="22"/>
        </w:rPr>
      </w:pPr>
      <w:r w:rsidRPr="00566F1A">
        <w:rPr>
          <w:rFonts w:ascii="Arial" w:hAnsi="Arial" w:cs="Arial"/>
          <w:sz w:val="22"/>
        </w:rPr>
        <w:t>Headwinds from the f</w:t>
      </w:r>
      <w:r w:rsidRPr="00016A51">
        <w:rPr>
          <w:rFonts w:ascii="Arial" w:hAnsi="Arial" w:cs="Arial"/>
          <w:sz w:val="22"/>
        </w:rPr>
        <w:t>uel surcharge lag</w:t>
      </w:r>
      <w:r>
        <w:rPr>
          <w:rFonts w:ascii="Arial" w:hAnsi="Arial" w:cs="Arial"/>
          <w:sz w:val="22"/>
        </w:rPr>
        <w:t xml:space="preserve">, some unusual weather and a facility fire </w:t>
      </w:r>
      <w:r w:rsidRPr="00016A51">
        <w:rPr>
          <w:rFonts w:ascii="Arial" w:hAnsi="Arial" w:cs="Arial"/>
          <w:sz w:val="22"/>
        </w:rPr>
        <w:t xml:space="preserve">totaled </w:t>
      </w:r>
      <w:r w:rsidRPr="00566F1A">
        <w:rPr>
          <w:rFonts w:ascii="Arial" w:hAnsi="Arial" w:cs="Arial"/>
          <w:sz w:val="22"/>
        </w:rPr>
        <w:t>about</w:t>
      </w:r>
      <w:r w:rsidRPr="00016A51">
        <w:rPr>
          <w:rFonts w:ascii="Arial" w:hAnsi="Arial" w:cs="Arial"/>
          <w:sz w:val="22"/>
        </w:rPr>
        <w:t xml:space="preserve"> $</w:t>
      </w:r>
      <w:r w:rsidRPr="005B78BB">
        <w:rPr>
          <w:rFonts w:ascii="Arial" w:hAnsi="Arial" w:cs="Arial"/>
          <w:sz w:val="22"/>
        </w:rPr>
        <w:t>50</w:t>
      </w:r>
      <w:r w:rsidRPr="00016A51">
        <w:rPr>
          <w:rFonts w:ascii="Arial" w:hAnsi="Arial" w:cs="Arial"/>
          <w:sz w:val="22"/>
        </w:rPr>
        <w:t xml:space="preserve"> million </w:t>
      </w:r>
      <w:r>
        <w:rPr>
          <w:rFonts w:ascii="Arial" w:hAnsi="Arial" w:cs="Arial"/>
          <w:sz w:val="22"/>
        </w:rPr>
        <w:t xml:space="preserve">in one-time costs </w:t>
      </w:r>
      <w:r w:rsidRPr="00016A51">
        <w:rPr>
          <w:rFonts w:ascii="Arial" w:hAnsi="Arial" w:cs="Arial"/>
          <w:sz w:val="22"/>
        </w:rPr>
        <w:t xml:space="preserve">this quarter. </w:t>
      </w:r>
      <w:r w:rsidRPr="005B78BB">
        <w:rPr>
          <w:rFonts w:ascii="Arial" w:hAnsi="Arial" w:cs="Arial"/>
          <w:sz w:val="22"/>
        </w:rPr>
        <w:t xml:space="preserve"> </w:t>
      </w:r>
    </w:p>
    <w:p w:rsidR="005E40CB" w:rsidRDefault="005E40CB" w:rsidP="00827F59">
      <w:pPr>
        <w:rPr>
          <w:rFonts w:ascii="Arial" w:hAnsi="Arial" w:cs="Arial"/>
          <w:sz w:val="20"/>
          <w:szCs w:val="20"/>
        </w:rPr>
      </w:pPr>
    </w:p>
    <w:p w:rsidR="005E40CB" w:rsidRDefault="005E40CB" w:rsidP="00827F59">
      <w:pPr>
        <w:rPr>
          <w:rFonts w:ascii="Arial" w:hAnsi="Arial" w:cs="Arial"/>
          <w:sz w:val="20"/>
          <w:szCs w:val="20"/>
        </w:rPr>
      </w:pPr>
    </w:p>
    <w:p w:rsidR="005E40CB" w:rsidRPr="004914AA" w:rsidRDefault="005E40CB" w:rsidP="00D12477">
      <w:pPr>
        <w:rPr>
          <w:rFonts w:ascii="Arial" w:hAnsi="Arial" w:cs="Arial"/>
          <w:b/>
          <w:sz w:val="22"/>
          <w:szCs w:val="20"/>
          <w:u w:val="single"/>
        </w:rPr>
      </w:pPr>
      <w:r w:rsidRPr="004914AA">
        <w:rPr>
          <w:rFonts w:ascii="Arial" w:hAnsi="Arial" w:cs="Arial"/>
          <w:b/>
          <w:sz w:val="22"/>
          <w:szCs w:val="20"/>
          <w:u w:val="single"/>
        </w:rPr>
        <w:t>International Operating Segment</w:t>
      </w:r>
    </w:p>
    <w:p w:rsidR="005E40CB" w:rsidRDefault="005E40CB" w:rsidP="00D12477">
      <w:pPr>
        <w:rPr>
          <w:rFonts w:ascii="Arial" w:hAnsi="Arial" w:cs="Arial"/>
          <w:sz w:val="20"/>
          <w:szCs w:val="20"/>
        </w:rPr>
      </w:pPr>
    </w:p>
    <w:p w:rsidR="005E40CB" w:rsidRDefault="005E40CB" w:rsidP="00D12477">
      <w:pPr>
        <w:rPr>
          <w:rFonts w:ascii="Arial" w:hAnsi="Arial" w:cs="Arial"/>
          <w:sz w:val="22"/>
          <w:szCs w:val="20"/>
        </w:rPr>
      </w:pPr>
      <w:r>
        <w:rPr>
          <w:rFonts w:ascii="Arial" w:hAnsi="Arial" w:cs="Arial"/>
          <w:sz w:val="22"/>
          <w:szCs w:val="20"/>
        </w:rPr>
        <w:t>“</w:t>
      </w:r>
      <w:r w:rsidRPr="004914AA">
        <w:rPr>
          <w:rFonts w:ascii="Arial" w:hAnsi="Arial" w:cs="Arial"/>
          <w:sz w:val="22"/>
          <w:szCs w:val="20"/>
        </w:rPr>
        <w:t xml:space="preserve">The UPS International </w:t>
      </w:r>
      <w:r>
        <w:rPr>
          <w:rFonts w:ascii="Arial" w:hAnsi="Arial" w:cs="Arial"/>
          <w:sz w:val="22"/>
          <w:szCs w:val="20"/>
        </w:rPr>
        <w:t>s</w:t>
      </w:r>
      <w:r w:rsidRPr="004914AA">
        <w:rPr>
          <w:rFonts w:ascii="Arial" w:hAnsi="Arial" w:cs="Arial"/>
          <w:sz w:val="22"/>
          <w:szCs w:val="20"/>
        </w:rPr>
        <w:t>egme</w:t>
      </w:r>
      <w:r>
        <w:rPr>
          <w:rFonts w:ascii="Arial" w:hAnsi="Arial" w:cs="Arial"/>
          <w:sz w:val="22"/>
          <w:szCs w:val="20"/>
        </w:rPr>
        <w:t>nt continues to show excellent</w:t>
      </w:r>
      <w:r w:rsidRPr="004914AA">
        <w:rPr>
          <w:rFonts w:ascii="Arial" w:hAnsi="Arial" w:cs="Arial"/>
          <w:sz w:val="22"/>
          <w:szCs w:val="20"/>
        </w:rPr>
        <w:t xml:space="preserve"> operat</w:t>
      </w:r>
      <w:r>
        <w:rPr>
          <w:rFonts w:ascii="Arial" w:hAnsi="Arial" w:cs="Arial"/>
          <w:sz w:val="22"/>
          <w:szCs w:val="20"/>
        </w:rPr>
        <w:t xml:space="preserve">ing fundamentals and consistent quarterly improvement,” continued Abney.  </w:t>
      </w:r>
    </w:p>
    <w:p w:rsidR="005E40CB" w:rsidRDefault="005E40CB" w:rsidP="00D12477">
      <w:pPr>
        <w:rPr>
          <w:rFonts w:ascii="Arial" w:hAnsi="Arial" w:cs="Arial"/>
          <w:sz w:val="22"/>
          <w:szCs w:val="20"/>
        </w:rPr>
      </w:pPr>
    </w:p>
    <w:p w:rsidR="005E40CB" w:rsidRDefault="005E40CB" w:rsidP="00D12477">
      <w:pPr>
        <w:rPr>
          <w:rFonts w:ascii="Arial" w:hAnsi="Arial" w:cs="Arial"/>
          <w:sz w:val="22"/>
          <w:szCs w:val="20"/>
        </w:rPr>
      </w:pPr>
      <w:r>
        <w:rPr>
          <w:rFonts w:ascii="Arial" w:hAnsi="Arial" w:cs="Arial"/>
          <w:sz w:val="22"/>
          <w:szCs w:val="20"/>
        </w:rPr>
        <w:t xml:space="preserve">The </w:t>
      </w:r>
      <w:r w:rsidRPr="004914AA">
        <w:rPr>
          <w:rFonts w:ascii="Arial" w:hAnsi="Arial" w:cs="Arial"/>
          <w:sz w:val="22"/>
          <w:szCs w:val="20"/>
        </w:rPr>
        <w:t>I</w:t>
      </w:r>
      <w:r>
        <w:rPr>
          <w:rFonts w:ascii="Arial" w:hAnsi="Arial" w:cs="Arial"/>
          <w:sz w:val="22"/>
          <w:szCs w:val="20"/>
        </w:rPr>
        <w:t xml:space="preserve">nternational segment generated strong </w:t>
      </w:r>
      <w:r w:rsidRPr="004914AA">
        <w:rPr>
          <w:rFonts w:ascii="Arial" w:hAnsi="Arial" w:cs="Arial"/>
          <w:sz w:val="22"/>
          <w:szCs w:val="20"/>
        </w:rPr>
        <w:t>topline</w:t>
      </w:r>
      <w:r>
        <w:rPr>
          <w:rFonts w:ascii="Arial" w:hAnsi="Arial" w:cs="Arial"/>
          <w:sz w:val="22"/>
          <w:szCs w:val="20"/>
        </w:rPr>
        <w:t xml:space="preserve"> growth</w:t>
      </w:r>
      <w:r w:rsidRPr="004914AA">
        <w:rPr>
          <w:rFonts w:ascii="Arial" w:hAnsi="Arial" w:cs="Arial"/>
          <w:sz w:val="22"/>
          <w:szCs w:val="20"/>
        </w:rPr>
        <w:t xml:space="preserve"> </w:t>
      </w:r>
      <w:r>
        <w:rPr>
          <w:rFonts w:ascii="Arial" w:hAnsi="Arial" w:cs="Arial"/>
          <w:sz w:val="22"/>
          <w:szCs w:val="20"/>
        </w:rPr>
        <w:t>with increased</w:t>
      </w:r>
      <w:r w:rsidRPr="004914AA">
        <w:rPr>
          <w:rFonts w:ascii="Arial" w:hAnsi="Arial" w:cs="Arial"/>
          <w:sz w:val="22"/>
          <w:szCs w:val="20"/>
        </w:rPr>
        <w:t xml:space="preserve"> demand for cross-border shipments.</w:t>
      </w:r>
      <w:r>
        <w:rPr>
          <w:rFonts w:ascii="Arial" w:hAnsi="Arial" w:cs="Arial"/>
          <w:sz w:val="22"/>
          <w:szCs w:val="20"/>
        </w:rPr>
        <w:t xml:space="preserve"> Export shipment growth was strong across all UPS regions, as customers took advantage of our expanded portfolio and</w:t>
      </w:r>
      <w:r w:rsidRPr="004914AA">
        <w:rPr>
          <w:rFonts w:ascii="Arial" w:hAnsi="Arial" w:cs="Arial"/>
          <w:sz w:val="22"/>
          <w:szCs w:val="20"/>
        </w:rPr>
        <w:t xml:space="preserve"> industry-leadi</w:t>
      </w:r>
      <w:r>
        <w:rPr>
          <w:rFonts w:ascii="Arial" w:hAnsi="Arial" w:cs="Arial"/>
          <w:sz w:val="22"/>
          <w:szCs w:val="20"/>
        </w:rPr>
        <w:t>ng customs brokerage solutions.</w:t>
      </w:r>
    </w:p>
    <w:p w:rsidR="005E40CB" w:rsidRDefault="005E40CB" w:rsidP="00D12477">
      <w:pPr>
        <w:rPr>
          <w:rFonts w:ascii="Arial" w:hAnsi="Arial" w:cs="Arial"/>
          <w:sz w:val="22"/>
          <w:szCs w:val="20"/>
        </w:rPr>
      </w:pPr>
    </w:p>
    <w:tbl>
      <w:tblPr>
        <w:tblW w:w="8208" w:type="dxa"/>
        <w:jc w:val="center"/>
        <w:tblLook w:val="00A0" w:firstRow="1" w:lastRow="0" w:firstColumn="1" w:lastColumn="0" w:noHBand="0" w:noVBand="0"/>
      </w:tblPr>
      <w:tblGrid>
        <w:gridCol w:w="4608"/>
        <w:gridCol w:w="1440"/>
        <w:gridCol w:w="2160"/>
      </w:tblGrid>
      <w:tr w:rsidR="005E40CB" w:rsidRPr="001E1EB6" w:rsidTr="00CD3147">
        <w:trPr>
          <w:jc w:val="center"/>
        </w:trPr>
        <w:tc>
          <w:tcPr>
            <w:tcW w:w="4608" w:type="dxa"/>
          </w:tcPr>
          <w:p w:rsidR="005E40CB" w:rsidRPr="00CD3147" w:rsidRDefault="005E40CB" w:rsidP="00CD3147">
            <w:pPr>
              <w:ind w:left="432" w:firstLine="72"/>
              <w:rPr>
                <w:rFonts w:ascii="Arial" w:hAnsi="Arial" w:cs="Arial"/>
                <w:b/>
                <w:sz w:val="20"/>
                <w:u w:val="single"/>
              </w:rPr>
            </w:pPr>
          </w:p>
        </w:tc>
        <w:tc>
          <w:tcPr>
            <w:tcW w:w="1440" w:type="dxa"/>
          </w:tcPr>
          <w:p w:rsidR="005E40CB" w:rsidRPr="00CD3147" w:rsidRDefault="005E40CB" w:rsidP="00CD3147">
            <w:pPr>
              <w:jc w:val="right"/>
              <w:rPr>
                <w:rFonts w:ascii="Arial" w:hAnsi="Arial" w:cs="Arial"/>
                <w:b/>
                <w:sz w:val="20"/>
                <w:u w:val="single"/>
              </w:rPr>
            </w:pPr>
            <w:r w:rsidRPr="00CD3147">
              <w:rPr>
                <w:rFonts w:ascii="Arial" w:hAnsi="Arial" w:cs="Arial"/>
                <w:b/>
                <w:sz w:val="20"/>
                <w:szCs w:val="22"/>
                <w:u w:val="single"/>
              </w:rPr>
              <w:t>1Q 2017</w:t>
            </w:r>
          </w:p>
        </w:tc>
        <w:tc>
          <w:tcPr>
            <w:tcW w:w="2160" w:type="dxa"/>
          </w:tcPr>
          <w:p w:rsidR="005E40CB" w:rsidRPr="00CD3147" w:rsidRDefault="005E40CB" w:rsidP="00CD3147">
            <w:pPr>
              <w:jc w:val="right"/>
              <w:rPr>
                <w:rFonts w:ascii="Arial" w:hAnsi="Arial" w:cs="Arial"/>
                <w:b/>
                <w:sz w:val="20"/>
                <w:u w:val="single"/>
              </w:rPr>
            </w:pPr>
            <w:r w:rsidRPr="00CD3147">
              <w:rPr>
                <w:rFonts w:ascii="Arial" w:hAnsi="Arial" w:cs="Arial"/>
                <w:b/>
                <w:sz w:val="20"/>
                <w:szCs w:val="22"/>
                <w:u w:val="single"/>
              </w:rPr>
              <w:t>1Q 2016</w:t>
            </w:r>
          </w:p>
        </w:tc>
      </w:tr>
      <w:tr w:rsidR="005E40CB" w:rsidRPr="001E1EB6" w:rsidTr="00CD3147">
        <w:trPr>
          <w:jc w:val="center"/>
        </w:trPr>
        <w:tc>
          <w:tcPr>
            <w:tcW w:w="4608" w:type="dxa"/>
          </w:tcPr>
          <w:p w:rsidR="005E40CB" w:rsidRPr="00CD3147" w:rsidRDefault="005E40CB" w:rsidP="00566F1A">
            <w:pPr>
              <w:rPr>
                <w:rFonts w:ascii="Arial" w:hAnsi="Arial" w:cs="Arial"/>
                <w:sz w:val="20"/>
              </w:rPr>
            </w:pPr>
            <w:r w:rsidRPr="00CD3147">
              <w:rPr>
                <w:rFonts w:ascii="Arial" w:hAnsi="Arial" w:cs="Arial"/>
                <w:sz w:val="20"/>
                <w:szCs w:val="22"/>
              </w:rPr>
              <w:t>Revenue</w:t>
            </w:r>
          </w:p>
        </w:tc>
        <w:tc>
          <w:tcPr>
            <w:tcW w:w="1440" w:type="dxa"/>
          </w:tcPr>
          <w:p w:rsidR="005E40CB" w:rsidRPr="00CD3147" w:rsidRDefault="005E40CB" w:rsidP="00CD3147">
            <w:pPr>
              <w:jc w:val="right"/>
              <w:rPr>
                <w:rFonts w:ascii="Arial" w:hAnsi="Arial" w:cs="Arial"/>
                <w:sz w:val="20"/>
              </w:rPr>
            </w:pPr>
            <w:r w:rsidRPr="00CD3147">
              <w:rPr>
                <w:rFonts w:ascii="Arial" w:hAnsi="Arial" w:cs="Arial"/>
                <w:sz w:val="20"/>
                <w:szCs w:val="22"/>
              </w:rPr>
              <w:t>$3,058 M</w:t>
            </w:r>
          </w:p>
        </w:tc>
        <w:tc>
          <w:tcPr>
            <w:tcW w:w="2160" w:type="dxa"/>
          </w:tcPr>
          <w:p w:rsidR="005E40CB" w:rsidRPr="00CD3147" w:rsidRDefault="005E40CB" w:rsidP="00CD3147">
            <w:pPr>
              <w:jc w:val="right"/>
              <w:rPr>
                <w:rFonts w:ascii="Arial" w:hAnsi="Arial" w:cs="Arial"/>
                <w:sz w:val="20"/>
              </w:rPr>
            </w:pPr>
            <w:r w:rsidRPr="00CD3147">
              <w:rPr>
                <w:rFonts w:ascii="Arial" w:hAnsi="Arial" w:cs="Arial"/>
                <w:sz w:val="20"/>
                <w:szCs w:val="22"/>
              </w:rPr>
              <w:t>$2,914 M</w:t>
            </w:r>
          </w:p>
        </w:tc>
      </w:tr>
      <w:tr w:rsidR="005E40CB" w:rsidRPr="001E1EB6" w:rsidTr="00CD3147">
        <w:trPr>
          <w:jc w:val="center"/>
        </w:trPr>
        <w:tc>
          <w:tcPr>
            <w:tcW w:w="4608" w:type="dxa"/>
          </w:tcPr>
          <w:p w:rsidR="005E40CB" w:rsidRPr="00CD3147" w:rsidRDefault="005E40CB" w:rsidP="00566F1A">
            <w:pPr>
              <w:rPr>
                <w:rFonts w:ascii="Arial" w:hAnsi="Arial" w:cs="Arial"/>
                <w:sz w:val="20"/>
              </w:rPr>
            </w:pPr>
            <w:r w:rsidRPr="00CD3147">
              <w:rPr>
                <w:rFonts w:ascii="Arial" w:hAnsi="Arial" w:cs="Arial"/>
                <w:sz w:val="20"/>
                <w:szCs w:val="22"/>
              </w:rPr>
              <w:t>Operating profit</w:t>
            </w:r>
          </w:p>
        </w:tc>
        <w:tc>
          <w:tcPr>
            <w:tcW w:w="1440" w:type="dxa"/>
          </w:tcPr>
          <w:p w:rsidR="005E40CB" w:rsidRPr="00CD3147" w:rsidRDefault="005E40CB" w:rsidP="00CD3147">
            <w:pPr>
              <w:jc w:val="right"/>
              <w:rPr>
                <w:rFonts w:ascii="Arial" w:hAnsi="Arial" w:cs="Arial"/>
                <w:sz w:val="20"/>
              </w:rPr>
            </w:pPr>
            <w:r w:rsidRPr="00CD3147">
              <w:rPr>
                <w:rFonts w:ascii="Arial" w:hAnsi="Arial" w:cs="Arial"/>
                <w:sz w:val="20"/>
                <w:szCs w:val="22"/>
              </w:rPr>
              <w:t>$529 M</w:t>
            </w:r>
          </w:p>
        </w:tc>
        <w:tc>
          <w:tcPr>
            <w:tcW w:w="2160" w:type="dxa"/>
          </w:tcPr>
          <w:p w:rsidR="005E40CB" w:rsidRPr="00CD3147" w:rsidRDefault="005E40CB" w:rsidP="00CD3147">
            <w:pPr>
              <w:jc w:val="right"/>
              <w:rPr>
                <w:rFonts w:ascii="Arial" w:hAnsi="Arial" w:cs="Arial"/>
                <w:sz w:val="20"/>
              </w:rPr>
            </w:pPr>
            <w:r w:rsidRPr="00CD3147">
              <w:rPr>
                <w:rFonts w:ascii="Arial" w:hAnsi="Arial" w:cs="Arial"/>
                <w:sz w:val="20"/>
                <w:szCs w:val="22"/>
              </w:rPr>
              <w:t>$574 M</w:t>
            </w:r>
          </w:p>
        </w:tc>
      </w:tr>
      <w:tr w:rsidR="005E40CB" w:rsidRPr="001E1EB6" w:rsidTr="00CD3147">
        <w:trPr>
          <w:jc w:val="center"/>
        </w:trPr>
        <w:tc>
          <w:tcPr>
            <w:tcW w:w="4608" w:type="dxa"/>
          </w:tcPr>
          <w:p w:rsidR="005E40CB" w:rsidRPr="00CD3147" w:rsidRDefault="005E40CB">
            <w:pPr>
              <w:rPr>
                <w:rFonts w:ascii="Arial" w:hAnsi="Arial" w:cs="Arial"/>
                <w:sz w:val="20"/>
              </w:rPr>
            </w:pPr>
            <w:r w:rsidRPr="00CD3147">
              <w:rPr>
                <w:rFonts w:ascii="Arial" w:hAnsi="Arial" w:cs="Arial"/>
                <w:sz w:val="20"/>
                <w:szCs w:val="22"/>
              </w:rPr>
              <w:t>Currency-neutral operating profit*</w:t>
            </w:r>
          </w:p>
        </w:tc>
        <w:tc>
          <w:tcPr>
            <w:tcW w:w="1440" w:type="dxa"/>
          </w:tcPr>
          <w:p w:rsidR="005E40CB" w:rsidRPr="00CD3147" w:rsidRDefault="005E40CB" w:rsidP="00CD3147">
            <w:pPr>
              <w:jc w:val="right"/>
              <w:rPr>
                <w:rFonts w:ascii="Arial" w:hAnsi="Arial" w:cs="Arial"/>
                <w:sz w:val="20"/>
              </w:rPr>
            </w:pPr>
            <w:r w:rsidRPr="00CD3147">
              <w:rPr>
                <w:rFonts w:ascii="Arial" w:hAnsi="Arial" w:cs="Arial"/>
                <w:sz w:val="20"/>
                <w:szCs w:val="22"/>
              </w:rPr>
              <w:t>$648 M</w:t>
            </w:r>
          </w:p>
        </w:tc>
        <w:tc>
          <w:tcPr>
            <w:tcW w:w="2160" w:type="dxa"/>
          </w:tcPr>
          <w:p w:rsidR="005E40CB" w:rsidRPr="00CD3147" w:rsidRDefault="005E40CB" w:rsidP="00CD3147">
            <w:pPr>
              <w:jc w:val="right"/>
              <w:rPr>
                <w:rFonts w:ascii="Arial" w:hAnsi="Arial" w:cs="Arial"/>
                <w:sz w:val="20"/>
              </w:rPr>
            </w:pPr>
          </w:p>
        </w:tc>
      </w:tr>
    </w:tbl>
    <w:p w:rsidR="005E40CB" w:rsidRDefault="005E40CB" w:rsidP="00512620">
      <w:pPr>
        <w:ind w:left="720" w:hanging="720"/>
        <w:rPr>
          <w:rFonts w:ascii="Arial" w:hAnsi="Arial" w:cs="Arial"/>
          <w:szCs w:val="22"/>
        </w:rPr>
      </w:pPr>
    </w:p>
    <w:p w:rsidR="005E40CB" w:rsidRPr="005B78BB" w:rsidRDefault="005E40CB" w:rsidP="00512620">
      <w:pPr>
        <w:ind w:left="720" w:hanging="720"/>
        <w:rPr>
          <w:rFonts w:ascii="Arial" w:hAnsi="Arial" w:cs="Arial"/>
          <w:szCs w:val="22"/>
        </w:rPr>
      </w:pPr>
      <w:r w:rsidRPr="00016A51">
        <w:rPr>
          <w:rFonts w:ascii="Arial" w:hAnsi="Arial" w:cs="Arial"/>
          <w:sz w:val="22"/>
          <w:szCs w:val="22"/>
        </w:rPr>
        <w:t xml:space="preserve">For the International Operating </w:t>
      </w:r>
      <w:r w:rsidRPr="005B78BB">
        <w:rPr>
          <w:rFonts w:ascii="Arial" w:hAnsi="Arial" w:cs="Arial"/>
          <w:sz w:val="22"/>
          <w:szCs w:val="22"/>
        </w:rPr>
        <w:t>segment in Q1 2017</w:t>
      </w:r>
      <w:r w:rsidRPr="005B78BB">
        <w:rPr>
          <w:rFonts w:ascii="Arial" w:hAnsi="Arial" w:cs="Arial"/>
          <w:szCs w:val="22"/>
        </w:rPr>
        <w:t>:</w:t>
      </w:r>
    </w:p>
    <w:p w:rsidR="005E40CB" w:rsidRPr="005B78BB" w:rsidRDefault="005E40CB" w:rsidP="00707A94">
      <w:pPr>
        <w:pStyle w:val="ListParagraph"/>
        <w:numPr>
          <w:ilvl w:val="0"/>
          <w:numId w:val="37"/>
        </w:numPr>
        <w:ind w:left="360"/>
        <w:rPr>
          <w:rFonts w:ascii="Arial" w:hAnsi="Arial" w:cs="Arial"/>
          <w:sz w:val="22"/>
        </w:rPr>
      </w:pPr>
      <w:r w:rsidRPr="005B78BB">
        <w:rPr>
          <w:rFonts w:ascii="Arial" w:hAnsi="Arial" w:cs="Arial"/>
          <w:sz w:val="22"/>
        </w:rPr>
        <w:t>Operating margin was strong at 17.3%, despite the impact of unfavorable currency.</w:t>
      </w:r>
    </w:p>
    <w:p w:rsidR="005E40CB" w:rsidRPr="005B78BB" w:rsidRDefault="005E40CB" w:rsidP="005B78BB">
      <w:pPr>
        <w:pStyle w:val="ListParagraph"/>
        <w:numPr>
          <w:ilvl w:val="0"/>
          <w:numId w:val="37"/>
        </w:numPr>
        <w:ind w:left="360"/>
        <w:rPr>
          <w:rFonts w:ascii="Arial" w:hAnsi="Arial" w:cs="Arial"/>
          <w:sz w:val="22"/>
        </w:rPr>
      </w:pPr>
      <w:r w:rsidRPr="005B78BB">
        <w:rPr>
          <w:rFonts w:ascii="Arial" w:hAnsi="Arial" w:cs="Arial"/>
          <w:sz w:val="22"/>
        </w:rPr>
        <w:t xml:space="preserve">Currency was a drag of $119 million this quarter, full-year impact expected to be </w:t>
      </w:r>
      <w:r>
        <w:rPr>
          <w:rFonts w:ascii="Arial" w:hAnsi="Arial" w:cs="Arial"/>
          <w:sz w:val="22"/>
        </w:rPr>
        <w:t>more than</w:t>
      </w:r>
      <w:r w:rsidRPr="00016A51">
        <w:rPr>
          <w:rFonts w:ascii="Arial" w:hAnsi="Arial" w:cs="Arial"/>
          <w:sz w:val="22"/>
        </w:rPr>
        <w:t xml:space="preserve"> $400 million. </w:t>
      </w:r>
    </w:p>
    <w:p w:rsidR="005E40CB" w:rsidRDefault="005E40CB" w:rsidP="005B78BB">
      <w:pPr>
        <w:pStyle w:val="ListParagraph"/>
        <w:numPr>
          <w:ilvl w:val="0"/>
          <w:numId w:val="37"/>
        </w:numPr>
        <w:ind w:left="360"/>
        <w:rPr>
          <w:rFonts w:ascii="Arial" w:hAnsi="Arial" w:cs="Arial"/>
          <w:sz w:val="22"/>
        </w:rPr>
      </w:pPr>
      <w:r w:rsidRPr="00436410">
        <w:rPr>
          <w:rFonts w:ascii="Arial" w:hAnsi="Arial" w:cs="Arial"/>
          <w:sz w:val="22"/>
        </w:rPr>
        <w:t xml:space="preserve">The </w:t>
      </w:r>
      <w:r>
        <w:rPr>
          <w:rFonts w:ascii="Arial" w:hAnsi="Arial" w:cs="Arial"/>
          <w:sz w:val="22"/>
        </w:rPr>
        <w:t>segment</w:t>
      </w:r>
      <w:r w:rsidRPr="00436410">
        <w:rPr>
          <w:rFonts w:ascii="Arial" w:hAnsi="Arial" w:cs="Arial"/>
          <w:sz w:val="22"/>
        </w:rPr>
        <w:t xml:space="preserve"> reported a revenue increase of 4.9% over Q1 2016, up 11% on a currency-neutral basis. </w:t>
      </w:r>
    </w:p>
    <w:p w:rsidR="005E40CB" w:rsidRPr="001B6FA5" w:rsidRDefault="005E40CB" w:rsidP="001B6FA5">
      <w:pPr>
        <w:pStyle w:val="ListParagraph"/>
        <w:numPr>
          <w:ilvl w:val="0"/>
          <w:numId w:val="37"/>
        </w:numPr>
        <w:ind w:left="360"/>
        <w:rPr>
          <w:rFonts w:ascii="Arial" w:hAnsi="Arial" w:cs="Arial"/>
          <w:sz w:val="22"/>
        </w:rPr>
      </w:pPr>
      <w:r w:rsidRPr="00EF4A6C">
        <w:rPr>
          <w:rFonts w:ascii="Arial" w:hAnsi="Arial" w:cs="Arial"/>
          <w:sz w:val="22"/>
        </w:rPr>
        <w:t>Customers increasingly selected UPS due to network and time-in-transit improvements, which generated robust,</w:t>
      </w:r>
      <w:r w:rsidRPr="001B6FA5">
        <w:rPr>
          <w:rFonts w:ascii="Arial" w:hAnsi="Arial" w:cs="Arial"/>
          <w:sz w:val="22"/>
        </w:rPr>
        <w:t xml:space="preserve"> double-digit shipment growth of 14% in Export and 11% in Non-U.S. domestic products</w:t>
      </w:r>
      <w:r>
        <w:rPr>
          <w:rFonts w:ascii="Arial" w:hAnsi="Arial" w:cs="Arial"/>
          <w:sz w:val="22"/>
        </w:rPr>
        <w:t>.</w:t>
      </w:r>
      <w:r w:rsidRPr="001B6FA5">
        <w:rPr>
          <w:rFonts w:ascii="Arial" w:hAnsi="Arial" w:cs="Arial"/>
          <w:sz w:val="22"/>
        </w:rPr>
        <w:t xml:space="preserve"> </w:t>
      </w:r>
    </w:p>
    <w:p w:rsidR="005E40CB" w:rsidRPr="00DA084F" w:rsidRDefault="005E40CB" w:rsidP="0045433A">
      <w:pPr>
        <w:pStyle w:val="ListParagraph"/>
        <w:ind w:left="0"/>
        <w:rPr>
          <w:rFonts w:ascii="Arial" w:hAnsi="Arial" w:cs="Arial"/>
          <w:sz w:val="22"/>
        </w:rPr>
      </w:pPr>
    </w:p>
    <w:p w:rsidR="005E40CB" w:rsidRDefault="005E40CB" w:rsidP="004914AA">
      <w:pPr>
        <w:rPr>
          <w:rFonts w:ascii="Arial" w:hAnsi="Arial" w:cs="Arial"/>
          <w:sz w:val="22"/>
        </w:rPr>
      </w:pPr>
    </w:p>
    <w:p w:rsidR="005E40CB" w:rsidRDefault="005E40CB" w:rsidP="004914AA">
      <w:pPr>
        <w:rPr>
          <w:rFonts w:ascii="Arial" w:hAnsi="Arial" w:cs="Arial"/>
          <w:b/>
          <w:sz w:val="22"/>
          <w:u w:val="single"/>
        </w:rPr>
      </w:pPr>
      <w:r w:rsidRPr="000E624D">
        <w:rPr>
          <w:rFonts w:ascii="Arial" w:hAnsi="Arial" w:cs="Arial"/>
          <w:b/>
          <w:sz w:val="22"/>
          <w:u w:val="single"/>
        </w:rPr>
        <w:t>Supply Chain and Freight Segment</w:t>
      </w:r>
    </w:p>
    <w:p w:rsidR="005E40CB" w:rsidRPr="000E624D" w:rsidRDefault="005E40CB" w:rsidP="004914AA">
      <w:pPr>
        <w:rPr>
          <w:rFonts w:ascii="Arial" w:hAnsi="Arial" w:cs="Arial"/>
          <w:b/>
          <w:sz w:val="22"/>
          <w:u w:val="single"/>
        </w:rPr>
      </w:pPr>
    </w:p>
    <w:p w:rsidR="005E40CB" w:rsidRDefault="005E40CB" w:rsidP="004914AA">
      <w:pPr>
        <w:rPr>
          <w:rFonts w:ascii="Arial" w:hAnsi="Arial" w:cs="Arial"/>
          <w:sz w:val="22"/>
        </w:rPr>
      </w:pPr>
      <w:r>
        <w:rPr>
          <w:rFonts w:ascii="Arial" w:hAnsi="Arial" w:cs="Arial"/>
          <w:sz w:val="22"/>
        </w:rPr>
        <w:t>“We are extremely pleased with the growth and margin enhancing performance of the Supply Chain and Freight segment this quarter,” Abney said. “The team has been working on growth initiatives, cost reduction programs and business unit portfolio strategies to address unique market conditions for the last several quarters.  These initiatives showed excellent progress.”</w:t>
      </w:r>
    </w:p>
    <w:p w:rsidR="005E40CB" w:rsidRPr="004914AA" w:rsidRDefault="005E40CB" w:rsidP="004914AA">
      <w:pPr>
        <w:rPr>
          <w:rFonts w:ascii="Arial" w:hAnsi="Arial" w:cs="Arial"/>
          <w:sz w:val="22"/>
        </w:rPr>
      </w:pPr>
    </w:p>
    <w:tbl>
      <w:tblPr>
        <w:tblW w:w="8208" w:type="dxa"/>
        <w:jc w:val="center"/>
        <w:tblLook w:val="00A0" w:firstRow="1" w:lastRow="0" w:firstColumn="1" w:lastColumn="0" w:noHBand="0" w:noVBand="0"/>
      </w:tblPr>
      <w:tblGrid>
        <w:gridCol w:w="4608"/>
        <w:gridCol w:w="1440"/>
        <w:gridCol w:w="2160"/>
      </w:tblGrid>
      <w:tr w:rsidR="005E40CB" w:rsidRPr="001E1EB6" w:rsidTr="00CD3147">
        <w:trPr>
          <w:jc w:val="center"/>
        </w:trPr>
        <w:tc>
          <w:tcPr>
            <w:tcW w:w="4608" w:type="dxa"/>
          </w:tcPr>
          <w:p w:rsidR="005E40CB" w:rsidRPr="00CD3147" w:rsidRDefault="005E40CB" w:rsidP="006D739A">
            <w:pPr>
              <w:rPr>
                <w:rFonts w:ascii="Arial" w:hAnsi="Arial" w:cs="Arial"/>
                <w:b/>
                <w:sz w:val="20"/>
                <w:u w:val="single"/>
              </w:rPr>
            </w:pPr>
          </w:p>
        </w:tc>
        <w:tc>
          <w:tcPr>
            <w:tcW w:w="1440" w:type="dxa"/>
          </w:tcPr>
          <w:p w:rsidR="005E40CB" w:rsidRPr="00CD3147" w:rsidRDefault="005E40CB" w:rsidP="00CD3147">
            <w:pPr>
              <w:jc w:val="right"/>
              <w:rPr>
                <w:rFonts w:ascii="Arial" w:hAnsi="Arial" w:cs="Arial"/>
                <w:b/>
                <w:sz w:val="20"/>
                <w:u w:val="single"/>
              </w:rPr>
            </w:pPr>
            <w:r w:rsidRPr="00CD3147">
              <w:rPr>
                <w:rFonts w:ascii="Arial" w:hAnsi="Arial" w:cs="Arial"/>
                <w:b/>
                <w:sz w:val="20"/>
                <w:szCs w:val="22"/>
                <w:u w:val="single"/>
              </w:rPr>
              <w:t>1Q 2017</w:t>
            </w:r>
          </w:p>
        </w:tc>
        <w:tc>
          <w:tcPr>
            <w:tcW w:w="2160" w:type="dxa"/>
          </w:tcPr>
          <w:p w:rsidR="005E40CB" w:rsidRPr="00CD3147" w:rsidRDefault="005E40CB" w:rsidP="00CD3147">
            <w:pPr>
              <w:jc w:val="right"/>
              <w:rPr>
                <w:rFonts w:ascii="Arial" w:hAnsi="Arial" w:cs="Arial"/>
                <w:b/>
                <w:sz w:val="20"/>
                <w:u w:val="single"/>
              </w:rPr>
            </w:pPr>
            <w:r w:rsidRPr="00CD3147">
              <w:rPr>
                <w:rFonts w:ascii="Arial" w:hAnsi="Arial" w:cs="Arial"/>
                <w:b/>
                <w:sz w:val="20"/>
                <w:szCs w:val="22"/>
                <w:u w:val="single"/>
              </w:rPr>
              <w:t>1Q 2016</w:t>
            </w:r>
          </w:p>
        </w:tc>
      </w:tr>
      <w:tr w:rsidR="005E40CB" w:rsidRPr="001E1EB6" w:rsidTr="00CD3147">
        <w:trPr>
          <w:jc w:val="center"/>
        </w:trPr>
        <w:tc>
          <w:tcPr>
            <w:tcW w:w="4608" w:type="dxa"/>
          </w:tcPr>
          <w:p w:rsidR="005E40CB" w:rsidRPr="00CD3147" w:rsidRDefault="005E40CB" w:rsidP="009318E1">
            <w:pPr>
              <w:rPr>
                <w:rFonts w:ascii="Arial" w:hAnsi="Arial" w:cs="Arial"/>
                <w:sz w:val="20"/>
              </w:rPr>
            </w:pPr>
            <w:r w:rsidRPr="00CD3147">
              <w:rPr>
                <w:rFonts w:ascii="Arial" w:hAnsi="Arial" w:cs="Arial"/>
                <w:sz w:val="20"/>
                <w:szCs w:val="22"/>
              </w:rPr>
              <w:t>Revenue</w:t>
            </w:r>
          </w:p>
        </w:tc>
        <w:tc>
          <w:tcPr>
            <w:tcW w:w="1440" w:type="dxa"/>
          </w:tcPr>
          <w:p w:rsidR="005E40CB" w:rsidRPr="00CD3147" w:rsidRDefault="005E40CB" w:rsidP="00CD3147">
            <w:pPr>
              <w:jc w:val="right"/>
              <w:rPr>
                <w:rFonts w:ascii="Arial" w:hAnsi="Arial" w:cs="Arial"/>
                <w:sz w:val="20"/>
              </w:rPr>
            </w:pPr>
            <w:r w:rsidRPr="00CD3147">
              <w:rPr>
                <w:rFonts w:ascii="Arial" w:hAnsi="Arial" w:cs="Arial"/>
                <w:sz w:val="20"/>
                <w:szCs w:val="22"/>
              </w:rPr>
              <w:t>$2,722 M</w:t>
            </w:r>
          </w:p>
        </w:tc>
        <w:tc>
          <w:tcPr>
            <w:tcW w:w="2160" w:type="dxa"/>
          </w:tcPr>
          <w:p w:rsidR="005E40CB" w:rsidRPr="00CD3147" w:rsidRDefault="005E40CB" w:rsidP="00CD3147">
            <w:pPr>
              <w:jc w:val="right"/>
              <w:rPr>
                <w:rFonts w:ascii="Arial" w:hAnsi="Arial" w:cs="Arial"/>
                <w:sz w:val="20"/>
              </w:rPr>
            </w:pPr>
            <w:r w:rsidRPr="00CD3147">
              <w:rPr>
                <w:rFonts w:ascii="Arial" w:hAnsi="Arial" w:cs="Arial"/>
                <w:sz w:val="20"/>
                <w:szCs w:val="22"/>
              </w:rPr>
              <w:t>$2,420 M</w:t>
            </w:r>
          </w:p>
        </w:tc>
      </w:tr>
      <w:tr w:rsidR="005E40CB" w:rsidRPr="001E1EB6" w:rsidTr="00CD3147">
        <w:trPr>
          <w:jc w:val="center"/>
        </w:trPr>
        <w:tc>
          <w:tcPr>
            <w:tcW w:w="4608" w:type="dxa"/>
          </w:tcPr>
          <w:p w:rsidR="005E40CB" w:rsidRPr="00CD3147" w:rsidRDefault="005E40CB" w:rsidP="009318E1">
            <w:pPr>
              <w:rPr>
                <w:rFonts w:ascii="Arial" w:hAnsi="Arial" w:cs="Arial"/>
                <w:sz w:val="20"/>
              </w:rPr>
            </w:pPr>
            <w:r w:rsidRPr="00CD3147">
              <w:rPr>
                <w:rFonts w:ascii="Arial" w:hAnsi="Arial" w:cs="Arial"/>
                <w:sz w:val="20"/>
                <w:szCs w:val="22"/>
              </w:rPr>
              <w:t>Operating profit</w:t>
            </w:r>
          </w:p>
        </w:tc>
        <w:tc>
          <w:tcPr>
            <w:tcW w:w="1440" w:type="dxa"/>
          </w:tcPr>
          <w:p w:rsidR="005E40CB" w:rsidRPr="00CD3147" w:rsidRDefault="005E40CB" w:rsidP="00CD3147">
            <w:pPr>
              <w:jc w:val="right"/>
              <w:rPr>
                <w:rFonts w:ascii="Arial" w:hAnsi="Arial" w:cs="Arial"/>
                <w:sz w:val="20"/>
              </w:rPr>
            </w:pPr>
            <w:r w:rsidRPr="00CD3147">
              <w:rPr>
                <w:rFonts w:ascii="Arial" w:hAnsi="Arial" w:cs="Arial"/>
                <w:sz w:val="20"/>
                <w:szCs w:val="22"/>
              </w:rPr>
              <w:t>$179 M</w:t>
            </w:r>
          </w:p>
        </w:tc>
        <w:tc>
          <w:tcPr>
            <w:tcW w:w="2160" w:type="dxa"/>
          </w:tcPr>
          <w:p w:rsidR="005E40CB" w:rsidRPr="00CD3147" w:rsidRDefault="005E40CB" w:rsidP="00CD3147">
            <w:pPr>
              <w:jc w:val="right"/>
              <w:rPr>
                <w:rFonts w:ascii="Arial" w:hAnsi="Arial" w:cs="Arial"/>
                <w:sz w:val="20"/>
              </w:rPr>
            </w:pPr>
            <w:r w:rsidRPr="00CD3147">
              <w:rPr>
                <w:rFonts w:ascii="Arial" w:hAnsi="Arial" w:cs="Arial"/>
                <w:sz w:val="20"/>
                <w:szCs w:val="22"/>
              </w:rPr>
              <w:t>$147 M</w:t>
            </w:r>
          </w:p>
        </w:tc>
      </w:tr>
    </w:tbl>
    <w:p w:rsidR="005E40CB" w:rsidRDefault="005E40CB" w:rsidP="00212D58">
      <w:pPr>
        <w:rPr>
          <w:rFonts w:ascii="Arial" w:hAnsi="Arial" w:cs="Arial"/>
          <w:sz w:val="22"/>
          <w:szCs w:val="22"/>
        </w:rPr>
      </w:pPr>
    </w:p>
    <w:p w:rsidR="005E40CB" w:rsidRPr="004F5D76" w:rsidRDefault="005E40CB">
      <w:pPr>
        <w:pStyle w:val="ListParagraph"/>
        <w:numPr>
          <w:ilvl w:val="0"/>
          <w:numId w:val="37"/>
        </w:numPr>
        <w:ind w:left="360"/>
        <w:rPr>
          <w:rFonts w:ascii="Arial" w:hAnsi="Arial" w:cs="Arial"/>
          <w:sz w:val="22"/>
        </w:rPr>
      </w:pPr>
      <w:r w:rsidRPr="00666CFA">
        <w:rPr>
          <w:rFonts w:ascii="Arial" w:hAnsi="Arial" w:cs="Arial"/>
          <w:sz w:val="22"/>
        </w:rPr>
        <w:t xml:space="preserve">Revenue increased </w:t>
      </w:r>
      <w:r>
        <w:rPr>
          <w:rFonts w:ascii="Arial" w:hAnsi="Arial" w:cs="Arial"/>
          <w:sz w:val="22"/>
        </w:rPr>
        <w:t>13</w:t>
      </w:r>
      <w:r w:rsidRPr="00666CFA">
        <w:rPr>
          <w:rFonts w:ascii="Arial" w:hAnsi="Arial" w:cs="Arial"/>
          <w:sz w:val="22"/>
        </w:rPr>
        <w:t xml:space="preserve">% over </w:t>
      </w:r>
      <w:r>
        <w:rPr>
          <w:rFonts w:ascii="Arial" w:hAnsi="Arial" w:cs="Arial"/>
          <w:sz w:val="22"/>
        </w:rPr>
        <w:t>Q1 2016, due to higher-performing business development programs and improved market conditions across all business units</w:t>
      </w:r>
      <w:r w:rsidRPr="00666CFA">
        <w:rPr>
          <w:rFonts w:ascii="Arial" w:hAnsi="Arial" w:cs="Arial"/>
          <w:sz w:val="22"/>
        </w:rPr>
        <w:t>.</w:t>
      </w:r>
    </w:p>
    <w:p w:rsidR="005E40CB" w:rsidRDefault="005E40CB" w:rsidP="007D7949">
      <w:pPr>
        <w:pStyle w:val="ListParagraph"/>
        <w:numPr>
          <w:ilvl w:val="0"/>
          <w:numId w:val="37"/>
        </w:numPr>
        <w:ind w:left="360"/>
        <w:rPr>
          <w:rFonts w:ascii="Arial" w:hAnsi="Arial" w:cs="Arial"/>
          <w:sz w:val="22"/>
        </w:rPr>
      </w:pPr>
      <w:r>
        <w:rPr>
          <w:rFonts w:ascii="Arial" w:hAnsi="Arial" w:cs="Arial"/>
          <w:sz w:val="22"/>
        </w:rPr>
        <w:t>Tonnage increases in Freight Forwarding and UPS Freight increased revenue.</w:t>
      </w:r>
    </w:p>
    <w:p w:rsidR="005E40CB" w:rsidRDefault="005E40CB" w:rsidP="007D7949">
      <w:pPr>
        <w:pStyle w:val="ListParagraph"/>
        <w:numPr>
          <w:ilvl w:val="0"/>
          <w:numId w:val="37"/>
        </w:numPr>
        <w:ind w:left="360"/>
        <w:rPr>
          <w:rFonts w:ascii="Arial" w:hAnsi="Arial" w:cs="Arial"/>
          <w:sz w:val="22"/>
        </w:rPr>
      </w:pPr>
      <w:r>
        <w:rPr>
          <w:rFonts w:ascii="Arial" w:hAnsi="Arial" w:cs="Arial"/>
          <w:sz w:val="22"/>
        </w:rPr>
        <w:t>Healthcare, Retail and Aerospace sector performance enhanced strong Distribution results.</w:t>
      </w:r>
    </w:p>
    <w:p w:rsidR="005E40CB" w:rsidRDefault="005E40CB" w:rsidP="007D7949">
      <w:pPr>
        <w:pStyle w:val="ListParagraph"/>
        <w:numPr>
          <w:ilvl w:val="0"/>
          <w:numId w:val="37"/>
        </w:numPr>
        <w:ind w:left="360"/>
        <w:rPr>
          <w:rFonts w:ascii="Arial" w:hAnsi="Arial" w:cs="Arial"/>
          <w:sz w:val="22"/>
        </w:rPr>
      </w:pPr>
      <w:r>
        <w:rPr>
          <w:rFonts w:ascii="Arial" w:hAnsi="Arial" w:cs="Arial"/>
          <w:sz w:val="22"/>
        </w:rPr>
        <w:t>Coyote Logistics continued to accelerate its growth strategies and gained market share during the quarter.</w:t>
      </w:r>
    </w:p>
    <w:p w:rsidR="005E40CB" w:rsidRDefault="005E40CB" w:rsidP="007D7949">
      <w:pPr>
        <w:pStyle w:val="ListParagraph"/>
        <w:numPr>
          <w:ilvl w:val="0"/>
          <w:numId w:val="37"/>
        </w:numPr>
        <w:ind w:left="360"/>
        <w:rPr>
          <w:rFonts w:ascii="Arial" w:hAnsi="Arial" w:cs="Arial"/>
          <w:sz w:val="22"/>
        </w:rPr>
      </w:pPr>
      <w:r>
        <w:rPr>
          <w:rFonts w:ascii="Arial" w:hAnsi="Arial" w:cs="Arial"/>
          <w:sz w:val="22"/>
        </w:rPr>
        <w:t>All business units contributed to segment operating profit growth of 22% as profit improvement programs generated stronger performance.</w:t>
      </w:r>
    </w:p>
    <w:p w:rsidR="005E40CB" w:rsidRDefault="005E40CB" w:rsidP="0045433A">
      <w:pPr>
        <w:rPr>
          <w:rFonts w:ascii="Arial" w:hAnsi="Arial" w:cs="Arial"/>
          <w:sz w:val="22"/>
          <w:szCs w:val="22"/>
        </w:rPr>
      </w:pPr>
    </w:p>
    <w:p w:rsidR="005E40CB" w:rsidRDefault="005E40CB" w:rsidP="0045433A">
      <w:pPr>
        <w:rPr>
          <w:rFonts w:ascii="Arial" w:hAnsi="Arial" w:cs="Arial"/>
          <w:sz w:val="22"/>
          <w:szCs w:val="22"/>
        </w:rPr>
      </w:pPr>
    </w:p>
    <w:p w:rsidR="005E40CB" w:rsidRPr="00EC663B" w:rsidRDefault="005E40CB" w:rsidP="009318E1">
      <w:pPr>
        <w:rPr>
          <w:rFonts w:ascii="Arial" w:hAnsi="Arial" w:cs="Arial"/>
          <w:b/>
          <w:u w:val="single"/>
        </w:rPr>
      </w:pPr>
      <w:r w:rsidRPr="00EC663B">
        <w:rPr>
          <w:rFonts w:ascii="Arial" w:hAnsi="Arial" w:cs="Arial"/>
          <w:b/>
          <w:u w:val="single"/>
        </w:rPr>
        <w:t>Outlook</w:t>
      </w:r>
    </w:p>
    <w:p w:rsidR="005E40CB" w:rsidRDefault="005E40CB" w:rsidP="009318E1">
      <w:pPr>
        <w:ind w:firstLine="720"/>
        <w:rPr>
          <w:rFonts w:ascii="Arial" w:hAnsi="Arial" w:cs="Arial"/>
        </w:rPr>
      </w:pPr>
    </w:p>
    <w:p w:rsidR="005E40CB" w:rsidRPr="004F5D76" w:rsidRDefault="005E40CB" w:rsidP="009318E1">
      <w:pPr>
        <w:ind w:firstLine="720"/>
        <w:rPr>
          <w:rFonts w:ascii="Arial" w:hAnsi="Arial" w:cs="Arial"/>
          <w:sz w:val="22"/>
          <w:szCs w:val="22"/>
        </w:rPr>
      </w:pPr>
      <w:r w:rsidRPr="004F5D76">
        <w:rPr>
          <w:rFonts w:ascii="Arial" w:hAnsi="Arial" w:cs="Arial"/>
          <w:sz w:val="22"/>
          <w:szCs w:val="22"/>
        </w:rPr>
        <w:t xml:space="preserve">The company provides guidance on an adjusted (non-GAAP) basis because it is not possible to predict or provide a reconciliation reflecting the impact of </w:t>
      </w:r>
      <w:r>
        <w:rPr>
          <w:rFonts w:ascii="Arial" w:hAnsi="Arial" w:cs="Arial"/>
          <w:sz w:val="22"/>
          <w:szCs w:val="22"/>
        </w:rPr>
        <w:t xml:space="preserve">future </w:t>
      </w:r>
      <w:r w:rsidRPr="004F5D76">
        <w:rPr>
          <w:rFonts w:ascii="Arial" w:hAnsi="Arial" w:cs="Arial"/>
          <w:sz w:val="22"/>
          <w:szCs w:val="22"/>
        </w:rPr>
        <w:t>pension mark-to-market adjustments, which would be included in reported (GAAP) results and could be material.</w:t>
      </w:r>
    </w:p>
    <w:p w:rsidR="005E40CB" w:rsidRDefault="005E40CB" w:rsidP="009318E1">
      <w:pPr>
        <w:ind w:firstLine="720"/>
        <w:rPr>
          <w:rFonts w:ascii="Arial" w:hAnsi="Arial" w:cs="Arial"/>
          <w:sz w:val="22"/>
          <w:szCs w:val="22"/>
        </w:rPr>
      </w:pPr>
    </w:p>
    <w:p w:rsidR="005E40CB" w:rsidRPr="008C695E" w:rsidRDefault="005E40CB" w:rsidP="009318E1">
      <w:pPr>
        <w:ind w:firstLine="720"/>
        <w:rPr>
          <w:rFonts w:ascii="Arial" w:hAnsi="Arial" w:cs="Arial"/>
          <w:sz w:val="22"/>
          <w:szCs w:val="22"/>
        </w:rPr>
      </w:pPr>
      <w:r w:rsidRPr="004A031D">
        <w:rPr>
          <w:rFonts w:ascii="Arial" w:hAnsi="Arial" w:cs="Arial"/>
          <w:sz w:val="22"/>
        </w:rPr>
        <w:t>“</w:t>
      </w:r>
      <w:r>
        <w:rPr>
          <w:rFonts w:ascii="Arial" w:hAnsi="Arial" w:cs="Arial"/>
          <w:sz w:val="22"/>
        </w:rPr>
        <w:t xml:space="preserve">First quarter results continue to show the benefit of our operating plan improvements </w:t>
      </w:r>
      <w:r w:rsidRPr="008C695E">
        <w:rPr>
          <w:rFonts w:ascii="Arial" w:hAnsi="Arial" w:cs="Arial"/>
          <w:sz w:val="22"/>
          <w:szCs w:val="22"/>
        </w:rPr>
        <w:t>across all business</w:t>
      </w:r>
      <w:r>
        <w:rPr>
          <w:rFonts w:ascii="Arial" w:hAnsi="Arial" w:cs="Arial"/>
          <w:sz w:val="22"/>
          <w:szCs w:val="22"/>
        </w:rPr>
        <w:t xml:space="preserve"> units</w:t>
      </w:r>
      <w:r w:rsidRPr="008C695E">
        <w:rPr>
          <w:rFonts w:ascii="Arial" w:hAnsi="Arial" w:cs="Arial"/>
          <w:sz w:val="22"/>
          <w:szCs w:val="22"/>
        </w:rPr>
        <w:t>,” said Richard Peretz, UPS chief financial officer.  “</w:t>
      </w:r>
      <w:r>
        <w:rPr>
          <w:rFonts w:ascii="Arial" w:hAnsi="Arial" w:cs="Arial"/>
          <w:sz w:val="22"/>
          <w:szCs w:val="22"/>
        </w:rPr>
        <w:t>Our current momentum, combined with accelerated investment initiatives gives us confidence in our ability to attain our full-year guidance.</w:t>
      </w:r>
      <w:r w:rsidRPr="004F5D76">
        <w:rPr>
          <w:rFonts w:ascii="Arial" w:hAnsi="Arial" w:cs="Arial"/>
          <w:sz w:val="22"/>
          <w:szCs w:val="22"/>
        </w:rPr>
        <w:t>”</w:t>
      </w:r>
      <w:r w:rsidRPr="008C695E">
        <w:rPr>
          <w:rFonts w:ascii="Arial" w:hAnsi="Arial" w:cs="Arial"/>
          <w:sz w:val="22"/>
          <w:szCs w:val="22"/>
        </w:rPr>
        <w:t xml:space="preserve"> </w:t>
      </w:r>
    </w:p>
    <w:p w:rsidR="005E40CB" w:rsidRPr="004F5D76" w:rsidRDefault="005E40CB" w:rsidP="009318E1">
      <w:pPr>
        <w:ind w:firstLine="720"/>
        <w:rPr>
          <w:rFonts w:ascii="Arial" w:hAnsi="Arial" w:cs="Arial"/>
          <w:sz w:val="22"/>
          <w:szCs w:val="22"/>
        </w:rPr>
      </w:pPr>
    </w:p>
    <w:p w:rsidR="005E40CB" w:rsidRDefault="005E40CB" w:rsidP="008632C2">
      <w:pPr>
        <w:pStyle w:val="ListParagraph"/>
        <w:numPr>
          <w:ilvl w:val="0"/>
          <w:numId w:val="37"/>
        </w:numPr>
        <w:ind w:left="360"/>
        <w:rPr>
          <w:rFonts w:ascii="Arial" w:hAnsi="Arial" w:cs="Arial"/>
          <w:sz w:val="22"/>
        </w:rPr>
      </w:pPr>
      <w:r>
        <w:rPr>
          <w:rFonts w:ascii="Arial" w:hAnsi="Arial" w:cs="Arial"/>
          <w:sz w:val="22"/>
        </w:rPr>
        <w:t xml:space="preserve">UPS reaffirms </w:t>
      </w:r>
      <w:r w:rsidRPr="000346B8">
        <w:rPr>
          <w:rFonts w:ascii="Arial" w:hAnsi="Arial" w:cs="Arial"/>
          <w:sz w:val="22"/>
        </w:rPr>
        <w:t xml:space="preserve">2017 adjusted diluted EPS </w:t>
      </w:r>
      <w:r>
        <w:rPr>
          <w:rFonts w:ascii="Arial" w:hAnsi="Arial" w:cs="Arial"/>
          <w:sz w:val="22"/>
        </w:rPr>
        <w:t xml:space="preserve">guidance </w:t>
      </w:r>
      <w:r w:rsidRPr="000346B8">
        <w:rPr>
          <w:rFonts w:ascii="Arial" w:hAnsi="Arial" w:cs="Arial"/>
          <w:sz w:val="22"/>
        </w:rPr>
        <w:t>to be</w:t>
      </w:r>
      <w:r>
        <w:rPr>
          <w:rFonts w:ascii="Arial" w:hAnsi="Arial" w:cs="Arial"/>
          <w:sz w:val="22"/>
        </w:rPr>
        <w:t xml:space="preserve"> between</w:t>
      </w:r>
      <w:r w:rsidRPr="000346B8">
        <w:rPr>
          <w:rFonts w:ascii="Arial" w:hAnsi="Arial" w:cs="Arial"/>
          <w:sz w:val="22"/>
        </w:rPr>
        <w:t xml:space="preserve"> $5.80 </w:t>
      </w:r>
      <w:r>
        <w:rPr>
          <w:rFonts w:ascii="Arial" w:hAnsi="Arial" w:cs="Arial"/>
          <w:sz w:val="22"/>
        </w:rPr>
        <w:t>and</w:t>
      </w:r>
      <w:r w:rsidRPr="000346B8">
        <w:rPr>
          <w:rFonts w:ascii="Arial" w:hAnsi="Arial" w:cs="Arial"/>
          <w:sz w:val="22"/>
        </w:rPr>
        <w:t xml:space="preserve"> $6.10, </w:t>
      </w:r>
      <w:r>
        <w:rPr>
          <w:rFonts w:ascii="Arial" w:hAnsi="Arial" w:cs="Arial"/>
          <w:sz w:val="22"/>
        </w:rPr>
        <w:t xml:space="preserve">which </w:t>
      </w:r>
      <w:r w:rsidRPr="000346B8">
        <w:rPr>
          <w:rFonts w:ascii="Arial" w:hAnsi="Arial" w:cs="Arial"/>
          <w:sz w:val="22"/>
        </w:rPr>
        <w:t xml:space="preserve">includes </w:t>
      </w:r>
      <w:r>
        <w:rPr>
          <w:rFonts w:ascii="Arial" w:hAnsi="Arial" w:cs="Arial"/>
          <w:sz w:val="22"/>
        </w:rPr>
        <w:t xml:space="preserve">more than </w:t>
      </w:r>
      <w:r w:rsidRPr="000346B8">
        <w:rPr>
          <w:rFonts w:ascii="Arial" w:hAnsi="Arial" w:cs="Arial"/>
          <w:sz w:val="22"/>
        </w:rPr>
        <w:t>$</w:t>
      </w:r>
      <w:r>
        <w:rPr>
          <w:rFonts w:ascii="Arial" w:hAnsi="Arial" w:cs="Arial"/>
          <w:sz w:val="22"/>
        </w:rPr>
        <w:t>400</w:t>
      </w:r>
      <w:r w:rsidRPr="000346B8">
        <w:rPr>
          <w:rFonts w:ascii="Arial" w:hAnsi="Arial" w:cs="Arial"/>
          <w:sz w:val="22"/>
        </w:rPr>
        <w:t xml:space="preserve"> million</w:t>
      </w:r>
      <w:r>
        <w:rPr>
          <w:rFonts w:ascii="Arial" w:hAnsi="Arial" w:cs="Arial"/>
          <w:sz w:val="22"/>
        </w:rPr>
        <w:t>,</w:t>
      </w:r>
      <w:r w:rsidRPr="000346B8">
        <w:rPr>
          <w:rFonts w:ascii="Arial" w:hAnsi="Arial" w:cs="Arial"/>
          <w:sz w:val="22"/>
        </w:rPr>
        <w:t xml:space="preserve"> </w:t>
      </w:r>
      <w:r>
        <w:rPr>
          <w:rFonts w:ascii="Arial" w:hAnsi="Arial" w:cs="Arial"/>
          <w:sz w:val="22"/>
        </w:rPr>
        <w:t xml:space="preserve">or $0.30 per share </w:t>
      </w:r>
      <w:r w:rsidRPr="000346B8">
        <w:rPr>
          <w:rFonts w:ascii="Arial" w:hAnsi="Arial" w:cs="Arial"/>
          <w:sz w:val="22"/>
        </w:rPr>
        <w:t xml:space="preserve">of </w:t>
      </w:r>
      <w:r>
        <w:rPr>
          <w:rFonts w:ascii="Arial" w:hAnsi="Arial" w:cs="Arial"/>
          <w:sz w:val="22"/>
        </w:rPr>
        <w:t xml:space="preserve">pre-tax </w:t>
      </w:r>
      <w:r w:rsidRPr="000346B8">
        <w:rPr>
          <w:rFonts w:ascii="Arial" w:hAnsi="Arial" w:cs="Arial"/>
          <w:sz w:val="22"/>
        </w:rPr>
        <w:t>currency headwinds.</w:t>
      </w:r>
      <w:r>
        <w:rPr>
          <w:rFonts w:ascii="Arial" w:hAnsi="Arial" w:cs="Arial"/>
          <w:sz w:val="22"/>
        </w:rPr>
        <w:t xml:space="preserve">  </w:t>
      </w:r>
      <w:r w:rsidRPr="006F2FBF">
        <w:rPr>
          <w:rFonts w:ascii="Arial" w:hAnsi="Arial" w:cs="Arial"/>
          <w:sz w:val="22"/>
        </w:rPr>
        <w:t xml:space="preserve"> </w:t>
      </w:r>
    </w:p>
    <w:p w:rsidR="005E40CB" w:rsidRDefault="005E40CB" w:rsidP="00B86C7E">
      <w:pPr>
        <w:rPr>
          <w:rFonts w:ascii="Arial" w:hAnsi="Arial" w:cs="Arial"/>
          <w:color w:val="003436"/>
          <w:sz w:val="22"/>
          <w:szCs w:val="22"/>
        </w:rPr>
      </w:pPr>
    </w:p>
    <w:p w:rsidR="005E40CB" w:rsidRDefault="005E40CB" w:rsidP="00B86C7E">
      <w:pPr>
        <w:rPr>
          <w:rFonts w:ascii="Arial" w:hAnsi="Arial" w:cs="Arial"/>
          <w:color w:val="003436"/>
          <w:sz w:val="22"/>
          <w:szCs w:val="22"/>
        </w:rPr>
      </w:pPr>
    </w:p>
    <w:p w:rsidR="005E40CB" w:rsidRDefault="005E40CB" w:rsidP="0092416D">
      <w:pPr>
        <w:autoSpaceDE w:val="0"/>
        <w:autoSpaceDN w:val="0"/>
        <w:adjustRightInd w:val="0"/>
        <w:jc w:val="center"/>
        <w:rPr>
          <w:rFonts w:ascii="Arial" w:hAnsi="Arial" w:cs="Arial"/>
          <w:color w:val="003436"/>
          <w:sz w:val="22"/>
          <w:szCs w:val="22"/>
        </w:rPr>
      </w:pPr>
      <w:r>
        <w:rPr>
          <w:rFonts w:ascii="Arial" w:hAnsi="Arial" w:cs="Arial"/>
          <w:color w:val="003436"/>
          <w:sz w:val="22"/>
          <w:szCs w:val="22"/>
        </w:rPr>
        <w:t># # #</w:t>
      </w:r>
    </w:p>
    <w:p w:rsidR="005E40CB" w:rsidRDefault="005E40CB" w:rsidP="00B86C7E">
      <w:pPr>
        <w:rPr>
          <w:rFonts w:ascii="Arial" w:hAnsi="Arial" w:cs="Arial"/>
          <w:color w:val="003436"/>
          <w:sz w:val="22"/>
          <w:szCs w:val="22"/>
        </w:rPr>
      </w:pPr>
      <w:r>
        <w:rPr>
          <w:rFonts w:ascii="Arial" w:hAnsi="Arial" w:cs="Arial"/>
          <w:color w:val="003436"/>
          <w:sz w:val="22"/>
          <w:szCs w:val="22"/>
        </w:rPr>
        <w:br w:type="page"/>
      </w:r>
    </w:p>
    <w:p w:rsidR="005E40CB" w:rsidRPr="00B50A8C" w:rsidRDefault="005E40CB" w:rsidP="00B86C7E">
      <w:pPr>
        <w:rPr>
          <w:rFonts w:ascii="Arial" w:hAnsi="Arial" w:cs="Arial"/>
          <w:sz w:val="22"/>
          <w:szCs w:val="22"/>
          <w:u w:val="single"/>
        </w:rPr>
      </w:pPr>
      <w:r w:rsidRPr="00B50A8C">
        <w:rPr>
          <w:rFonts w:ascii="Arial" w:hAnsi="Arial" w:cs="Arial"/>
          <w:b/>
          <w:sz w:val="22"/>
          <w:szCs w:val="22"/>
          <w:u w:val="single"/>
        </w:rPr>
        <w:t>Conference Call Information</w:t>
      </w:r>
    </w:p>
    <w:p w:rsidR="005E40CB" w:rsidRDefault="005E40CB" w:rsidP="00B86C7E">
      <w:pPr>
        <w:rPr>
          <w:rFonts w:ascii="Arial" w:hAnsi="Arial" w:cs="Arial"/>
          <w:sz w:val="22"/>
          <w:szCs w:val="22"/>
        </w:rPr>
      </w:pPr>
      <w:r w:rsidRPr="00A85056">
        <w:rPr>
          <w:rFonts w:ascii="Arial" w:hAnsi="Arial" w:cs="Arial"/>
          <w:sz w:val="22"/>
          <w:szCs w:val="22"/>
        </w:rPr>
        <w:tab/>
      </w:r>
    </w:p>
    <w:p w:rsidR="005E40CB" w:rsidRPr="00A85056" w:rsidRDefault="005E40CB" w:rsidP="00B86C7E">
      <w:pPr>
        <w:ind w:firstLine="720"/>
        <w:rPr>
          <w:rFonts w:ascii="Arial" w:hAnsi="Arial" w:cs="Arial"/>
          <w:sz w:val="22"/>
          <w:szCs w:val="22"/>
        </w:rPr>
      </w:pPr>
      <w:r w:rsidRPr="00A85056">
        <w:rPr>
          <w:rFonts w:ascii="Arial" w:hAnsi="Arial" w:cs="Arial"/>
          <w:sz w:val="22"/>
          <w:szCs w:val="22"/>
        </w:rPr>
        <w:t>UPS CEO David Abney and CFO Richard Peretz will discuss f</w:t>
      </w:r>
      <w:r>
        <w:rPr>
          <w:rFonts w:ascii="Arial" w:hAnsi="Arial" w:cs="Arial"/>
          <w:sz w:val="22"/>
          <w:szCs w:val="22"/>
        </w:rPr>
        <w:t>irst-</w:t>
      </w:r>
      <w:r w:rsidRPr="00A85056">
        <w:rPr>
          <w:rFonts w:ascii="Arial" w:hAnsi="Arial" w:cs="Arial"/>
          <w:sz w:val="22"/>
          <w:szCs w:val="22"/>
        </w:rPr>
        <w:t xml:space="preserve">quarter results with investors and analysts during a conference call at 8:30 a.m. ET, </w:t>
      </w:r>
      <w:r>
        <w:rPr>
          <w:rFonts w:ascii="Arial" w:hAnsi="Arial" w:cs="Arial"/>
          <w:sz w:val="22"/>
          <w:szCs w:val="22"/>
        </w:rPr>
        <w:t>April 27</w:t>
      </w:r>
      <w:r w:rsidRPr="00A85056">
        <w:rPr>
          <w:rFonts w:ascii="Arial" w:hAnsi="Arial" w:cs="Arial"/>
          <w:sz w:val="22"/>
          <w:szCs w:val="22"/>
        </w:rPr>
        <w:t>, 201</w:t>
      </w:r>
      <w:r>
        <w:rPr>
          <w:rFonts w:ascii="Arial" w:hAnsi="Arial" w:cs="Arial"/>
          <w:sz w:val="22"/>
          <w:szCs w:val="22"/>
        </w:rPr>
        <w:t>7</w:t>
      </w:r>
      <w:r w:rsidRPr="00A85056">
        <w:rPr>
          <w:rFonts w:ascii="Arial" w:hAnsi="Arial" w:cs="Arial"/>
          <w:sz w:val="22"/>
          <w:szCs w:val="22"/>
        </w:rPr>
        <w:t xml:space="preserve">.  That call is open to </w:t>
      </w:r>
      <w:r>
        <w:rPr>
          <w:rFonts w:ascii="Arial" w:hAnsi="Arial" w:cs="Arial"/>
          <w:sz w:val="22"/>
          <w:szCs w:val="22"/>
        </w:rPr>
        <w:t>others</w:t>
      </w:r>
      <w:r w:rsidRPr="00A85056">
        <w:rPr>
          <w:rFonts w:ascii="Arial" w:hAnsi="Arial" w:cs="Arial"/>
          <w:sz w:val="22"/>
          <w:szCs w:val="22"/>
        </w:rPr>
        <w:t xml:space="preserve"> through a live Webcast.  To access the call, go to </w:t>
      </w:r>
      <w:hyperlink r:id="rId9" w:history="1">
        <w:r w:rsidRPr="00A85056">
          <w:rPr>
            <w:rStyle w:val="Hyperlink"/>
            <w:rFonts w:ascii="Arial" w:hAnsi="Arial" w:cs="Arial"/>
            <w:sz w:val="22"/>
            <w:szCs w:val="22"/>
          </w:rPr>
          <w:t>www.investors.ups.com</w:t>
        </w:r>
      </w:hyperlink>
      <w:r w:rsidRPr="00A85056">
        <w:rPr>
          <w:rFonts w:ascii="Arial" w:hAnsi="Arial" w:cs="Arial"/>
          <w:sz w:val="22"/>
          <w:szCs w:val="22"/>
          <w:u w:val="single"/>
        </w:rPr>
        <w:t xml:space="preserve"> </w:t>
      </w:r>
      <w:r w:rsidRPr="00A85056">
        <w:rPr>
          <w:rFonts w:ascii="Arial" w:hAnsi="Arial" w:cs="Arial"/>
          <w:sz w:val="22"/>
          <w:szCs w:val="22"/>
        </w:rPr>
        <w:t>and click on “Earnings Webcast.”</w:t>
      </w:r>
    </w:p>
    <w:p w:rsidR="005E40CB" w:rsidRDefault="005E40CB" w:rsidP="00B86C7E">
      <w:pPr>
        <w:autoSpaceDE w:val="0"/>
        <w:autoSpaceDN w:val="0"/>
        <w:adjustRightInd w:val="0"/>
        <w:ind w:firstLine="720"/>
        <w:rPr>
          <w:rFonts w:ascii="Arial" w:hAnsi="Arial" w:cs="Arial"/>
          <w:sz w:val="22"/>
          <w:szCs w:val="22"/>
        </w:rPr>
      </w:pPr>
    </w:p>
    <w:p w:rsidR="005E40CB" w:rsidRDefault="005E40CB" w:rsidP="00B86C7E">
      <w:pPr>
        <w:autoSpaceDE w:val="0"/>
        <w:autoSpaceDN w:val="0"/>
        <w:adjustRightInd w:val="0"/>
        <w:ind w:firstLine="720"/>
        <w:rPr>
          <w:rFonts w:ascii="Arial" w:hAnsi="Arial" w:cs="Arial"/>
          <w:color w:val="003436"/>
          <w:sz w:val="22"/>
          <w:szCs w:val="22"/>
        </w:rPr>
      </w:pPr>
      <w:r w:rsidRPr="00A85056">
        <w:rPr>
          <w:rFonts w:ascii="Arial" w:hAnsi="Arial" w:cs="Arial"/>
          <w:sz w:val="22"/>
          <w:szCs w:val="22"/>
        </w:rPr>
        <w:t>UPS (NYSE: UPS) is a global leader in logistics, offering a broad range of solutions including the transportation of packages and freight; the facilitation of international trade, and the deployment of advanced technology to more efficiently manage the world of business. Headquartered in Atlanta, UPS serves more than 220 countries and territories worldwide. The company can be found on the Web at ups.com</w:t>
      </w:r>
      <w:r w:rsidRPr="00A85056">
        <w:rPr>
          <w:rFonts w:ascii="Arial" w:hAnsi="Arial" w:cs="Arial"/>
          <w:sz w:val="22"/>
          <w:szCs w:val="22"/>
          <w:vertAlign w:val="superscript"/>
          <w:lang w:val="en"/>
        </w:rPr>
        <w:t>®</w:t>
      </w:r>
      <w:r w:rsidRPr="00A85056">
        <w:rPr>
          <w:rFonts w:ascii="Arial" w:hAnsi="Arial" w:cs="Arial"/>
          <w:sz w:val="22"/>
          <w:szCs w:val="22"/>
        </w:rPr>
        <w:t xml:space="preserve"> and its corporate blog can be found at </w:t>
      </w:r>
      <w:hyperlink r:id="rId10" w:history="1">
        <w:r w:rsidRPr="00A85056">
          <w:rPr>
            <w:rStyle w:val="Hyperlink"/>
            <w:rFonts w:ascii="Arial" w:hAnsi="Arial" w:cs="Arial"/>
            <w:sz w:val="22"/>
            <w:szCs w:val="22"/>
          </w:rPr>
          <w:t>Longitudes.ups.com</w:t>
        </w:r>
      </w:hyperlink>
      <w:r w:rsidRPr="00A85056">
        <w:rPr>
          <w:rFonts w:ascii="Arial" w:hAnsi="Arial" w:cs="Arial"/>
          <w:color w:val="003436"/>
          <w:sz w:val="22"/>
          <w:szCs w:val="22"/>
        </w:rPr>
        <w:t>.</w:t>
      </w:r>
      <w:r w:rsidRPr="00A85056">
        <w:rPr>
          <w:rFonts w:ascii="Arial" w:hAnsi="Arial" w:cs="Arial"/>
          <w:sz w:val="22"/>
          <w:szCs w:val="22"/>
        </w:rPr>
        <w:t xml:space="preserve"> To get UPS news direct</w:t>
      </w:r>
      <w:r>
        <w:rPr>
          <w:rFonts w:ascii="Arial" w:hAnsi="Arial" w:cs="Arial"/>
          <w:sz w:val="22"/>
          <w:szCs w:val="22"/>
        </w:rPr>
        <w:t>ly</w:t>
      </w:r>
      <w:r w:rsidRPr="00A85056">
        <w:rPr>
          <w:rFonts w:ascii="Arial" w:hAnsi="Arial" w:cs="Arial"/>
          <w:sz w:val="22"/>
          <w:szCs w:val="22"/>
        </w:rPr>
        <w:t xml:space="preserve">, visit </w:t>
      </w:r>
      <w:hyperlink r:id="rId11" w:history="1">
        <w:r w:rsidRPr="00A85056">
          <w:rPr>
            <w:rStyle w:val="Hyperlink"/>
            <w:rFonts w:ascii="Arial" w:hAnsi="Arial" w:cs="Arial"/>
            <w:sz w:val="22"/>
            <w:szCs w:val="22"/>
          </w:rPr>
          <w:t>pressroom.ups.com/RSS</w:t>
        </w:r>
      </w:hyperlink>
      <w:r w:rsidRPr="00A85056">
        <w:rPr>
          <w:rFonts w:ascii="Arial" w:hAnsi="Arial" w:cs="Arial"/>
          <w:color w:val="003436"/>
          <w:sz w:val="22"/>
          <w:szCs w:val="22"/>
        </w:rPr>
        <w:t>.</w:t>
      </w:r>
    </w:p>
    <w:p w:rsidR="005E40CB" w:rsidRDefault="005E40CB" w:rsidP="00827F59">
      <w:pPr>
        <w:autoSpaceDE w:val="0"/>
        <w:autoSpaceDN w:val="0"/>
        <w:adjustRightInd w:val="0"/>
        <w:rPr>
          <w:rFonts w:ascii="Arial" w:hAnsi="Arial" w:cs="Arial"/>
          <w:sz w:val="22"/>
          <w:szCs w:val="22"/>
        </w:rPr>
      </w:pPr>
    </w:p>
    <w:p w:rsidR="005E40CB" w:rsidRDefault="005E40CB" w:rsidP="001F60BC">
      <w:pPr>
        <w:rPr>
          <w:rFonts w:ascii="Arial" w:hAnsi="Arial" w:cs="Arial"/>
          <w:b/>
          <w:sz w:val="22"/>
          <w:szCs w:val="22"/>
          <w:u w:val="single"/>
        </w:rPr>
      </w:pPr>
    </w:p>
    <w:p w:rsidR="005E40CB" w:rsidRPr="00B50A8C" w:rsidRDefault="005E40CB" w:rsidP="001F60BC">
      <w:pPr>
        <w:rPr>
          <w:rFonts w:ascii="Arial" w:hAnsi="Arial" w:cs="Arial"/>
          <w:sz w:val="22"/>
          <w:szCs w:val="22"/>
          <w:u w:val="single"/>
        </w:rPr>
      </w:pPr>
      <w:r w:rsidRPr="00B50A8C">
        <w:rPr>
          <w:rFonts w:ascii="Arial" w:hAnsi="Arial" w:cs="Arial"/>
          <w:b/>
          <w:sz w:val="22"/>
          <w:szCs w:val="22"/>
          <w:u w:val="single"/>
        </w:rPr>
        <w:t>Forward-Looking Statements</w:t>
      </w:r>
    </w:p>
    <w:p w:rsidR="005E40CB" w:rsidRDefault="005E40CB" w:rsidP="001F60BC">
      <w:pPr>
        <w:ind w:firstLine="720"/>
        <w:rPr>
          <w:rFonts w:ascii="Arial" w:hAnsi="Arial" w:cs="Arial"/>
          <w:sz w:val="22"/>
          <w:szCs w:val="22"/>
        </w:rPr>
      </w:pPr>
    </w:p>
    <w:p w:rsidR="005E40CB" w:rsidRDefault="005E40CB" w:rsidP="001F60BC">
      <w:pPr>
        <w:ind w:firstLine="720"/>
        <w:rPr>
          <w:rFonts w:ascii="Arial" w:hAnsi="Arial" w:cs="Arial"/>
          <w:sz w:val="22"/>
          <w:szCs w:val="22"/>
        </w:rPr>
      </w:pPr>
      <w:r w:rsidRPr="00A85056">
        <w:rPr>
          <w:rFonts w:ascii="Arial" w:hAnsi="Arial" w:cs="Arial"/>
          <w:sz w:val="22"/>
          <w:szCs w:val="22"/>
        </w:rPr>
        <w:t>Except for historical information contained herein, the statements made in this release constitute forward-looking statements within the meaning of Section 27A of the Securities Act of 1933 and Section 21E of the Securities Exchange Act of 1934. Such forward-looking</w:t>
      </w:r>
      <w:r>
        <w:rPr>
          <w:rFonts w:ascii="Arial" w:hAnsi="Arial" w:cs="Arial"/>
          <w:sz w:val="22"/>
          <w:szCs w:val="22"/>
        </w:rPr>
        <w:t xml:space="preserve"> </w:t>
      </w:r>
      <w:r w:rsidRPr="00A85056">
        <w:rPr>
          <w:rFonts w:ascii="Arial" w:hAnsi="Arial" w:cs="Arial"/>
          <w:sz w:val="22"/>
          <w:szCs w:val="22"/>
        </w:rPr>
        <w:t xml:space="preserve">statements, including statements regarding the intent, belief or current expectations of UPS and its management regarding the company's strategic directions, prospects and future results, involve certain risks and uncertainties. </w:t>
      </w:r>
    </w:p>
    <w:p w:rsidR="005E40CB" w:rsidRDefault="005E40CB" w:rsidP="005A7296">
      <w:pPr>
        <w:autoSpaceDE w:val="0"/>
        <w:autoSpaceDN w:val="0"/>
        <w:adjustRightInd w:val="0"/>
        <w:rPr>
          <w:rFonts w:ascii="Arial" w:hAnsi="Arial" w:cs="Arial"/>
          <w:color w:val="003436"/>
          <w:sz w:val="22"/>
          <w:szCs w:val="22"/>
        </w:rPr>
      </w:pPr>
    </w:p>
    <w:p w:rsidR="005E40CB" w:rsidRDefault="005E40CB" w:rsidP="00F05609">
      <w:pPr>
        <w:autoSpaceDE w:val="0"/>
        <w:autoSpaceDN w:val="0"/>
        <w:adjustRightInd w:val="0"/>
        <w:rPr>
          <w:rFonts w:ascii="Arial" w:hAnsi="Arial" w:cs="Arial"/>
          <w:color w:val="003436"/>
          <w:sz w:val="22"/>
          <w:szCs w:val="22"/>
        </w:rPr>
      </w:pPr>
    </w:p>
    <w:p w:rsidR="005E40CB" w:rsidRPr="007F2673" w:rsidRDefault="005E40CB" w:rsidP="00566F1A">
      <w:pPr>
        <w:autoSpaceDE w:val="0"/>
        <w:autoSpaceDN w:val="0"/>
        <w:adjustRightInd w:val="0"/>
        <w:rPr>
          <w:rFonts w:ascii="Arial" w:hAnsi="Arial" w:cs="Arial"/>
          <w:b/>
          <w:sz w:val="22"/>
          <w:szCs w:val="22"/>
          <w:u w:val="single"/>
        </w:rPr>
      </w:pPr>
      <w:r w:rsidRPr="007F2673">
        <w:rPr>
          <w:rFonts w:ascii="Arial" w:hAnsi="Arial" w:cs="Arial"/>
          <w:b/>
          <w:sz w:val="22"/>
          <w:szCs w:val="22"/>
          <w:u w:val="single"/>
        </w:rPr>
        <w:t>Reconciliation of GAAP and non-GAAP Financial Measures</w:t>
      </w:r>
    </w:p>
    <w:p w:rsidR="005E40CB" w:rsidRPr="007F2673" w:rsidRDefault="005E40CB" w:rsidP="00566F1A">
      <w:pPr>
        <w:autoSpaceDE w:val="0"/>
        <w:autoSpaceDN w:val="0"/>
        <w:adjustRightInd w:val="0"/>
        <w:rPr>
          <w:rFonts w:ascii="Arial" w:hAnsi="Arial" w:cs="Arial"/>
          <w:color w:val="003436"/>
          <w:sz w:val="22"/>
          <w:szCs w:val="22"/>
        </w:rPr>
      </w:pPr>
    </w:p>
    <w:p w:rsidR="005E40CB" w:rsidRPr="007F2673" w:rsidRDefault="005E40CB" w:rsidP="00566F1A">
      <w:pPr>
        <w:ind w:firstLine="720"/>
        <w:rPr>
          <w:rFonts w:ascii="Arial" w:hAnsi="Arial" w:cs="Arial"/>
          <w:sz w:val="22"/>
          <w:szCs w:val="22"/>
        </w:rPr>
      </w:pPr>
      <w:r w:rsidRPr="007F2673">
        <w:rPr>
          <w:rFonts w:ascii="Arial" w:hAnsi="Arial" w:cs="Arial"/>
          <w:sz w:val="22"/>
          <w:szCs w:val="22"/>
        </w:rPr>
        <w:t xml:space="preserve">We supplement the reporting of our financial information determined under generally accepted accounting principles ("GAAP") with certain non-GAAP financial measures, including, as applicable, "as adjusted" operating profit, operating margin, pre-tax income, net income and earnings per share. The equivalent measures determined in accordance with GAAP are also referred to as "reported" or "unadjusted.” Additionally, we </w:t>
      </w:r>
      <w:r>
        <w:rPr>
          <w:rFonts w:ascii="Arial" w:hAnsi="Arial" w:cs="Arial"/>
          <w:sz w:val="22"/>
          <w:szCs w:val="22"/>
        </w:rPr>
        <w:t xml:space="preserve">periodically </w:t>
      </w:r>
      <w:r w:rsidRPr="007F2673">
        <w:rPr>
          <w:rFonts w:ascii="Arial" w:hAnsi="Arial" w:cs="Arial"/>
          <w:sz w:val="22"/>
          <w:szCs w:val="22"/>
        </w:rPr>
        <w:t xml:space="preserve">disclose free cash flow as well as currency-neutral </w:t>
      </w:r>
      <w:r>
        <w:rPr>
          <w:rFonts w:ascii="Arial" w:hAnsi="Arial" w:cs="Arial"/>
          <w:sz w:val="22"/>
          <w:szCs w:val="22"/>
        </w:rPr>
        <w:t>revenue, revenue per piece and operating profit</w:t>
      </w:r>
      <w:r w:rsidRPr="007F2673">
        <w:rPr>
          <w:rFonts w:ascii="Arial" w:hAnsi="Arial" w:cs="Arial"/>
          <w:sz w:val="22"/>
          <w:szCs w:val="22"/>
        </w:rPr>
        <w:t xml:space="preserve">. </w:t>
      </w:r>
    </w:p>
    <w:p w:rsidR="005E40CB" w:rsidRPr="007F2673" w:rsidRDefault="005E40CB" w:rsidP="00566F1A">
      <w:pPr>
        <w:ind w:firstLine="720"/>
        <w:rPr>
          <w:rFonts w:ascii="Arial" w:hAnsi="Arial" w:cs="Arial"/>
          <w:sz w:val="22"/>
          <w:szCs w:val="22"/>
        </w:rPr>
      </w:pPr>
    </w:p>
    <w:p w:rsidR="005E40CB" w:rsidRPr="007F2673" w:rsidRDefault="005E40CB" w:rsidP="00566F1A">
      <w:pPr>
        <w:ind w:firstLine="720"/>
        <w:rPr>
          <w:rFonts w:ascii="Arial" w:hAnsi="Arial" w:cs="Arial"/>
          <w:sz w:val="22"/>
          <w:szCs w:val="22"/>
        </w:rPr>
      </w:pPr>
      <w:r w:rsidRPr="007F2673">
        <w:rPr>
          <w:rFonts w:ascii="Arial" w:hAnsi="Arial" w:cs="Arial"/>
          <w:sz w:val="22"/>
          <w:szCs w:val="22"/>
        </w:rPr>
        <w:t xml:space="preserve">We believe that these non-GAAP measures provide additional meaningful information to assist users of our financial statements in understanding our financial results and assessing our ongoing performance because they exclude items that may not be indicative of, or are unrelated to, our underlying operations and may provide a useful baseline for analyzing trends in our underlying businesses. Management uses these non-GAAP financial measures in making financial, operating and planning decisions. We also use certain of these measures for the determination of incentive compensation award results. </w:t>
      </w:r>
    </w:p>
    <w:p w:rsidR="005E40CB" w:rsidRPr="007F2673" w:rsidRDefault="005E40CB" w:rsidP="00566F1A">
      <w:pPr>
        <w:ind w:firstLine="720"/>
        <w:rPr>
          <w:rFonts w:ascii="Arial" w:hAnsi="Arial" w:cs="Arial"/>
          <w:sz w:val="22"/>
          <w:szCs w:val="22"/>
        </w:rPr>
      </w:pPr>
    </w:p>
    <w:p w:rsidR="005E40CB" w:rsidRPr="007F2673" w:rsidRDefault="005E40CB" w:rsidP="00566F1A">
      <w:pPr>
        <w:ind w:firstLine="720"/>
        <w:rPr>
          <w:rFonts w:ascii="Arial" w:hAnsi="Arial" w:cs="Arial"/>
          <w:sz w:val="22"/>
          <w:szCs w:val="22"/>
        </w:rPr>
      </w:pPr>
      <w:r w:rsidRPr="007F2673">
        <w:rPr>
          <w:rFonts w:ascii="Arial" w:hAnsi="Arial" w:cs="Arial"/>
          <w:sz w:val="22"/>
          <w:szCs w:val="22"/>
        </w:rPr>
        <w:t xml:space="preserve">Non-GAAP financial measures should be considered in addition to, and not as an alternative for, our reported results prepared in accordance with GAAP. Our non-GAAP financial information does not represent a comprehensive basis of accounting. Therefore, our non-GAAP financial information may not be comparable to similarly titled measures reported by other companies. </w:t>
      </w:r>
    </w:p>
    <w:p w:rsidR="005E40CB" w:rsidRPr="00D02771" w:rsidRDefault="005E40CB" w:rsidP="00566F1A">
      <w:pPr>
        <w:rPr>
          <w:sz w:val="22"/>
          <w:szCs w:val="22"/>
          <w:highlight w:val="yellow"/>
        </w:rPr>
      </w:pPr>
    </w:p>
    <w:p w:rsidR="005E40CB" w:rsidRPr="00016FE2" w:rsidRDefault="005E40CB" w:rsidP="00566F1A">
      <w:pPr>
        <w:ind w:firstLine="720"/>
        <w:rPr>
          <w:rFonts w:ascii="Arial" w:hAnsi="Arial" w:cs="Arial"/>
          <w:i/>
          <w:sz w:val="22"/>
          <w:szCs w:val="22"/>
        </w:rPr>
      </w:pPr>
    </w:p>
    <w:p w:rsidR="005E40CB" w:rsidRPr="00016FE2" w:rsidRDefault="005E40CB" w:rsidP="00566F1A">
      <w:pPr>
        <w:rPr>
          <w:rFonts w:ascii="Arial" w:hAnsi="Arial" w:cs="Arial"/>
          <w:i/>
          <w:sz w:val="22"/>
          <w:szCs w:val="22"/>
        </w:rPr>
      </w:pPr>
      <w:r w:rsidRPr="00016FE2">
        <w:rPr>
          <w:rFonts w:ascii="Arial" w:hAnsi="Arial" w:cs="Arial"/>
          <w:i/>
          <w:sz w:val="22"/>
          <w:szCs w:val="22"/>
        </w:rPr>
        <w:t>Currency-Neutral Revenue</w:t>
      </w:r>
      <w:r>
        <w:rPr>
          <w:rFonts w:ascii="Arial" w:hAnsi="Arial" w:cs="Arial"/>
          <w:i/>
          <w:sz w:val="22"/>
          <w:szCs w:val="22"/>
        </w:rPr>
        <w:t>,</w:t>
      </w:r>
      <w:r w:rsidRPr="00016FE2">
        <w:rPr>
          <w:rFonts w:ascii="Arial" w:hAnsi="Arial" w:cs="Arial"/>
          <w:i/>
          <w:sz w:val="22"/>
          <w:szCs w:val="22"/>
        </w:rPr>
        <w:t xml:space="preserve"> Revenue per Piece</w:t>
      </w:r>
      <w:r>
        <w:rPr>
          <w:rFonts w:ascii="Arial" w:hAnsi="Arial" w:cs="Arial"/>
          <w:i/>
          <w:sz w:val="22"/>
          <w:szCs w:val="22"/>
        </w:rPr>
        <w:t xml:space="preserve"> and Operating Profit</w:t>
      </w:r>
    </w:p>
    <w:p w:rsidR="005E40CB" w:rsidRPr="00D02771" w:rsidRDefault="005E40CB" w:rsidP="00566F1A">
      <w:pPr>
        <w:rPr>
          <w:rFonts w:ascii="Arial" w:hAnsi="Arial" w:cs="Arial"/>
          <w:sz w:val="22"/>
          <w:szCs w:val="22"/>
          <w:highlight w:val="yellow"/>
        </w:rPr>
      </w:pPr>
    </w:p>
    <w:p w:rsidR="005E40CB" w:rsidRPr="007F0184" w:rsidRDefault="005E40CB" w:rsidP="00566F1A">
      <w:pPr>
        <w:ind w:firstLine="720"/>
        <w:rPr>
          <w:rFonts w:ascii="Arial" w:hAnsi="Arial" w:cs="Arial"/>
          <w:sz w:val="22"/>
          <w:szCs w:val="22"/>
        </w:rPr>
      </w:pPr>
      <w:r w:rsidRPr="007F0184">
        <w:rPr>
          <w:rFonts w:ascii="Arial" w:hAnsi="Arial" w:cs="Arial"/>
          <w:sz w:val="22"/>
          <w:szCs w:val="22"/>
        </w:rPr>
        <w:t xml:space="preserve">We supplement the reporting of our </w:t>
      </w:r>
      <w:r>
        <w:rPr>
          <w:rFonts w:ascii="Arial" w:hAnsi="Arial" w:cs="Arial"/>
          <w:sz w:val="22"/>
          <w:szCs w:val="22"/>
        </w:rPr>
        <w:t>revenue, revenue per piece and operating profit</w:t>
      </w:r>
      <w:r w:rsidRPr="007F0184">
        <w:rPr>
          <w:rFonts w:ascii="Arial" w:hAnsi="Arial" w:cs="Arial"/>
          <w:sz w:val="22"/>
          <w:szCs w:val="22"/>
        </w:rPr>
        <w:t xml:space="preserve"> with similar non-GAAP measures that exclude the period-over-period impact of foreign currency exchange rate changes and hedging activities. We believe currency-neutral </w:t>
      </w:r>
      <w:r>
        <w:rPr>
          <w:rFonts w:ascii="Arial" w:hAnsi="Arial" w:cs="Arial"/>
          <w:sz w:val="22"/>
          <w:szCs w:val="22"/>
        </w:rPr>
        <w:t>revenue, revenue per piece and operating profit</w:t>
      </w:r>
      <w:r w:rsidRPr="007F0184">
        <w:rPr>
          <w:rFonts w:ascii="Arial" w:hAnsi="Arial" w:cs="Arial"/>
          <w:sz w:val="22"/>
          <w:szCs w:val="22"/>
        </w:rPr>
        <w:t xml:space="preserve"> information allows users of our financial statements to understand growth trends in our products and results. We evaluate the performance of our International Package business on a currency-neutral basis.</w:t>
      </w:r>
    </w:p>
    <w:p w:rsidR="005E40CB" w:rsidRPr="005A3981" w:rsidRDefault="005E40CB" w:rsidP="00566F1A">
      <w:pPr>
        <w:ind w:firstLine="720"/>
        <w:rPr>
          <w:rFonts w:ascii="Arial" w:hAnsi="Arial" w:cs="Arial"/>
          <w:sz w:val="22"/>
          <w:szCs w:val="22"/>
          <w:highlight w:val="yellow"/>
        </w:rPr>
      </w:pPr>
    </w:p>
    <w:p w:rsidR="005E40CB" w:rsidRDefault="005E40CB" w:rsidP="00566F1A">
      <w:pPr>
        <w:ind w:firstLine="720"/>
        <w:rPr>
          <w:rFonts w:ascii="Arial" w:hAnsi="Arial" w:cs="Arial"/>
          <w:sz w:val="22"/>
          <w:szCs w:val="22"/>
        </w:rPr>
      </w:pPr>
      <w:r w:rsidRPr="007F0184">
        <w:rPr>
          <w:rFonts w:ascii="Arial" w:hAnsi="Arial" w:cs="Arial"/>
          <w:sz w:val="22"/>
          <w:szCs w:val="22"/>
        </w:rPr>
        <w:t xml:space="preserve">Currency-neutral </w:t>
      </w:r>
      <w:r>
        <w:rPr>
          <w:rFonts w:ascii="Arial" w:hAnsi="Arial" w:cs="Arial"/>
          <w:sz w:val="22"/>
          <w:szCs w:val="22"/>
        </w:rPr>
        <w:t>revenue, revenue per piece and operating profit</w:t>
      </w:r>
      <w:r w:rsidRPr="007F0184">
        <w:rPr>
          <w:rFonts w:ascii="Arial" w:hAnsi="Arial" w:cs="Arial"/>
          <w:sz w:val="22"/>
          <w:szCs w:val="22"/>
        </w:rPr>
        <w:t xml:space="preserve"> are calculated by </w:t>
      </w:r>
      <w:r>
        <w:rPr>
          <w:rFonts w:ascii="Arial" w:hAnsi="Arial" w:cs="Arial"/>
          <w:sz w:val="22"/>
          <w:szCs w:val="22"/>
        </w:rPr>
        <w:t>dividing</w:t>
      </w:r>
      <w:r w:rsidRPr="005A3981">
        <w:rPr>
          <w:rFonts w:ascii="Arial" w:hAnsi="Arial" w:cs="Arial"/>
          <w:sz w:val="22"/>
          <w:szCs w:val="22"/>
        </w:rPr>
        <w:t xml:space="preserve"> current </w:t>
      </w:r>
      <w:r w:rsidRPr="007F0184">
        <w:rPr>
          <w:rFonts w:ascii="Arial" w:hAnsi="Arial" w:cs="Arial"/>
          <w:sz w:val="22"/>
          <w:szCs w:val="22"/>
        </w:rPr>
        <w:t xml:space="preserve">period reported U.S. dollar </w:t>
      </w:r>
      <w:r>
        <w:rPr>
          <w:rFonts w:ascii="Arial" w:hAnsi="Arial" w:cs="Arial"/>
          <w:sz w:val="22"/>
          <w:szCs w:val="22"/>
        </w:rPr>
        <w:t>revenue, revenue per piece and operating profit</w:t>
      </w:r>
      <w:r w:rsidRPr="007F0184">
        <w:rPr>
          <w:rFonts w:ascii="Arial" w:hAnsi="Arial" w:cs="Arial"/>
          <w:sz w:val="22"/>
          <w:szCs w:val="22"/>
        </w:rPr>
        <w:t xml:space="preserve"> by the </w:t>
      </w:r>
      <w:r>
        <w:rPr>
          <w:rFonts w:ascii="Arial" w:hAnsi="Arial" w:cs="Arial"/>
          <w:sz w:val="22"/>
          <w:szCs w:val="22"/>
        </w:rPr>
        <w:t>current</w:t>
      </w:r>
      <w:r w:rsidRPr="007F0184">
        <w:rPr>
          <w:rFonts w:ascii="Arial" w:hAnsi="Arial" w:cs="Arial"/>
          <w:sz w:val="22"/>
          <w:szCs w:val="22"/>
        </w:rPr>
        <w:t xml:space="preserve"> period average exchange rates to derive </w:t>
      </w:r>
      <w:r w:rsidRPr="005A3981">
        <w:rPr>
          <w:rFonts w:ascii="Arial" w:hAnsi="Arial" w:cs="Arial"/>
          <w:sz w:val="22"/>
          <w:szCs w:val="22"/>
        </w:rPr>
        <w:t>current</w:t>
      </w:r>
      <w:r w:rsidRPr="007F0184">
        <w:rPr>
          <w:rFonts w:ascii="Arial" w:hAnsi="Arial" w:cs="Arial"/>
          <w:sz w:val="22"/>
          <w:szCs w:val="22"/>
        </w:rPr>
        <w:t xml:space="preserve"> period local currency </w:t>
      </w:r>
      <w:r>
        <w:rPr>
          <w:rFonts w:ascii="Arial" w:hAnsi="Arial" w:cs="Arial"/>
          <w:sz w:val="22"/>
          <w:szCs w:val="22"/>
        </w:rPr>
        <w:t>revenue, revenue per piece and operating profit</w:t>
      </w:r>
      <w:r w:rsidRPr="007F0184">
        <w:rPr>
          <w:rFonts w:ascii="Arial" w:hAnsi="Arial" w:cs="Arial"/>
          <w:sz w:val="22"/>
          <w:szCs w:val="22"/>
        </w:rPr>
        <w:t>.</w:t>
      </w:r>
      <w:r>
        <w:rPr>
          <w:rFonts w:ascii="Arial" w:hAnsi="Arial" w:cs="Arial"/>
          <w:sz w:val="22"/>
          <w:szCs w:val="22"/>
        </w:rPr>
        <w:t xml:space="preserve"> The derived current period local currency revenue, revenue per piece and operating profit are then multiplied by the average foreign exchange rates used to translate the comparable results for each month in the prior year period (including the period over period impact of foreign currency revenue hedging activities). </w:t>
      </w:r>
      <w:r w:rsidRPr="005A3981">
        <w:rPr>
          <w:rFonts w:ascii="Arial" w:hAnsi="Arial" w:cs="Arial"/>
          <w:sz w:val="22"/>
          <w:szCs w:val="22"/>
        </w:rPr>
        <w:t xml:space="preserve">The difference </w:t>
      </w:r>
      <w:r>
        <w:rPr>
          <w:rFonts w:ascii="Arial" w:hAnsi="Arial" w:cs="Arial"/>
          <w:sz w:val="22"/>
          <w:szCs w:val="22"/>
        </w:rPr>
        <w:t xml:space="preserve">between </w:t>
      </w:r>
      <w:r w:rsidRPr="007F0184">
        <w:rPr>
          <w:rFonts w:ascii="Arial" w:hAnsi="Arial" w:cs="Arial"/>
          <w:sz w:val="22"/>
          <w:szCs w:val="22"/>
        </w:rPr>
        <w:t xml:space="preserve">the </w:t>
      </w:r>
      <w:r>
        <w:rPr>
          <w:rFonts w:ascii="Arial" w:hAnsi="Arial" w:cs="Arial"/>
          <w:sz w:val="22"/>
          <w:szCs w:val="22"/>
        </w:rPr>
        <w:t>current</w:t>
      </w:r>
      <w:r w:rsidRPr="007F0184">
        <w:rPr>
          <w:rFonts w:ascii="Arial" w:hAnsi="Arial" w:cs="Arial"/>
          <w:sz w:val="22"/>
          <w:szCs w:val="22"/>
        </w:rPr>
        <w:t xml:space="preserve"> period reported U.S. dollar </w:t>
      </w:r>
      <w:r>
        <w:rPr>
          <w:rFonts w:ascii="Arial" w:hAnsi="Arial" w:cs="Arial"/>
          <w:sz w:val="22"/>
          <w:szCs w:val="22"/>
        </w:rPr>
        <w:t>revenue, revenue per piece and operating profit</w:t>
      </w:r>
      <w:r w:rsidRPr="007F0184">
        <w:rPr>
          <w:rFonts w:ascii="Arial" w:hAnsi="Arial" w:cs="Arial"/>
          <w:sz w:val="22"/>
          <w:szCs w:val="22"/>
        </w:rPr>
        <w:t xml:space="preserve"> and the derived </w:t>
      </w:r>
      <w:r w:rsidRPr="005A3981">
        <w:rPr>
          <w:rFonts w:ascii="Arial" w:hAnsi="Arial" w:cs="Arial"/>
          <w:sz w:val="22"/>
          <w:szCs w:val="22"/>
        </w:rPr>
        <w:t>current</w:t>
      </w:r>
      <w:r w:rsidRPr="007F0184">
        <w:rPr>
          <w:rFonts w:ascii="Arial" w:hAnsi="Arial" w:cs="Arial"/>
          <w:sz w:val="22"/>
          <w:szCs w:val="22"/>
        </w:rPr>
        <w:t xml:space="preserve"> period U.S. dollar </w:t>
      </w:r>
      <w:r>
        <w:rPr>
          <w:rFonts w:ascii="Arial" w:hAnsi="Arial" w:cs="Arial"/>
          <w:sz w:val="22"/>
          <w:szCs w:val="22"/>
        </w:rPr>
        <w:t>revenue, revenue per piece and operating profit</w:t>
      </w:r>
      <w:r w:rsidRPr="007F0184">
        <w:rPr>
          <w:rFonts w:ascii="Arial" w:hAnsi="Arial" w:cs="Arial"/>
          <w:sz w:val="22"/>
          <w:szCs w:val="22"/>
        </w:rPr>
        <w:t xml:space="preserve"> is </w:t>
      </w:r>
      <w:r w:rsidRPr="005A3981">
        <w:rPr>
          <w:rFonts w:ascii="Arial" w:hAnsi="Arial" w:cs="Arial"/>
          <w:sz w:val="22"/>
          <w:szCs w:val="22"/>
        </w:rPr>
        <w:t xml:space="preserve">the </w:t>
      </w:r>
      <w:r w:rsidRPr="007F0184">
        <w:rPr>
          <w:rFonts w:ascii="Arial" w:hAnsi="Arial" w:cs="Arial"/>
          <w:sz w:val="22"/>
          <w:szCs w:val="22"/>
        </w:rPr>
        <w:t>period over period impact of currency fluctuations</w:t>
      </w:r>
      <w:r>
        <w:rPr>
          <w:rFonts w:ascii="Arial" w:hAnsi="Arial" w:cs="Arial"/>
          <w:sz w:val="22"/>
          <w:szCs w:val="22"/>
        </w:rPr>
        <w:t>.</w:t>
      </w:r>
      <w:r w:rsidRPr="007F0184">
        <w:rPr>
          <w:rFonts w:ascii="Arial" w:hAnsi="Arial" w:cs="Arial"/>
          <w:sz w:val="22"/>
          <w:szCs w:val="22"/>
        </w:rPr>
        <w:t xml:space="preserve"> </w:t>
      </w:r>
    </w:p>
    <w:p w:rsidR="005E40CB" w:rsidRDefault="005E40CB" w:rsidP="00827F59">
      <w:pPr>
        <w:rPr>
          <w:rFonts w:ascii="Arial" w:hAnsi="Arial" w:cs="Arial"/>
          <w:sz w:val="22"/>
          <w:szCs w:val="22"/>
          <w:highlight w:val="yellow"/>
        </w:rPr>
      </w:pPr>
    </w:p>
    <w:p w:rsidR="005E40CB" w:rsidRPr="00D02771" w:rsidRDefault="005E40CB" w:rsidP="00827F59">
      <w:pPr>
        <w:rPr>
          <w:rFonts w:ascii="Arial" w:hAnsi="Arial" w:cs="Arial"/>
          <w:sz w:val="22"/>
          <w:szCs w:val="22"/>
          <w:highlight w:val="yellow"/>
        </w:rPr>
      </w:pPr>
    </w:p>
    <w:p w:rsidR="005E40CB" w:rsidRDefault="005E40CB" w:rsidP="00827F59">
      <w:pPr>
        <w:rPr>
          <w:rFonts w:ascii="Arial" w:hAnsi="Arial" w:cs="Arial"/>
          <w:b/>
          <w:sz w:val="20"/>
          <w:szCs w:val="20"/>
        </w:rPr>
      </w:pPr>
    </w:p>
    <w:p w:rsidR="005E40CB" w:rsidRDefault="005E40CB" w:rsidP="00566F1A">
      <w:pPr>
        <w:jc w:val="center"/>
        <w:rPr>
          <w:rFonts w:ascii="Arial" w:hAnsi="Arial" w:cs="Arial"/>
          <w:b/>
          <w:sz w:val="20"/>
          <w:szCs w:val="20"/>
        </w:rPr>
      </w:pPr>
      <w:r w:rsidRPr="00D12477">
        <w:rPr>
          <w:rFonts w:ascii="Arial" w:hAnsi="Arial" w:cs="Arial"/>
          <w:b/>
          <w:sz w:val="20"/>
          <w:szCs w:val="20"/>
        </w:rPr>
        <w:t xml:space="preserve">Reconciliation of GAAP and </w:t>
      </w:r>
      <w:r>
        <w:rPr>
          <w:rFonts w:ascii="Arial" w:hAnsi="Arial" w:cs="Arial"/>
          <w:b/>
          <w:sz w:val="20"/>
          <w:szCs w:val="20"/>
        </w:rPr>
        <w:t>n</w:t>
      </w:r>
      <w:r w:rsidRPr="00D12477">
        <w:rPr>
          <w:rFonts w:ascii="Arial" w:hAnsi="Arial" w:cs="Arial"/>
          <w:b/>
          <w:sz w:val="20"/>
          <w:szCs w:val="20"/>
        </w:rPr>
        <w:t xml:space="preserve">on-GAAP </w:t>
      </w:r>
      <w:r>
        <w:rPr>
          <w:rFonts w:ascii="Arial" w:hAnsi="Arial" w:cs="Arial"/>
          <w:b/>
          <w:sz w:val="20"/>
          <w:szCs w:val="20"/>
        </w:rPr>
        <w:t>Revenue, Revenue Per Piece and Operating Profit</w:t>
      </w:r>
      <w:r w:rsidRPr="00D12477">
        <w:rPr>
          <w:rFonts w:ascii="Arial" w:hAnsi="Arial" w:cs="Arial"/>
          <w:b/>
          <w:sz w:val="20"/>
          <w:szCs w:val="20"/>
        </w:rPr>
        <w:t xml:space="preserve"> </w:t>
      </w:r>
    </w:p>
    <w:p w:rsidR="005E40CB" w:rsidRPr="00D12477" w:rsidRDefault="005E40CB" w:rsidP="00566F1A">
      <w:pPr>
        <w:jc w:val="center"/>
        <w:rPr>
          <w:rFonts w:ascii="Arial" w:hAnsi="Arial" w:cs="Arial"/>
          <w:b/>
          <w:sz w:val="20"/>
          <w:szCs w:val="20"/>
        </w:rPr>
      </w:pPr>
      <w:r w:rsidRPr="00D12477">
        <w:rPr>
          <w:rFonts w:ascii="Arial" w:hAnsi="Arial" w:cs="Arial"/>
          <w:b/>
          <w:sz w:val="20"/>
          <w:szCs w:val="20"/>
        </w:rPr>
        <w:t xml:space="preserve">(in </w:t>
      </w:r>
      <w:r>
        <w:rPr>
          <w:rFonts w:ascii="Arial" w:hAnsi="Arial" w:cs="Arial"/>
          <w:b/>
          <w:sz w:val="20"/>
          <w:szCs w:val="20"/>
        </w:rPr>
        <w:t>m</w:t>
      </w:r>
      <w:r w:rsidRPr="00D12477">
        <w:rPr>
          <w:rFonts w:ascii="Arial" w:hAnsi="Arial" w:cs="Arial"/>
          <w:b/>
          <w:sz w:val="20"/>
          <w:szCs w:val="20"/>
        </w:rPr>
        <w:t xml:space="preserve">illions, except </w:t>
      </w:r>
      <w:r>
        <w:rPr>
          <w:rFonts w:ascii="Arial" w:hAnsi="Arial" w:cs="Arial"/>
          <w:b/>
          <w:sz w:val="20"/>
          <w:szCs w:val="20"/>
        </w:rPr>
        <w:t>P</w:t>
      </w:r>
      <w:r w:rsidRPr="00D12477">
        <w:rPr>
          <w:rFonts w:ascii="Arial" w:hAnsi="Arial" w:cs="Arial"/>
          <w:b/>
          <w:sz w:val="20"/>
          <w:szCs w:val="20"/>
        </w:rPr>
        <w:t>er Piece amounts):</w:t>
      </w:r>
    </w:p>
    <w:p w:rsidR="005E40CB" w:rsidRPr="00D12477" w:rsidRDefault="005E40CB" w:rsidP="00566F1A">
      <w:pPr>
        <w:rPr>
          <w:rFonts w:ascii="Arial" w:hAnsi="Arial" w:cs="Arial"/>
          <w:b/>
          <w:sz w:val="18"/>
          <w:szCs w:val="20"/>
        </w:rPr>
      </w:pPr>
    </w:p>
    <w:p w:rsidR="005E40CB" w:rsidRDefault="005E40CB" w:rsidP="00566F1A">
      <w:pPr>
        <w:rPr>
          <w:rFonts w:ascii="Arial" w:hAnsi="Arial" w:cs="Arial"/>
          <w:sz w:val="18"/>
          <w:szCs w:val="20"/>
        </w:rPr>
      </w:pPr>
    </w:p>
    <w:tbl>
      <w:tblPr>
        <w:tblpPr w:leftFromText="180" w:rightFromText="180" w:vertAnchor="text" w:tblpY="1"/>
        <w:tblOverlap w:val="neve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08"/>
        <w:gridCol w:w="1065"/>
        <w:gridCol w:w="555"/>
        <w:gridCol w:w="510"/>
        <w:gridCol w:w="1065"/>
        <w:gridCol w:w="1065"/>
        <w:gridCol w:w="532"/>
        <w:gridCol w:w="533"/>
        <w:gridCol w:w="1065"/>
      </w:tblGrid>
      <w:tr w:rsidR="005E40CB" w:rsidTr="00CD3147">
        <w:tc>
          <w:tcPr>
            <w:tcW w:w="9398" w:type="dxa"/>
            <w:gridSpan w:val="9"/>
          </w:tcPr>
          <w:p w:rsidR="005E40CB" w:rsidRPr="00CD3147" w:rsidRDefault="005E40CB" w:rsidP="00CD3147">
            <w:pPr>
              <w:autoSpaceDE w:val="0"/>
              <w:autoSpaceDN w:val="0"/>
              <w:adjustRightInd w:val="0"/>
              <w:jc w:val="center"/>
              <w:rPr>
                <w:rFonts w:ascii="Arial" w:hAnsi="Arial" w:cs="Arial"/>
                <w:b/>
                <w:sz w:val="18"/>
                <w:szCs w:val="20"/>
              </w:rPr>
            </w:pPr>
            <w:r w:rsidRPr="00CD3147">
              <w:rPr>
                <w:rFonts w:ascii="Arial" w:hAnsi="Arial" w:cs="Arial"/>
                <w:b/>
                <w:sz w:val="18"/>
                <w:szCs w:val="20"/>
              </w:rPr>
              <w:t>Three Months Ended March 31</w:t>
            </w:r>
          </w:p>
        </w:tc>
      </w:tr>
      <w:tr w:rsidR="005E40CB" w:rsidTr="00CD3147">
        <w:tc>
          <w:tcPr>
            <w:tcW w:w="3008" w:type="dxa"/>
            <w:tcBorders>
              <w:left w:val="nil"/>
              <w:bottom w:val="nil"/>
              <w:right w:val="nil"/>
            </w:tcBorders>
          </w:tcPr>
          <w:p w:rsidR="005E40CB" w:rsidRPr="00CD3147" w:rsidRDefault="005E40CB" w:rsidP="00CD3147">
            <w:pPr>
              <w:autoSpaceDE w:val="0"/>
              <w:autoSpaceDN w:val="0"/>
              <w:adjustRightInd w:val="0"/>
              <w:rPr>
                <w:rFonts w:ascii="Arial" w:hAnsi="Arial" w:cs="Arial"/>
                <w:sz w:val="18"/>
                <w:szCs w:val="20"/>
              </w:rPr>
            </w:pPr>
          </w:p>
        </w:tc>
        <w:tc>
          <w:tcPr>
            <w:tcW w:w="1620" w:type="dxa"/>
            <w:gridSpan w:val="2"/>
            <w:tcBorders>
              <w:top w:val="nil"/>
              <w:left w:val="nil"/>
              <w:bottom w:val="nil"/>
              <w:right w:val="nil"/>
            </w:tcBorders>
            <w:vAlign w:val="bottom"/>
          </w:tcPr>
          <w:p w:rsidR="005E40CB" w:rsidRPr="00CD3147" w:rsidRDefault="005E40CB" w:rsidP="00CD3147">
            <w:pPr>
              <w:autoSpaceDE w:val="0"/>
              <w:autoSpaceDN w:val="0"/>
              <w:adjustRightInd w:val="0"/>
              <w:jc w:val="center"/>
              <w:rPr>
                <w:rFonts w:ascii="Arial" w:hAnsi="Arial" w:cs="Arial"/>
                <w:b/>
                <w:sz w:val="18"/>
                <w:szCs w:val="20"/>
              </w:rPr>
            </w:pPr>
          </w:p>
        </w:tc>
        <w:tc>
          <w:tcPr>
            <w:tcW w:w="1575" w:type="dxa"/>
            <w:gridSpan w:val="2"/>
            <w:tcBorders>
              <w:top w:val="nil"/>
              <w:left w:val="nil"/>
              <w:bottom w:val="nil"/>
              <w:right w:val="nil"/>
            </w:tcBorders>
            <w:vAlign w:val="bottom"/>
          </w:tcPr>
          <w:p w:rsidR="005E40CB" w:rsidRPr="00CD3147" w:rsidRDefault="005E40CB" w:rsidP="00CD3147">
            <w:pPr>
              <w:autoSpaceDE w:val="0"/>
              <w:autoSpaceDN w:val="0"/>
              <w:adjustRightInd w:val="0"/>
              <w:jc w:val="center"/>
              <w:rPr>
                <w:rFonts w:ascii="Arial" w:hAnsi="Arial" w:cs="Arial"/>
                <w:b/>
                <w:sz w:val="18"/>
                <w:szCs w:val="20"/>
              </w:rPr>
            </w:pPr>
          </w:p>
        </w:tc>
        <w:tc>
          <w:tcPr>
            <w:tcW w:w="1597" w:type="dxa"/>
            <w:gridSpan w:val="2"/>
            <w:tcBorders>
              <w:top w:val="nil"/>
              <w:left w:val="nil"/>
              <w:bottom w:val="nil"/>
              <w:right w:val="nil"/>
            </w:tcBorders>
          </w:tcPr>
          <w:p w:rsidR="005E40CB" w:rsidRPr="00CD3147" w:rsidRDefault="005E40CB" w:rsidP="00CD3147">
            <w:pPr>
              <w:autoSpaceDE w:val="0"/>
              <w:autoSpaceDN w:val="0"/>
              <w:adjustRightInd w:val="0"/>
              <w:jc w:val="center"/>
              <w:rPr>
                <w:rFonts w:ascii="Arial" w:hAnsi="Arial" w:cs="Arial"/>
                <w:b/>
                <w:sz w:val="18"/>
                <w:szCs w:val="20"/>
              </w:rPr>
            </w:pPr>
          </w:p>
        </w:tc>
        <w:tc>
          <w:tcPr>
            <w:tcW w:w="1598" w:type="dxa"/>
            <w:gridSpan w:val="2"/>
            <w:tcBorders>
              <w:top w:val="nil"/>
              <w:left w:val="nil"/>
              <w:bottom w:val="nil"/>
              <w:right w:val="nil"/>
            </w:tcBorders>
            <w:vAlign w:val="bottom"/>
          </w:tcPr>
          <w:p w:rsidR="005E40CB" w:rsidRPr="00CD3147" w:rsidRDefault="005E40CB" w:rsidP="00CD3147">
            <w:pPr>
              <w:autoSpaceDE w:val="0"/>
              <w:autoSpaceDN w:val="0"/>
              <w:adjustRightInd w:val="0"/>
              <w:jc w:val="center"/>
              <w:rPr>
                <w:rFonts w:ascii="Arial" w:hAnsi="Arial" w:cs="Arial"/>
                <w:b/>
                <w:sz w:val="18"/>
                <w:szCs w:val="20"/>
              </w:rPr>
            </w:pPr>
          </w:p>
        </w:tc>
      </w:tr>
      <w:tr w:rsidR="005E40CB" w:rsidTr="00CD3147">
        <w:tc>
          <w:tcPr>
            <w:tcW w:w="3008" w:type="dxa"/>
            <w:tcBorders>
              <w:top w:val="nil"/>
              <w:left w:val="nil"/>
              <w:bottom w:val="nil"/>
              <w:right w:val="nil"/>
            </w:tcBorders>
          </w:tcPr>
          <w:p w:rsidR="005E40CB" w:rsidRPr="00CD3147" w:rsidRDefault="005E40CB" w:rsidP="00CD3147">
            <w:pPr>
              <w:autoSpaceDE w:val="0"/>
              <w:autoSpaceDN w:val="0"/>
              <w:adjustRightInd w:val="0"/>
              <w:rPr>
                <w:rFonts w:ascii="Arial" w:hAnsi="Arial" w:cs="Arial"/>
                <w:sz w:val="16"/>
                <w:szCs w:val="16"/>
              </w:rPr>
            </w:pPr>
          </w:p>
        </w:tc>
        <w:tc>
          <w:tcPr>
            <w:tcW w:w="1065" w:type="dxa"/>
            <w:tcBorders>
              <w:top w:val="nil"/>
              <w:left w:val="nil"/>
              <w:right w:val="nil"/>
            </w:tcBorders>
            <w:vAlign w:val="bottom"/>
          </w:tcPr>
          <w:p w:rsidR="005E40CB" w:rsidRPr="00CD3147" w:rsidRDefault="005E40CB" w:rsidP="00CD3147">
            <w:pPr>
              <w:autoSpaceDE w:val="0"/>
              <w:autoSpaceDN w:val="0"/>
              <w:adjustRightInd w:val="0"/>
              <w:jc w:val="center"/>
              <w:rPr>
                <w:rFonts w:ascii="Arial" w:hAnsi="Arial" w:cs="Arial"/>
                <w:b/>
                <w:sz w:val="16"/>
                <w:szCs w:val="16"/>
              </w:rPr>
            </w:pPr>
            <w:r w:rsidRPr="00CD3147">
              <w:rPr>
                <w:rFonts w:ascii="Arial" w:hAnsi="Arial" w:cs="Arial"/>
                <w:b/>
                <w:sz w:val="16"/>
                <w:szCs w:val="16"/>
              </w:rPr>
              <w:t>2017 As-Reported (GAAP)</w:t>
            </w:r>
          </w:p>
        </w:tc>
        <w:tc>
          <w:tcPr>
            <w:tcW w:w="1065" w:type="dxa"/>
            <w:gridSpan w:val="2"/>
            <w:tcBorders>
              <w:top w:val="nil"/>
              <w:left w:val="nil"/>
              <w:right w:val="nil"/>
            </w:tcBorders>
            <w:vAlign w:val="bottom"/>
          </w:tcPr>
          <w:p w:rsidR="005E40CB" w:rsidRPr="00CD3147" w:rsidRDefault="005E40CB" w:rsidP="00CD3147">
            <w:pPr>
              <w:autoSpaceDE w:val="0"/>
              <w:autoSpaceDN w:val="0"/>
              <w:adjustRightInd w:val="0"/>
              <w:jc w:val="center"/>
              <w:rPr>
                <w:rFonts w:ascii="Arial" w:hAnsi="Arial" w:cs="Arial"/>
                <w:b/>
                <w:sz w:val="16"/>
                <w:szCs w:val="16"/>
              </w:rPr>
            </w:pPr>
            <w:r w:rsidRPr="00CD3147">
              <w:rPr>
                <w:rFonts w:ascii="Arial" w:hAnsi="Arial" w:cs="Arial"/>
                <w:b/>
                <w:sz w:val="16"/>
                <w:szCs w:val="16"/>
              </w:rPr>
              <w:t>2016 As-Reported (GAAP)</w:t>
            </w:r>
          </w:p>
        </w:tc>
        <w:tc>
          <w:tcPr>
            <w:tcW w:w="1065" w:type="dxa"/>
            <w:tcBorders>
              <w:top w:val="nil"/>
              <w:left w:val="nil"/>
              <w:right w:val="nil"/>
            </w:tcBorders>
            <w:vAlign w:val="bottom"/>
          </w:tcPr>
          <w:p w:rsidR="005E40CB" w:rsidRPr="00CD3147" w:rsidRDefault="005E40CB" w:rsidP="00CD3147">
            <w:pPr>
              <w:autoSpaceDE w:val="0"/>
              <w:autoSpaceDN w:val="0"/>
              <w:adjustRightInd w:val="0"/>
              <w:jc w:val="center"/>
              <w:rPr>
                <w:rFonts w:ascii="Arial" w:hAnsi="Arial" w:cs="Arial"/>
                <w:b/>
                <w:sz w:val="16"/>
                <w:szCs w:val="16"/>
              </w:rPr>
            </w:pPr>
            <w:r w:rsidRPr="00CD3147">
              <w:rPr>
                <w:rFonts w:ascii="Arial" w:hAnsi="Arial" w:cs="Arial"/>
                <w:b/>
                <w:sz w:val="16"/>
                <w:szCs w:val="16"/>
              </w:rPr>
              <w:t>% Change (GAAP)</w:t>
            </w:r>
          </w:p>
        </w:tc>
        <w:tc>
          <w:tcPr>
            <w:tcW w:w="1065" w:type="dxa"/>
            <w:tcBorders>
              <w:top w:val="nil"/>
              <w:left w:val="nil"/>
              <w:right w:val="nil"/>
            </w:tcBorders>
            <w:vAlign w:val="bottom"/>
          </w:tcPr>
          <w:p w:rsidR="005E40CB" w:rsidRPr="00CD3147" w:rsidRDefault="005E40CB" w:rsidP="00CD3147">
            <w:pPr>
              <w:autoSpaceDE w:val="0"/>
              <w:autoSpaceDN w:val="0"/>
              <w:adjustRightInd w:val="0"/>
              <w:jc w:val="center"/>
              <w:rPr>
                <w:rFonts w:ascii="Arial" w:hAnsi="Arial" w:cs="Arial"/>
                <w:b/>
                <w:sz w:val="16"/>
                <w:szCs w:val="16"/>
              </w:rPr>
            </w:pPr>
            <w:r w:rsidRPr="00CD3147">
              <w:rPr>
                <w:rFonts w:ascii="Arial" w:hAnsi="Arial" w:cs="Arial"/>
                <w:b/>
                <w:sz w:val="16"/>
                <w:szCs w:val="16"/>
              </w:rPr>
              <w:t>Currency Impact</w:t>
            </w:r>
          </w:p>
        </w:tc>
        <w:tc>
          <w:tcPr>
            <w:tcW w:w="1065" w:type="dxa"/>
            <w:gridSpan w:val="2"/>
            <w:tcBorders>
              <w:top w:val="nil"/>
              <w:left w:val="nil"/>
              <w:right w:val="nil"/>
            </w:tcBorders>
            <w:vAlign w:val="bottom"/>
          </w:tcPr>
          <w:p w:rsidR="005E40CB" w:rsidRPr="00CD3147" w:rsidRDefault="005E40CB" w:rsidP="00CD3147">
            <w:pPr>
              <w:autoSpaceDE w:val="0"/>
              <w:autoSpaceDN w:val="0"/>
              <w:adjustRightInd w:val="0"/>
              <w:jc w:val="center"/>
              <w:rPr>
                <w:rFonts w:ascii="Arial" w:hAnsi="Arial" w:cs="Arial"/>
                <w:b/>
                <w:sz w:val="16"/>
                <w:szCs w:val="16"/>
              </w:rPr>
            </w:pPr>
            <w:r w:rsidRPr="00CD3147">
              <w:rPr>
                <w:rFonts w:ascii="Arial" w:hAnsi="Arial" w:cs="Arial"/>
                <w:b/>
                <w:sz w:val="16"/>
                <w:szCs w:val="16"/>
              </w:rPr>
              <w:t>2017 Currency-Neutral (non-GAAP)</w:t>
            </w:r>
          </w:p>
        </w:tc>
        <w:tc>
          <w:tcPr>
            <w:tcW w:w="1065" w:type="dxa"/>
            <w:tcBorders>
              <w:top w:val="nil"/>
              <w:left w:val="nil"/>
              <w:right w:val="nil"/>
            </w:tcBorders>
            <w:vAlign w:val="bottom"/>
          </w:tcPr>
          <w:p w:rsidR="005E40CB" w:rsidRPr="00CD3147" w:rsidRDefault="005E40CB" w:rsidP="00CD3147">
            <w:pPr>
              <w:autoSpaceDE w:val="0"/>
              <w:autoSpaceDN w:val="0"/>
              <w:adjustRightInd w:val="0"/>
              <w:jc w:val="center"/>
              <w:rPr>
                <w:rFonts w:ascii="Arial" w:hAnsi="Arial" w:cs="Arial"/>
                <w:b/>
                <w:sz w:val="16"/>
                <w:szCs w:val="16"/>
              </w:rPr>
            </w:pPr>
            <w:r w:rsidRPr="00CD3147">
              <w:rPr>
                <w:rFonts w:ascii="Arial" w:hAnsi="Arial" w:cs="Arial"/>
                <w:b/>
                <w:sz w:val="16"/>
                <w:szCs w:val="16"/>
              </w:rPr>
              <w:t>% Change (non-GAAP)</w:t>
            </w:r>
          </w:p>
        </w:tc>
      </w:tr>
      <w:tr w:rsidR="005E40CB" w:rsidRPr="00D12477" w:rsidTr="00CD3147">
        <w:tc>
          <w:tcPr>
            <w:tcW w:w="3008" w:type="dxa"/>
            <w:tcBorders>
              <w:top w:val="nil"/>
              <w:left w:val="nil"/>
              <w:bottom w:val="nil"/>
              <w:right w:val="nil"/>
            </w:tcBorders>
          </w:tcPr>
          <w:p w:rsidR="005E40CB" w:rsidRPr="00CD3147" w:rsidRDefault="005E40CB" w:rsidP="00CD3147">
            <w:pPr>
              <w:autoSpaceDE w:val="0"/>
              <w:autoSpaceDN w:val="0"/>
              <w:adjustRightInd w:val="0"/>
              <w:rPr>
                <w:rFonts w:ascii="Arial" w:hAnsi="Arial" w:cs="Arial"/>
                <w:b/>
                <w:sz w:val="16"/>
                <w:szCs w:val="16"/>
              </w:rPr>
            </w:pPr>
            <w:r w:rsidRPr="00CD3147">
              <w:rPr>
                <w:rFonts w:ascii="Arial" w:hAnsi="Arial" w:cs="Arial"/>
                <w:b/>
                <w:sz w:val="16"/>
                <w:szCs w:val="16"/>
              </w:rPr>
              <w:t>Average Revenue Per Piece:</w:t>
            </w: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r>
      <w:tr w:rsidR="005E40CB" w:rsidRPr="00D12477" w:rsidTr="00CD3147">
        <w:tc>
          <w:tcPr>
            <w:tcW w:w="3008" w:type="dxa"/>
            <w:tcBorders>
              <w:top w:val="nil"/>
              <w:left w:val="nil"/>
              <w:bottom w:val="nil"/>
              <w:right w:val="nil"/>
            </w:tcBorders>
          </w:tcPr>
          <w:p w:rsidR="005E40CB" w:rsidRPr="00CD3147" w:rsidRDefault="005E40CB" w:rsidP="00CD3147">
            <w:pPr>
              <w:autoSpaceDE w:val="0"/>
              <w:autoSpaceDN w:val="0"/>
              <w:adjustRightInd w:val="0"/>
              <w:rPr>
                <w:rFonts w:ascii="Arial" w:hAnsi="Arial" w:cs="Arial"/>
                <w:sz w:val="16"/>
                <w:szCs w:val="16"/>
              </w:rPr>
            </w:pPr>
            <w:r w:rsidRPr="00CD3147">
              <w:rPr>
                <w:rFonts w:ascii="Arial" w:hAnsi="Arial" w:cs="Arial"/>
                <w:sz w:val="16"/>
                <w:szCs w:val="16"/>
              </w:rPr>
              <w:t xml:space="preserve">    International Package:</w:t>
            </w: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r>
      <w:tr w:rsidR="005E40CB" w:rsidRPr="00D12477" w:rsidTr="00CD3147">
        <w:tc>
          <w:tcPr>
            <w:tcW w:w="3008" w:type="dxa"/>
            <w:tcBorders>
              <w:top w:val="nil"/>
              <w:left w:val="nil"/>
              <w:bottom w:val="nil"/>
              <w:right w:val="nil"/>
            </w:tcBorders>
          </w:tcPr>
          <w:p w:rsidR="005E40CB" w:rsidRPr="00CD3147" w:rsidRDefault="005E40CB" w:rsidP="00CD3147">
            <w:pPr>
              <w:autoSpaceDE w:val="0"/>
              <w:autoSpaceDN w:val="0"/>
              <w:adjustRightInd w:val="0"/>
              <w:rPr>
                <w:rFonts w:ascii="Arial" w:hAnsi="Arial" w:cs="Arial"/>
                <w:sz w:val="16"/>
                <w:szCs w:val="16"/>
              </w:rPr>
            </w:pPr>
            <w:r w:rsidRPr="00CD3147">
              <w:rPr>
                <w:rFonts w:ascii="Arial" w:hAnsi="Arial" w:cs="Arial"/>
                <w:sz w:val="16"/>
                <w:szCs w:val="16"/>
              </w:rPr>
              <w:t xml:space="preserve">       Domestic</w:t>
            </w: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    5.70</w:t>
            </w:r>
          </w:p>
        </w:tc>
        <w:tc>
          <w:tcPr>
            <w:tcW w:w="1065" w:type="dxa"/>
            <w:gridSpan w:val="2"/>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    5.91</w:t>
            </w: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-3.6%</w:t>
            </w: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  0.29</w:t>
            </w:r>
          </w:p>
        </w:tc>
        <w:tc>
          <w:tcPr>
            <w:tcW w:w="1065" w:type="dxa"/>
            <w:gridSpan w:val="2"/>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    5.99</w:t>
            </w: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1.4%</w:t>
            </w:r>
          </w:p>
        </w:tc>
      </w:tr>
      <w:tr w:rsidR="005E40CB" w:rsidRPr="00D12477" w:rsidTr="00CD3147">
        <w:tc>
          <w:tcPr>
            <w:tcW w:w="3008" w:type="dxa"/>
            <w:tcBorders>
              <w:top w:val="nil"/>
              <w:left w:val="nil"/>
              <w:bottom w:val="nil"/>
              <w:right w:val="nil"/>
            </w:tcBorders>
          </w:tcPr>
          <w:p w:rsidR="005E40CB" w:rsidRPr="00CD3147" w:rsidRDefault="005E40CB" w:rsidP="00CD3147">
            <w:pPr>
              <w:autoSpaceDE w:val="0"/>
              <w:autoSpaceDN w:val="0"/>
              <w:adjustRightInd w:val="0"/>
              <w:rPr>
                <w:rFonts w:ascii="Arial" w:hAnsi="Arial" w:cs="Arial"/>
                <w:sz w:val="16"/>
                <w:szCs w:val="16"/>
              </w:rPr>
            </w:pPr>
            <w:r w:rsidRPr="00CD3147">
              <w:rPr>
                <w:rFonts w:ascii="Arial" w:hAnsi="Arial" w:cs="Arial"/>
                <w:sz w:val="16"/>
                <w:szCs w:val="16"/>
              </w:rPr>
              <w:t xml:space="preserve">       Export</w:t>
            </w: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28.13</w:t>
            </w:r>
          </w:p>
        </w:tc>
        <w:tc>
          <w:tcPr>
            <w:tcW w:w="1065" w:type="dxa"/>
            <w:gridSpan w:val="2"/>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30.46</w:t>
            </w: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-7.6%</w:t>
            </w: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1.67</w:t>
            </w:r>
          </w:p>
        </w:tc>
        <w:tc>
          <w:tcPr>
            <w:tcW w:w="1065" w:type="dxa"/>
            <w:gridSpan w:val="2"/>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29.80</w:t>
            </w: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-2.2%</w:t>
            </w:r>
          </w:p>
        </w:tc>
      </w:tr>
      <w:tr w:rsidR="005E40CB" w:rsidRPr="00D12477" w:rsidTr="00CD3147">
        <w:tc>
          <w:tcPr>
            <w:tcW w:w="3008" w:type="dxa"/>
            <w:tcBorders>
              <w:top w:val="nil"/>
              <w:left w:val="nil"/>
              <w:bottom w:val="nil"/>
              <w:right w:val="nil"/>
            </w:tcBorders>
          </w:tcPr>
          <w:p w:rsidR="005E40CB" w:rsidRPr="00CD3147" w:rsidRDefault="005E40CB" w:rsidP="00CD3147">
            <w:pPr>
              <w:autoSpaceDE w:val="0"/>
              <w:autoSpaceDN w:val="0"/>
              <w:adjustRightInd w:val="0"/>
              <w:rPr>
                <w:rFonts w:ascii="Arial" w:hAnsi="Arial" w:cs="Arial"/>
                <w:sz w:val="16"/>
                <w:szCs w:val="16"/>
              </w:rPr>
            </w:pPr>
            <w:r w:rsidRPr="00CD3147">
              <w:rPr>
                <w:rFonts w:ascii="Arial" w:hAnsi="Arial" w:cs="Arial"/>
                <w:sz w:val="16"/>
                <w:szCs w:val="16"/>
              </w:rPr>
              <w:t xml:space="preserve">          Total International Package</w:t>
            </w:r>
          </w:p>
        </w:tc>
        <w:tc>
          <w:tcPr>
            <w:tcW w:w="1065" w:type="dxa"/>
            <w:tcBorders>
              <w:top w:val="nil"/>
              <w:left w:val="nil"/>
              <w:bottom w:val="double" w:sz="4" w:space="0" w:color="auto"/>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15.45</w:t>
            </w:r>
          </w:p>
        </w:tc>
        <w:tc>
          <w:tcPr>
            <w:tcW w:w="1065" w:type="dxa"/>
            <w:gridSpan w:val="2"/>
            <w:tcBorders>
              <w:top w:val="nil"/>
              <w:left w:val="nil"/>
              <w:bottom w:val="double" w:sz="4" w:space="0" w:color="auto"/>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16.39</w:t>
            </w: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-5.7%</w:t>
            </w:r>
          </w:p>
        </w:tc>
        <w:tc>
          <w:tcPr>
            <w:tcW w:w="1065" w:type="dxa"/>
            <w:tcBorders>
              <w:top w:val="nil"/>
              <w:left w:val="nil"/>
              <w:bottom w:val="double" w:sz="4" w:space="0" w:color="auto"/>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0.89</w:t>
            </w:r>
          </w:p>
        </w:tc>
        <w:tc>
          <w:tcPr>
            <w:tcW w:w="1065" w:type="dxa"/>
            <w:gridSpan w:val="2"/>
            <w:tcBorders>
              <w:top w:val="nil"/>
              <w:left w:val="nil"/>
              <w:bottom w:val="double" w:sz="4" w:space="0" w:color="auto"/>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16.34</w:t>
            </w: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-0.3%</w:t>
            </w:r>
          </w:p>
        </w:tc>
      </w:tr>
      <w:tr w:rsidR="005E40CB" w:rsidRPr="00D12477" w:rsidTr="00CD3147">
        <w:tc>
          <w:tcPr>
            <w:tcW w:w="3008" w:type="dxa"/>
            <w:tcBorders>
              <w:top w:val="nil"/>
              <w:left w:val="nil"/>
              <w:bottom w:val="nil"/>
              <w:right w:val="nil"/>
            </w:tcBorders>
          </w:tcPr>
          <w:p w:rsidR="005E40CB" w:rsidRPr="00CD3147" w:rsidRDefault="005E40CB" w:rsidP="00CD3147">
            <w:pPr>
              <w:autoSpaceDE w:val="0"/>
              <w:autoSpaceDN w:val="0"/>
              <w:adjustRightInd w:val="0"/>
              <w:rPr>
                <w:rFonts w:ascii="Arial" w:hAnsi="Arial" w:cs="Arial"/>
                <w:sz w:val="16"/>
                <w:szCs w:val="16"/>
              </w:rPr>
            </w:pPr>
          </w:p>
        </w:tc>
        <w:tc>
          <w:tcPr>
            <w:tcW w:w="1065" w:type="dxa"/>
            <w:tcBorders>
              <w:top w:val="double" w:sz="4" w:space="0" w:color="auto"/>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c>
          <w:tcPr>
            <w:tcW w:w="1065" w:type="dxa"/>
            <w:gridSpan w:val="2"/>
            <w:tcBorders>
              <w:top w:val="double" w:sz="4" w:space="0" w:color="auto"/>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c>
          <w:tcPr>
            <w:tcW w:w="1065" w:type="dxa"/>
            <w:tcBorders>
              <w:top w:val="double" w:sz="4" w:space="0" w:color="auto"/>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c>
          <w:tcPr>
            <w:tcW w:w="1065" w:type="dxa"/>
            <w:gridSpan w:val="2"/>
            <w:tcBorders>
              <w:top w:val="double" w:sz="4" w:space="0" w:color="auto"/>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r>
      <w:tr w:rsidR="005E40CB" w:rsidRPr="00D12477" w:rsidTr="00CD3147">
        <w:tc>
          <w:tcPr>
            <w:tcW w:w="3008" w:type="dxa"/>
            <w:tcBorders>
              <w:top w:val="nil"/>
              <w:left w:val="nil"/>
              <w:bottom w:val="nil"/>
              <w:right w:val="nil"/>
            </w:tcBorders>
          </w:tcPr>
          <w:p w:rsidR="005E40CB" w:rsidRPr="00CD3147" w:rsidRDefault="005E40CB" w:rsidP="00CD3147">
            <w:pPr>
              <w:autoSpaceDE w:val="0"/>
              <w:autoSpaceDN w:val="0"/>
              <w:adjustRightInd w:val="0"/>
              <w:rPr>
                <w:rFonts w:ascii="Arial" w:hAnsi="Arial" w:cs="Arial"/>
                <w:sz w:val="16"/>
                <w:szCs w:val="16"/>
              </w:rPr>
            </w:pPr>
            <w:r w:rsidRPr="00CD3147">
              <w:rPr>
                <w:rFonts w:ascii="Arial" w:hAnsi="Arial" w:cs="Arial"/>
                <w:sz w:val="16"/>
                <w:szCs w:val="16"/>
              </w:rPr>
              <w:t xml:space="preserve">   Consolidated</w:t>
            </w:r>
          </w:p>
        </w:tc>
        <w:tc>
          <w:tcPr>
            <w:tcW w:w="1065" w:type="dxa"/>
            <w:tcBorders>
              <w:top w:val="nil"/>
              <w:left w:val="nil"/>
              <w:bottom w:val="double" w:sz="4" w:space="0" w:color="auto"/>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  10.50</w:t>
            </w:r>
          </w:p>
        </w:tc>
        <w:tc>
          <w:tcPr>
            <w:tcW w:w="1065" w:type="dxa"/>
            <w:gridSpan w:val="2"/>
            <w:tcBorders>
              <w:top w:val="nil"/>
              <w:left w:val="nil"/>
              <w:bottom w:val="double" w:sz="4" w:space="0" w:color="auto"/>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  10.39</w:t>
            </w: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1.1%</w:t>
            </w:r>
          </w:p>
        </w:tc>
        <w:tc>
          <w:tcPr>
            <w:tcW w:w="1065" w:type="dxa"/>
            <w:tcBorders>
              <w:top w:val="nil"/>
              <w:left w:val="nil"/>
              <w:bottom w:val="double" w:sz="4" w:space="0" w:color="auto"/>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  0.15</w:t>
            </w:r>
          </w:p>
        </w:tc>
        <w:tc>
          <w:tcPr>
            <w:tcW w:w="1065" w:type="dxa"/>
            <w:gridSpan w:val="2"/>
            <w:tcBorders>
              <w:top w:val="nil"/>
              <w:left w:val="nil"/>
              <w:bottom w:val="double" w:sz="4" w:space="0" w:color="auto"/>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  10.65</w:t>
            </w: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2.5%</w:t>
            </w:r>
          </w:p>
        </w:tc>
      </w:tr>
      <w:tr w:rsidR="005E40CB" w:rsidTr="00CD3147">
        <w:tc>
          <w:tcPr>
            <w:tcW w:w="3008" w:type="dxa"/>
            <w:tcBorders>
              <w:top w:val="nil"/>
              <w:left w:val="nil"/>
              <w:bottom w:val="nil"/>
              <w:right w:val="nil"/>
            </w:tcBorders>
          </w:tcPr>
          <w:p w:rsidR="005E40CB" w:rsidRPr="00CD3147" w:rsidRDefault="005E40CB" w:rsidP="00CD3147">
            <w:pPr>
              <w:autoSpaceDE w:val="0"/>
              <w:autoSpaceDN w:val="0"/>
              <w:adjustRightInd w:val="0"/>
              <w:rPr>
                <w:rFonts w:ascii="Arial" w:hAnsi="Arial" w:cs="Arial"/>
                <w:b/>
                <w:sz w:val="16"/>
                <w:szCs w:val="16"/>
              </w:rPr>
            </w:pP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r>
      <w:tr w:rsidR="005E40CB" w:rsidTr="00CD3147">
        <w:tc>
          <w:tcPr>
            <w:tcW w:w="3008" w:type="dxa"/>
            <w:tcBorders>
              <w:top w:val="nil"/>
              <w:left w:val="nil"/>
              <w:bottom w:val="nil"/>
              <w:right w:val="nil"/>
            </w:tcBorders>
          </w:tcPr>
          <w:p w:rsidR="005E40CB" w:rsidRPr="00CD3147" w:rsidRDefault="005E40CB" w:rsidP="00CD3147">
            <w:pPr>
              <w:autoSpaceDE w:val="0"/>
              <w:autoSpaceDN w:val="0"/>
              <w:adjustRightInd w:val="0"/>
              <w:rPr>
                <w:rFonts w:ascii="Arial" w:hAnsi="Arial" w:cs="Arial"/>
                <w:b/>
                <w:sz w:val="16"/>
                <w:szCs w:val="16"/>
              </w:rPr>
            </w:pPr>
            <w:r w:rsidRPr="00CD3147">
              <w:rPr>
                <w:rFonts w:ascii="Arial" w:hAnsi="Arial" w:cs="Arial"/>
                <w:b/>
                <w:sz w:val="16"/>
                <w:szCs w:val="16"/>
              </w:rPr>
              <w:t>Revenue:</w:t>
            </w: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r>
      <w:tr w:rsidR="005E40CB" w:rsidTr="00CD3147">
        <w:tc>
          <w:tcPr>
            <w:tcW w:w="3008" w:type="dxa"/>
            <w:tcBorders>
              <w:top w:val="nil"/>
              <w:left w:val="nil"/>
              <w:bottom w:val="nil"/>
              <w:right w:val="nil"/>
            </w:tcBorders>
          </w:tcPr>
          <w:p w:rsidR="005E40CB" w:rsidRPr="00CD3147" w:rsidRDefault="005E40CB" w:rsidP="00CD3147">
            <w:pPr>
              <w:autoSpaceDE w:val="0"/>
              <w:autoSpaceDN w:val="0"/>
              <w:adjustRightInd w:val="0"/>
              <w:rPr>
                <w:rFonts w:ascii="Arial" w:hAnsi="Arial" w:cs="Arial"/>
                <w:sz w:val="16"/>
                <w:szCs w:val="16"/>
              </w:rPr>
            </w:pPr>
            <w:r w:rsidRPr="00CD3147">
              <w:rPr>
                <w:rFonts w:ascii="Arial" w:hAnsi="Arial" w:cs="Arial"/>
                <w:sz w:val="16"/>
                <w:szCs w:val="16"/>
              </w:rPr>
              <w:t xml:space="preserve">    U.S. Domestic Package</w:t>
            </w: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  9,535</w:t>
            </w:r>
          </w:p>
        </w:tc>
        <w:tc>
          <w:tcPr>
            <w:tcW w:w="1065" w:type="dxa"/>
            <w:gridSpan w:val="2"/>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  9,084</w:t>
            </w: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5.0%</w:t>
            </w:r>
          </w:p>
        </w:tc>
        <w:tc>
          <w:tcPr>
            <w:tcW w:w="1065" w:type="dxa"/>
            <w:tcBorders>
              <w:top w:val="nil"/>
              <w:left w:val="nil"/>
              <w:bottom w:val="nil"/>
              <w:right w:val="nil"/>
            </w:tcBorders>
          </w:tcPr>
          <w:p w:rsidR="005E40CB" w:rsidRPr="00CD3147" w:rsidRDefault="005E40CB" w:rsidP="00CD3147">
            <w:pPr>
              <w:rPr>
                <w:rFonts w:ascii="Arial" w:hAnsi="Arial" w:cs="Arial"/>
                <w:sz w:val="16"/>
                <w:szCs w:val="16"/>
              </w:rPr>
            </w:pPr>
            <w:r w:rsidRPr="00CD3147">
              <w:rPr>
                <w:rFonts w:ascii="Arial" w:hAnsi="Arial" w:cs="Arial"/>
                <w:sz w:val="16"/>
                <w:szCs w:val="16"/>
              </w:rPr>
              <w:t xml:space="preserve">         $      -</w:t>
            </w:r>
          </w:p>
        </w:tc>
        <w:tc>
          <w:tcPr>
            <w:tcW w:w="1065" w:type="dxa"/>
            <w:gridSpan w:val="2"/>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  9,535</w:t>
            </w: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5.0%</w:t>
            </w:r>
          </w:p>
        </w:tc>
      </w:tr>
      <w:tr w:rsidR="005E40CB" w:rsidTr="00CD3147">
        <w:tc>
          <w:tcPr>
            <w:tcW w:w="3008" w:type="dxa"/>
            <w:tcBorders>
              <w:top w:val="nil"/>
              <w:left w:val="nil"/>
              <w:bottom w:val="nil"/>
              <w:right w:val="nil"/>
            </w:tcBorders>
          </w:tcPr>
          <w:p w:rsidR="005E40CB" w:rsidRPr="00CD3147" w:rsidRDefault="005E40CB" w:rsidP="00CD3147">
            <w:pPr>
              <w:autoSpaceDE w:val="0"/>
              <w:autoSpaceDN w:val="0"/>
              <w:adjustRightInd w:val="0"/>
              <w:rPr>
                <w:rFonts w:ascii="Arial" w:hAnsi="Arial" w:cs="Arial"/>
                <w:sz w:val="16"/>
                <w:szCs w:val="16"/>
              </w:rPr>
            </w:pPr>
            <w:r w:rsidRPr="00CD3147">
              <w:rPr>
                <w:rFonts w:ascii="Arial" w:hAnsi="Arial" w:cs="Arial"/>
                <w:sz w:val="16"/>
                <w:szCs w:val="16"/>
              </w:rPr>
              <w:t xml:space="preserve">    International Package</w:t>
            </w: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3,058</w:t>
            </w:r>
          </w:p>
        </w:tc>
        <w:tc>
          <w:tcPr>
            <w:tcW w:w="1065" w:type="dxa"/>
            <w:gridSpan w:val="2"/>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2,914</w:t>
            </w: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4.9%</w:t>
            </w: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170</w:t>
            </w:r>
          </w:p>
        </w:tc>
        <w:tc>
          <w:tcPr>
            <w:tcW w:w="1065" w:type="dxa"/>
            <w:gridSpan w:val="2"/>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3,228</w:t>
            </w: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10.8%</w:t>
            </w:r>
          </w:p>
        </w:tc>
      </w:tr>
      <w:tr w:rsidR="005E40CB" w:rsidTr="00CD3147">
        <w:tc>
          <w:tcPr>
            <w:tcW w:w="3008" w:type="dxa"/>
            <w:tcBorders>
              <w:top w:val="nil"/>
              <w:left w:val="nil"/>
              <w:bottom w:val="nil"/>
              <w:right w:val="nil"/>
            </w:tcBorders>
          </w:tcPr>
          <w:p w:rsidR="005E40CB" w:rsidRPr="00CD3147" w:rsidRDefault="005E40CB" w:rsidP="00CD3147">
            <w:pPr>
              <w:autoSpaceDE w:val="0"/>
              <w:autoSpaceDN w:val="0"/>
              <w:adjustRightInd w:val="0"/>
              <w:rPr>
                <w:rFonts w:ascii="Arial" w:hAnsi="Arial" w:cs="Arial"/>
                <w:sz w:val="16"/>
                <w:szCs w:val="16"/>
              </w:rPr>
            </w:pPr>
            <w:r w:rsidRPr="00CD3147">
              <w:rPr>
                <w:rFonts w:ascii="Arial" w:hAnsi="Arial" w:cs="Arial"/>
                <w:sz w:val="16"/>
                <w:szCs w:val="16"/>
              </w:rPr>
              <w:t xml:space="preserve">    Supply Chain &amp; Freight</w:t>
            </w:r>
          </w:p>
        </w:tc>
        <w:tc>
          <w:tcPr>
            <w:tcW w:w="1065" w:type="dxa"/>
            <w:tcBorders>
              <w:top w:val="nil"/>
              <w:left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2,722</w:t>
            </w:r>
          </w:p>
        </w:tc>
        <w:tc>
          <w:tcPr>
            <w:tcW w:w="1065" w:type="dxa"/>
            <w:gridSpan w:val="2"/>
            <w:tcBorders>
              <w:top w:val="nil"/>
              <w:left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2,420</w:t>
            </w: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12.5%</w:t>
            </w:r>
          </w:p>
        </w:tc>
        <w:tc>
          <w:tcPr>
            <w:tcW w:w="1065" w:type="dxa"/>
            <w:tcBorders>
              <w:top w:val="nil"/>
              <w:left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10</w:t>
            </w:r>
          </w:p>
        </w:tc>
        <w:tc>
          <w:tcPr>
            <w:tcW w:w="1065" w:type="dxa"/>
            <w:gridSpan w:val="2"/>
            <w:tcBorders>
              <w:top w:val="nil"/>
              <w:left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2,732</w:t>
            </w: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12.9%</w:t>
            </w:r>
          </w:p>
        </w:tc>
      </w:tr>
      <w:tr w:rsidR="005E40CB" w:rsidTr="00CD3147">
        <w:tc>
          <w:tcPr>
            <w:tcW w:w="3008" w:type="dxa"/>
            <w:tcBorders>
              <w:top w:val="nil"/>
              <w:left w:val="nil"/>
              <w:bottom w:val="nil"/>
              <w:right w:val="nil"/>
            </w:tcBorders>
          </w:tcPr>
          <w:p w:rsidR="005E40CB" w:rsidRPr="00CD3147" w:rsidRDefault="005E40CB" w:rsidP="00CD3147">
            <w:pPr>
              <w:autoSpaceDE w:val="0"/>
              <w:autoSpaceDN w:val="0"/>
              <w:adjustRightInd w:val="0"/>
              <w:rPr>
                <w:rFonts w:ascii="Arial" w:hAnsi="Arial" w:cs="Arial"/>
                <w:sz w:val="16"/>
                <w:szCs w:val="16"/>
              </w:rPr>
            </w:pPr>
            <w:r w:rsidRPr="00CD3147">
              <w:rPr>
                <w:rFonts w:ascii="Arial" w:hAnsi="Arial" w:cs="Arial"/>
                <w:sz w:val="16"/>
                <w:szCs w:val="16"/>
              </w:rPr>
              <w:t xml:space="preserve">       Total revenue</w:t>
            </w:r>
          </w:p>
        </w:tc>
        <w:tc>
          <w:tcPr>
            <w:tcW w:w="1065" w:type="dxa"/>
            <w:tcBorders>
              <w:left w:val="nil"/>
              <w:bottom w:val="double" w:sz="4" w:space="0" w:color="auto"/>
              <w:right w:val="nil"/>
            </w:tcBorders>
          </w:tcPr>
          <w:p w:rsidR="005E40CB" w:rsidRPr="00CD3147" w:rsidRDefault="005E40CB" w:rsidP="00CD3147">
            <w:pPr>
              <w:jc w:val="right"/>
              <w:rPr>
                <w:rFonts w:ascii="Arial" w:hAnsi="Arial" w:cs="Arial"/>
                <w:sz w:val="16"/>
                <w:szCs w:val="16"/>
              </w:rPr>
            </w:pPr>
            <w:r w:rsidRPr="00CD3147">
              <w:rPr>
                <w:rFonts w:ascii="Arial" w:hAnsi="Arial" w:cs="Arial"/>
                <w:sz w:val="16"/>
                <w:szCs w:val="16"/>
              </w:rPr>
              <w:t>$15,315</w:t>
            </w:r>
          </w:p>
        </w:tc>
        <w:tc>
          <w:tcPr>
            <w:tcW w:w="1065" w:type="dxa"/>
            <w:gridSpan w:val="2"/>
            <w:tcBorders>
              <w:left w:val="nil"/>
              <w:bottom w:val="double" w:sz="4" w:space="0" w:color="auto"/>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$14,418</w:t>
            </w: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6.2%</w:t>
            </w:r>
          </w:p>
        </w:tc>
        <w:tc>
          <w:tcPr>
            <w:tcW w:w="1065" w:type="dxa"/>
            <w:tcBorders>
              <w:left w:val="nil"/>
              <w:bottom w:val="double" w:sz="4" w:space="0" w:color="auto"/>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   180</w:t>
            </w:r>
          </w:p>
        </w:tc>
        <w:tc>
          <w:tcPr>
            <w:tcW w:w="1065" w:type="dxa"/>
            <w:gridSpan w:val="2"/>
            <w:tcBorders>
              <w:left w:val="nil"/>
              <w:bottom w:val="double" w:sz="4" w:space="0" w:color="auto"/>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$15,495</w:t>
            </w:r>
          </w:p>
        </w:tc>
        <w:tc>
          <w:tcPr>
            <w:tcW w:w="1065" w:type="dxa"/>
            <w:tcBorders>
              <w:top w:val="nil"/>
              <w:left w:val="nil"/>
              <w:bottom w:val="nil"/>
              <w:right w:val="nil"/>
            </w:tcBorders>
          </w:tcPr>
          <w:p w:rsidR="005E40CB" w:rsidRPr="00CD3147" w:rsidRDefault="005E40CB" w:rsidP="00CD3147">
            <w:pPr>
              <w:tabs>
                <w:tab w:val="left" w:pos="344"/>
                <w:tab w:val="left" w:pos="539"/>
              </w:tabs>
              <w:autoSpaceDE w:val="0"/>
              <w:autoSpaceDN w:val="0"/>
              <w:adjustRightInd w:val="0"/>
              <w:jc w:val="right"/>
              <w:rPr>
                <w:rFonts w:ascii="Arial" w:hAnsi="Arial" w:cs="Arial"/>
                <w:sz w:val="16"/>
                <w:szCs w:val="16"/>
              </w:rPr>
            </w:pPr>
            <w:r w:rsidRPr="00CD3147">
              <w:rPr>
                <w:rFonts w:ascii="Arial" w:hAnsi="Arial" w:cs="Arial"/>
                <w:sz w:val="16"/>
                <w:szCs w:val="16"/>
              </w:rPr>
              <w:t>7.5%</w:t>
            </w:r>
          </w:p>
        </w:tc>
      </w:tr>
      <w:tr w:rsidR="005E40CB" w:rsidTr="00CD3147">
        <w:tc>
          <w:tcPr>
            <w:tcW w:w="3008" w:type="dxa"/>
            <w:tcBorders>
              <w:top w:val="nil"/>
              <w:left w:val="nil"/>
              <w:bottom w:val="nil"/>
              <w:right w:val="nil"/>
            </w:tcBorders>
          </w:tcPr>
          <w:p w:rsidR="005E40CB" w:rsidRPr="00CD3147" w:rsidRDefault="005E40CB" w:rsidP="00CD3147">
            <w:pPr>
              <w:autoSpaceDE w:val="0"/>
              <w:autoSpaceDN w:val="0"/>
              <w:adjustRightInd w:val="0"/>
              <w:rPr>
                <w:rFonts w:ascii="Arial" w:hAnsi="Arial" w:cs="Arial"/>
                <w:sz w:val="16"/>
                <w:szCs w:val="16"/>
              </w:rPr>
            </w:pPr>
          </w:p>
        </w:tc>
        <w:tc>
          <w:tcPr>
            <w:tcW w:w="1065" w:type="dxa"/>
            <w:tcBorders>
              <w:top w:val="double" w:sz="4" w:space="0" w:color="auto"/>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c>
          <w:tcPr>
            <w:tcW w:w="1065" w:type="dxa"/>
            <w:gridSpan w:val="2"/>
            <w:tcBorders>
              <w:top w:val="double" w:sz="4" w:space="0" w:color="auto"/>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c>
          <w:tcPr>
            <w:tcW w:w="1065" w:type="dxa"/>
            <w:tcBorders>
              <w:top w:val="double" w:sz="4" w:space="0" w:color="auto"/>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c>
          <w:tcPr>
            <w:tcW w:w="1065" w:type="dxa"/>
            <w:gridSpan w:val="2"/>
            <w:tcBorders>
              <w:top w:val="double" w:sz="4" w:space="0" w:color="auto"/>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r>
      <w:tr w:rsidR="005E40CB" w:rsidRPr="00D12477" w:rsidTr="00CD3147">
        <w:tc>
          <w:tcPr>
            <w:tcW w:w="3008" w:type="dxa"/>
            <w:tcBorders>
              <w:top w:val="nil"/>
              <w:left w:val="nil"/>
              <w:bottom w:val="nil"/>
              <w:right w:val="nil"/>
            </w:tcBorders>
          </w:tcPr>
          <w:p w:rsidR="005E40CB" w:rsidRPr="00CD3147" w:rsidRDefault="005E40CB" w:rsidP="00CD3147">
            <w:pPr>
              <w:autoSpaceDE w:val="0"/>
              <w:autoSpaceDN w:val="0"/>
              <w:adjustRightInd w:val="0"/>
              <w:rPr>
                <w:rFonts w:ascii="Arial" w:hAnsi="Arial" w:cs="Arial"/>
                <w:b/>
                <w:sz w:val="16"/>
                <w:szCs w:val="16"/>
              </w:rPr>
            </w:pPr>
            <w:r w:rsidRPr="00CD3147">
              <w:rPr>
                <w:rFonts w:ascii="Arial" w:hAnsi="Arial" w:cs="Arial"/>
                <w:b/>
                <w:sz w:val="16"/>
                <w:szCs w:val="16"/>
              </w:rPr>
              <w:t>Operating Profit:</w:t>
            </w: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r>
      <w:tr w:rsidR="005E40CB" w:rsidRPr="00D12477" w:rsidTr="00CD3147">
        <w:tc>
          <w:tcPr>
            <w:tcW w:w="3008" w:type="dxa"/>
            <w:tcBorders>
              <w:top w:val="nil"/>
              <w:left w:val="nil"/>
              <w:bottom w:val="nil"/>
              <w:right w:val="nil"/>
            </w:tcBorders>
          </w:tcPr>
          <w:p w:rsidR="005E40CB" w:rsidRPr="00CD3147" w:rsidRDefault="005E40CB" w:rsidP="00CD3147">
            <w:pPr>
              <w:autoSpaceDE w:val="0"/>
              <w:autoSpaceDN w:val="0"/>
              <w:adjustRightInd w:val="0"/>
              <w:rPr>
                <w:rFonts w:ascii="Arial" w:hAnsi="Arial" w:cs="Arial"/>
                <w:sz w:val="16"/>
                <w:szCs w:val="16"/>
              </w:rPr>
            </w:pPr>
            <w:r w:rsidRPr="00CD3147">
              <w:rPr>
                <w:rFonts w:ascii="Arial" w:hAnsi="Arial" w:cs="Arial"/>
                <w:sz w:val="16"/>
                <w:szCs w:val="16"/>
              </w:rPr>
              <w:t xml:space="preserve">    U.S. Domestic Package</w:t>
            </w: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  1,076</w:t>
            </w:r>
          </w:p>
        </w:tc>
        <w:tc>
          <w:tcPr>
            <w:tcW w:w="1065" w:type="dxa"/>
            <w:gridSpan w:val="2"/>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  1,102</w:t>
            </w: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-2.4%</w:t>
            </w:r>
          </w:p>
        </w:tc>
        <w:tc>
          <w:tcPr>
            <w:tcW w:w="1065" w:type="dxa"/>
            <w:tcBorders>
              <w:top w:val="nil"/>
              <w:left w:val="nil"/>
              <w:bottom w:val="nil"/>
              <w:right w:val="nil"/>
            </w:tcBorders>
          </w:tcPr>
          <w:p w:rsidR="005E40CB" w:rsidRPr="00CD3147" w:rsidRDefault="005E40CB" w:rsidP="00CD3147">
            <w:pPr>
              <w:rPr>
                <w:rFonts w:ascii="Arial" w:hAnsi="Arial" w:cs="Arial"/>
                <w:sz w:val="16"/>
                <w:szCs w:val="16"/>
              </w:rPr>
            </w:pPr>
            <w:r w:rsidRPr="00CD3147">
              <w:rPr>
                <w:rFonts w:ascii="Arial" w:hAnsi="Arial" w:cs="Arial"/>
                <w:sz w:val="16"/>
                <w:szCs w:val="16"/>
              </w:rPr>
              <w:t xml:space="preserve">         $      -</w:t>
            </w:r>
          </w:p>
        </w:tc>
        <w:tc>
          <w:tcPr>
            <w:tcW w:w="1065" w:type="dxa"/>
            <w:gridSpan w:val="2"/>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  1,076</w:t>
            </w: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-2.4%</w:t>
            </w:r>
          </w:p>
        </w:tc>
      </w:tr>
      <w:tr w:rsidR="005E40CB" w:rsidRPr="00D12477" w:rsidTr="00CD3147">
        <w:tc>
          <w:tcPr>
            <w:tcW w:w="3008" w:type="dxa"/>
            <w:tcBorders>
              <w:top w:val="nil"/>
              <w:left w:val="nil"/>
              <w:bottom w:val="nil"/>
              <w:right w:val="nil"/>
            </w:tcBorders>
          </w:tcPr>
          <w:p w:rsidR="005E40CB" w:rsidRPr="00CD3147" w:rsidRDefault="005E40CB" w:rsidP="00CD3147">
            <w:pPr>
              <w:autoSpaceDE w:val="0"/>
              <w:autoSpaceDN w:val="0"/>
              <w:adjustRightInd w:val="0"/>
              <w:rPr>
                <w:rFonts w:ascii="Arial" w:hAnsi="Arial" w:cs="Arial"/>
                <w:sz w:val="16"/>
                <w:szCs w:val="16"/>
              </w:rPr>
            </w:pPr>
            <w:r w:rsidRPr="00CD3147">
              <w:rPr>
                <w:rFonts w:ascii="Arial" w:hAnsi="Arial" w:cs="Arial"/>
                <w:sz w:val="16"/>
                <w:szCs w:val="16"/>
              </w:rPr>
              <w:t xml:space="preserve">    International Package</w:t>
            </w: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529</w:t>
            </w:r>
          </w:p>
        </w:tc>
        <w:tc>
          <w:tcPr>
            <w:tcW w:w="1065" w:type="dxa"/>
            <w:gridSpan w:val="2"/>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574</w:t>
            </w: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-7.8%</w:t>
            </w: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119</w:t>
            </w:r>
          </w:p>
        </w:tc>
        <w:tc>
          <w:tcPr>
            <w:tcW w:w="1065" w:type="dxa"/>
            <w:gridSpan w:val="2"/>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648</w:t>
            </w: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12.9%</w:t>
            </w:r>
          </w:p>
        </w:tc>
      </w:tr>
      <w:tr w:rsidR="005E40CB" w:rsidRPr="00D12477" w:rsidTr="00CD3147">
        <w:tc>
          <w:tcPr>
            <w:tcW w:w="3008" w:type="dxa"/>
            <w:tcBorders>
              <w:top w:val="nil"/>
              <w:left w:val="nil"/>
              <w:bottom w:val="nil"/>
              <w:right w:val="nil"/>
            </w:tcBorders>
          </w:tcPr>
          <w:p w:rsidR="005E40CB" w:rsidRPr="00CD3147" w:rsidRDefault="005E40CB" w:rsidP="00CD3147">
            <w:pPr>
              <w:autoSpaceDE w:val="0"/>
              <w:autoSpaceDN w:val="0"/>
              <w:adjustRightInd w:val="0"/>
              <w:rPr>
                <w:rFonts w:ascii="Arial" w:hAnsi="Arial" w:cs="Arial"/>
                <w:sz w:val="16"/>
                <w:szCs w:val="16"/>
              </w:rPr>
            </w:pPr>
            <w:r w:rsidRPr="00CD3147">
              <w:rPr>
                <w:rFonts w:ascii="Arial" w:hAnsi="Arial" w:cs="Arial"/>
                <w:sz w:val="16"/>
                <w:szCs w:val="16"/>
              </w:rPr>
              <w:t xml:space="preserve">    Supply Chain &amp; Freight</w:t>
            </w:r>
          </w:p>
        </w:tc>
        <w:tc>
          <w:tcPr>
            <w:tcW w:w="1065" w:type="dxa"/>
            <w:tcBorders>
              <w:top w:val="nil"/>
              <w:left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179</w:t>
            </w:r>
          </w:p>
        </w:tc>
        <w:tc>
          <w:tcPr>
            <w:tcW w:w="1065" w:type="dxa"/>
            <w:gridSpan w:val="2"/>
            <w:tcBorders>
              <w:top w:val="nil"/>
              <w:left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147</w:t>
            </w: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21.8%</w:t>
            </w:r>
          </w:p>
        </w:tc>
        <w:tc>
          <w:tcPr>
            <w:tcW w:w="1065" w:type="dxa"/>
            <w:tcBorders>
              <w:top w:val="nil"/>
              <w:left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1</w:t>
            </w:r>
          </w:p>
        </w:tc>
        <w:tc>
          <w:tcPr>
            <w:tcW w:w="1065" w:type="dxa"/>
            <w:gridSpan w:val="2"/>
            <w:tcBorders>
              <w:top w:val="nil"/>
              <w:left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180</w:t>
            </w: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22.4%</w:t>
            </w:r>
          </w:p>
        </w:tc>
      </w:tr>
      <w:tr w:rsidR="005E40CB" w:rsidRPr="00D12477" w:rsidTr="00CD3147">
        <w:tc>
          <w:tcPr>
            <w:tcW w:w="3008" w:type="dxa"/>
            <w:tcBorders>
              <w:top w:val="nil"/>
              <w:left w:val="nil"/>
              <w:bottom w:val="nil"/>
              <w:right w:val="nil"/>
            </w:tcBorders>
          </w:tcPr>
          <w:p w:rsidR="005E40CB" w:rsidRPr="00CD3147" w:rsidRDefault="005E40CB" w:rsidP="00CD3147">
            <w:pPr>
              <w:autoSpaceDE w:val="0"/>
              <w:autoSpaceDN w:val="0"/>
              <w:adjustRightInd w:val="0"/>
              <w:rPr>
                <w:rFonts w:ascii="Arial" w:hAnsi="Arial" w:cs="Arial"/>
                <w:sz w:val="16"/>
                <w:szCs w:val="16"/>
              </w:rPr>
            </w:pPr>
            <w:r w:rsidRPr="00CD3147">
              <w:rPr>
                <w:rFonts w:ascii="Arial" w:hAnsi="Arial" w:cs="Arial"/>
                <w:sz w:val="16"/>
                <w:szCs w:val="16"/>
              </w:rPr>
              <w:t xml:space="preserve">       Total revenue</w:t>
            </w:r>
          </w:p>
        </w:tc>
        <w:tc>
          <w:tcPr>
            <w:tcW w:w="1065" w:type="dxa"/>
            <w:tcBorders>
              <w:left w:val="nil"/>
              <w:bottom w:val="double" w:sz="4" w:space="0" w:color="auto"/>
              <w:right w:val="nil"/>
            </w:tcBorders>
          </w:tcPr>
          <w:p w:rsidR="005E40CB" w:rsidRPr="00CD3147" w:rsidRDefault="005E40CB" w:rsidP="00CD3147">
            <w:pPr>
              <w:jc w:val="right"/>
              <w:rPr>
                <w:rFonts w:ascii="Arial" w:hAnsi="Arial" w:cs="Arial"/>
                <w:sz w:val="16"/>
                <w:szCs w:val="16"/>
              </w:rPr>
            </w:pPr>
            <w:r w:rsidRPr="00CD3147">
              <w:rPr>
                <w:rFonts w:ascii="Arial" w:hAnsi="Arial" w:cs="Arial"/>
                <w:sz w:val="16"/>
                <w:szCs w:val="16"/>
              </w:rPr>
              <w:t>$1,784</w:t>
            </w:r>
          </w:p>
        </w:tc>
        <w:tc>
          <w:tcPr>
            <w:tcW w:w="1065" w:type="dxa"/>
            <w:gridSpan w:val="2"/>
            <w:tcBorders>
              <w:left w:val="nil"/>
              <w:bottom w:val="double" w:sz="4" w:space="0" w:color="auto"/>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$1,823</w:t>
            </w: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-2.1%</w:t>
            </w:r>
          </w:p>
        </w:tc>
        <w:tc>
          <w:tcPr>
            <w:tcW w:w="1065" w:type="dxa"/>
            <w:tcBorders>
              <w:left w:val="nil"/>
              <w:bottom w:val="double" w:sz="4" w:space="0" w:color="auto"/>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   120</w:t>
            </w:r>
          </w:p>
        </w:tc>
        <w:tc>
          <w:tcPr>
            <w:tcW w:w="1065" w:type="dxa"/>
            <w:gridSpan w:val="2"/>
            <w:tcBorders>
              <w:left w:val="nil"/>
              <w:bottom w:val="double" w:sz="4" w:space="0" w:color="auto"/>
              <w:right w:val="nil"/>
            </w:tcBorders>
          </w:tcPr>
          <w:p w:rsidR="005E40CB" w:rsidRPr="00CD3147" w:rsidRDefault="005E40CB" w:rsidP="00CD3147">
            <w:pPr>
              <w:autoSpaceDE w:val="0"/>
              <w:autoSpaceDN w:val="0"/>
              <w:adjustRightInd w:val="0"/>
              <w:jc w:val="right"/>
              <w:rPr>
                <w:rFonts w:ascii="Arial" w:hAnsi="Arial" w:cs="Arial"/>
                <w:sz w:val="16"/>
                <w:szCs w:val="16"/>
              </w:rPr>
            </w:pPr>
            <w:r w:rsidRPr="00CD3147">
              <w:rPr>
                <w:rFonts w:ascii="Arial" w:hAnsi="Arial" w:cs="Arial"/>
                <w:sz w:val="16"/>
                <w:szCs w:val="16"/>
              </w:rPr>
              <w:t>$1,904</w:t>
            </w:r>
          </w:p>
        </w:tc>
        <w:tc>
          <w:tcPr>
            <w:tcW w:w="1065" w:type="dxa"/>
            <w:tcBorders>
              <w:top w:val="nil"/>
              <w:left w:val="nil"/>
              <w:bottom w:val="nil"/>
              <w:right w:val="nil"/>
            </w:tcBorders>
          </w:tcPr>
          <w:p w:rsidR="005E40CB" w:rsidRPr="00CD3147" w:rsidRDefault="005E40CB" w:rsidP="00CD3147">
            <w:pPr>
              <w:tabs>
                <w:tab w:val="left" w:pos="344"/>
                <w:tab w:val="left" w:pos="539"/>
              </w:tabs>
              <w:autoSpaceDE w:val="0"/>
              <w:autoSpaceDN w:val="0"/>
              <w:adjustRightInd w:val="0"/>
              <w:jc w:val="right"/>
              <w:rPr>
                <w:rFonts w:ascii="Arial" w:hAnsi="Arial" w:cs="Arial"/>
                <w:sz w:val="16"/>
                <w:szCs w:val="16"/>
              </w:rPr>
            </w:pPr>
            <w:r w:rsidRPr="00CD3147">
              <w:rPr>
                <w:rFonts w:ascii="Arial" w:hAnsi="Arial" w:cs="Arial"/>
                <w:sz w:val="16"/>
                <w:szCs w:val="16"/>
              </w:rPr>
              <w:t>4.4%</w:t>
            </w:r>
          </w:p>
        </w:tc>
      </w:tr>
      <w:tr w:rsidR="005E40CB" w:rsidTr="00CD3147">
        <w:tc>
          <w:tcPr>
            <w:tcW w:w="3008" w:type="dxa"/>
            <w:tcBorders>
              <w:top w:val="nil"/>
              <w:left w:val="nil"/>
              <w:bottom w:val="nil"/>
              <w:right w:val="nil"/>
            </w:tcBorders>
          </w:tcPr>
          <w:p w:rsidR="005E40CB" w:rsidRPr="00CD3147" w:rsidRDefault="005E40CB" w:rsidP="00CD3147">
            <w:pPr>
              <w:autoSpaceDE w:val="0"/>
              <w:autoSpaceDN w:val="0"/>
              <w:adjustRightInd w:val="0"/>
              <w:rPr>
                <w:rFonts w:ascii="Arial" w:hAnsi="Arial" w:cs="Arial"/>
                <w:sz w:val="16"/>
                <w:szCs w:val="16"/>
              </w:rPr>
            </w:pP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c>
          <w:tcPr>
            <w:tcW w:w="1065" w:type="dxa"/>
            <w:gridSpan w:val="2"/>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c>
          <w:tcPr>
            <w:tcW w:w="1065" w:type="dxa"/>
            <w:tcBorders>
              <w:top w:val="nil"/>
              <w:left w:val="nil"/>
              <w:bottom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r>
      <w:tr w:rsidR="005E40CB" w:rsidTr="00CD3147">
        <w:tc>
          <w:tcPr>
            <w:tcW w:w="3008" w:type="dxa"/>
            <w:tcBorders>
              <w:top w:val="nil"/>
              <w:left w:val="nil"/>
              <w:right w:val="nil"/>
            </w:tcBorders>
          </w:tcPr>
          <w:p w:rsidR="005E40CB" w:rsidRPr="00CD3147" w:rsidRDefault="005E40CB" w:rsidP="00CD3147">
            <w:pPr>
              <w:autoSpaceDE w:val="0"/>
              <w:autoSpaceDN w:val="0"/>
              <w:adjustRightInd w:val="0"/>
              <w:rPr>
                <w:rFonts w:ascii="Arial" w:hAnsi="Arial" w:cs="Arial"/>
                <w:sz w:val="16"/>
                <w:szCs w:val="16"/>
              </w:rPr>
            </w:pPr>
          </w:p>
        </w:tc>
        <w:tc>
          <w:tcPr>
            <w:tcW w:w="1065" w:type="dxa"/>
            <w:tcBorders>
              <w:top w:val="nil"/>
              <w:left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c>
          <w:tcPr>
            <w:tcW w:w="1065" w:type="dxa"/>
            <w:gridSpan w:val="2"/>
            <w:tcBorders>
              <w:top w:val="nil"/>
              <w:left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c>
          <w:tcPr>
            <w:tcW w:w="1065" w:type="dxa"/>
            <w:tcBorders>
              <w:top w:val="nil"/>
              <w:left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c>
          <w:tcPr>
            <w:tcW w:w="1065" w:type="dxa"/>
            <w:tcBorders>
              <w:top w:val="nil"/>
              <w:left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c>
          <w:tcPr>
            <w:tcW w:w="1065" w:type="dxa"/>
            <w:gridSpan w:val="2"/>
            <w:tcBorders>
              <w:top w:val="nil"/>
              <w:left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c>
          <w:tcPr>
            <w:tcW w:w="1065" w:type="dxa"/>
            <w:tcBorders>
              <w:top w:val="nil"/>
              <w:left w:val="nil"/>
              <w:right w:val="nil"/>
            </w:tcBorders>
          </w:tcPr>
          <w:p w:rsidR="005E40CB" w:rsidRPr="00CD3147" w:rsidRDefault="005E40CB" w:rsidP="00CD3147">
            <w:pPr>
              <w:autoSpaceDE w:val="0"/>
              <w:autoSpaceDN w:val="0"/>
              <w:adjustRightInd w:val="0"/>
              <w:jc w:val="right"/>
              <w:rPr>
                <w:rFonts w:ascii="Arial" w:hAnsi="Arial" w:cs="Arial"/>
                <w:sz w:val="16"/>
                <w:szCs w:val="16"/>
              </w:rPr>
            </w:pPr>
          </w:p>
        </w:tc>
      </w:tr>
    </w:tbl>
    <w:p w:rsidR="005E40CB" w:rsidRDefault="005E40CB" w:rsidP="001F60BC">
      <w:pPr>
        <w:ind w:firstLine="720"/>
        <w:rPr>
          <w:rFonts w:ascii="Arial" w:hAnsi="Arial" w:cs="Arial"/>
          <w:sz w:val="22"/>
          <w:szCs w:val="22"/>
        </w:rPr>
      </w:pPr>
    </w:p>
    <w:sectPr w:rsidR="005E40CB" w:rsidSect="000346B8">
      <w:headerReference w:type="default" r:id="rId12"/>
      <w:footerReference w:type="even" r:id="rId13"/>
      <w:footerReference w:type="default" r:id="rId14"/>
      <w:footerReference w:type="first" r:id="rId15"/>
      <w:pgSz w:w="12240" w:h="15840" w:code="1"/>
      <w:pgMar w:top="720" w:right="1440" w:bottom="72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0CB" w:rsidRDefault="005E40CB">
      <w:r>
        <w:separator/>
      </w:r>
    </w:p>
  </w:endnote>
  <w:endnote w:type="continuationSeparator" w:id="0">
    <w:p w:rsidR="005E40CB" w:rsidRDefault="005E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0CB" w:rsidRDefault="005E40CB" w:rsidP="00AE02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40CB" w:rsidRDefault="005E4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0CB" w:rsidRPr="00827F59" w:rsidRDefault="005E40CB" w:rsidP="00827F59">
    <w:pPr>
      <w:pStyle w:val="Footer"/>
      <w:framePr w:wrap="around" w:vAnchor="text" w:hAnchor="margin" w:xAlign="right" w:y="1"/>
      <w:rPr>
        <w:rStyle w:val="PageNumber"/>
        <w:rFonts w:ascii="Arial" w:hAnsi="Arial" w:cs="Arial"/>
        <w:sz w:val="18"/>
        <w:szCs w:val="18"/>
      </w:rPr>
    </w:pPr>
    <w:r w:rsidRPr="00827F59">
      <w:rPr>
        <w:rStyle w:val="PageNumber"/>
        <w:rFonts w:ascii="Arial" w:hAnsi="Arial" w:cs="Arial"/>
        <w:sz w:val="18"/>
        <w:szCs w:val="18"/>
      </w:rPr>
      <w:fldChar w:fldCharType="begin"/>
    </w:r>
    <w:r w:rsidRPr="00827F59">
      <w:rPr>
        <w:rStyle w:val="PageNumber"/>
        <w:rFonts w:ascii="Arial" w:hAnsi="Arial" w:cs="Arial"/>
        <w:sz w:val="18"/>
        <w:szCs w:val="18"/>
      </w:rPr>
      <w:instrText xml:space="preserve">PAGE  </w:instrText>
    </w:r>
    <w:r w:rsidRPr="00827F59">
      <w:rPr>
        <w:rStyle w:val="PageNumber"/>
        <w:rFonts w:ascii="Arial" w:hAnsi="Arial" w:cs="Arial"/>
        <w:sz w:val="18"/>
        <w:szCs w:val="18"/>
      </w:rPr>
      <w:fldChar w:fldCharType="separate"/>
    </w:r>
    <w:r>
      <w:rPr>
        <w:rStyle w:val="PageNumber"/>
        <w:rFonts w:ascii="Arial" w:hAnsi="Arial" w:cs="Arial"/>
        <w:noProof/>
        <w:sz w:val="18"/>
        <w:szCs w:val="18"/>
      </w:rPr>
      <w:t>2</w:t>
    </w:r>
    <w:r w:rsidRPr="00827F59">
      <w:rPr>
        <w:rStyle w:val="PageNumber"/>
        <w:rFonts w:ascii="Arial" w:hAnsi="Arial" w:cs="Arial"/>
        <w:sz w:val="18"/>
        <w:szCs w:val="18"/>
      </w:rPr>
      <w:fldChar w:fldCharType="end"/>
    </w:r>
  </w:p>
  <w:p w:rsidR="005E40CB" w:rsidRDefault="005E40CB" w:rsidP="00827F59">
    <w:pPr>
      <w:rPr>
        <w:rFonts w:ascii="Arial" w:hAnsi="Arial" w:cs="Arial"/>
        <w:b/>
        <w:sz w:val="22"/>
        <w:vertAlign w:val="subscript"/>
      </w:rPr>
    </w:pPr>
    <w:r w:rsidRPr="00A57A8C">
      <w:rPr>
        <w:rFonts w:ascii="Arial" w:hAnsi="Arial" w:cs="Arial"/>
        <w:b/>
        <w:sz w:val="22"/>
        <w:vertAlign w:val="subscript"/>
      </w:rPr>
      <w:t>* See attached reconciliation of non-GAAP currency-neutral operating profit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0CB" w:rsidRPr="00034414" w:rsidRDefault="005E40CB" w:rsidP="00827F59">
    <w:r w:rsidRPr="005B78BB">
      <w:rPr>
        <w:vertAlign w:val="subscript"/>
      </w:rPr>
      <w:t>* See attached reconciliation of non-GAAP currency-neutral operating profit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0CB" w:rsidRDefault="005E40CB">
      <w:r>
        <w:separator/>
      </w:r>
    </w:p>
  </w:footnote>
  <w:footnote w:type="continuationSeparator" w:id="0">
    <w:p w:rsidR="005E40CB" w:rsidRDefault="005E4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0CB" w:rsidRPr="000346B8" w:rsidRDefault="005E40CB" w:rsidP="000346B8">
    <w:pPr>
      <w:pStyle w:val="Header"/>
      <w:tabs>
        <w:tab w:val="clear" w:pos="4320"/>
        <w:tab w:val="center" w:pos="0"/>
        <w:tab w:val="left" w:pos="4665"/>
      </w:tabs>
      <w:ind w:left="3240" w:hanging="3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3246F"/>
    <w:multiLevelType w:val="hybridMultilevel"/>
    <w:tmpl w:val="E9365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E1277"/>
    <w:multiLevelType w:val="hybridMultilevel"/>
    <w:tmpl w:val="010A36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092F89"/>
    <w:multiLevelType w:val="hybridMultilevel"/>
    <w:tmpl w:val="A57C1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D5CD5"/>
    <w:multiLevelType w:val="hybridMultilevel"/>
    <w:tmpl w:val="24821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9971B6"/>
    <w:multiLevelType w:val="hybridMultilevel"/>
    <w:tmpl w:val="2E8C32FA"/>
    <w:lvl w:ilvl="0" w:tplc="F20E87D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6114725"/>
    <w:multiLevelType w:val="hybridMultilevel"/>
    <w:tmpl w:val="35D21A20"/>
    <w:lvl w:ilvl="0" w:tplc="5D448FD2">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9ED5084"/>
    <w:multiLevelType w:val="hybridMultilevel"/>
    <w:tmpl w:val="E2126FE0"/>
    <w:lvl w:ilvl="0" w:tplc="03064CB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22024C60"/>
    <w:multiLevelType w:val="hybridMultilevel"/>
    <w:tmpl w:val="81040D1A"/>
    <w:lvl w:ilvl="0" w:tplc="CE82057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76306A"/>
    <w:multiLevelType w:val="hybridMultilevel"/>
    <w:tmpl w:val="64A6B5D8"/>
    <w:lvl w:ilvl="0" w:tplc="A48C0C84">
      <w:start w:val="2"/>
      <w:numFmt w:val="bullet"/>
      <w:lvlText w:val=""/>
      <w:lvlJc w:val="left"/>
      <w:pPr>
        <w:tabs>
          <w:tab w:val="num" w:pos="1080"/>
        </w:tabs>
        <w:ind w:left="1080" w:hanging="360"/>
      </w:pPr>
      <w:rPr>
        <w:rFonts w:ascii="Wingdings" w:eastAsia="Times New Roman"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A43793D"/>
    <w:multiLevelType w:val="hybridMultilevel"/>
    <w:tmpl w:val="46860498"/>
    <w:lvl w:ilvl="0" w:tplc="A454CC3A">
      <w:start w:val="2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C7720"/>
    <w:multiLevelType w:val="hybridMultilevel"/>
    <w:tmpl w:val="079E9038"/>
    <w:lvl w:ilvl="0" w:tplc="40AC6FAE">
      <w:start w:val="2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01910"/>
    <w:multiLevelType w:val="hybridMultilevel"/>
    <w:tmpl w:val="29420FCE"/>
    <w:lvl w:ilvl="0" w:tplc="F0D2419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401594"/>
    <w:multiLevelType w:val="hybridMultilevel"/>
    <w:tmpl w:val="19843B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328DD"/>
    <w:multiLevelType w:val="hybridMultilevel"/>
    <w:tmpl w:val="0C0687CA"/>
    <w:lvl w:ilvl="0" w:tplc="9F52A5A4">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A1278F1"/>
    <w:multiLevelType w:val="hybridMultilevel"/>
    <w:tmpl w:val="FABCB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2D7F5E"/>
    <w:multiLevelType w:val="hybridMultilevel"/>
    <w:tmpl w:val="987427E0"/>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6" w15:restartNumberingAfterBreak="0">
    <w:nsid w:val="3DA65CB6"/>
    <w:multiLevelType w:val="hybridMultilevel"/>
    <w:tmpl w:val="15DAD0EA"/>
    <w:lvl w:ilvl="0" w:tplc="5D448FD2">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DEA6B16"/>
    <w:multiLevelType w:val="hybridMultilevel"/>
    <w:tmpl w:val="A07C3FE6"/>
    <w:lvl w:ilvl="0" w:tplc="FD041E52">
      <w:start w:val="2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1B3614"/>
    <w:multiLevelType w:val="hybridMultilevel"/>
    <w:tmpl w:val="ACD28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EC270F"/>
    <w:multiLevelType w:val="hybridMultilevel"/>
    <w:tmpl w:val="C2F6FA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51446E8"/>
    <w:multiLevelType w:val="hybridMultilevel"/>
    <w:tmpl w:val="C87A7C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705433D"/>
    <w:multiLevelType w:val="singleLevel"/>
    <w:tmpl w:val="61F2F276"/>
    <w:lvl w:ilvl="0">
      <w:start w:val="2"/>
      <w:numFmt w:val="bullet"/>
      <w:lvlText w:val="-"/>
      <w:lvlJc w:val="left"/>
      <w:pPr>
        <w:tabs>
          <w:tab w:val="num" w:pos="3960"/>
        </w:tabs>
        <w:ind w:left="3960" w:hanging="360"/>
      </w:pPr>
      <w:rPr>
        <w:rFonts w:ascii="Times New Roman" w:hAnsi="Times New Roman" w:hint="default"/>
      </w:rPr>
    </w:lvl>
  </w:abstractNum>
  <w:abstractNum w:abstractNumId="22" w15:restartNumberingAfterBreak="0">
    <w:nsid w:val="4D114AC9"/>
    <w:multiLevelType w:val="hybridMultilevel"/>
    <w:tmpl w:val="ABD46A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D3367AF"/>
    <w:multiLevelType w:val="hybridMultilevel"/>
    <w:tmpl w:val="2DDA6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3A53A4"/>
    <w:multiLevelType w:val="hybridMultilevel"/>
    <w:tmpl w:val="0B6C9C8E"/>
    <w:lvl w:ilvl="0" w:tplc="05B8A838">
      <w:numFmt w:val="bullet"/>
      <w:lvlText w:val=""/>
      <w:lvlJc w:val="left"/>
      <w:pPr>
        <w:tabs>
          <w:tab w:val="num" w:pos="1875"/>
        </w:tabs>
        <w:ind w:left="1875" w:hanging="1155"/>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4D422CA"/>
    <w:multiLevelType w:val="hybridMultilevel"/>
    <w:tmpl w:val="D2DCD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2D4DC5"/>
    <w:multiLevelType w:val="hybridMultilevel"/>
    <w:tmpl w:val="9EDA9F5A"/>
    <w:lvl w:ilvl="0" w:tplc="50BA42AE">
      <w:start w:val="2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27416D"/>
    <w:multiLevelType w:val="hybridMultilevel"/>
    <w:tmpl w:val="7406AC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BB62ABC"/>
    <w:multiLevelType w:val="hybridMultilevel"/>
    <w:tmpl w:val="9D52D9DC"/>
    <w:lvl w:ilvl="0" w:tplc="2CCCE3C6">
      <w:start w:val="2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5C4735"/>
    <w:multiLevelType w:val="hybridMultilevel"/>
    <w:tmpl w:val="0BE81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DB7C5A"/>
    <w:multiLevelType w:val="hybridMultilevel"/>
    <w:tmpl w:val="7898D7FA"/>
    <w:lvl w:ilvl="0" w:tplc="7F8C7F62">
      <w:start w:val="21"/>
      <w:numFmt w:val="bullet"/>
      <w:lvlText w:val=""/>
      <w:lvlJc w:val="left"/>
      <w:pPr>
        <w:tabs>
          <w:tab w:val="num" w:pos="1665"/>
        </w:tabs>
        <w:ind w:left="1665" w:hanging="945"/>
      </w:pPr>
      <w:rPr>
        <w:rFonts w:ascii="Wingdings" w:eastAsia="Times New Roman" w:hAnsi="Wingdings" w:hint="default"/>
      </w:rPr>
    </w:lvl>
    <w:lvl w:ilvl="1" w:tplc="2206BADA">
      <w:start w:val="404"/>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BA6D2D"/>
    <w:multiLevelType w:val="hybridMultilevel"/>
    <w:tmpl w:val="BDFA9068"/>
    <w:lvl w:ilvl="0" w:tplc="B49EAF54">
      <w:start w:val="2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6333CD"/>
    <w:multiLevelType w:val="hybridMultilevel"/>
    <w:tmpl w:val="EE165C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F3F21FD"/>
    <w:multiLevelType w:val="hybridMultilevel"/>
    <w:tmpl w:val="422AAA66"/>
    <w:lvl w:ilvl="0" w:tplc="7F8C7F62">
      <w:start w:val="21"/>
      <w:numFmt w:val="bullet"/>
      <w:lvlText w:val=""/>
      <w:lvlJc w:val="left"/>
      <w:pPr>
        <w:tabs>
          <w:tab w:val="num" w:pos="1665"/>
        </w:tabs>
        <w:ind w:left="1665" w:hanging="945"/>
      </w:pPr>
      <w:rPr>
        <w:rFonts w:ascii="Wingdings" w:eastAsia="Times New Roman"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F957849"/>
    <w:multiLevelType w:val="hybridMultilevel"/>
    <w:tmpl w:val="B538CE96"/>
    <w:lvl w:ilvl="0" w:tplc="F20E87D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706228DE"/>
    <w:multiLevelType w:val="hybridMultilevel"/>
    <w:tmpl w:val="32009B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7D73542"/>
    <w:multiLevelType w:val="hybridMultilevel"/>
    <w:tmpl w:val="B84E15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97B4866"/>
    <w:multiLevelType w:val="hybridMultilevel"/>
    <w:tmpl w:val="67DCBAF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8" w15:restartNumberingAfterBreak="0">
    <w:nsid w:val="7B5B1C2B"/>
    <w:multiLevelType w:val="hybridMultilevel"/>
    <w:tmpl w:val="C98CB2A4"/>
    <w:lvl w:ilvl="0" w:tplc="F20E87D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C953657"/>
    <w:multiLevelType w:val="hybridMultilevel"/>
    <w:tmpl w:val="9CE0ADC2"/>
    <w:lvl w:ilvl="0" w:tplc="B0D0CC8C">
      <w:start w:val="21"/>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36"/>
  </w:num>
  <w:num w:numId="3">
    <w:abstractNumId w:val="24"/>
  </w:num>
  <w:num w:numId="4">
    <w:abstractNumId w:val="19"/>
  </w:num>
  <w:num w:numId="5">
    <w:abstractNumId w:val="16"/>
  </w:num>
  <w:num w:numId="6">
    <w:abstractNumId w:val="5"/>
  </w:num>
  <w:num w:numId="7">
    <w:abstractNumId w:val="8"/>
  </w:num>
  <w:num w:numId="8">
    <w:abstractNumId w:val="33"/>
  </w:num>
  <w:num w:numId="9">
    <w:abstractNumId w:val="30"/>
  </w:num>
  <w:num w:numId="10">
    <w:abstractNumId w:val="29"/>
  </w:num>
  <w:num w:numId="11">
    <w:abstractNumId w:val="27"/>
  </w:num>
  <w:num w:numId="12">
    <w:abstractNumId w:val="38"/>
  </w:num>
  <w:num w:numId="13">
    <w:abstractNumId w:val="34"/>
  </w:num>
  <w:num w:numId="14">
    <w:abstractNumId w:val="4"/>
  </w:num>
  <w:num w:numId="15">
    <w:abstractNumId w:val="22"/>
  </w:num>
  <w:num w:numId="16">
    <w:abstractNumId w:val="0"/>
  </w:num>
  <w:num w:numId="17">
    <w:abstractNumId w:val="14"/>
  </w:num>
  <w:num w:numId="18">
    <w:abstractNumId w:val="18"/>
  </w:num>
  <w:num w:numId="19">
    <w:abstractNumId w:val="11"/>
  </w:num>
  <w:num w:numId="20">
    <w:abstractNumId w:val="23"/>
  </w:num>
  <w:num w:numId="21">
    <w:abstractNumId w:val="20"/>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
  </w:num>
  <w:num w:numId="2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7"/>
  </w:num>
  <w:num w:numId="31">
    <w:abstractNumId w:val="37"/>
  </w:num>
  <w:num w:numId="32">
    <w:abstractNumId w:val="35"/>
  </w:num>
  <w:num w:numId="33">
    <w:abstractNumId w:val="39"/>
  </w:num>
  <w:num w:numId="34">
    <w:abstractNumId w:val="17"/>
  </w:num>
  <w:num w:numId="35">
    <w:abstractNumId w:val="12"/>
  </w:num>
  <w:num w:numId="36">
    <w:abstractNumId w:val="15"/>
  </w:num>
  <w:num w:numId="37">
    <w:abstractNumId w:val="32"/>
  </w:num>
  <w:num w:numId="38">
    <w:abstractNumId w:val="3"/>
  </w:num>
  <w:num w:numId="39">
    <w:abstractNumId w:val="10"/>
  </w:num>
  <w:num w:numId="40">
    <w:abstractNumId w:val="28"/>
  </w:num>
  <w:num w:numId="41">
    <w:abstractNumId w:val="26"/>
  </w:num>
  <w:num w:numId="42">
    <w:abstractNumId w:val="9"/>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25E9"/>
    <w:rsid w:val="000001AA"/>
    <w:rsid w:val="000009CE"/>
    <w:rsid w:val="00000BEC"/>
    <w:rsid w:val="00000C78"/>
    <w:rsid w:val="00000CF0"/>
    <w:rsid w:val="00000D48"/>
    <w:rsid w:val="00001817"/>
    <w:rsid w:val="00001EF4"/>
    <w:rsid w:val="00002310"/>
    <w:rsid w:val="0000265D"/>
    <w:rsid w:val="000029E9"/>
    <w:rsid w:val="000036E3"/>
    <w:rsid w:val="000046CC"/>
    <w:rsid w:val="00004702"/>
    <w:rsid w:val="000048BC"/>
    <w:rsid w:val="000057C1"/>
    <w:rsid w:val="0000599F"/>
    <w:rsid w:val="00006B7B"/>
    <w:rsid w:val="00007181"/>
    <w:rsid w:val="0001037D"/>
    <w:rsid w:val="00010EF6"/>
    <w:rsid w:val="00010EFA"/>
    <w:rsid w:val="0001150F"/>
    <w:rsid w:val="0001185A"/>
    <w:rsid w:val="00011AEF"/>
    <w:rsid w:val="00012B1F"/>
    <w:rsid w:val="000138EB"/>
    <w:rsid w:val="000139B5"/>
    <w:rsid w:val="00013BB0"/>
    <w:rsid w:val="00013EA6"/>
    <w:rsid w:val="000152E7"/>
    <w:rsid w:val="00015BC1"/>
    <w:rsid w:val="00016A51"/>
    <w:rsid w:val="00016FE2"/>
    <w:rsid w:val="00017619"/>
    <w:rsid w:val="00017624"/>
    <w:rsid w:val="00020EE2"/>
    <w:rsid w:val="00021289"/>
    <w:rsid w:val="0002227F"/>
    <w:rsid w:val="000223B2"/>
    <w:rsid w:val="000238FA"/>
    <w:rsid w:val="00024A62"/>
    <w:rsid w:val="00024AC7"/>
    <w:rsid w:val="00025957"/>
    <w:rsid w:val="00025ECA"/>
    <w:rsid w:val="000270C6"/>
    <w:rsid w:val="00030419"/>
    <w:rsid w:val="0003069C"/>
    <w:rsid w:val="00030EE2"/>
    <w:rsid w:val="000314AD"/>
    <w:rsid w:val="000314D4"/>
    <w:rsid w:val="00031BA6"/>
    <w:rsid w:val="00032756"/>
    <w:rsid w:val="00032B7A"/>
    <w:rsid w:val="00032F33"/>
    <w:rsid w:val="00033409"/>
    <w:rsid w:val="00033412"/>
    <w:rsid w:val="00033574"/>
    <w:rsid w:val="00034084"/>
    <w:rsid w:val="00034414"/>
    <w:rsid w:val="000346B8"/>
    <w:rsid w:val="00035AB9"/>
    <w:rsid w:val="000366A1"/>
    <w:rsid w:val="00036A2B"/>
    <w:rsid w:val="00036D8B"/>
    <w:rsid w:val="000370F6"/>
    <w:rsid w:val="000378FA"/>
    <w:rsid w:val="00037CBD"/>
    <w:rsid w:val="000403BB"/>
    <w:rsid w:val="00041C86"/>
    <w:rsid w:val="000430CB"/>
    <w:rsid w:val="00044659"/>
    <w:rsid w:val="00044773"/>
    <w:rsid w:val="00044B0F"/>
    <w:rsid w:val="00044D21"/>
    <w:rsid w:val="00044E4A"/>
    <w:rsid w:val="00044E7A"/>
    <w:rsid w:val="00044EE9"/>
    <w:rsid w:val="0004507D"/>
    <w:rsid w:val="00046D73"/>
    <w:rsid w:val="00047024"/>
    <w:rsid w:val="00050B3D"/>
    <w:rsid w:val="00050EEC"/>
    <w:rsid w:val="00051155"/>
    <w:rsid w:val="00052042"/>
    <w:rsid w:val="00052501"/>
    <w:rsid w:val="00053814"/>
    <w:rsid w:val="0005470C"/>
    <w:rsid w:val="000555D7"/>
    <w:rsid w:val="00055ABC"/>
    <w:rsid w:val="00055C69"/>
    <w:rsid w:val="00057025"/>
    <w:rsid w:val="000574CB"/>
    <w:rsid w:val="0005777D"/>
    <w:rsid w:val="00057816"/>
    <w:rsid w:val="000601AD"/>
    <w:rsid w:val="000605FD"/>
    <w:rsid w:val="00060E93"/>
    <w:rsid w:val="00061559"/>
    <w:rsid w:val="0006242B"/>
    <w:rsid w:val="000625E9"/>
    <w:rsid w:val="00062C26"/>
    <w:rsid w:val="00062CEA"/>
    <w:rsid w:val="00063266"/>
    <w:rsid w:val="00063957"/>
    <w:rsid w:val="00063A5B"/>
    <w:rsid w:val="00065DAD"/>
    <w:rsid w:val="00065E6A"/>
    <w:rsid w:val="00066105"/>
    <w:rsid w:val="00066E53"/>
    <w:rsid w:val="00066EC9"/>
    <w:rsid w:val="0006734E"/>
    <w:rsid w:val="00070311"/>
    <w:rsid w:val="00070906"/>
    <w:rsid w:val="00071848"/>
    <w:rsid w:val="00071CA3"/>
    <w:rsid w:val="00072B36"/>
    <w:rsid w:val="00072E8E"/>
    <w:rsid w:val="0007321E"/>
    <w:rsid w:val="00073733"/>
    <w:rsid w:val="000737F6"/>
    <w:rsid w:val="00075C3F"/>
    <w:rsid w:val="000766C5"/>
    <w:rsid w:val="00076B83"/>
    <w:rsid w:val="000775B1"/>
    <w:rsid w:val="00080389"/>
    <w:rsid w:val="000812AA"/>
    <w:rsid w:val="00081E6A"/>
    <w:rsid w:val="000822DE"/>
    <w:rsid w:val="00082D8C"/>
    <w:rsid w:val="00082F78"/>
    <w:rsid w:val="00084379"/>
    <w:rsid w:val="0008447A"/>
    <w:rsid w:val="00084CBC"/>
    <w:rsid w:val="00085354"/>
    <w:rsid w:val="00085810"/>
    <w:rsid w:val="000903AC"/>
    <w:rsid w:val="00090BCB"/>
    <w:rsid w:val="00090C7C"/>
    <w:rsid w:val="00090CFB"/>
    <w:rsid w:val="0009111F"/>
    <w:rsid w:val="00091121"/>
    <w:rsid w:val="000913F0"/>
    <w:rsid w:val="00091710"/>
    <w:rsid w:val="00093487"/>
    <w:rsid w:val="00094F32"/>
    <w:rsid w:val="0009544A"/>
    <w:rsid w:val="000959E5"/>
    <w:rsid w:val="00095A24"/>
    <w:rsid w:val="00097F41"/>
    <w:rsid w:val="00097FCE"/>
    <w:rsid w:val="000A0456"/>
    <w:rsid w:val="000A0B78"/>
    <w:rsid w:val="000A19B9"/>
    <w:rsid w:val="000A1D88"/>
    <w:rsid w:val="000A2085"/>
    <w:rsid w:val="000A2356"/>
    <w:rsid w:val="000A2671"/>
    <w:rsid w:val="000A381B"/>
    <w:rsid w:val="000A505A"/>
    <w:rsid w:val="000A5590"/>
    <w:rsid w:val="000A67E7"/>
    <w:rsid w:val="000A68CB"/>
    <w:rsid w:val="000A6918"/>
    <w:rsid w:val="000A6B8C"/>
    <w:rsid w:val="000A77DA"/>
    <w:rsid w:val="000B20CF"/>
    <w:rsid w:val="000B3497"/>
    <w:rsid w:val="000B3C30"/>
    <w:rsid w:val="000B442C"/>
    <w:rsid w:val="000B4CC5"/>
    <w:rsid w:val="000B5CF8"/>
    <w:rsid w:val="000B7D22"/>
    <w:rsid w:val="000C06F5"/>
    <w:rsid w:val="000C0B9E"/>
    <w:rsid w:val="000C0DDC"/>
    <w:rsid w:val="000C1699"/>
    <w:rsid w:val="000C1966"/>
    <w:rsid w:val="000C1AC5"/>
    <w:rsid w:val="000C1E48"/>
    <w:rsid w:val="000C36E1"/>
    <w:rsid w:val="000C3CD2"/>
    <w:rsid w:val="000C41DE"/>
    <w:rsid w:val="000C46BA"/>
    <w:rsid w:val="000C627C"/>
    <w:rsid w:val="000C63BC"/>
    <w:rsid w:val="000C6BEC"/>
    <w:rsid w:val="000C7151"/>
    <w:rsid w:val="000C744F"/>
    <w:rsid w:val="000C75C2"/>
    <w:rsid w:val="000D0E02"/>
    <w:rsid w:val="000D19DD"/>
    <w:rsid w:val="000D1DDA"/>
    <w:rsid w:val="000D2521"/>
    <w:rsid w:val="000D4493"/>
    <w:rsid w:val="000D4587"/>
    <w:rsid w:val="000D584D"/>
    <w:rsid w:val="000D6778"/>
    <w:rsid w:val="000D6DF8"/>
    <w:rsid w:val="000D7811"/>
    <w:rsid w:val="000D7D48"/>
    <w:rsid w:val="000E02CF"/>
    <w:rsid w:val="000E0603"/>
    <w:rsid w:val="000E066F"/>
    <w:rsid w:val="000E0F0A"/>
    <w:rsid w:val="000E10CD"/>
    <w:rsid w:val="000E16F8"/>
    <w:rsid w:val="000E1AE0"/>
    <w:rsid w:val="000E26D5"/>
    <w:rsid w:val="000E2CAE"/>
    <w:rsid w:val="000E3F10"/>
    <w:rsid w:val="000E4053"/>
    <w:rsid w:val="000E40E0"/>
    <w:rsid w:val="000E4408"/>
    <w:rsid w:val="000E5379"/>
    <w:rsid w:val="000E624D"/>
    <w:rsid w:val="000E6D0D"/>
    <w:rsid w:val="000E7712"/>
    <w:rsid w:val="000F03F7"/>
    <w:rsid w:val="000F1CE4"/>
    <w:rsid w:val="000F2042"/>
    <w:rsid w:val="000F2273"/>
    <w:rsid w:val="000F2B05"/>
    <w:rsid w:val="000F2FEA"/>
    <w:rsid w:val="000F383E"/>
    <w:rsid w:val="000F41A5"/>
    <w:rsid w:val="000F5B11"/>
    <w:rsid w:val="000F5B30"/>
    <w:rsid w:val="000F6837"/>
    <w:rsid w:val="00100269"/>
    <w:rsid w:val="00100F59"/>
    <w:rsid w:val="00101242"/>
    <w:rsid w:val="00101735"/>
    <w:rsid w:val="0010236F"/>
    <w:rsid w:val="0010313A"/>
    <w:rsid w:val="001031FE"/>
    <w:rsid w:val="0010360F"/>
    <w:rsid w:val="001049FC"/>
    <w:rsid w:val="00105EB9"/>
    <w:rsid w:val="00106029"/>
    <w:rsid w:val="00107994"/>
    <w:rsid w:val="00107CA6"/>
    <w:rsid w:val="00110702"/>
    <w:rsid w:val="00110FB5"/>
    <w:rsid w:val="0011100D"/>
    <w:rsid w:val="00111BC6"/>
    <w:rsid w:val="00112141"/>
    <w:rsid w:val="00112783"/>
    <w:rsid w:val="00112808"/>
    <w:rsid w:val="00113F78"/>
    <w:rsid w:val="00114FED"/>
    <w:rsid w:val="00115A17"/>
    <w:rsid w:val="0011639D"/>
    <w:rsid w:val="001170A5"/>
    <w:rsid w:val="001179E3"/>
    <w:rsid w:val="0012056F"/>
    <w:rsid w:val="0012084A"/>
    <w:rsid w:val="00120BAB"/>
    <w:rsid w:val="00120EF6"/>
    <w:rsid w:val="00121323"/>
    <w:rsid w:val="001214B2"/>
    <w:rsid w:val="00121A07"/>
    <w:rsid w:val="001228D4"/>
    <w:rsid w:val="00123815"/>
    <w:rsid w:val="00123A5B"/>
    <w:rsid w:val="00124D39"/>
    <w:rsid w:val="00126151"/>
    <w:rsid w:val="001262B3"/>
    <w:rsid w:val="0012670D"/>
    <w:rsid w:val="00126BB6"/>
    <w:rsid w:val="00127D26"/>
    <w:rsid w:val="001303EA"/>
    <w:rsid w:val="00130B44"/>
    <w:rsid w:val="00131B97"/>
    <w:rsid w:val="00131BA1"/>
    <w:rsid w:val="00132068"/>
    <w:rsid w:val="00133D62"/>
    <w:rsid w:val="0013469F"/>
    <w:rsid w:val="00137C83"/>
    <w:rsid w:val="00137E23"/>
    <w:rsid w:val="001410EB"/>
    <w:rsid w:val="00141755"/>
    <w:rsid w:val="001423E9"/>
    <w:rsid w:val="00142542"/>
    <w:rsid w:val="001427D7"/>
    <w:rsid w:val="00142850"/>
    <w:rsid w:val="001436B0"/>
    <w:rsid w:val="00143EEF"/>
    <w:rsid w:val="00144BC1"/>
    <w:rsid w:val="00144E1A"/>
    <w:rsid w:val="001457EA"/>
    <w:rsid w:val="00145A21"/>
    <w:rsid w:val="00147835"/>
    <w:rsid w:val="001478CF"/>
    <w:rsid w:val="00150D05"/>
    <w:rsid w:val="00151563"/>
    <w:rsid w:val="00151D74"/>
    <w:rsid w:val="001521FA"/>
    <w:rsid w:val="0015257B"/>
    <w:rsid w:val="00152718"/>
    <w:rsid w:val="001532F3"/>
    <w:rsid w:val="00153395"/>
    <w:rsid w:val="0015414E"/>
    <w:rsid w:val="001542F1"/>
    <w:rsid w:val="00154BB1"/>
    <w:rsid w:val="00156195"/>
    <w:rsid w:val="00156DF2"/>
    <w:rsid w:val="00157767"/>
    <w:rsid w:val="00157A97"/>
    <w:rsid w:val="00160340"/>
    <w:rsid w:val="00160D2D"/>
    <w:rsid w:val="00160D86"/>
    <w:rsid w:val="001616A3"/>
    <w:rsid w:val="001622AC"/>
    <w:rsid w:val="00162389"/>
    <w:rsid w:val="001627B6"/>
    <w:rsid w:val="00162B54"/>
    <w:rsid w:val="00163342"/>
    <w:rsid w:val="001633A4"/>
    <w:rsid w:val="001635E1"/>
    <w:rsid w:val="001637BF"/>
    <w:rsid w:val="001640E5"/>
    <w:rsid w:val="001644E8"/>
    <w:rsid w:val="00164773"/>
    <w:rsid w:val="001647CC"/>
    <w:rsid w:val="00164B4D"/>
    <w:rsid w:val="00165792"/>
    <w:rsid w:val="00167165"/>
    <w:rsid w:val="00167BCD"/>
    <w:rsid w:val="00170347"/>
    <w:rsid w:val="001705B2"/>
    <w:rsid w:val="00170B7B"/>
    <w:rsid w:val="00171A92"/>
    <w:rsid w:val="001729EB"/>
    <w:rsid w:val="001737D8"/>
    <w:rsid w:val="00175428"/>
    <w:rsid w:val="00175464"/>
    <w:rsid w:val="00175A11"/>
    <w:rsid w:val="00176343"/>
    <w:rsid w:val="00176DD7"/>
    <w:rsid w:val="0017738D"/>
    <w:rsid w:val="0017790C"/>
    <w:rsid w:val="00177F98"/>
    <w:rsid w:val="00180F0F"/>
    <w:rsid w:val="00180FDB"/>
    <w:rsid w:val="0018193E"/>
    <w:rsid w:val="00181C5A"/>
    <w:rsid w:val="00183B0F"/>
    <w:rsid w:val="001840E8"/>
    <w:rsid w:val="00184748"/>
    <w:rsid w:val="001847DD"/>
    <w:rsid w:val="00184CC5"/>
    <w:rsid w:val="00185C6D"/>
    <w:rsid w:val="00185F6B"/>
    <w:rsid w:val="00187E21"/>
    <w:rsid w:val="00190155"/>
    <w:rsid w:val="00190B42"/>
    <w:rsid w:val="00191809"/>
    <w:rsid w:val="00192397"/>
    <w:rsid w:val="001931AA"/>
    <w:rsid w:val="001949D1"/>
    <w:rsid w:val="00195500"/>
    <w:rsid w:val="00195D3E"/>
    <w:rsid w:val="00195F7B"/>
    <w:rsid w:val="0019618E"/>
    <w:rsid w:val="001968AC"/>
    <w:rsid w:val="001A03CC"/>
    <w:rsid w:val="001A09A1"/>
    <w:rsid w:val="001A0CB0"/>
    <w:rsid w:val="001A10DB"/>
    <w:rsid w:val="001A1AEF"/>
    <w:rsid w:val="001A2156"/>
    <w:rsid w:val="001A2423"/>
    <w:rsid w:val="001A29A7"/>
    <w:rsid w:val="001A31C6"/>
    <w:rsid w:val="001A398E"/>
    <w:rsid w:val="001A4088"/>
    <w:rsid w:val="001A4568"/>
    <w:rsid w:val="001A46F5"/>
    <w:rsid w:val="001A490E"/>
    <w:rsid w:val="001A58DF"/>
    <w:rsid w:val="001A5BBC"/>
    <w:rsid w:val="001A6E6B"/>
    <w:rsid w:val="001A751B"/>
    <w:rsid w:val="001A7B26"/>
    <w:rsid w:val="001A7DE2"/>
    <w:rsid w:val="001B0391"/>
    <w:rsid w:val="001B091F"/>
    <w:rsid w:val="001B0DE0"/>
    <w:rsid w:val="001B1513"/>
    <w:rsid w:val="001B1AD3"/>
    <w:rsid w:val="001B2B30"/>
    <w:rsid w:val="001B2EE4"/>
    <w:rsid w:val="001B2F0A"/>
    <w:rsid w:val="001B360A"/>
    <w:rsid w:val="001B400D"/>
    <w:rsid w:val="001B4031"/>
    <w:rsid w:val="001B5FF8"/>
    <w:rsid w:val="001B6575"/>
    <w:rsid w:val="001B6FA5"/>
    <w:rsid w:val="001C04E5"/>
    <w:rsid w:val="001C076A"/>
    <w:rsid w:val="001C0C20"/>
    <w:rsid w:val="001C0E47"/>
    <w:rsid w:val="001C10FD"/>
    <w:rsid w:val="001C21A9"/>
    <w:rsid w:val="001C267F"/>
    <w:rsid w:val="001C437D"/>
    <w:rsid w:val="001C458D"/>
    <w:rsid w:val="001C525A"/>
    <w:rsid w:val="001C5786"/>
    <w:rsid w:val="001C5BE1"/>
    <w:rsid w:val="001C5DFB"/>
    <w:rsid w:val="001C6304"/>
    <w:rsid w:val="001C6BD2"/>
    <w:rsid w:val="001C6BFF"/>
    <w:rsid w:val="001C7B5B"/>
    <w:rsid w:val="001C7F78"/>
    <w:rsid w:val="001D0226"/>
    <w:rsid w:val="001D0C17"/>
    <w:rsid w:val="001D3A35"/>
    <w:rsid w:val="001D3EDE"/>
    <w:rsid w:val="001D3F51"/>
    <w:rsid w:val="001D476F"/>
    <w:rsid w:val="001D5829"/>
    <w:rsid w:val="001D5B15"/>
    <w:rsid w:val="001E01BC"/>
    <w:rsid w:val="001E0219"/>
    <w:rsid w:val="001E0D30"/>
    <w:rsid w:val="001E11B3"/>
    <w:rsid w:val="001E13A3"/>
    <w:rsid w:val="001E1944"/>
    <w:rsid w:val="001E1A7B"/>
    <w:rsid w:val="001E1EB6"/>
    <w:rsid w:val="001E2211"/>
    <w:rsid w:val="001E2B01"/>
    <w:rsid w:val="001E2BC9"/>
    <w:rsid w:val="001E4D69"/>
    <w:rsid w:val="001E5239"/>
    <w:rsid w:val="001E5309"/>
    <w:rsid w:val="001E6577"/>
    <w:rsid w:val="001E6A24"/>
    <w:rsid w:val="001E70C7"/>
    <w:rsid w:val="001E7684"/>
    <w:rsid w:val="001E77B6"/>
    <w:rsid w:val="001F07B4"/>
    <w:rsid w:val="001F0829"/>
    <w:rsid w:val="001F0E82"/>
    <w:rsid w:val="001F1EB0"/>
    <w:rsid w:val="001F2391"/>
    <w:rsid w:val="001F242B"/>
    <w:rsid w:val="001F27E5"/>
    <w:rsid w:val="001F35A2"/>
    <w:rsid w:val="001F37A0"/>
    <w:rsid w:val="001F3AEF"/>
    <w:rsid w:val="001F405F"/>
    <w:rsid w:val="001F4335"/>
    <w:rsid w:val="001F4769"/>
    <w:rsid w:val="001F4E0D"/>
    <w:rsid w:val="001F58E5"/>
    <w:rsid w:val="001F60BC"/>
    <w:rsid w:val="001F6890"/>
    <w:rsid w:val="001F68BC"/>
    <w:rsid w:val="001F6AC8"/>
    <w:rsid w:val="001F7B56"/>
    <w:rsid w:val="001F7F3A"/>
    <w:rsid w:val="0020000E"/>
    <w:rsid w:val="00200C09"/>
    <w:rsid w:val="0020125F"/>
    <w:rsid w:val="00201DAE"/>
    <w:rsid w:val="00202114"/>
    <w:rsid w:val="002028E4"/>
    <w:rsid w:val="00202BFE"/>
    <w:rsid w:val="002034C2"/>
    <w:rsid w:val="00203524"/>
    <w:rsid w:val="00203E6F"/>
    <w:rsid w:val="002052A1"/>
    <w:rsid w:val="00205E56"/>
    <w:rsid w:val="002063EE"/>
    <w:rsid w:val="0020682B"/>
    <w:rsid w:val="0020692C"/>
    <w:rsid w:val="00207482"/>
    <w:rsid w:val="002078DF"/>
    <w:rsid w:val="00207CF3"/>
    <w:rsid w:val="00210463"/>
    <w:rsid w:val="00210B1C"/>
    <w:rsid w:val="00210D12"/>
    <w:rsid w:val="0021267B"/>
    <w:rsid w:val="00212D58"/>
    <w:rsid w:val="002131A4"/>
    <w:rsid w:val="0021341B"/>
    <w:rsid w:val="00213A8A"/>
    <w:rsid w:val="00214CFB"/>
    <w:rsid w:val="00214F9F"/>
    <w:rsid w:val="00215286"/>
    <w:rsid w:val="002159CE"/>
    <w:rsid w:val="00216AD0"/>
    <w:rsid w:val="00216D83"/>
    <w:rsid w:val="002176E7"/>
    <w:rsid w:val="002215A6"/>
    <w:rsid w:val="00221A2E"/>
    <w:rsid w:val="00222B1F"/>
    <w:rsid w:val="00223729"/>
    <w:rsid w:val="00223BE5"/>
    <w:rsid w:val="00224F54"/>
    <w:rsid w:val="00224FF8"/>
    <w:rsid w:val="00225428"/>
    <w:rsid w:val="00225C35"/>
    <w:rsid w:val="0022617E"/>
    <w:rsid w:val="00226F3D"/>
    <w:rsid w:val="00227241"/>
    <w:rsid w:val="0022776C"/>
    <w:rsid w:val="0023012C"/>
    <w:rsid w:val="00230357"/>
    <w:rsid w:val="002308E0"/>
    <w:rsid w:val="00232A0D"/>
    <w:rsid w:val="00233258"/>
    <w:rsid w:val="0023345C"/>
    <w:rsid w:val="00233513"/>
    <w:rsid w:val="0023358A"/>
    <w:rsid w:val="0023562B"/>
    <w:rsid w:val="002367C5"/>
    <w:rsid w:val="002371CB"/>
    <w:rsid w:val="00237EDE"/>
    <w:rsid w:val="00240F9D"/>
    <w:rsid w:val="00241228"/>
    <w:rsid w:val="00241657"/>
    <w:rsid w:val="0024184D"/>
    <w:rsid w:val="00241D35"/>
    <w:rsid w:val="00242034"/>
    <w:rsid w:val="002421D3"/>
    <w:rsid w:val="002422D7"/>
    <w:rsid w:val="002441DE"/>
    <w:rsid w:val="002445FB"/>
    <w:rsid w:val="00245DCF"/>
    <w:rsid w:val="00246AB8"/>
    <w:rsid w:val="002509AF"/>
    <w:rsid w:val="00250B77"/>
    <w:rsid w:val="00250CA1"/>
    <w:rsid w:val="00250D5B"/>
    <w:rsid w:val="0025113B"/>
    <w:rsid w:val="00251176"/>
    <w:rsid w:val="00251597"/>
    <w:rsid w:val="00252201"/>
    <w:rsid w:val="00252AB5"/>
    <w:rsid w:val="00252AF9"/>
    <w:rsid w:val="00252D76"/>
    <w:rsid w:val="00252F9C"/>
    <w:rsid w:val="002532E5"/>
    <w:rsid w:val="002543DD"/>
    <w:rsid w:val="0025556C"/>
    <w:rsid w:val="00255667"/>
    <w:rsid w:val="00257056"/>
    <w:rsid w:val="00257193"/>
    <w:rsid w:val="00257FBE"/>
    <w:rsid w:val="002602F0"/>
    <w:rsid w:val="00260BC3"/>
    <w:rsid w:val="0026130C"/>
    <w:rsid w:val="00262E16"/>
    <w:rsid w:val="00263095"/>
    <w:rsid w:val="00263CC4"/>
    <w:rsid w:val="002645E7"/>
    <w:rsid w:val="00264711"/>
    <w:rsid w:val="002660F8"/>
    <w:rsid w:val="00266BBB"/>
    <w:rsid w:val="00266C36"/>
    <w:rsid w:val="002670A9"/>
    <w:rsid w:val="00267997"/>
    <w:rsid w:val="00271904"/>
    <w:rsid w:val="0027286F"/>
    <w:rsid w:val="0027337C"/>
    <w:rsid w:val="00273EF1"/>
    <w:rsid w:val="00274794"/>
    <w:rsid w:val="00275B6F"/>
    <w:rsid w:val="002760EE"/>
    <w:rsid w:val="00276347"/>
    <w:rsid w:val="0027664C"/>
    <w:rsid w:val="0027702C"/>
    <w:rsid w:val="00277285"/>
    <w:rsid w:val="0028053D"/>
    <w:rsid w:val="00280BE3"/>
    <w:rsid w:val="002812FA"/>
    <w:rsid w:val="00281492"/>
    <w:rsid w:val="00282A71"/>
    <w:rsid w:val="00282E42"/>
    <w:rsid w:val="00283D40"/>
    <w:rsid w:val="00284120"/>
    <w:rsid w:val="00284372"/>
    <w:rsid w:val="00285167"/>
    <w:rsid w:val="00286555"/>
    <w:rsid w:val="00287C0A"/>
    <w:rsid w:val="00290263"/>
    <w:rsid w:val="002903C9"/>
    <w:rsid w:val="0029094C"/>
    <w:rsid w:val="00290C1E"/>
    <w:rsid w:val="00290F5C"/>
    <w:rsid w:val="00291DB1"/>
    <w:rsid w:val="00291FDA"/>
    <w:rsid w:val="0029234C"/>
    <w:rsid w:val="00292462"/>
    <w:rsid w:val="0029295E"/>
    <w:rsid w:val="0029301C"/>
    <w:rsid w:val="002936E3"/>
    <w:rsid w:val="002937B7"/>
    <w:rsid w:val="00296337"/>
    <w:rsid w:val="00296A00"/>
    <w:rsid w:val="00296D70"/>
    <w:rsid w:val="00296E9C"/>
    <w:rsid w:val="00297045"/>
    <w:rsid w:val="00297048"/>
    <w:rsid w:val="00297BF7"/>
    <w:rsid w:val="002A0B48"/>
    <w:rsid w:val="002A2042"/>
    <w:rsid w:val="002A2323"/>
    <w:rsid w:val="002A515E"/>
    <w:rsid w:val="002A5271"/>
    <w:rsid w:val="002A572E"/>
    <w:rsid w:val="002A7F95"/>
    <w:rsid w:val="002B04DE"/>
    <w:rsid w:val="002B0864"/>
    <w:rsid w:val="002B0A1D"/>
    <w:rsid w:val="002B0D25"/>
    <w:rsid w:val="002B1882"/>
    <w:rsid w:val="002B1E09"/>
    <w:rsid w:val="002B1E47"/>
    <w:rsid w:val="002B2779"/>
    <w:rsid w:val="002B2931"/>
    <w:rsid w:val="002B368D"/>
    <w:rsid w:val="002B3B76"/>
    <w:rsid w:val="002B3B98"/>
    <w:rsid w:val="002B4324"/>
    <w:rsid w:val="002B435A"/>
    <w:rsid w:val="002B4570"/>
    <w:rsid w:val="002B4663"/>
    <w:rsid w:val="002B482C"/>
    <w:rsid w:val="002B5013"/>
    <w:rsid w:val="002B6068"/>
    <w:rsid w:val="002B60BC"/>
    <w:rsid w:val="002B6C9F"/>
    <w:rsid w:val="002B6FC1"/>
    <w:rsid w:val="002B76E5"/>
    <w:rsid w:val="002B7D6A"/>
    <w:rsid w:val="002C10A9"/>
    <w:rsid w:val="002C1C46"/>
    <w:rsid w:val="002C3A21"/>
    <w:rsid w:val="002C3C90"/>
    <w:rsid w:val="002C3E0A"/>
    <w:rsid w:val="002C6F3C"/>
    <w:rsid w:val="002C79D9"/>
    <w:rsid w:val="002C7BAF"/>
    <w:rsid w:val="002C7BF5"/>
    <w:rsid w:val="002C7FEB"/>
    <w:rsid w:val="002D0446"/>
    <w:rsid w:val="002D304B"/>
    <w:rsid w:val="002D462D"/>
    <w:rsid w:val="002D5A13"/>
    <w:rsid w:val="002D764C"/>
    <w:rsid w:val="002E0FD1"/>
    <w:rsid w:val="002E1477"/>
    <w:rsid w:val="002E177A"/>
    <w:rsid w:val="002E1A21"/>
    <w:rsid w:val="002E1A8F"/>
    <w:rsid w:val="002E1ED9"/>
    <w:rsid w:val="002E28FC"/>
    <w:rsid w:val="002E2EB6"/>
    <w:rsid w:val="002E308D"/>
    <w:rsid w:val="002E39FA"/>
    <w:rsid w:val="002E46BE"/>
    <w:rsid w:val="002E4926"/>
    <w:rsid w:val="002E59AD"/>
    <w:rsid w:val="002E5CA4"/>
    <w:rsid w:val="002E5D3B"/>
    <w:rsid w:val="002E6F31"/>
    <w:rsid w:val="002E7150"/>
    <w:rsid w:val="002E7388"/>
    <w:rsid w:val="002F06BD"/>
    <w:rsid w:val="002F0707"/>
    <w:rsid w:val="002F0726"/>
    <w:rsid w:val="002F08DC"/>
    <w:rsid w:val="002F0E55"/>
    <w:rsid w:val="002F131C"/>
    <w:rsid w:val="002F13BB"/>
    <w:rsid w:val="002F1507"/>
    <w:rsid w:val="002F1572"/>
    <w:rsid w:val="002F1F0E"/>
    <w:rsid w:val="002F2333"/>
    <w:rsid w:val="002F24A8"/>
    <w:rsid w:val="002F36FD"/>
    <w:rsid w:val="002F3B34"/>
    <w:rsid w:val="002F4199"/>
    <w:rsid w:val="002F6ED9"/>
    <w:rsid w:val="002F7190"/>
    <w:rsid w:val="002F757F"/>
    <w:rsid w:val="002F7C66"/>
    <w:rsid w:val="00300007"/>
    <w:rsid w:val="003014DB"/>
    <w:rsid w:val="0030157A"/>
    <w:rsid w:val="003022D3"/>
    <w:rsid w:val="003035F7"/>
    <w:rsid w:val="00303884"/>
    <w:rsid w:val="003038EA"/>
    <w:rsid w:val="00304417"/>
    <w:rsid w:val="00304941"/>
    <w:rsid w:val="0030549D"/>
    <w:rsid w:val="00305D78"/>
    <w:rsid w:val="00305F6B"/>
    <w:rsid w:val="003064C6"/>
    <w:rsid w:val="00306FF6"/>
    <w:rsid w:val="0030747A"/>
    <w:rsid w:val="003074E3"/>
    <w:rsid w:val="003124EC"/>
    <w:rsid w:val="00312CCC"/>
    <w:rsid w:val="003139BF"/>
    <w:rsid w:val="00315FBD"/>
    <w:rsid w:val="00316A2C"/>
    <w:rsid w:val="00317653"/>
    <w:rsid w:val="00317D0B"/>
    <w:rsid w:val="00317DE0"/>
    <w:rsid w:val="00320495"/>
    <w:rsid w:val="00320D64"/>
    <w:rsid w:val="00321242"/>
    <w:rsid w:val="0032196C"/>
    <w:rsid w:val="003239D1"/>
    <w:rsid w:val="00323C3C"/>
    <w:rsid w:val="003243FD"/>
    <w:rsid w:val="00324D15"/>
    <w:rsid w:val="00326231"/>
    <w:rsid w:val="00326687"/>
    <w:rsid w:val="00327104"/>
    <w:rsid w:val="00327DB0"/>
    <w:rsid w:val="00330FB1"/>
    <w:rsid w:val="00331983"/>
    <w:rsid w:val="003319EB"/>
    <w:rsid w:val="00331C20"/>
    <w:rsid w:val="003320A1"/>
    <w:rsid w:val="003321D6"/>
    <w:rsid w:val="0033266A"/>
    <w:rsid w:val="00332AB7"/>
    <w:rsid w:val="003333AB"/>
    <w:rsid w:val="003333AF"/>
    <w:rsid w:val="0033359B"/>
    <w:rsid w:val="00333B22"/>
    <w:rsid w:val="00334C0F"/>
    <w:rsid w:val="00334E24"/>
    <w:rsid w:val="00334FAD"/>
    <w:rsid w:val="003352D3"/>
    <w:rsid w:val="0033532C"/>
    <w:rsid w:val="00335590"/>
    <w:rsid w:val="00335F62"/>
    <w:rsid w:val="003360A5"/>
    <w:rsid w:val="00336C2C"/>
    <w:rsid w:val="00336D32"/>
    <w:rsid w:val="00337139"/>
    <w:rsid w:val="003377F9"/>
    <w:rsid w:val="00341118"/>
    <w:rsid w:val="003420C7"/>
    <w:rsid w:val="00342EEA"/>
    <w:rsid w:val="003436E8"/>
    <w:rsid w:val="003455D8"/>
    <w:rsid w:val="00345833"/>
    <w:rsid w:val="00346BEE"/>
    <w:rsid w:val="00347E20"/>
    <w:rsid w:val="00347F13"/>
    <w:rsid w:val="00350267"/>
    <w:rsid w:val="00350D66"/>
    <w:rsid w:val="00350F88"/>
    <w:rsid w:val="00351062"/>
    <w:rsid w:val="00351A7E"/>
    <w:rsid w:val="00351AF2"/>
    <w:rsid w:val="00351E15"/>
    <w:rsid w:val="003523FB"/>
    <w:rsid w:val="003535C6"/>
    <w:rsid w:val="0035394A"/>
    <w:rsid w:val="0035428A"/>
    <w:rsid w:val="00354DEA"/>
    <w:rsid w:val="00356447"/>
    <w:rsid w:val="00356ADA"/>
    <w:rsid w:val="003576A7"/>
    <w:rsid w:val="00360288"/>
    <w:rsid w:val="00361A91"/>
    <w:rsid w:val="00362756"/>
    <w:rsid w:val="00362ACC"/>
    <w:rsid w:val="003642C3"/>
    <w:rsid w:val="0036461C"/>
    <w:rsid w:val="00364B8F"/>
    <w:rsid w:val="00365000"/>
    <w:rsid w:val="0036726F"/>
    <w:rsid w:val="00367A93"/>
    <w:rsid w:val="00370B43"/>
    <w:rsid w:val="00371983"/>
    <w:rsid w:val="003728D0"/>
    <w:rsid w:val="003739B9"/>
    <w:rsid w:val="00373E6B"/>
    <w:rsid w:val="00374619"/>
    <w:rsid w:val="00374A01"/>
    <w:rsid w:val="00375A12"/>
    <w:rsid w:val="00375C98"/>
    <w:rsid w:val="00376FCB"/>
    <w:rsid w:val="0037705D"/>
    <w:rsid w:val="003778E4"/>
    <w:rsid w:val="00377D3D"/>
    <w:rsid w:val="0038030D"/>
    <w:rsid w:val="0038077D"/>
    <w:rsid w:val="00381158"/>
    <w:rsid w:val="00381A5B"/>
    <w:rsid w:val="00382798"/>
    <w:rsid w:val="00383741"/>
    <w:rsid w:val="00383E0B"/>
    <w:rsid w:val="00384599"/>
    <w:rsid w:val="00385BF7"/>
    <w:rsid w:val="00385D23"/>
    <w:rsid w:val="00385E26"/>
    <w:rsid w:val="003862E2"/>
    <w:rsid w:val="00387E9F"/>
    <w:rsid w:val="003904EC"/>
    <w:rsid w:val="003916CC"/>
    <w:rsid w:val="00391A97"/>
    <w:rsid w:val="00391E3B"/>
    <w:rsid w:val="00392A12"/>
    <w:rsid w:val="003932B4"/>
    <w:rsid w:val="00393C5B"/>
    <w:rsid w:val="0039403B"/>
    <w:rsid w:val="00394997"/>
    <w:rsid w:val="00395B9E"/>
    <w:rsid w:val="00395E3A"/>
    <w:rsid w:val="003967E0"/>
    <w:rsid w:val="003968EE"/>
    <w:rsid w:val="00396AC5"/>
    <w:rsid w:val="003A010D"/>
    <w:rsid w:val="003A0A82"/>
    <w:rsid w:val="003A0FBE"/>
    <w:rsid w:val="003A1A61"/>
    <w:rsid w:val="003A2B6E"/>
    <w:rsid w:val="003A3151"/>
    <w:rsid w:val="003A3E50"/>
    <w:rsid w:val="003A4807"/>
    <w:rsid w:val="003A4903"/>
    <w:rsid w:val="003A49ED"/>
    <w:rsid w:val="003A4A4E"/>
    <w:rsid w:val="003A5543"/>
    <w:rsid w:val="003A557E"/>
    <w:rsid w:val="003A67FF"/>
    <w:rsid w:val="003A7154"/>
    <w:rsid w:val="003A768B"/>
    <w:rsid w:val="003A7BD4"/>
    <w:rsid w:val="003B0194"/>
    <w:rsid w:val="003B0EAC"/>
    <w:rsid w:val="003B113D"/>
    <w:rsid w:val="003B117B"/>
    <w:rsid w:val="003B1C05"/>
    <w:rsid w:val="003B26AB"/>
    <w:rsid w:val="003B28AD"/>
    <w:rsid w:val="003B30B4"/>
    <w:rsid w:val="003B365C"/>
    <w:rsid w:val="003B3E75"/>
    <w:rsid w:val="003B3F01"/>
    <w:rsid w:val="003B4545"/>
    <w:rsid w:val="003B48B6"/>
    <w:rsid w:val="003B5DD4"/>
    <w:rsid w:val="003B686F"/>
    <w:rsid w:val="003B6974"/>
    <w:rsid w:val="003B6D23"/>
    <w:rsid w:val="003C04B5"/>
    <w:rsid w:val="003C0B68"/>
    <w:rsid w:val="003C230F"/>
    <w:rsid w:val="003C2AFF"/>
    <w:rsid w:val="003C4003"/>
    <w:rsid w:val="003C4861"/>
    <w:rsid w:val="003C51E7"/>
    <w:rsid w:val="003C728E"/>
    <w:rsid w:val="003C77B5"/>
    <w:rsid w:val="003C7809"/>
    <w:rsid w:val="003D0898"/>
    <w:rsid w:val="003D0A86"/>
    <w:rsid w:val="003D0CF0"/>
    <w:rsid w:val="003D1745"/>
    <w:rsid w:val="003D1774"/>
    <w:rsid w:val="003D1905"/>
    <w:rsid w:val="003D1C68"/>
    <w:rsid w:val="003D344A"/>
    <w:rsid w:val="003D44AB"/>
    <w:rsid w:val="003D49CF"/>
    <w:rsid w:val="003D53A3"/>
    <w:rsid w:val="003D7EDB"/>
    <w:rsid w:val="003E08A7"/>
    <w:rsid w:val="003E0D67"/>
    <w:rsid w:val="003E199F"/>
    <w:rsid w:val="003E3D42"/>
    <w:rsid w:val="003E447F"/>
    <w:rsid w:val="003E4E31"/>
    <w:rsid w:val="003E55E6"/>
    <w:rsid w:val="003E7116"/>
    <w:rsid w:val="003E7E12"/>
    <w:rsid w:val="003F02CC"/>
    <w:rsid w:val="003F0361"/>
    <w:rsid w:val="003F0A0C"/>
    <w:rsid w:val="003F0D56"/>
    <w:rsid w:val="003F1617"/>
    <w:rsid w:val="003F1672"/>
    <w:rsid w:val="003F1BC5"/>
    <w:rsid w:val="003F20D3"/>
    <w:rsid w:val="003F3821"/>
    <w:rsid w:val="003F4945"/>
    <w:rsid w:val="003F4D95"/>
    <w:rsid w:val="003F5126"/>
    <w:rsid w:val="003F52DB"/>
    <w:rsid w:val="003F5322"/>
    <w:rsid w:val="003F693D"/>
    <w:rsid w:val="0040016C"/>
    <w:rsid w:val="00400311"/>
    <w:rsid w:val="00400C12"/>
    <w:rsid w:val="00401285"/>
    <w:rsid w:val="00402E49"/>
    <w:rsid w:val="004033E4"/>
    <w:rsid w:val="00403F0E"/>
    <w:rsid w:val="0040408A"/>
    <w:rsid w:val="00404AFC"/>
    <w:rsid w:val="00404C6B"/>
    <w:rsid w:val="00404D37"/>
    <w:rsid w:val="004068B0"/>
    <w:rsid w:val="00407024"/>
    <w:rsid w:val="004109FD"/>
    <w:rsid w:val="00410B71"/>
    <w:rsid w:val="00411D2F"/>
    <w:rsid w:val="00412480"/>
    <w:rsid w:val="00412B8D"/>
    <w:rsid w:val="00412C61"/>
    <w:rsid w:val="00413860"/>
    <w:rsid w:val="00413D56"/>
    <w:rsid w:val="00414514"/>
    <w:rsid w:val="00414E86"/>
    <w:rsid w:val="0041506D"/>
    <w:rsid w:val="0041512A"/>
    <w:rsid w:val="004152E9"/>
    <w:rsid w:val="004156FC"/>
    <w:rsid w:val="00415952"/>
    <w:rsid w:val="00415BFE"/>
    <w:rsid w:val="00416389"/>
    <w:rsid w:val="00416812"/>
    <w:rsid w:val="004179D5"/>
    <w:rsid w:val="00417AFE"/>
    <w:rsid w:val="004206B6"/>
    <w:rsid w:val="00420A55"/>
    <w:rsid w:val="00421757"/>
    <w:rsid w:val="0042187B"/>
    <w:rsid w:val="004226CA"/>
    <w:rsid w:val="00423266"/>
    <w:rsid w:val="00423BEC"/>
    <w:rsid w:val="00425824"/>
    <w:rsid w:val="00426303"/>
    <w:rsid w:val="00426804"/>
    <w:rsid w:val="00426CAB"/>
    <w:rsid w:val="00427ECF"/>
    <w:rsid w:val="004309E0"/>
    <w:rsid w:val="00430D60"/>
    <w:rsid w:val="00430F86"/>
    <w:rsid w:val="00432854"/>
    <w:rsid w:val="00432C40"/>
    <w:rsid w:val="00433270"/>
    <w:rsid w:val="004335E5"/>
    <w:rsid w:val="00433995"/>
    <w:rsid w:val="004348F4"/>
    <w:rsid w:val="00435A3A"/>
    <w:rsid w:val="00435ECF"/>
    <w:rsid w:val="00436410"/>
    <w:rsid w:val="00436B1F"/>
    <w:rsid w:val="00437ABF"/>
    <w:rsid w:val="00440C3E"/>
    <w:rsid w:val="00440D51"/>
    <w:rsid w:val="00441A0B"/>
    <w:rsid w:val="0044304B"/>
    <w:rsid w:val="00443251"/>
    <w:rsid w:val="00443631"/>
    <w:rsid w:val="00443ED4"/>
    <w:rsid w:val="00446ADF"/>
    <w:rsid w:val="00446EC6"/>
    <w:rsid w:val="00447C76"/>
    <w:rsid w:val="004501E1"/>
    <w:rsid w:val="004503E4"/>
    <w:rsid w:val="00451F11"/>
    <w:rsid w:val="004520D5"/>
    <w:rsid w:val="004528BA"/>
    <w:rsid w:val="00452F5A"/>
    <w:rsid w:val="00453183"/>
    <w:rsid w:val="00453378"/>
    <w:rsid w:val="00453D67"/>
    <w:rsid w:val="00453DAD"/>
    <w:rsid w:val="0045433A"/>
    <w:rsid w:val="004562DC"/>
    <w:rsid w:val="00456544"/>
    <w:rsid w:val="00457A87"/>
    <w:rsid w:val="00457C69"/>
    <w:rsid w:val="00457D59"/>
    <w:rsid w:val="0046121D"/>
    <w:rsid w:val="0046290C"/>
    <w:rsid w:val="00463149"/>
    <w:rsid w:val="00463359"/>
    <w:rsid w:val="004634FB"/>
    <w:rsid w:val="00464DA7"/>
    <w:rsid w:val="00465270"/>
    <w:rsid w:val="00465AEA"/>
    <w:rsid w:val="00466139"/>
    <w:rsid w:val="0047084C"/>
    <w:rsid w:val="00470870"/>
    <w:rsid w:val="00470A45"/>
    <w:rsid w:val="004711BF"/>
    <w:rsid w:val="00471350"/>
    <w:rsid w:val="00471AB2"/>
    <w:rsid w:val="00472B12"/>
    <w:rsid w:val="00472BED"/>
    <w:rsid w:val="00473BC7"/>
    <w:rsid w:val="00474C71"/>
    <w:rsid w:val="00475AFD"/>
    <w:rsid w:val="00475E84"/>
    <w:rsid w:val="00476135"/>
    <w:rsid w:val="0047639A"/>
    <w:rsid w:val="00476D63"/>
    <w:rsid w:val="00480509"/>
    <w:rsid w:val="00480633"/>
    <w:rsid w:val="004807FE"/>
    <w:rsid w:val="00480E3F"/>
    <w:rsid w:val="00481DE5"/>
    <w:rsid w:val="004822D0"/>
    <w:rsid w:val="00482D96"/>
    <w:rsid w:val="004837C0"/>
    <w:rsid w:val="00483908"/>
    <w:rsid w:val="0048454C"/>
    <w:rsid w:val="00484C92"/>
    <w:rsid w:val="00485163"/>
    <w:rsid w:val="004858F3"/>
    <w:rsid w:val="004858F7"/>
    <w:rsid w:val="004872C4"/>
    <w:rsid w:val="00491269"/>
    <w:rsid w:val="004914AA"/>
    <w:rsid w:val="004917E0"/>
    <w:rsid w:val="00492BF7"/>
    <w:rsid w:val="00494034"/>
    <w:rsid w:val="004940A3"/>
    <w:rsid w:val="00494292"/>
    <w:rsid w:val="00494295"/>
    <w:rsid w:val="00494452"/>
    <w:rsid w:val="00494F43"/>
    <w:rsid w:val="00494F87"/>
    <w:rsid w:val="00495C19"/>
    <w:rsid w:val="00496E59"/>
    <w:rsid w:val="00497573"/>
    <w:rsid w:val="00497C58"/>
    <w:rsid w:val="004A00C9"/>
    <w:rsid w:val="004A030D"/>
    <w:rsid w:val="004A031D"/>
    <w:rsid w:val="004A087D"/>
    <w:rsid w:val="004A08A3"/>
    <w:rsid w:val="004A0D82"/>
    <w:rsid w:val="004A1F71"/>
    <w:rsid w:val="004A235E"/>
    <w:rsid w:val="004A559B"/>
    <w:rsid w:val="004A601A"/>
    <w:rsid w:val="004A6B0F"/>
    <w:rsid w:val="004A75E8"/>
    <w:rsid w:val="004A7D94"/>
    <w:rsid w:val="004B0F42"/>
    <w:rsid w:val="004B1B99"/>
    <w:rsid w:val="004B2151"/>
    <w:rsid w:val="004B2AB9"/>
    <w:rsid w:val="004B45A3"/>
    <w:rsid w:val="004B488D"/>
    <w:rsid w:val="004B62BA"/>
    <w:rsid w:val="004B63AD"/>
    <w:rsid w:val="004B7FD8"/>
    <w:rsid w:val="004C221A"/>
    <w:rsid w:val="004C3002"/>
    <w:rsid w:val="004C3185"/>
    <w:rsid w:val="004C4C9D"/>
    <w:rsid w:val="004C4D90"/>
    <w:rsid w:val="004C5432"/>
    <w:rsid w:val="004C54C6"/>
    <w:rsid w:val="004C5C11"/>
    <w:rsid w:val="004C5DDE"/>
    <w:rsid w:val="004C5DEC"/>
    <w:rsid w:val="004C5F94"/>
    <w:rsid w:val="004C7606"/>
    <w:rsid w:val="004C78CC"/>
    <w:rsid w:val="004C7BB8"/>
    <w:rsid w:val="004C7BEC"/>
    <w:rsid w:val="004D0704"/>
    <w:rsid w:val="004D11A1"/>
    <w:rsid w:val="004D127F"/>
    <w:rsid w:val="004D1B0F"/>
    <w:rsid w:val="004D1DFE"/>
    <w:rsid w:val="004D28E4"/>
    <w:rsid w:val="004D2D33"/>
    <w:rsid w:val="004D3353"/>
    <w:rsid w:val="004D4EF9"/>
    <w:rsid w:val="004D5AB8"/>
    <w:rsid w:val="004D5C56"/>
    <w:rsid w:val="004D5CD1"/>
    <w:rsid w:val="004D5D65"/>
    <w:rsid w:val="004D666E"/>
    <w:rsid w:val="004D6A86"/>
    <w:rsid w:val="004D6B37"/>
    <w:rsid w:val="004D7BB1"/>
    <w:rsid w:val="004D7DF2"/>
    <w:rsid w:val="004E1433"/>
    <w:rsid w:val="004E1D2C"/>
    <w:rsid w:val="004E22EA"/>
    <w:rsid w:val="004E29EC"/>
    <w:rsid w:val="004E2D9B"/>
    <w:rsid w:val="004E2F2D"/>
    <w:rsid w:val="004E2FFD"/>
    <w:rsid w:val="004E4046"/>
    <w:rsid w:val="004E54BF"/>
    <w:rsid w:val="004E5AE0"/>
    <w:rsid w:val="004E7682"/>
    <w:rsid w:val="004E76EC"/>
    <w:rsid w:val="004E79DA"/>
    <w:rsid w:val="004F01D4"/>
    <w:rsid w:val="004F149B"/>
    <w:rsid w:val="004F188B"/>
    <w:rsid w:val="004F19C4"/>
    <w:rsid w:val="004F2DB0"/>
    <w:rsid w:val="004F41BD"/>
    <w:rsid w:val="004F4E4D"/>
    <w:rsid w:val="004F4FA0"/>
    <w:rsid w:val="004F564B"/>
    <w:rsid w:val="004F570B"/>
    <w:rsid w:val="004F58B8"/>
    <w:rsid w:val="004F5D05"/>
    <w:rsid w:val="004F5D76"/>
    <w:rsid w:val="004F5DA4"/>
    <w:rsid w:val="004F66FF"/>
    <w:rsid w:val="004F7544"/>
    <w:rsid w:val="004F7BE1"/>
    <w:rsid w:val="00501B5C"/>
    <w:rsid w:val="00503AB6"/>
    <w:rsid w:val="00503F57"/>
    <w:rsid w:val="0050471E"/>
    <w:rsid w:val="00505202"/>
    <w:rsid w:val="00505B9D"/>
    <w:rsid w:val="00505BAE"/>
    <w:rsid w:val="0050616F"/>
    <w:rsid w:val="00506254"/>
    <w:rsid w:val="00506661"/>
    <w:rsid w:val="00506831"/>
    <w:rsid w:val="00506E13"/>
    <w:rsid w:val="00506E85"/>
    <w:rsid w:val="0050714C"/>
    <w:rsid w:val="00507229"/>
    <w:rsid w:val="0050729C"/>
    <w:rsid w:val="005100EB"/>
    <w:rsid w:val="00510B61"/>
    <w:rsid w:val="00511B17"/>
    <w:rsid w:val="00511CBA"/>
    <w:rsid w:val="00512620"/>
    <w:rsid w:val="00512699"/>
    <w:rsid w:val="00512D19"/>
    <w:rsid w:val="00513898"/>
    <w:rsid w:val="005144E2"/>
    <w:rsid w:val="005147E8"/>
    <w:rsid w:val="00514BC7"/>
    <w:rsid w:val="00514FC2"/>
    <w:rsid w:val="005150D3"/>
    <w:rsid w:val="00515543"/>
    <w:rsid w:val="00515B4E"/>
    <w:rsid w:val="00516C64"/>
    <w:rsid w:val="00516FA6"/>
    <w:rsid w:val="005173E7"/>
    <w:rsid w:val="00517AC1"/>
    <w:rsid w:val="00520112"/>
    <w:rsid w:val="00520AAB"/>
    <w:rsid w:val="00522046"/>
    <w:rsid w:val="00522425"/>
    <w:rsid w:val="005224AB"/>
    <w:rsid w:val="00522708"/>
    <w:rsid w:val="0052346A"/>
    <w:rsid w:val="0052364F"/>
    <w:rsid w:val="00523B11"/>
    <w:rsid w:val="00523F35"/>
    <w:rsid w:val="0052417E"/>
    <w:rsid w:val="005257D2"/>
    <w:rsid w:val="00526752"/>
    <w:rsid w:val="00526F93"/>
    <w:rsid w:val="0052761B"/>
    <w:rsid w:val="00531124"/>
    <w:rsid w:val="005313A2"/>
    <w:rsid w:val="00531A13"/>
    <w:rsid w:val="005326E6"/>
    <w:rsid w:val="0053284E"/>
    <w:rsid w:val="0053294F"/>
    <w:rsid w:val="005329AE"/>
    <w:rsid w:val="00534F31"/>
    <w:rsid w:val="00535CA2"/>
    <w:rsid w:val="00535D0E"/>
    <w:rsid w:val="00535F99"/>
    <w:rsid w:val="00535FBC"/>
    <w:rsid w:val="005372CD"/>
    <w:rsid w:val="00537344"/>
    <w:rsid w:val="0054067A"/>
    <w:rsid w:val="00540AE2"/>
    <w:rsid w:val="00540C50"/>
    <w:rsid w:val="00540EDF"/>
    <w:rsid w:val="005414C3"/>
    <w:rsid w:val="0054150F"/>
    <w:rsid w:val="00541F81"/>
    <w:rsid w:val="00542271"/>
    <w:rsid w:val="005435A8"/>
    <w:rsid w:val="0054369F"/>
    <w:rsid w:val="005436F7"/>
    <w:rsid w:val="00543B13"/>
    <w:rsid w:val="00544423"/>
    <w:rsid w:val="00547011"/>
    <w:rsid w:val="005475BF"/>
    <w:rsid w:val="0054760B"/>
    <w:rsid w:val="00547E57"/>
    <w:rsid w:val="005502B4"/>
    <w:rsid w:val="0055084F"/>
    <w:rsid w:val="005519E9"/>
    <w:rsid w:val="00551F9F"/>
    <w:rsid w:val="005525C8"/>
    <w:rsid w:val="00552830"/>
    <w:rsid w:val="00552993"/>
    <w:rsid w:val="005533ED"/>
    <w:rsid w:val="005542B0"/>
    <w:rsid w:val="00554C5D"/>
    <w:rsid w:val="00554EC5"/>
    <w:rsid w:val="005555D8"/>
    <w:rsid w:val="00556EC5"/>
    <w:rsid w:val="005576FD"/>
    <w:rsid w:val="00557941"/>
    <w:rsid w:val="005579D4"/>
    <w:rsid w:val="00560592"/>
    <w:rsid w:val="00561798"/>
    <w:rsid w:val="0056222E"/>
    <w:rsid w:val="00562E49"/>
    <w:rsid w:val="005630C3"/>
    <w:rsid w:val="00563C57"/>
    <w:rsid w:val="00563C58"/>
    <w:rsid w:val="0056459A"/>
    <w:rsid w:val="00564ADC"/>
    <w:rsid w:val="00564AFF"/>
    <w:rsid w:val="00565ED7"/>
    <w:rsid w:val="0056667B"/>
    <w:rsid w:val="005667D7"/>
    <w:rsid w:val="00566DC1"/>
    <w:rsid w:val="00566F1A"/>
    <w:rsid w:val="00567547"/>
    <w:rsid w:val="00567612"/>
    <w:rsid w:val="0056764C"/>
    <w:rsid w:val="00567A92"/>
    <w:rsid w:val="00570B2F"/>
    <w:rsid w:val="00570E13"/>
    <w:rsid w:val="00570FDF"/>
    <w:rsid w:val="00571312"/>
    <w:rsid w:val="00571798"/>
    <w:rsid w:val="00571CA8"/>
    <w:rsid w:val="00572527"/>
    <w:rsid w:val="00572906"/>
    <w:rsid w:val="00573B50"/>
    <w:rsid w:val="00573DA7"/>
    <w:rsid w:val="00574702"/>
    <w:rsid w:val="00576472"/>
    <w:rsid w:val="00581821"/>
    <w:rsid w:val="00581C75"/>
    <w:rsid w:val="005833DB"/>
    <w:rsid w:val="005836EA"/>
    <w:rsid w:val="005848E0"/>
    <w:rsid w:val="00585163"/>
    <w:rsid w:val="005855A9"/>
    <w:rsid w:val="005856EE"/>
    <w:rsid w:val="005866B4"/>
    <w:rsid w:val="0058701F"/>
    <w:rsid w:val="00587364"/>
    <w:rsid w:val="0058770A"/>
    <w:rsid w:val="005903B4"/>
    <w:rsid w:val="005903C3"/>
    <w:rsid w:val="00591F9E"/>
    <w:rsid w:val="005922C4"/>
    <w:rsid w:val="00592718"/>
    <w:rsid w:val="00592836"/>
    <w:rsid w:val="00592E41"/>
    <w:rsid w:val="0059328F"/>
    <w:rsid w:val="005932A3"/>
    <w:rsid w:val="0059344E"/>
    <w:rsid w:val="0059374E"/>
    <w:rsid w:val="005944C5"/>
    <w:rsid w:val="005949CC"/>
    <w:rsid w:val="00594B24"/>
    <w:rsid w:val="00594D25"/>
    <w:rsid w:val="005971B7"/>
    <w:rsid w:val="00597EF1"/>
    <w:rsid w:val="005A034C"/>
    <w:rsid w:val="005A04FD"/>
    <w:rsid w:val="005A22E1"/>
    <w:rsid w:val="005A2749"/>
    <w:rsid w:val="005A2CE0"/>
    <w:rsid w:val="005A3981"/>
    <w:rsid w:val="005A3B36"/>
    <w:rsid w:val="005A3BE4"/>
    <w:rsid w:val="005A3D45"/>
    <w:rsid w:val="005A4ADF"/>
    <w:rsid w:val="005A5A79"/>
    <w:rsid w:val="005A693E"/>
    <w:rsid w:val="005A7296"/>
    <w:rsid w:val="005B0150"/>
    <w:rsid w:val="005B02BE"/>
    <w:rsid w:val="005B02F3"/>
    <w:rsid w:val="005B2079"/>
    <w:rsid w:val="005B2E38"/>
    <w:rsid w:val="005B3713"/>
    <w:rsid w:val="005B4779"/>
    <w:rsid w:val="005B5735"/>
    <w:rsid w:val="005B5E46"/>
    <w:rsid w:val="005B67E6"/>
    <w:rsid w:val="005B78BB"/>
    <w:rsid w:val="005C005F"/>
    <w:rsid w:val="005C0918"/>
    <w:rsid w:val="005C093E"/>
    <w:rsid w:val="005C0A25"/>
    <w:rsid w:val="005C1491"/>
    <w:rsid w:val="005C221D"/>
    <w:rsid w:val="005C266A"/>
    <w:rsid w:val="005C2808"/>
    <w:rsid w:val="005C2957"/>
    <w:rsid w:val="005C2B56"/>
    <w:rsid w:val="005C3679"/>
    <w:rsid w:val="005C3695"/>
    <w:rsid w:val="005C42B5"/>
    <w:rsid w:val="005C4454"/>
    <w:rsid w:val="005C4897"/>
    <w:rsid w:val="005C4AF6"/>
    <w:rsid w:val="005C55F1"/>
    <w:rsid w:val="005C56AB"/>
    <w:rsid w:val="005C6632"/>
    <w:rsid w:val="005C6CB6"/>
    <w:rsid w:val="005C6D5D"/>
    <w:rsid w:val="005C6FE0"/>
    <w:rsid w:val="005C70FB"/>
    <w:rsid w:val="005C730A"/>
    <w:rsid w:val="005C7CBA"/>
    <w:rsid w:val="005D0301"/>
    <w:rsid w:val="005D0D69"/>
    <w:rsid w:val="005D0DF8"/>
    <w:rsid w:val="005D162B"/>
    <w:rsid w:val="005D1D0A"/>
    <w:rsid w:val="005D2391"/>
    <w:rsid w:val="005D385D"/>
    <w:rsid w:val="005D3B25"/>
    <w:rsid w:val="005D5A41"/>
    <w:rsid w:val="005D7529"/>
    <w:rsid w:val="005D77DE"/>
    <w:rsid w:val="005D7836"/>
    <w:rsid w:val="005D7C5C"/>
    <w:rsid w:val="005E03C5"/>
    <w:rsid w:val="005E0688"/>
    <w:rsid w:val="005E0B51"/>
    <w:rsid w:val="005E168E"/>
    <w:rsid w:val="005E23A8"/>
    <w:rsid w:val="005E38BD"/>
    <w:rsid w:val="005E3C86"/>
    <w:rsid w:val="005E3FC5"/>
    <w:rsid w:val="005E40CB"/>
    <w:rsid w:val="005E43B9"/>
    <w:rsid w:val="005E4608"/>
    <w:rsid w:val="005E5238"/>
    <w:rsid w:val="005E57D8"/>
    <w:rsid w:val="005E5D13"/>
    <w:rsid w:val="005E5E84"/>
    <w:rsid w:val="005E5F7D"/>
    <w:rsid w:val="005E615D"/>
    <w:rsid w:val="005E6CC1"/>
    <w:rsid w:val="005E6EB8"/>
    <w:rsid w:val="005E7028"/>
    <w:rsid w:val="005E7049"/>
    <w:rsid w:val="005E72B0"/>
    <w:rsid w:val="005E784C"/>
    <w:rsid w:val="005E78B4"/>
    <w:rsid w:val="005F1292"/>
    <w:rsid w:val="005F129D"/>
    <w:rsid w:val="005F1ACE"/>
    <w:rsid w:val="005F1C79"/>
    <w:rsid w:val="005F1D44"/>
    <w:rsid w:val="005F2BB9"/>
    <w:rsid w:val="005F3487"/>
    <w:rsid w:val="005F3585"/>
    <w:rsid w:val="005F3777"/>
    <w:rsid w:val="005F4C25"/>
    <w:rsid w:val="005F514B"/>
    <w:rsid w:val="005F55DA"/>
    <w:rsid w:val="005F6AE2"/>
    <w:rsid w:val="00600621"/>
    <w:rsid w:val="006010F4"/>
    <w:rsid w:val="006013E6"/>
    <w:rsid w:val="006015E8"/>
    <w:rsid w:val="006028CB"/>
    <w:rsid w:val="00603824"/>
    <w:rsid w:val="00605857"/>
    <w:rsid w:val="00605D2F"/>
    <w:rsid w:val="00605F73"/>
    <w:rsid w:val="00606ADB"/>
    <w:rsid w:val="00606C84"/>
    <w:rsid w:val="00606D4B"/>
    <w:rsid w:val="006078B4"/>
    <w:rsid w:val="00607D89"/>
    <w:rsid w:val="00607F19"/>
    <w:rsid w:val="0061073C"/>
    <w:rsid w:val="00610DB7"/>
    <w:rsid w:val="006113E1"/>
    <w:rsid w:val="00612401"/>
    <w:rsid w:val="00613473"/>
    <w:rsid w:val="00613828"/>
    <w:rsid w:val="0061452D"/>
    <w:rsid w:val="006148E3"/>
    <w:rsid w:val="006156ED"/>
    <w:rsid w:val="00616171"/>
    <w:rsid w:val="00616561"/>
    <w:rsid w:val="0061785B"/>
    <w:rsid w:val="00617EB2"/>
    <w:rsid w:val="00617FD9"/>
    <w:rsid w:val="00620D69"/>
    <w:rsid w:val="00620F13"/>
    <w:rsid w:val="006210D4"/>
    <w:rsid w:val="00621180"/>
    <w:rsid w:val="0062150D"/>
    <w:rsid w:val="006215AB"/>
    <w:rsid w:val="00621A24"/>
    <w:rsid w:val="00621F72"/>
    <w:rsid w:val="00622061"/>
    <w:rsid w:val="00623030"/>
    <w:rsid w:val="00623335"/>
    <w:rsid w:val="006238C0"/>
    <w:rsid w:val="0062392B"/>
    <w:rsid w:val="006255B4"/>
    <w:rsid w:val="006256E7"/>
    <w:rsid w:val="00625945"/>
    <w:rsid w:val="00626F7F"/>
    <w:rsid w:val="00630170"/>
    <w:rsid w:val="006305F8"/>
    <w:rsid w:val="00630717"/>
    <w:rsid w:val="00630E22"/>
    <w:rsid w:val="00631159"/>
    <w:rsid w:val="006325CA"/>
    <w:rsid w:val="00633827"/>
    <w:rsid w:val="00635123"/>
    <w:rsid w:val="00635A36"/>
    <w:rsid w:val="00636013"/>
    <w:rsid w:val="00636FC8"/>
    <w:rsid w:val="006376D6"/>
    <w:rsid w:val="00637754"/>
    <w:rsid w:val="00637C81"/>
    <w:rsid w:val="00637EC2"/>
    <w:rsid w:val="00641C40"/>
    <w:rsid w:val="0064305E"/>
    <w:rsid w:val="00643419"/>
    <w:rsid w:val="006449A0"/>
    <w:rsid w:val="00645689"/>
    <w:rsid w:val="00645D68"/>
    <w:rsid w:val="00645FC4"/>
    <w:rsid w:val="0064713A"/>
    <w:rsid w:val="00647ABF"/>
    <w:rsid w:val="00647C6B"/>
    <w:rsid w:val="00651369"/>
    <w:rsid w:val="00651673"/>
    <w:rsid w:val="00651A66"/>
    <w:rsid w:val="00652537"/>
    <w:rsid w:val="00653198"/>
    <w:rsid w:val="00653414"/>
    <w:rsid w:val="006542A3"/>
    <w:rsid w:val="006545BC"/>
    <w:rsid w:val="006547F1"/>
    <w:rsid w:val="00655727"/>
    <w:rsid w:val="006566C8"/>
    <w:rsid w:val="00656F6C"/>
    <w:rsid w:val="00657285"/>
    <w:rsid w:val="006608D2"/>
    <w:rsid w:val="00661A5B"/>
    <w:rsid w:val="00662048"/>
    <w:rsid w:val="0066267C"/>
    <w:rsid w:val="00662767"/>
    <w:rsid w:val="006628AF"/>
    <w:rsid w:val="006628EB"/>
    <w:rsid w:val="0066300D"/>
    <w:rsid w:val="0066303D"/>
    <w:rsid w:val="00663DAD"/>
    <w:rsid w:val="006641A4"/>
    <w:rsid w:val="006641F2"/>
    <w:rsid w:val="0066454F"/>
    <w:rsid w:val="006657DF"/>
    <w:rsid w:val="00666830"/>
    <w:rsid w:val="006669EF"/>
    <w:rsid w:val="00666CFA"/>
    <w:rsid w:val="00667D9F"/>
    <w:rsid w:val="00670CAA"/>
    <w:rsid w:val="00672E99"/>
    <w:rsid w:val="00673113"/>
    <w:rsid w:val="00673847"/>
    <w:rsid w:val="00673DB9"/>
    <w:rsid w:val="00676A92"/>
    <w:rsid w:val="0067744C"/>
    <w:rsid w:val="0067751B"/>
    <w:rsid w:val="00677A1B"/>
    <w:rsid w:val="00677E29"/>
    <w:rsid w:val="006805D9"/>
    <w:rsid w:val="00680FBC"/>
    <w:rsid w:val="00681246"/>
    <w:rsid w:val="006816E0"/>
    <w:rsid w:val="00681B58"/>
    <w:rsid w:val="00681CA8"/>
    <w:rsid w:val="0068311A"/>
    <w:rsid w:val="006832EC"/>
    <w:rsid w:val="0068386D"/>
    <w:rsid w:val="00683F7A"/>
    <w:rsid w:val="006843E8"/>
    <w:rsid w:val="0068453C"/>
    <w:rsid w:val="00684C18"/>
    <w:rsid w:val="006857F3"/>
    <w:rsid w:val="006865DF"/>
    <w:rsid w:val="006879E7"/>
    <w:rsid w:val="00687A67"/>
    <w:rsid w:val="00687E3A"/>
    <w:rsid w:val="00690C3B"/>
    <w:rsid w:val="00690C4E"/>
    <w:rsid w:val="00690DE3"/>
    <w:rsid w:val="00690E84"/>
    <w:rsid w:val="00690EE4"/>
    <w:rsid w:val="0069108A"/>
    <w:rsid w:val="00691187"/>
    <w:rsid w:val="00692124"/>
    <w:rsid w:val="006922B7"/>
    <w:rsid w:val="006924A0"/>
    <w:rsid w:val="00692D42"/>
    <w:rsid w:val="00692FED"/>
    <w:rsid w:val="00693337"/>
    <w:rsid w:val="006934F0"/>
    <w:rsid w:val="006935C5"/>
    <w:rsid w:val="00693B52"/>
    <w:rsid w:val="00694030"/>
    <w:rsid w:val="00694085"/>
    <w:rsid w:val="00694996"/>
    <w:rsid w:val="0069522D"/>
    <w:rsid w:val="0069573D"/>
    <w:rsid w:val="006965E9"/>
    <w:rsid w:val="006967CA"/>
    <w:rsid w:val="00697331"/>
    <w:rsid w:val="00697D1F"/>
    <w:rsid w:val="006A05AD"/>
    <w:rsid w:val="006A0834"/>
    <w:rsid w:val="006A0C4F"/>
    <w:rsid w:val="006A1C92"/>
    <w:rsid w:val="006A1F5C"/>
    <w:rsid w:val="006A24A5"/>
    <w:rsid w:val="006A2BE2"/>
    <w:rsid w:val="006A2DD7"/>
    <w:rsid w:val="006A32D1"/>
    <w:rsid w:val="006A32FB"/>
    <w:rsid w:val="006A3468"/>
    <w:rsid w:val="006A3691"/>
    <w:rsid w:val="006A3C43"/>
    <w:rsid w:val="006A3DD0"/>
    <w:rsid w:val="006A3E33"/>
    <w:rsid w:val="006A3E99"/>
    <w:rsid w:val="006A570B"/>
    <w:rsid w:val="006A58CA"/>
    <w:rsid w:val="006A62E7"/>
    <w:rsid w:val="006A64FA"/>
    <w:rsid w:val="006A7037"/>
    <w:rsid w:val="006A71C1"/>
    <w:rsid w:val="006A735C"/>
    <w:rsid w:val="006A744C"/>
    <w:rsid w:val="006A7B24"/>
    <w:rsid w:val="006B0109"/>
    <w:rsid w:val="006B0A83"/>
    <w:rsid w:val="006B1016"/>
    <w:rsid w:val="006B12D8"/>
    <w:rsid w:val="006B2780"/>
    <w:rsid w:val="006B2BC6"/>
    <w:rsid w:val="006B339E"/>
    <w:rsid w:val="006B4233"/>
    <w:rsid w:val="006B4AC3"/>
    <w:rsid w:val="006B4BD1"/>
    <w:rsid w:val="006B4F7E"/>
    <w:rsid w:val="006B50E8"/>
    <w:rsid w:val="006B52CC"/>
    <w:rsid w:val="006B62D6"/>
    <w:rsid w:val="006B7007"/>
    <w:rsid w:val="006B706B"/>
    <w:rsid w:val="006B75BB"/>
    <w:rsid w:val="006C1F54"/>
    <w:rsid w:val="006C2872"/>
    <w:rsid w:val="006C29D3"/>
    <w:rsid w:val="006C29DC"/>
    <w:rsid w:val="006C2BBD"/>
    <w:rsid w:val="006C356E"/>
    <w:rsid w:val="006C378F"/>
    <w:rsid w:val="006C3ADE"/>
    <w:rsid w:val="006C4EC9"/>
    <w:rsid w:val="006C5142"/>
    <w:rsid w:val="006C53CF"/>
    <w:rsid w:val="006C5790"/>
    <w:rsid w:val="006C5C35"/>
    <w:rsid w:val="006C6383"/>
    <w:rsid w:val="006C656F"/>
    <w:rsid w:val="006C6D01"/>
    <w:rsid w:val="006D0CE6"/>
    <w:rsid w:val="006D2429"/>
    <w:rsid w:val="006D296C"/>
    <w:rsid w:val="006D31C3"/>
    <w:rsid w:val="006D3682"/>
    <w:rsid w:val="006D3ADE"/>
    <w:rsid w:val="006D4562"/>
    <w:rsid w:val="006D4DE7"/>
    <w:rsid w:val="006D4FA4"/>
    <w:rsid w:val="006D599C"/>
    <w:rsid w:val="006D5F5C"/>
    <w:rsid w:val="006D6829"/>
    <w:rsid w:val="006D6ABF"/>
    <w:rsid w:val="006D739A"/>
    <w:rsid w:val="006D7A56"/>
    <w:rsid w:val="006E02CF"/>
    <w:rsid w:val="006E0623"/>
    <w:rsid w:val="006E1183"/>
    <w:rsid w:val="006E1AB4"/>
    <w:rsid w:val="006E1C2A"/>
    <w:rsid w:val="006E1F8F"/>
    <w:rsid w:val="006E26D0"/>
    <w:rsid w:val="006E28E3"/>
    <w:rsid w:val="006E33B3"/>
    <w:rsid w:val="006E4467"/>
    <w:rsid w:val="006E4971"/>
    <w:rsid w:val="006E4BA1"/>
    <w:rsid w:val="006E5DCC"/>
    <w:rsid w:val="006E6181"/>
    <w:rsid w:val="006E70C4"/>
    <w:rsid w:val="006E74F6"/>
    <w:rsid w:val="006F09D2"/>
    <w:rsid w:val="006F1F10"/>
    <w:rsid w:val="006F2FBF"/>
    <w:rsid w:val="006F36E4"/>
    <w:rsid w:val="006F3D0B"/>
    <w:rsid w:val="006F4227"/>
    <w:rsid w:val="006F49F2"/>
    <w:rsid w:val="006F5319"/>
    <w:rsid w:val="006F62C4"/>
    <w:rsid w:val="006F7955"/>
    <w:rsid w:val="006F7D22"/>
    <w:rsid w:val="006F7F7C"/>
    <w:rsid w:val="00703401"/>
    <w:rsid w:val="007035DD"/>
    <w:rsid w:val="00703F61"/>
    <w:rsid w:val="0070445A"/>
    <w:rsid w:val="007045FC"/>
    <w:rsid w:val="00705451"/>
    <w:rsid w:val="007059C4"/>
    <w:rsid w:val="00705B1E"/>
    <w:rsid w:val="007060D9"/>
    <w:rsid w:val="007061DF"/>
    <w:rsid w:val="0070624D"/>
    <w:rsid w:val="007067D2"/>
    <w:rsid w:val="0070738F"/>
    <w:rsid w:val="007074F6"/>
    <w:rsid w:val="0070791D"/>
    <w:rsid w:val="00707A94"/>
    <w:rsid w:val="00707C1E"/>
    <w:rsid w:val="00710D8A"/>
    <w:rsid w:val="00710ECE"/>
    <w:rsid w:val="00710F79"/>
    <w:rsid w:val="00711173"/>
    <w:rsid w:val="007118CF"/>
    <w:rsid w:val="00712826"/>
    <w:rsid w:val="00714357"/>
    <w:rsid w:val="007144B9"/>
    <w:rsid w:val="0071456F"/>
    <w:rsid w:val="00714A4B"/>
    <w:rsid w:val="00715AF3"/>
    <w:rsid w:val="007168ED"/>
    <w:rsid w:val="00716A08"/>
    <w:rsid w:val="00716C8C"/>
    <w:rsid w:val="0071785D"/>
    <w:rsid w:val="00717C43"/>
    <w:rsid w:val="00720537"/>
    <w:rsid w:val="00720B11"/>
    <w:rsid w:val="00721F83"/>
    <w:rsid w:val="007220B2"/>
    <w:rsid w:val="0072320E"/>
    <w:rsid w:val="00724149"/>
    <w:rsid w:val="007241CD"/>
    <w:rsid w:val="00725069"/>
    <w:rsid w:val="007250D9"/>
    <w:rsid w:val="00725F95"/>
    <w:rsid w:val="00726583"/>
    <w:rsid w:val="00726DB1"/>
    <w:rsid w:val="00727C98"/>
    <w:rsid w:val="0073314A"/>
    <w:rsid w:val="007338CE"/>
    <w:rsid w:val="00734501"/>
    <w:rsid w:val="0073474E"/>
    <w:rsid w:val="00734953"/>
    <w:rsid w:val="00735346"/>
    <w:rsid w:val="007357D9"/>
    <w:rsid w:val="007366A1"/>
    <w:rsid w:val="00736BD5"/>
    <w:rsid w:val="00740302"/>
    <w:rsid w:val="00740C41"/>
    <w:rsid w:val="00741BDE"/>
    <w:rsid w:val="00742479"/>
    <w:rsid w:val="007433FF"/>
    <w:rsid w:val="00743673"/>
    <w:rsid w:val="007436B6"/>
    <w:rsid w:val="007436CE"/>
    <w:rsid w:val="00743742"/>
    <w:rsid w:val="0074397A"/>
    <w:rsid w:val="00743D43"/>
    <w:rsid w:val="007444B6"/>
    <w:rsid w:val="00744658"/>
    <w:rsid w:val="00744C36"/>
    <w:rsid w:val="00745F32"/>
    <w:rsid w:val="007470DE"/>
    <w:rsid w:val="00747682"/>
    <w:rsid w:val="00747D68"/>
    <w:rsid w:val="00750542"/>
    <w:rsid w:val="00750DA4"/>
    <w:rsid w:val="00751000"/>
    <w:rsid w:val="007515E0"/>
    <w:rsid w:val="00751948"/>
    <w:rsid w:val="0075229F"/>
    <w:rsid w:val="00752589"/>
    <w:rsid w:val="0075336D"/>
    <w:rsid w:val="00753AB2"/>
    <w:rsid w:val="00754C98"/>
    <w:rsid w:val="0075603B"/>
    <w:rsid w:val="0075654B"/>
    <w:rsid w:val="0076073F"/>
    <w:rsid w:val="00760937"/>
    <w:rsid w:val="0076096B"/>
    <w:rsid w:val="00760A3D"/>
    <w:rsid w:val="007617B4"/>
    <w:rsid w:val="007630C1"/>
    <w:rsid w:val="0076377D"/>
    <w:rsid w:val="007643B4"/>
    <w:rsid w:val="00765295"/>
    <w:rsid w:val="00765FA9"/>
    <w:rsid w:val="0076734B"/>
    <w:rsid w:val="00770616"/>
    <w:rsid w:val="00770C08"/>
    <w:rsid w:val="007710B6"/>
    <w:rsid w:val="007717D0"/>
    <w:rsid w:val="0077218A"/>
    <w:rsid w:val="00772551"/>
    <w:rsid w:val="007728F2"/>
    <w:rsid w:val="007733D5"/>
    <w:rsid w:val="00773A72"/>
    <w:rsid w:val="00774984"/>
    <w:rsid w:val="00774A2D"/>
    <w:rsid w:val="00775806"/>
    <w:rsid w:val="00775D61"/>
    <w:rsid w:val="00776E96"/>
    <w:rsid w:val="00776F27"/>
    <w:rsid w:val="00777B27"/>
    <w:rsid w:val="00777B94"/>
    <w:rsid w:val="007822DB"/>
    <w:rsid w:val="0078236D"/>
    <w:rsid w:val="007827B0"/>
    <w:rsid w:val="00783FB0"/>
    <w:rsid w:val="007854D7"/>
    <w:rsid w:val="00785524"/>
    <w:rsid w:val="00785765"/>
    <w:rsid w:val="007862D6"/>
    <w:rsid w:val="0078630C"/>
    <w:rsid w:val="00786312"/>
    <w:rsid w:val="007870C4"/>
    <w:rsid w:val="007876BA"/>
    <w:rsid w:val="00787C9D"/>
    <w:rsid w:val="00787DD3"/>
    <w:rsid w:val="007901A4"/>
    <w:rsid w:val="007904E7"/>
    <w:rsid w:val="007905D2"/>
    <w:rsid w:val="0079098A"/>
    <w:rsid w:val="0079376C"/>
    <w:rsid w:val="00793A8B"/>
    <w:rsid w:val="007940DA"/>
    <w:rsid w:val="00794F3B"/>
    <w:rsid w:val="00796A5C"/>
    <w:rsid w:val="00796CD2"/>
    <w:rsid w:val="00797DFF"/>
    <w:rsid w:val="007A19CD"/>
    <w:rsid w:val="007A23CC"/>
    <w:rsid w:val="007A2E5C"/>
    <w:rsid w:val="007A533B"/>
    <w:rsid w:val="007A59E2"/>
    <w:rsid w:val="007A5A58"/>
    <w:rsid w:val="007A5BD8"/>
    <w:rsid w:val="007A62C4"/>
    <w:rsid w:val="007A6A25"/>
    <w:rsid w:val="007A77C9"/>
    <w:rsid w:val="007A79A6"/>
    <w:rsid w:val="007A7FD3"/>
    <w:rsid w:val="007B0C53"/>
    <w:rsid w:val="007B1F33"/>
    <w:rsid w:val="007B2983"/>
    <w:rsid w:val="007B318F"/>
    <w:rsid w:val="007B357E"/>
    <w:rsid w:val="007B3A64"/>
    <w:rsid w:val="007B3BA0"/>
    <w:rsid w:val="007B3BAD"/>
    <w:rsid w:val="007B3FAB"/>
    <w:rsid w:val="007B4392"/>
    <w:rsid w:val="007B4409"/>
    <w:rsid w:val="007B450A"/>
    <w:rsid w:val="007B4B60"/>
    <w:rsid w:val="007B58E0"/>
    <w:rsid w:val="007B74B0"/>
    <w:rsid w:val="007C09CD"/>
    <w:rsid w:val="007C338C"/>
    <w:rsid w:val="007C37EA"/>
    <w:rsid w:val="007C4D9A"/>
    <w:rsid w:val="007C6789"/>
    <w:rsid w:val="007C70B5"/>
    <w:rsid w:val="007C70E1"/>
    <w:rsid w:val="007C7BF2"/>
    <w:rsid w:val="007C7DEE"/>
    <w:rsid w:val="007D0A9F"/>
    <w:rsid w:val="007D3C11"/>
    <w:rsid w:val="007D4ACD"/>
    <w:rsid w:val="007D4D2A"/>
    <w:rsid w:val="007D61EA"/>
    <w:rsid w:val="007D65E4"/>
    <w:rsid w:val="007D7855"/>
    <w:rsid w:val="007D7949"/>
    <w:rsid w:val="007D7987"/>
    <w:rsid w:val="007D7D02"/>
    <w:rsid w:val="007E0B9B"/>
    <w:rsid w:val="007E0CA6"/>
    <w:rsid w:val="007E0CAB"/>
    <w:rsid w:val="007E0E73"/>
    <w:rsid w:val="007E2A0B"/>
    <w:rsid w:val="007E2B1A"/>
    <w:rsid w:val="007E3277"/>
    <w:rsid w:val="007E35B2"/>
    <w:rsid w:val="007E36AC"/>
    <w:rsid w:val="007E502F"/>
    <w:rsid w:val="007E53D3"/>
    <w:rsid w:val="007E5954"/>
    <w:rsid w:val="007E5D88"/>
    <w:rsid w:val="007E5F41"/>
    <w:rsid w:val="007E5F87"/>
    <w:rsid w:val="007E733A"/>
    <w:rsid w:val="007F0036"/>
    <w:rsid w:val="007F0184"/>
    <w:rsid w:val="007F1341"/>
    <w:rsid w:val="007F1A03"/>
    <w:rsid w:val="007F2673"/>
    <w:rsid w:val="007F2DD4"/>
    <w:rsid w:val="007F35A6"/>
    <w:rsid w:val="007F3889"/>
    <w:rsid w:val="007F3DFA"/>
    <w:rsid w:val="007F3F5A"/>
    <w:rsid w:val="007F4495"/>
    <w:rsid w:val="007F4A58"/>
    <w:rsid w:val="007F4DCD"/>
    <w:rsid w:val="007F516D"/>
    <w:rsid w:val="007F53CA"/>
    <w:rsid w:val="007F553D"/>
    <w:rsid w:val="007F68DB"/>
    <w:rsid w:val="007F6CB5"/>
    <w:rsid w:val="008019F4"/>
    <w:rsid w:val="00801EED"/>
    <w:rsid w:val="00801F1D"/>
    <w:rsid w:val="00802178"/>
    <w:rsid w:val="0080233A"/>
    <w:rsid w:val="00802517"/>
    <w:rsid w:val="0080274A"/>
    <w:rsid w:val="00805EF1"/>
    <w:rsid w:val="00807497"/>
    <w:rsid w:val="0081004B"/>
    <w:rsid w:val="008101D3"/>
    <w:rsid w:val="008101EC"/>
    <w:rsid w:val="00810F3E"/>
    <w:rsid w:val="00811D29"/>
    <w:rsid w:val="008125A0"/>
    <w:rsid w:val="00814946"/>
    <w:rsid w:val="00815345"/>
    <w:rsid w:val="008169A2"/>
    <w:rsid w:val="00816BAD"/>
    <w:rsid w:val="0081777B"/>
    <w:rsid w:val="008179B5"/>
    <w:rsid w:val="00821927"/>
    <w:rsid w:val="00821BD4"/>
    <w:rsid w:val="00822684"/>
    <w:rsid w:val="008244D3"/>
    <w:rsid w:val="00824AD9"/>
    <w:rsid w:val="00825A62"/>
    <w:rsid w:val="00826BE1"/>
    <w:rsid w:val="008271EE"/>
    <w:rsid w:val="00827D31"/>
    <w:rsid w:val="00827F59"/>
    <w:rsid w:val="00830145"/>
    <w:rsid w:val="00832233"/>
    <w:rsid w:val="00832CB9"/>
    <w:rsid w:val="008333BA"/>
    <w:rsid w:val="00835AC6"/>
    <w:rsid w:val="00836A9E"/>
    <w:rsid w:val="00836C5C"/>
    <w:rsid w:val="00840123"/>
    <w:rsid w:val="00840CCA"/>
    <w:rsid w:val="00841142"/>
    <w:rsid w:val="00841B13"/>
    <w:rsid w:val="00842BC0"/>
    <w:rsid w:val="00843713"/>
    <w:rsid w:val="00843C62"/>
    <w:rsid w:val="0084458B"/>
    <w:rsid w:val="00844779"/>
    <w:rsid w:val="008461E4"/>
    <w:rsid w:val="0084675F"/>
    <w:rsid w:val="00847218"/>
    <w:rsid w:val="008479A2"/>
    <w:rsid w:val="008479DC"/>
    <w:rsid w:val="008503B4"/>
    <w:rsid w:val="00850604"/>
    <w:rsid w:val="00850EB9"/>
    <w:rsid w:val="00851085"/>
    <w:rsid w:val="00851447"/>
    <w:rsid w:val="00851D61"/>
    <w:rsid w:val="0085208A"/>
    <w:rsid w:val="00852337"/>
    <w:rsid w:val="00852D66"/>
    <w:rsid w:val="00852FEC"/>
    <w:rsid w:val="008532FA"/>
    <w:rsid w:val="00853BCA"/>
    <w:rsid w:val="00853DE5"/>
    <w:rsid w:val="00854399"/>
    <w:rsid w:val="00855B64"/>
    <w:rsid w:val="00856346"/>
    <w:rsid w:val="00856401"/>
    <w:rsid w:val="00857F2F"/>
    <w:rsid w:val="00860139"/>
    <w:rsid w:val="00860723"/>
    <w:rsid w:val="00861BEC"/>
    <w:rsid w:val="00862640"/>
    <w:rsid w:val="008632C2"/>
    <w:rsid w:val="00863344"/>
    <w:rsid w:val="00863491"/>
    <w:rsid w:val="00863593"/>
    <w:rsid w:val="008642CF"/>
    <w:rsid w:val="00865E87"/>
    <w:rsid w:val="008673BD"/>
    <w:rsid w:val="00871F5B"/>
    <w:rsid w:val="008726AD"/>
    <w:rsid w:val="00872BC4"/>
    <w:rsid w:val="00872CA1"/>
    <w:rsid w:val="0087364A"/>
    <w:rsid w:val="00873C71"/>
    <w:rsid w:val="00873D35"/>
    <w:rsid w:val="00874706"/>
    <w:rsid w:val="00874B17"/>
    <w:rsid w:val="00875F9E"/>
    <w:rsid w:val="0087616E"/>
    <w:rsid w:val="00876FFB"/>
    <w:rsid w:val="00877091"/>
    <w:rsid w:val="00877242"/>
    <w:rsid w:val="00877587"/>
    <w:rsid w:val="008825E9"/>
    <w:rsid w:val="008838E0"/>
    <w:rsid w:val="00883BC7"/>
    <w:rsid w:val="008845B3"/>
    <w:rsid w:val="00884F61"/>
    <w:rsid w:val="00885779"/>
    <w:rsid w:val="00885B88"/>
    <w:rsid w:val="00891746"/>
    <w:rsid w:val="00891CF6"/>
    <w:rsid w:val="008922D9"/>
    <w:rsid w:val="00893DD6"/>
    <w:rsid w:val="00894915"/>
    <w:rsid w:val="0089611A"/>
    <w:rsid w:val="00896396"/>
    <w:rsid w:val="008A0E14"/>
    <w:rsid w:val="008A1D38"/>
    <w:rsid w:val="008A1F7F"/>
    <w:rsid w:val="008A2393"/>
    <w:rsid w:val="008A29E7"/>
    <w:rsid w:val="008A2A70"/>
    <w:rsid w:val="008A2FD0"/>
    <w:rsid w:val="008A397B"/>
    <w:rsid w:val="008A3E32"/>
    <w:rsid w:val="008A3E52"/>
    <w:rsid w:val="008A41F0"/>
    <w:rsid w:val="008A4A62"/>
    <w:rsid w:val="008A52AB"/>
    <w:rsid w:val="008A59BF"/>
    <w:rsid w:val="008A5AA9"/>
    <w:rsid w:val="008A7C3C"/>
    <w:rsid w:val="008A7D8D"/>
    <w:rsid w:val="008A7FBC"/>
    <w:rsid w:val="008B005F"/>
    <w:rsid w:val="008B02E6"/>
    <w:rsid w:val="008B09C8"/>
    <w:rsid w:val="008B135B"/>
    <w:rsid w:val="008B16FD"/>
    <w:rsid w:val="008B174E"/>
    <w:rsid w:val="008B3F7E"/>
    <w:rsid w:val="008B447F"/>
    <w:rsid w:val="008B53DC"/>
    <w:rsid w:val="008B61BA"/>
    <w:rsid w:val="008B6B8F"/>
    <w:rsid w:val="008B737A"/>
    <w:rsid w:val="008B7BB3"/>
    <w:rsid w:val="008C1315"/>
    <w:rsid w:val="008C1955"/>
    <w:rsid w:val="008C2071"/>
    <w:rsid w:val="008C36DE"/>
    <w:rsid w:val="008C5D48"/>
    <w:rsid w:val="008C5DEC"/>
    <w:rsid w:val="008C695E"/>
    <w:rsid w:val="008C71E2"/>
    <w:rsid w:val="008C759B"/>
    <w:rsid w:val="008D0088"/>
    <w:rsid w:val="008D143C"/>
    <w:rsid w:val="008D2088"/>
    <w:rsid w:val="008D2269"/>
    <w:rsid w:val="008D4937"/>
    <w:rsid w:val="008D4DBF"/>
    <w:rsid w:val="008D52CF"/>
    <w:rsid w:val="008D53E1"/>
    <w:rsid w:val="008D5E88"/>
    <w:rsid w:val="008D62FD"/>
    <w:rsid w:val="008D73BF"/>
    <w:rsid w:val="008D7E0D"/>
    <w:rsid w:val="008E1DBA"/>
    <w:rsid w:val="008E221B"/>
    <w:rsid w:val="008E2FE4"/>
    <w:rsid w:val="008E31DD"/>
    <w:rsid w:val="008E4408"/>
    <w:rsid w:val="008E4B15"/>
    <w:rsid w:val="008E56E4"/>
    <w:rsid w:val="008E5C31"/>
    <w:rsid w:val="008E66DC"/>
    <w:rsid w:val="008E73DF"/>
    <w:rsid w:val="008E7730"/>
    <w:rsid w:val="008F02D2"/>
    <w:rsid w:val="008F19DD"/>
    <w:rsid w:val="008F210E"/>
    <w:rsid w:val="008F2DE0"/>
    <w:rsid w:val="008F415C"/>
    <w:rsid w:val="008F4E90"/>
    <w:rsid w:val="008F4EE9"/>
    <w:rsid w:val="008F53EF"/>
    <w:rsid w:val="008F6EBA"/>
    <w:rsid w:val="008F7AAB"/>
    <w:rsid w:val="00900E91"/>
    <w:rsid w:val="00901059"/>
    <w:rsid w:val="00901D1D"/>
    <w:rsid w:val="0090288A"/>
    <w:rsid w:val="009036A3"/>
    <w:rsid w:val="00903AEE"/>
    <w:rsid w:val="00904396"/>
    <w:rsid w:val="00910158"/>
    <w:rsid w:val="009101E9"/>
    <w:rsid w:val="009104B2"/>
    <w:rsid w:val="00911004"/>
    <w:rsid w:val="009115D5"/>
    <w:rsid w:val="009120DD"/>
    <w:rsid w:val="009130E8"/>
    <w:rsid w:val="00913255"/>
    <w:rsid w:val="00913834"/>
    <w:rsid w:val="00914127"/>
    <w:rsid w:val="00914C73"/>
    <w:rsid w:val="009156B7"/>
    <w:rsid w:val="00915B38"/>
    <w:rsid w:val="0091746C"/>
    <w:rsid w:val="0091751C"/>
    <w:rsid w:val="00917701"/>
    <w:rsid w:val="00921255"/>
    <w:rsid w:val="009214A9"/>
    <w:rsid w:val="00921A62"/>
    <w:rsid w:val="00921B4D"/>
    <w:rsid w:val="00922434"/>
    <w:rsid w:val="009227CE"/>
    <w:rsid w:val="00922C78"/>
    <w:rsid w:val="009234F5"/>
    <w:rsid w:val="0092416D"/>
    <w:rsid w:val="00924807"/>
    <w:rsid w:val="009252DB"/>
    <w:rsid w:val="00925791"/>
    <w:rsid w:val="009258ED"/>
    <w:rsid w:val="0092613D"/>
    <w:rsid w:val="00926B0B"/>
    <w:rsid w:val="00926B76"/>
    <w:rsid w:val="00927B36"/>
    <w:rsid w:val="00927E0D"/>
    <w:rsid w:val="009303CC"/>
    <w:rsid w:val="00930597"/>
    <w:rsid w:val="00930D58"/>
    <w:rsid w:val="00930F1A"/>
    <w:rsid w:val="00931013"/>
    <w:rsid w:val="00931214"/>
    <w:rsid w:val="009318E1"/>
    <w:rsid w:val="00933116"/>
    <w:rsid w:val="009332B9"/>
    <w:rsid w:val="00933519"/>
    <w:rsid w:val="00933CBE"/>
    <w:rsid w:val="00933E7F"/>
    <w:rsid w:val="00933FEB"/>
    <w:rsid w:val="00934CD5"/>
    <w:rsid w:val="00935495"/>
    <w:rsid w:val="009356E8"/>
    <w:rsid w:val="00936461"/>
    <w:rsid w:val="0093659E"/>
    <w:rsid w:val="00937234"/>
    <w:rsid w:val="0093787F"/>
    <w:rsid w:val="00940241"/>
    <w:rsid w:val="009403C9"/>
    <w:rsid w:val="00940D74"/>
    <w:rsid w:val="00941031"/>
    <w:rsid w:val="00941BD6"/>
    <w:rsid w:val="009441B7"/>
    <w:rsid w:val="009447A9"/>
    <w:rsid w:val="00944B3E"/>
    <w:rsid w:val="00944C3C"/>
    <w:rsid w:val="00945779"/>
    <w:rsid w:val="00945ECF"/>
    <w:rsid w:val="00945FB4"/>
    <w:rsid w:val="009462FD"/>
    <w:rsid w:val="009470FC"/>
    <w:rsid w:val="00947889"/>
    <w:rsid w:val="00947C81"/>
    <w:rsid w:val="00950D38"/>
    <w:rsid w:val="009514EF"/>
    <w:rsid w:val="009518EB"/>
    <w:rsid w:val="009527CC"/>
    <w:rsid w:val="00953033"/>
    <w:rsid w:val="009545BC"/>
    <w:rsid w:val="00954823"/>
    <w:rsid w:val="009549D4"/>
    <w:rsid w:val="00954DFC"/>
    <w:rsid w:val="00955561"/>
    <w:rsid w:val="009557C5"/>
    <w:rsid w:val="00955C2B"/>
    <w:rsid w:val="00956BA1"/>
    <w:rsid w:val="00956BC9"/>
    <w:rsid w:val="00956CC9"/>
    <w:rsid w:val="00956E2E"/>
    <w:rsid w:val="009573F5"/>
    <w:rsid w:val="00957E9D"/>
    <w:rsid w:val="00961D12"/>
    <w:rsid w:val="00962008"/>
    <w:rsid w:val="00962096"/>
    <w:rsid w:val="009626CB"/>
    <w:rsid w:val="009627F7"/>
    <w:rsid w:val="00962D37"/>
    <w:rsid w:val="00963BB7"/>
    <w:rsid w:val="00963D6A"/>
    <w:rsid w:val="00963FDF"/>
    <w:rsid w:val="00964346"/>
    <w:rsid w:val="00964C69"/>
    <w:rsid w:val="00964DF4"/>
    <w:rsid w:val="00964E31"/>
    <w:rsid w:val="00964E52"/>
    <w:rsid w:val="0096556F"/>
    <w:rsid w:val="00965758"/>
    <w:rsid w:val="009670D3"/>
    <w:rsid w:val="00970832"/>
    <w:rsid w:val="00970A20"/>
    <w:rsid w:val="00971197"/>
    <w:rsid w:val="009712B6"/>
    <w:rsid w:val="009718F8"/>
    <w:rsid w:val="00973D16"/>
    <w:rsid w:val="00974024"/>
    <w:rsid w:val="0097482B"/>
    <w:rsid w:val="00974FCF"/>
    <w:rsid w:val="009755D0"/>
    <w:rsid w:val="00975676"/>
    <w:rsid w:val="009801BB"/>
    <w:rsid w:val="009803C3"/>
    <w:rsid w:val="009803FC"/>
    <w:rsid w:val="00980554"/>
    <w:rsid w:val="00980CB6"/>
    <w:rsid w:val="00981904"/>
    <w:rsid w:val="00981A83"/>
    <w:rsid w:val="00981F1B"/>
    <w:rsid w:val="00982752"/>
    <w:rsid w:val="00982843"/>
    <w:rsid w:val="009829C2"/>
    <w:rsid w:val="00983FD9"/>
    <w:rsid w:val="00984F8F"/>
    <w:rsid w:val="00984FF4"/>
    <w:rsid w:val="00985236"/>
    <w:rsid w:val="00985CDF"/>
    <w:rsid w:val="0099081E"/>
    <w:rsid w:val="009916CF"/>
    <w:rsid w:val="009925A5"/>
    <w:rsid w:val="00992E10"/>
    <w:rsid w:val="00994576"/>
    <w:rsid w:val="009945CE"/>
    <w:rsid w:val="00994718"/>
    <w:rsid w:val="009950D1"/>
    <w:rsid w:val="00995265"/>
    <w:rsid w:val="00995478"/>
    <w:rsid w:val="00996E0A"/>
    <w:rsid w:val="009974BC"/>
    <w:rsid w:val="009A0386"/>
    <w:rsid w:val="009A1427"/>
    <w:rsid w:val="009A2046"/>
    <w:rsid w:val="009A24C7"/>
    <w:rsid w:val="009A2BEE"/>
    <w:rsid w:val="009A329F"/>
    <w:rsid w:val="009A4E6F"/>
    <w:rsid w:val="009A4F50"/>
    <w:rsid w:val="009A5A96"/>
    <w:rsid w:val="009A7264"/>
    <w:rsid w:val="009A79E1"/>
    <w:rsid w:val="009A7DFA"/>
    <w:rsid w:val="009B0276"/>
    <w:rsid w:val="009B0B70"/>
    <w:rsid w:val="009B0E8A"/>
    <w:rsid w:val="009B1060"/>
    <w:rsid w:val="009B28E7"/>
    <w:rsid w:val="009B31B2"/>
    <w:rsid w:val="009B369C"/>
    <w:rsid w:val="009B3FEA"/>
    <w:rsid w:val="009B474B"/>
    <w:rsid w:val="009B4C07"/>
    <w:rsid w:val="009B541B"/>
    <w:rsid w:val="009B63DE"/>
    <w:rsid w:val="009B732D"/>
    <w:rsid w:val="009C11E3"/>
    <w:rsid w:val="009C2375"/>
    <w:rsid w:val="009C243A"/>
    <w:rsid w:val="009C60A0"/>
    <w:rsid w:val="009C66BA"/>
    <w:rsid w:val="009C75D0"/>
    <w:rsid w:val="009D0481"/>
    <w:rsid w:val="009D0C8C"/>
    <w:rsid w:val="009D0E69"/>
    <w:rsid w:val="009D1E1F"/>
    <w:rsid w:val="009D21DD"/>
    <w:rsid w:val="009D2476"/>
    <w:rsid w:val="009D311B"/>
    <w:rsid w:val="009D3E47"/>
    <w:rsid w:val="009D3F11"/>
    <w:rsid w:val="009D452D"/>
    <w:rsid w:val="009D4AD6"/>
    <w:rsid w:val="009D516D"/>
    <w:rsid w:val="009D5377"/>
    <w:rsid w:val="009D72E9"/>
    <w:rsid w:val="009D756C"/>
    <w:rsid w:val="009E0720"/>
    <w:rsid w:val="009E0924"/>
    <w:rsid w:val="009E0F45"/>
    <w:rsid w:val="009E0F68"/>
    <w:rsid w:val="009E1005"/>
    <w:rsid w:val="009E1419"/>
    <w:rsid w:val="009E14F9"/>
    <w:rsid w:val="009E1639"/>
    <w:rsid w:val="009E16A7"/>
    <w:rsid w:val="009E1B4C"/>
    <w:rsid w:val="009E2CE0"/>
    <w:rsid w:val="009E2EAC"/>
    <w:rsid w:val="009E3C60"/>
    <w:rsid w:val="009E460C"/>
    <w:rsid w:val="009E4A65"/>
    <w:rsid w:val="009E4B9D"/>
    <w:rsid w:val="009E549A"/>
    <w:rsid w:val="009E58BB"/>
    <w:rsid w:val="009E620E"/>
    <w:rsid w:val="009E712D"/>
    <w:rsid w:val="009E75C2"/>
    <w:rsid w:val="009F04B2"/>
    <w:rsid w:val="009F04FB"/>
    <w:rsid w:val="009F10E6"/>
    <w:rsid w:val="009F118B"/>
    <w:rsid w:val="009F1551"/>
    <w:rsid w:val="009F192E"/>
    <w:rsid w:val="009F1D1B"/>
    <w:rsid w:val="009F29DC"/>
    <w:rsid w:val="009F33FC"/>
    <w:rsid w:val="009F4637"/>
    <w:rsid w:val="009F5286"/>
    <w:rsid w:val="009F59A0"/>
    <w:rsid w:val="009F5DB1"/>
    <w:rsid w:val="009F5F69"/>
    <w:rsid w:val="009F66E7"/>
    <w:rsid w:val="009F76D6"/>
    <w:rsid w:val="009F77A9"/>
    <w:rsid w:val="00A00066"/>
    <w:rsid w:val="00A00BBA"/>
    <w:rsid w:val="00A00CA3"/>
    <w:rsid w:val="00A01903"/>
    <w:rsid w:val="00A01B74"/>
    <w:rsid w:val="00A021EE"/>
    <w:rsid w:val="00A02499"/>
    <w:rsid w:val="00A0283F"/>
    <w:rsid w:val="00A0296C"/>
    <w:rsid w:val="00A04642"/>
    <w:rsid w:val="00A04C1C"/>
    <w:rsid w:val="00A063EE"/>
    <w:rsid w:val="00A06D28"/>
    <w:rsid w:val="00A06D5D"/>
    <w:rsid w:val="00A07295"/>
    <w:rsid w:val="00A073CF"/>
    <w:rsid w:val="00A104CC"/>
    <w:rsid w:val="00A105EE"/>
    <w:rsid w:val="00A1065C"/>
    <w:rsid w:val="00A10AB9"/>
    <w:rsid w:val="00A10AD6"/>
    <w:rsid w:val="00A113BF"/>
    <w:rsid w:val="00A12784"/>
    <w:rsid w:val="00A12E42"/>
    <w:rsid w:val="00A130E3"/>
    <w:rsid w:val="00A14364"/>
    <w:rsid w:val="00A14EF6"/>
    <w:rsid w:val="00A1543B"/>
    <w:rsid w:val="00A16456"/>
    <w:rsid w:val="00A165C6"/>
    <w:rsid w:val="00A16C85"/>
    <w:rsid w:val="00A17696"/>
    <w:rsid w:val="00A200DB"/>
    <w:rsid w:val="00A20181"/>
    <w:rsid w:val="00A201EE"/>
    <w:rsid w:val="00A20E87"/>
    <w:rsid w:val="00A22732"/>
    <w:rsid w:val="00A23497"/>
    <w:rsid w:val="00A24D43"/>
    <w:rsid w:val="00A25571"/>
    <w:rsid w:val="00A267C3"/>
    <w:rsid w:val="00A27335"/>
    <w:rsid w:val="00A30941"/>
    <w:rsid w:val="00A30A5D"/>
    <w:rsid w:val="00A3136F"/>
    <w:rsid w:val="00A31472"/>
    <w:rsid w:val="00A3155A"/>
    <w:rsid w:val="00A32534"/>
    <w:rsid w:val="00A32590"/>
    <w:rsid w:val="00A325CC"/>
    <w:rsid w:val="00A329BF"/>
    <w:rsid w:val="00A32F52"/>
    <w:rsid w:val="00A33161"/>
    <w:rsid w:val="00A34339"/>
    <w:rsid w:val="00A358DF"/>
    <w:rsid w:val="00A366FC"/>
    <w:rsid w:val="00A36AA7"/>
    <w:rsid w:val="00A37FB6"/>
    <w:rsid w:val="00A40297"/>
    <w:rsid w:val="00A40640"/>
    <w:rsid w:val="00A4095E"/>
    <w:rsid w:val="00A41388"/>
    <w:rsid w:val="00A41583"/>
    <w:rsid w:val="00A41751"/>
    <w:rsid w:val="00A41E54"/>
    <w:rsid w:val="00A43389"/>
    <w:rsid w:val="00A43DDB"/>
    <w:rsid w:val="00A43F10"/>
    <w:rsid w:val="00A440BE"/>
    <w:rsid w:val="00A4431B"/>
    <w:rsid w:val="00A44560"/>
    <w:rsid w:val="00A4464E"/>
    <w:rsid w:val="00A44671"/>
    <w:rsid w:val="00A4496C"/>
    <w:rsid w:val="00A44E3B"/>
    <w:rsid w:val="00A4567E"/>
    <w:rsid w:val="00A46B7B"/>
    <w:rsid w:val="00A50CF1"/>
    <w:rsid w:val="00A50DDD"/>
    <w:rsid w:val="00A51245"/>
    <w:rsid w:val="00A52656"/>
    <w:rsid w:val="00A52D69"/>
    <w:rsid w:val="00A532B0"/>
    <w:rsid w:val="00A539F6"/>
    <w:rsid w:val="00A53EF4"/>
    <w:rsid w:val="00A543A9"/>
    <w:rsid w:val="00A54EBB"/>
    <w:rsid w:val="00A55009"/>
    <w:rsid w:val="00A5627D"/>
    <w:rsid w:val="00A566A0"/>
    <w:rsid w:val="00A57A8C"/>
    <w:rsid w:val="00A57BF6"/>
    <w:rsid w:val="00A57C78"/>
    <w:rsid w:val="00A60067"/>
    <w:rsid w:val="00A603F1"/>
    <w:rsid w:val="00A61C61"/>
    <w:rsid w:val="00A62458"/>
    <w:rsid w:val="00A63566"/>
    <w:rsid w:val="00A637D3"/>
    <w:rsid w:val="00A64C55"/>
    <w:rsid w:val="00A662B8"/>
    <w:rsid w:val="00A6688E"/>
    <w:rsid w:val="00A70C44"/>
    <w:rsid w:val="00A7132A"/>
    <w:rsid w:val="00A71457"/>
    <w:rsid w:val="00A718C9"/>
    <w:rsid w:val="00A71921"/>
    <w:rsid w:val="00A7210D"/>
    <w:rsid w:val="00A725AE"/>
    <w:rsid w:val="00A7263A"/>
    <w:rsid w:val="00A738B7"/>
    <w:rsid w:val="00A73FBF"/>
    <w:rsid w:val="00A7465C"/>
    <w:rsid w:val="00A760B4"/>
    <w:rsid w:val="00A76EB4"/>
    <w:rsid w:val="00A777B2"/>
    <w:rsid w:val="00A77A43"/>
    <w:rsid w:val="00A77C50"/>
    <w:rsid w:val="00A77D3C"/>
    <w:rsid w:val="00A77D70"/>
    <w:rsid w:val="00A804CB"/>
    <w:rsid w:val="00A817CA"/>
    <w:rsid w:val="00A81DE3"/>
    <w:rsid w:val="00A821AA"/>
    <w:rsid w:val="00A822FB"/>
    <w:rsid w:val="00A83B61"/>
    <w:rsid w:val="00A83BFD"/>
    <w:rsid w:val="00A84212"/>
    <w:rsid w:val="00A85056"/>
    <w:rsid w:val="00A9119C"/>
    <w:rsid w:val="00A92922"/>
    <w:rsid w:val="00A9346A"/>
    <w:rsid w:val="00A941AE"/>
    <w:rsid w:val="00A94F2F"/>
    <w:rsid w:val="00A953A1"/>
    <w:rsid w:val="00A95DA6"/>
    <w:rsid w:val="00A96497"/>
    <w:rsid w:val="00A967CB"/>
    <w:rsid w:val="00A96924"/>
    <w:rsid w:val="00A96ACD"/>
    <w:rsid w:val="00A9703B"/>
    <w:rsid w:val="00AA2931"/>
    <w:rsid w:val="00AA3B9B"/>
    <w:rsid w:val="00AA4403"/>
    <w:rsid w:val="00AA445C"/>
    <w:rsid w:val="00AA464F"/>
    <w:rsid w:val="00AA49CE"/>
    <w:rsid w:val="00AA6E7D"/>
    <w:rsid w:val="00AA7203"/>
    <w:rsid w:val="00AA7853"/>
    <w:rsid w:val="00AB044C"/>
    <w:rsid w:val="00AB06AB"/>
    <w:rsid w:val="00AB11F6"/>
    <w:rsid w:val="00AB1EED"/>
    <w:rsid w:val="00AB267F"/>
    <w:rsid w:val="00AB391D"/>
    <w:rsid w:val="00AB4312"/>
    <w:rsid w:val="00AB43B3"/>
    <w:rsid w:val="00AB5208"/>
    <w:rsid w:val="00AB5238"/>
    <w:rsid w:val="00AB5772"/>
    <w:rsid w:val="00AB69FD"/>
    <w:rsid w:val="00AB6B92"/>
    <w:rsid w:val="00AB6DC0"/>
    <w:rsid w:val="00AB7664"/>
    <w:rsid w:val="00AB787E"/>
    <w:rsid w:val="00AB7A6D"/>
    <w:rsid w:val="00AB7E89"/>
    <w:rsid w:val="00AC0A2D"/>
    <w:rsid w:val="00AC1DC0"/>
    <w:rsid w:val="00AC1F74"/>
    <w:rsid w:val="00AC206E"/>
    <w:rsid w:val="00AC29A5"/>
    <w:rsid w:val="00AC367E"/>
    <w:rsid w:val="00AC394D"/>
    <w:rsid w:val="00AC3ABC"/>
    <w:rsid w:val="00AC4396"/>
    <w:rsid w:val="00AC57F9"/>
    <w:rsid w:val="00AC647D"/>
    <w:rsid w:val="00AC65C1"/>
    <w:rsid w:val="00AC6632"/>
    <w:rsid w:val="00AC7142"/>
    <w:rsid w:val="00AD070F"/>
    <w:rsid w:val="00AD279C"/>
    <w:rsid w:val="00AD3A86"/>
    <w:rsid w:val="00AD407D"/>
    <w:rsid w:val="00AD46A1"/>
    <w:rsid w:val="00AD476E"/>
    <w:rsid w:val="00AD5CC7"/>
    <w:rsid w:val="00AD5D6E"/>
    <w:rsid w:val="00AD6699"/>
    <w:rsid w:val="00AD69B7"/>
    <w:rsid w:val="00AD73BF"/>
    <w:rsid w:val="00AD741C"/>
    <w:rsid w:val="00AD7520"/>
    <w:rsid w:val="00AD7D7F"/>
    <w:rsid w:val="00AD7F51"/>
    <w:rsid w:val="00AE0278"/>
    <w:rsid w:val="00AE04CF"/>
    <w:rsid w:val="00AE09CA"/>
    <w:rsid w:val="00AE0AD8"/>
    <w:rsid w:val="00AE11C1"/>
    <w:rsid w:val="00AE1353"/>
    <w:rsid w:val="00AE1424"/>
    <w:rsid w:val="00AE1A2A"/>
    <w:rsid w:val="00AE1BB4"/>
    <w:rsid w:val="00AE1BB6"/>
    <w:rsid w:val="00AE2300"/>
    <w:rsid w:val="00AE299B"/>
    <w:rsid w:val="00AE4990"/>
    <w:rsid w:val="00AE4C23"/>
    <w:rsid w:val="00AE556B"/>
    <w:rsid w:val="00AE59A0"/>
    <w:rsid w:val="00AE5CDF"/>
    <w:rsid w:val="00AE5F32"/>
    <w:rsid w:val="00AE7014"/>
    <w:rsid w:val="00AE7403"/>
    <w:rsid w:val="00AE7E86"/>
    <w:rsid w:val="00AF057D"/>
    <w:rsid w:val="00AF2B82"/>
    <w:rsid w:val="00AF348F"/>
    <w:rsid w:val="00AF3934"/>
    <w:rsid w:val="00AF4DBC"/>
    <w:rsid w:val="00AF50A1"/>
    <w:rsid w:val="00AF63FA"/>
    <w:rsid w:val="00AF6B78"/>
    <w:rsid w:val="00AF6BBC"/>
    <w:rsid w:val="00AF76E2"/>
    <w:rsid w:val="00B00138"/>
    <w:rsid w:val="00B01125"/>
    <w:rsid w:val="00B01445"/>
    <w:rsid w:val="00B01D06"/>
    <w:rsid w:val="00B01E2D"/>
    <w:rsid w:val="00B01FEA"/>
    <w:rsid w:val="00B02815"/>
    <w:rsid w:val="00B035FB"/>
    <w:rsid w:val="00B04319"/>
    <w:rsid w:val="00B048C3"/>
    <w:rsid w:val="00B05385"/>
    <w:rsid w:val="00B05B06"/>
    <w:rsid w:val="00B06280"/>
    <w:rsid w:val="00B07242"/>
    <w:rsid w:val="00B07B96"/>
    <w:rsid w:val="00B07C96"/>
    <w:rsid w:val="00B10064"/>
    <w:rsid w:val="00B10D3D"/>
    <w:rsid w:val="00B10FA2"/>
    <w:rsid w:val="00B11915"/>
    <w:rsid w:val="00B122E9"/>
    <w:rsid w:val="00B1275C"/>
    <w:rsid w:val="00B12A9C"/>
    <w:rsid w:val="00B131BB"/>
    <w:rsid w:val="00B132DB"/>
    <w:rsid w:val="00B137A1"/>
    <w:rsid w:val="00B146B1"/>
    <w:rsid w:val="00B15097"/>
    <w:rsid w:val="00B151F7"/>
    <w:rsid w:val="00B15991"/>
    <w:rsid w:val="00B15F10"/>
    <w:rsid w:val="00B1604B"/>
    <w:rsid w:val="00B176F3"/>
    <w:rsid w:val="00B17AD2"/>
    <w:rsid w:val="00B17C6C"/>
    <w:rsid w:val="00B204CF"/>
    <w:rsid w:val="00B21F9C"/>
    <w:rsid w:val="00B22566"/>
    <w:rsid w:val="00B225E2"/>
    <w:rsid w:val="00B2286E"/>
    <w:rsid w:val="00B22FF4"/>
    <w:rsid w:val="00B23E25"/>
    <w:rsid w:val="00B24889"/>
    <w:rsid w:val="00B24EAB"/>
    <w:rsid w:val="00B24F67"/>
    <w:rsid w:val="00B25510"/>
    <w:rsid w:val="00B264B0"/>
    <w:rsid w:val="00B26C42"/>
    <w:rsid w:val="00B27662"/>
    <w:rsid w:val="00B30670"/>
    <w:rsid w:val="00B31530"/>
    <w:rsid w:val="00B3160D"/>
    <w:rsid w:val="00B316DA"/>
    <w:rsid w:val="00B31E3F"/>
    <w:rsid w:val="00B32686"/>
    <w:rsid w:val="00B33945"/>
    <w:rsid w:val="00B341C8"/>
    <w:rsid w:val="00B366C7"/>
    <w:rsid w:val="00B376B7"/>
    <w:rsid w:val="00B37D27"/>
    <w:rsid w:val="00B37FF7"/>
    <w:rsid w:val="00B415B0"/>
    <w:rsid w:val="00B41C54"/>
    <w:rsid w:val="00B41DF2"/>
    <w:rsid w:val="00B43D37"/>
    <w:rsid w:val="00B44878"/>
    <w:rsid w:val="00B4583E"/>
    <w:rsid w:val="00B45C5D"/>
    <w:rsid w:val="00B45CED"/>
    <w:rsid w:val="00B46E02"/>
    <w:rsid w:val="00B47330"/>
    <w:rsid w:val="00B47F01"/>
    <w:rsid w:val="00B500A0"/>
    <w:rsid w:val="00B50478"/>
    <w:rsid w:val="00B50A8C"/>
    <w:rsid w:val="00B51654"/>
    <w:rsid w:val="00B518E7"/>
    <w:rsid w:val="00B51E24"/>
    <w:rsid w:val="00B52EAC"/>
    <w:rsid w:val="00B534DA"/>
    <w:rsid w:val="00B53C36"/>
    <w:rsid w:val="00B53F13"/>
    <w:rsid w:val="00B54057"/>
    <w:rsid w:val="00B54509"/>
    <w:rsid w:val="00B55419"/>
    <w:rsid w:val="00B55718"/>
    <w:rsid w:val="00B55A71"/>
    <w:rsid w:val="00B56152"/>
    <w:rsid w:val="00B5666E"/>
    <w:rsid w:val="00B57761"/>
    <w:rsid w:val="00B57E40"/>
    <w:rsid w:val="00B61810"/>
    <w:rsid w:val="00B6322E"/>
    <w:rsid w:val="00B63678"/>
    <w:rsid w:val="00B64B2B"/>
    <w:rsid w:val="00B64F36"/>
    <w:rsid w:val="00B67356"/>
    <w:rsid w:val="00B67465"/>
    <w:rsid w:val="00B708F6"/>
    <w:rsid w:val="00B7094B"/>
    <w:rsid w:val="00B70BA5"/>
    <w:rsid w:val="00B71814"/>
    <w:rsid w:val="00B71B34"/>
    <w:rsid w:val="00B71BD1"/>
    <w:rsid w:val="00B720B0"/>
    <w:rsid w:val="00B73442"/>
    <w:rsid w:val="00B73783"/>
    <w:rsid w:val="00B75E09"/>
    <w:rsid w:val="00B7649F"/>
    <w:rsid w:val="00B7675D"/>
    <w:rsid w:val="00B76FF1"/>
    <w:rsid w:val="00B771B0"/>
    <w:rsid w:val="00B77423"/>
    <w:rsid w:val="00B775B3"/>
    <w:rsid w:val="00B779CE"/>
    <w:rsid w:val="00B81CB9"/>
    <w:rsid w:val="00B81D30"/>
    <w:rsid w:val="00B845C4"/>
    <w:rsid w:val="00B85CCD"/>
    <w:rsid w:val="00B86C7E"/>
    <w:rsid w:val="00B87B14"/>
    <w:rsid w:val="00B91167"/>
    <w:rsid w:val="00B92228"/>
    <w:rsid w:val="00B93D37"/>
    <w:rsid w:val="00B93F32"/>
    <w:rsid w:val="00B94943"/>
    <w:rsid w:val="00B94CAF"/>
    <w:rsid w:val="00B95034"/>
    <w:rsid w:val="00B95C5D"/>
    <w:rsid w:val="00B96583"/>
    <w:rsid w:val="00BA12D8"/>
    <w:rsid w:val="00BA1C19"/>
    <w:rsid w:val="00BA2280"/>
    <w:rsid w:val="00BA38A4"/>
    <w:rsid w:val="00BA38AF"/>
    <w:rsid w:val="00BA3F05"/>
    <w:rsid w:val="00BA5F92"/>
    <w:rsid w:val="00BA63E9"/>
    <w:rsid w:val="00BB0902"/>
    <w:rsid w:val="00BB0ED4"/>
    <w:rsid w:val="00BB1444"/>
    <w:rsid w:val="00BB1AB9"/>
    <w:rsid w:val="00BB29EE"/>
    <w:rsid w:val="00BB2A80"/>
    <w:rsid w:val="00BB3168"/>
    <w:rsid w:val="00BB393B"/>
    <w:rsid w:val="00BB46C1"/>
    <w:rsid w:val="00BB4C9E"/>
    <w:rsid w:val="00BB50E4"/>
    <w:rsid w:val="00BB53C5"/>
    <w:rsid w:val="00BB5970"/>
    <w:rsid w:val="00BB62D1"/>
    <w:rsid w:val="00BB6FFE"/>
    <w:rsid w:val="00BC0583"/>
    <w:rsid w:val="00BC25A7"/>
    <w:rsid w:val="00BC2708"/>
    <w:rsid w:val="00BC29D0"/>
    <w:rsid w:val="00BC2D3A"/>
    <w:rsid w:val="00BC2EC4"/>
    <w:rsid w:val="00BC38EC"/>
    <w:rsid w:val="00BC3B8B"/>
    <w:rsid w:val="00BC3E9F"/>
    <w:rsid w:val="00BC45BE"/>
    <w:rsid w:val="00BC5CF7"/>
    <w:rsid w:val="00BC7049"/>
    <w:rsid w:val="00BC7D50"/>
    <w:rsid w:val="00BD0611"/>
    <w:rsid w:val="00BD1519"/>
    <w:rsid w:val="00BD1F2A"/>
    <w:rsid w:val="00BD41CC"/>
    <w:rsid w:val="00BD42C6"/>
    <w:rsid w:val="00BD436C"/>
    <w:rsid w:val="00BD4763"/>
    <w:rsid w:val="00BD4DB8"/>
    <w:rsid w:val="00BD564B"/>
    <w:rsid w:val="00BD5A74"/>
    <w:rsid w:val="00BD65EE"/>
    <w:rsid w:val="00BD6760"/>
    <w:rsid w:val="00BE06FB"/>
    <w:rsid w:val="00BE0830"/>
    <w:rsid w:val="00BE0D54"/>
    <w:rsid w:val="00BE0DAF"/>
    <w:rsid w:val="00BE0F9A"/>
    <w:rsid w:val="00BE293B"/>
    <w:rsid w:val="00BE2B43"/>
    <w:rsid w:val="00BE2C4D"/>
    <w:rsid w:val="00BE3635"/>
    <w:rsid w:val="00BE48D5"/>
    <w:rsid w:val="00BE4CA7"/>
    <w:rsid w:val="00BE74C8"/>
    <w:rsid w:val="00BE76CC"/>
    <w:rsid w:val="00BF26E5"/>
    <w:rsid w:val="00BF3CAA"/>
    <w:rsid w:val="00BF3E79"/>
    <w:rsid w:val="00BF4BFB"/>
    <w:rsid w:val="00BF5A66"/>
    <w:rsid w:val="00BF6102"/>
    <w:rsid w:val="00BF65C0"/>
    <w:rsid w:val="00BF6754"/>
    <w:rsid w:val="00BF73A7"/>
    <w:rsid w:val="00BF77CE"/>
    <w:rsid w:val="00C00566"/>
    <w:rsid w:val="00C016FC"/>
    <w:rsid w:val="00C01A20"/>
    <w:rsid w:val="00C02A7A"/>
    <w:rsid w:val="00C0333D"/>
    <w:rsid w:val="00C0385C"/>
    <w:rsid w:val="00C03955"/>
    <w:rsid w:val="00C03F51"/>
    <w:rsid w:val="00C04063"/>
    <w:rsid w:val="00C047FE"/>
    <w:rsid w:val="00C04EB3"/>
    <w:rsid w:val="00C05F18"/>
    <w:rsid w:val="00C05FD6"/>
    <w:rsid w:val="00C075BA"/>
    <w:rsid w:val="00C07BB3"/>
    <w:rsid w:val="00C100C1"/>
    <w:rsid w:val="00C10536"/>
    <w:rsid w:val="00C10A32"/>
    <w:rsid w:val="00C112EE"/>
    <w:rsid w:val="00C11978"/>
    <w:rsid w:val="00C11D14"/>
    <w:rsid w:val="00C12580"/>
    <w:rsid w:val="00C1289C"/>
    <w:rsid w:val="00C12FDA"/>
    <w:rsid w:val="00C1336A"/>
    <w:rsid w:val="00C14B2F"/>
    <w:rsid w:val="00C1570C"/>
    <w:rsid w:val="00C15EF9"/>
    <w:rsid w:val="00C163AB"/>
    <w:rsid w:val="00C165A2"/>
    <w:rsid w:val="00C17E30"/>
    <w:rsid w:val="00C17E6E"/>
    <w:rsid w:val="00C2069E"/>
    <w:rsid w:val="00C20FFF"/>
    <w:rsid w:val="00C22275"/>
    <w:rsid w:val="00C23509"/>
    <w:rsid w:val="00C23CD1"/>
    <w:rsid w:val="00C242FD"/>
    <w:rsid w:val="00C244C5"/>
    <w:rsid w:val="00C24D53"/>
    <w:rsid w:val="00C254A4"/>
    <w:rsid w:val="00C258CB"/>
    <w:rsid w:val="00C259E6"/>
    <w:rsid w:val="00C261F3"/>
    <w:rsid w:val="00C2688D"/>
    <w:rsid w:val="00C2742D"/>
    <w:rsid w:val="00C27ECC"/>
    <w:rsid w:val="00C303B9"/>
    <w:rsid w:val="00C30A56"/>
    <w:rsid w:val="00C31199"/>
    <w:rsid w:val="00C31C95"/>
    <w:rsid w:val="00C323BA"/>
    <w:rsid w:val="00C32749"/>
    <w:rsid w:val="00C332EE"/>
    <w:rsid w:val="00C35882"/>
    <w:rsid w:val="00C35A5F"/>
    <w:rsid w:val="00C35AC6"/>
    <w:rsid w:val="00C35E33"/>
    <w:rsid w:val="00C36185"/>
    <w:rsid w:val="00C366F2"/>
    <w:rsid w:val="00C36CA7"/>
    <w:rsid w:val="00C3724C"/>
    <w:rsid w:val="00C406DE"/>
    <w:rsid w:val="00C41503"/>
    <w:rsid w:val="00C42657"/>
    <w:rsid w:val="00C426DC"/>
    <w:rsid w:val="00C43017"/>
    <w:rsid w:val="00C43B27"/>
    <w:rsid w:val="00C44F7A"/>
    <w:rsid w:val="00C4548E"/>
    <w:rsid w:val="00C46A33"/>
    <w:rsid w:val="00C477BC"/>
    <w:rsid w:val="00C47985"/>
    <w:rsid w:val="00C50E31"/>
    <w:rsid w:val="00C51936"/>
    <w:rsid w:val="00C519CA"/>
    <w:rsid w:val="00C52A01"/>
    <w:rsid w:val="00C53B86"/>
    <w:rsid w:val="00C54396"/>
    <w:rsid w:val="00C54686"/>
    <w:rsid w:val="00C54D88"/>
    <w:rsid w:val="00C553F1"/>
    <w:rsid w:val="00C55F74"/>
    <w:rsid w:val="00C56F55"/>
    <w:rsid w:val="00C60839"/>
    <w:rsid w:val="00C61338"/>
    <w:rsid w:val="00C62F4A"/>
    <w:rsid w:val="00C63849"/>
    <w:rsid w:val="00C64612"/>
    <w:rsid w:val="00C65099"/>
    <w:rsid w:val="00C66BAA"/>
    <w:rsid w:val="00C67589"/>
    <w:rsid w:val="00C71594"/>
    <w:rsid w:val="00C71BA0"/>
    <w:rsid w:val="00C71CE1"/>
    <w:rsid w:val="00C71D36"/>
    <w:rsid w:val="00C72268"/>
    <w:rsid w:val="00C734E5"/>
    <w:rsid w:val="00C73674"/>
    <w:rsid w:val="00C737C6"/>
    <w:rsid w:val="00C74040"/>
    <w:rsid w:val="00C745D6"/>
    <w:rsid w:val="00C7581B"/>
    <w:rsid w:val="00C75E98"/>
    <w:rsid w:val="00C7685F"/>
    <w:rsid w:val="00C80B8D"/>
    <w:rsid w:val="00C80C13"/>
    <w:rsid w:val="00C80E3A"/>
    <w:rsid w:val="00C81655"/>
    <w:rsid w:val="00C8166E"/>
    <w:rsid w:val="00C8186C"/>
    <w:rsid w:val="00C81C12"/>
    <w:rsid w:val="00C82288"/>
    <w:rsid w:val="00C828B9"/>
    <w:rsid w:val="00C829E4"/>
    <w:rsid w:val="00C82D71"/>
    <w:rsid w:val="00C82EFA"/>
    <w:rsid w:val="00C83190"/>
    <w:rsid w:val="00C83C5C"/>
    <w:rsid w:val="00C844C9"/>
    <w:rsid w:val="00C867D9"/>
    <w:rsid w:val="00C87EAE"/>
    <w:rsid w:val="00C9198E"/>
    <w:rsid w:val="00C927FE"/>
    <w:rsid w:val="00C9296B"/>
    <w:rsid w:val="00C92AED"/>
    <w:rsid w:val="00C92F22"/>
    <w:rsid w:val="00C932C6"/>
    <w:rsid w:val="00C93ABE"/>
    <w:rsid w:val="00C944E2"/>
    <w:rsid w:val="00C9554F"/>
    <w:rsid w:val="00C95F5A"/>
    <w:rsid w:val="00C96645"/>
    <w:rsid w:val="00C96F54"/>
    <w:rsid w:val="00C97AE6"/>
    <w:rsid w:val="00CA0B61"/>
    <w:rsid w:val="00CA0D7D"/>
    <w:rsid w:val="00CA1E39"/>
    <w:rsid w:val="00CA1E58"/>
    <w:rsid w:val="00CA27DA"/>
    <w:rsid w:val="00CA3158"/>
    <w:rsid w:val="00CA32C0"/>
    <w:rsid w:val="00CA33EE"/>
    <w:rsid w:val="00CA3849"/>
    <w:rsid w:val="00CA47DE"/>
    <w:rsid w:val="00CA4942"/>
    <w:rsid w:val="00CA4E0C"/>
    <w:rsid w:val="00CA60C5"/>
    <w:rsid w:val="00CA6ED4"/>
    <w:rsid w:val="00CA7B06"/>
    <w:rsid w:val="00CB040A"/>
    <w:rsid w:val="00CB07C1"/>
    <w:rsid w:val="00CB0D07"/>
    <w:rsid w:val="00CB15DB"/>
    <w:rsid w:val="00CB22C0"/>
    <w:rsid w:val="00CB37F1"/>
    <w:rsid w:val="00CB4083"/>
    <w:rsid w:val="00CB426C"/>
    <w:rsid w:val="00CB5096"/>
    <w:rsid w:val="00CB5755"/>
    <w:rsid w:val="00CB6140"/>
    <w:rsid w:val="00CB6E25"/>
    <w:rsid w:val="00CB7049"/>
    <w:rsid w:val="00CB71D1"/>
    <w:rsid w:val="00CB7B06"/>
    <w:rsid w:val="00CC0900"/>
    <w:rsid w:val="00CC1D7A"/>
    <w:rsid w:val="00CC1F7A"/>
    <w:rsid w:val="00CC2252"/>
    <w:rsid w:val="00CC424D"/>
    <w:rsid w:val="00CC4689"/>
    <w:rsid w:val="00CC4947"/>
    <w:rsid w:val="00CC6D2D"/>
    <w:rsid w:val="00CC6E59"/>
    <w:rsid w:val="00CC6EE5"/>
    <w:rsid w:val="00CD049D"/>
    <w:rsid w:val="00CD0872"/>
    <w:rsid w:val="00CD08A5"/>
    <w:rsid w:val="00CD0938"/>
    <w:rsid w:val="00CD0B96"/>
    <w:rsid w:val="00CD0E57"/>
    <w:rsid w:val="00CD1107"/>
    <w:rsid w:val="00CD1485"/>
    <w:rsid w:val="00CD161F"/>
    <w:rsid w:val="00CD21E2"/>
    <w:rsid w:val="00CD2A7B"/>
    <w:rsid w:val="00CD3147"/>
    <w:rsid w:val="00CD422E"/>
    <w:rsid w:val="00CD538B"/>
    <w:rsid w:val="00CD653B"/>
    <w:rsid w:val="00CD6C42"/>
    <w:rsid w:val="00CD7F56"/>
    <w:rsid w:val="00CE14C2"/>
    <w:rsid w:val="00CE1A62"/>
    <w:rsid w:val="00CE1E9D"/>
    <w:rsid w:val="00CE254C"/>
    <w:rsid w:val="00CE2F5C"/>
    <w:rsid w:val="00CE34C7"/>
    <w:rsid w:val="00CE39FA"/>
    <w:rsid w:val="00CE4DE1"/>
    <w:rsid w:val="00CE538D"/>
    <w:rsid w:val="00CE5899"/>
    <w:rsid w:val="00CE64FD"/>
    <w:rsid w:val="00CE6661"/>
    <w:rsid w:val="00CE6E02"/>
    <w:rsid w:val="00CE70F5"/>
    <w:rsid w:val="00CE7261"/>
    <w:rsid w:val="00CF05BE"/>
    <w:rsid w:val="00CF0C2A"/>
    <w:rsid w:val="00CF1D4B"/>
    <w:rsid w:val="00CF2B2F"/>
    <w:rsid w:val="00CF31F5"/>
    <w:rsid w:val="00CF39AC"/>
    <w:rsid w:val="00CF3E71"/>
    <w:rsid w:val="00CF5000"/>
    <w:rsid w:val="00CF51E7"/>
    <w:rsid w:val="00CF5A5A"/>
    <w:rsid w:val="00CF5EB1"/>
    <w:rsid w:val="00CF69FC"/>
    <w:rsid w:val="00CF7657"/>
    <w:rsid w:val="00CF79C0"/>
    <w:rsid w:val="00D02771"/>
    <w:rsid w:val="00D03012"/>
    <w:rsid w:val="00D03884"/>
    <w:rsid w:val="00D039CD"/>
    <w:rsid w:val="00D057A2"/>
    <w:rsid w:val="00D05840"/>
    <w:rsid w:val="00D05AA9"/>
    <w:rsid w:val="00D06164"/>
    <w:rsid w:val="00D069E4"/>
    <w:rsid w:val="00D076A4"/>
    <w:rsid w:val="00D07A0E"/>
    <w:rsid w:val="00D10351"/>
    <w:rsid w:val="00D10893"/>
    <w:rsid w:val="00D10D58"/>
    <w:rsid w:val="00D118DE"/>
    <w:rsid w:val="00D12477"/>
    <w:rsid w:val="00D12D8C"/>
    <w:rsid w:val="00D130C8"/>
    <w:rsid w:val="00D144E2"/>
    <w:rsid w:val="00D1532A"/>
    <w:rsid w:val="00D15C3F"/>
    <w:rsid w:val="00D1707C"/>
    <w:rsid w:val="00D17F0E"/>
    <w:rsid w:val="00D205D7"/>
    <w:rsid w:val="00D20C15"/>
    <w:rsid w:val="00D20E37"/>
    <w:rsid w:val="00D214DD"/>
    <w:rsid w:val="00D21607"/>
    <w:rsid w:val="00D21932"/>
    <w:rsid w:val="00D25661"/>
    <w:rsid w:val="00D2568E"/>
    <w:rsid w:val="00D264B0"/>
    <w:rsid w:val="00D30195"/>
    <w:rsid w:val="00D30DFB"/>
    <w:rsid w:val="00D31243"/>
    <w:rsid w:val="00D31BF4"/>
    <w:rsid w:val="00D3230F"/>
    <w:rsid w:val="00D3265B"/>
    <w:rsid w:val="00D32C2D"/>
    <w:rsid w:val="00D33CF0"/>
    <w:rsid w:val="00D34681"/>
    <w:rsid w:val="00D3488E"/>
    <w:rsid w:val="00D348F1"/>
    <w:rsid w:val="00D34C22"/>
    <w:rsid w:val="00D34E4E"/>
    <w:rsid w:val="00D34F68"/>
    <w:rsid w:val="00D352E2"/>
    <w:rsid w:val="00D3602D"/>
    <w:rsid w:val="00D36945"/>
    <w:rsid w:val="00D36AB9"/>
    <w:rsid w:val="00D37155"/>
    <w:rsid w:val="00D3775F"/>
    <w:rsid w:val="00D37CD3"/>
    <w:rsid w:val="00D37F37"/>
    <w:rsid w:val="00D40028"/>
    <w:rsid w:val="00D40999"/>
    <w:rsid w:val="00D40B80"/>
    <w:rsid w:val="00D40FDB"/>
    <w:rsid w:val="00D415B1"/>
    <w:rsid w:val="00D416CA"/>
    <w:rsid w:val="00D41761"/>
    <w:rsid w:val="00D42096"/>
    <w:rsid w:val="00D428F5"/>
    <w:rsid w:val="00D44441"/>
    <w:rsid w:val="00D44D8F"/>
    <w:rsid w:val="00D4535B"/>
    <w:rsid w:val="00D458C2"/>
    <w:rsid w:val="00D458FC"/>
    <w:rsid w:val="00D46400"/>
    <w:rsid w:val="00D47B89"/>
    <w:rsid w:val="00D50D45"/>
    <w:rsid w:val="00D51412"/>
    <w:rsid w:val="00D52350"/>
    <w:rsid w:val="00D52A7A"/>
    <w:rsid w:val="00D52FBE"/>
    <w:rsid w:val="00D532CA"/>
    <w:rsid w:val="00D546D8"/>
    <w:rsid w:val="00D54A19"/>
    <w:rsid w:val="00D550C9"/>
    <w:rsid w:val="00D56676"/>
    <w:rsid w:val="00D56B52"/>
    <w:rsid w:val="00D56C78"/>
    <w:rsid w:val="00D56F3B"/>
    <w:rsid w:val="00D576F8"/>
    <w:rsid w:val="00D57777"/>
    <w:rsid w:val="00D579A1"/>
    <w:rsid w:val="00D60D92"/>
    <w:rsid w:val="00D612AF"/>
    <w:rsid w:val="00D61BCF"/>
    <w:rsid w:val="00D61C85"/>
    <w:rsid w:val="00D62147"/>
    <w:rsid w:val="00D6222A"/>
    <w:rsid w:val="00D62B35"/>
    <w:rsid w:val="00D62CC8"/>
    <w:rsid w:val="00D62CF8"/>
    <w:rsid w:val="00D62DFC"/>
    <w:rsid w:val="00D63B3E"/>
    <w:rsid w:val="00D63DFD"/>
    <w:rsid w:val="00D65509"/>
    <w:rsid w:val="00D6619E"/>
    <w:rsid w:val="00D67B72"/>
    <w:rsid w:val="00D67BF7"/>
    <w:rsid w:val="00D70D07"/>
    <w:rsid w:val="00D70F3F"/>
    <w:rsid w:val="00D71305"/>
    <w:rsid w:val="00D715D9"/>
    <w:rsid w:val="00D725F7"/>
    <w:rsid w:val="00D72F36"/>
    <w:rsid w:val="00D72FEC"/>
    <w:rsid w:val="00D7305A"/>
    <w:rsid w:val="00D739FD"/>
    <w:rsid w:val="00D744B2"/>
    <w:rsid w:val="00D74548"/>
    <w:rsid w:val="00D75CE1"/>
    <w:rsid w:val="00D7629E"/>
    <w:rsid w:val="00D763D0"/>
    <w:rsid w:val="00D76673"/>
    <w:rsid w:val="00D7683C"/>
    <w:rsid w:val="00D81563"/>
    <w:rsid w:val="00D824B5"/>
    <w:rsid w:val="00D833FA"/>
    <w:rsid w:val="00D8397A"/>
    <w:rsid w:val="00D841BE"/>
    <w:rsid w:val="00D84E10"/>
    <w:rsid w:val="00D84EA9"/>
    <w:rsid w:val="00D8561E"/>
    <w:rsid w:val="00D8587D"/>
    <w:rsid w:val="00D86289"/>
    <w:rsid w:val="00D86F8A"/>
    <w:rsid w:val="00D90F2E"/>
    <w:rsid w:val="00D91499"/>
    <w:rsid w:val="00D922EC"/>
    <w:rsid w:val="00D92A4A"/>
    <w:rsid w:val="00D9515B"/>
    <w:rsid w:val="00D97F6A"/>
    <w:rsid w:val="00DA084F"/>
    <w:rsid w:val="00DA1249"/>
    <w:rsid w:val="00DA1C6F"/>
    <w:rsid w:val="00DA1DD9"/>
    <w:rsid w:val="00DA3377"/>
    <w:rsid w:val="00DA3735"/>
    <w:rsid w:val="00DA37FC"/>
    <w:rsid w:val="00DA43F0"/>
    <w:rsid w:val="00DA4586"/>
    <w:rsid w:val="00DA5007"/>
    <w:rsid w:val="00DA71F3"/>
    <w:rsid w:val="00DA798B"/>
    <w:rsid w:val="00DA7B83"/>
    <w:rsid w:val="00DA7CFB"/>
    <w:rsid w:val="00DA7F66"/>
    <w:rsid w:val="00DB0610"/>
    <w:rsid w:val="00DB09BF"/>
    <w:rsid w:val="00DB1213"/>
    <w:rsid w:val="00DB2F31"/>
    <w:rsid w:val="00DB3865"/>
    <w:rsid w:val="00DB4ECE"/>
    <w:rsid w:val="00DB502E"/>
    <w:rsid w:val="00DB5D05"/>
    <w:rsid w:val="00DB5EB3"/>
    <w:rsid w:val="00DB61B8"/>
    <w:rsid w:val="00DB66C8"/>
    <w:rsid w:val="00DB6B45"/>
    <w:rsid w:val="00DB6F74"/>
    <w:rsid w:val="00DB7075"/>
    <w:rsid w:val="00DB7ED7"/>
    <w:rsid w:val="00DC0114"/>
    <w:rsid w:val="00DC0260"/>
    <w:rsid w:val="00DC0517"/>
    <w:rsid w:val="00DC0796"/>
    <w:rsid w:val="00DC147E"/>
    <w:rsid w:val="00DC211B"/>
    <w:rsid w:val="00DC244E"/>
    <w:rsid w:val="00DC25E3"/>
    <w:rsid w:val="00DC30AC"/>
    <w:rsid w:val="00DC3894"/>
    <w:rsid w:val="00DC3E87"/>
    <w:rsid w:val="00DC3FAD"/>
    <w:rsid w:val="00DC4011"/>
    <w:rsid w:val="00DC47CA"/>
    <w:rsid w:val="00DC55C0"/>
    <w:rsid w:val="00DC574C"/>
    <w:rsid w:val="00DC642B"/>
    <w:rsid w:val="00DC670C"/>
    <w:rsid w:val="00DC6FE5"/>
    <w:rsid w:val="00DC775A"/>
    <w:rsid w:val="00DD07D4"/>
    <w:rsid w:val="00DD09D6"/>
    <w:rsid w:val="00DD0A86"/>
    <w:rsid w:val="00DD1A0F"/>
    <w:rsid w:val="00DD1B26"/>
    <w:rsid w:val="00DD1BB9"/>
    <w:rsid w:val="00DD2E7C"/>
    <w:rsid w:val="00DD33A0"/>
    <w:rsid w:val="00DD386B"/>
    <w:rsid w:val="00DD3B66"/>
    <w:rsid w:val="00DD3BCC"/>
    <w:rsid w:val="00DD472A"/>
    <w:rsid w:val="00DD5192"/>
    <w:rsid w:val="00DD5610"/>
    <w:rsid w:val="00DD5A1E"/>
    <w:rsid w:val="00DD5C40"/>
    <w:rsid w:val="00DD702F"/>
    <w:rsid w:val="00DD7244"/>
    <w:rsid w:val="00DE1100"/>
    <w:rsid w:val="00DE1672"/>
    <w:rsid w:val="00DE18FB"/>
    <w:rsid w:val="00DE26B9"/>
    <w:rsid w:val="00DE2D0E"/>
    <w:rsid w:val="00DE31F7"/>
    <w:rsid w:val="00DE4B55"/>
    <w:rsid w:val="00DE4D27"/>
    <w:rsid w:val="00DE4FFF"/>
    <w:rsid w:val="00DE5449"/>
    <w:rsid w:val="00DE5AD5"/>
    <w:rsid w:val="00DE6725"/>
    <w:rsid w:val="00DE68B7"/>
    <w:rsid w:val="00DE69F2"/>
    <w:rsid w:val="00DE75C0"/>
    <w:rsid w:val="00DF05DB"/>
    <w:rsid w:val="00DF32FA"/>
    <w:rsid w:val="00DF38DC"/>
    <w:rsid w:val="00DF3AD8"/>
    <w:rsid w:val="00DF4B67"/>
    <w:rsid w:val="00DF60EA"/>
    <w:rsid w:val="00DF641D"/>
    <w:rsid w:val="00DF6878"/>
    <w:rsid w:val="00DF6F68"/>
    <w:rsid w:val="00DF72D6"/>
    <w:rsid w:val="00DF758D"/>
    <w:rsid w:val="00DF77EB"/>
    <w:rsid w:val="00DF7902"/>
    <w:rsid w:val="00DF7C84"/>
    <w:rsid w:val="00E00EDC"/>
    <w:rsid w:val="00E016BE"/>
    <w:rsid w:val="00E0249C"/>
    <w:rsid w:val="00E0261C"/>
    <w:rsid w:val="00E02D12"/>
    <w:rsid w:val="00E02D38"/>
    <w:rsid w:val="00E03B2C"/>
    <w:rsid w:val="00E03C04"/>
    <w:rsid w:val="00E03D9C"/>
    <w:rsid w:val="00E045EE"/>
    <w:rsid w:val="00E04FAE"/>
    <w:rsid w:val="00E051DB"/>
    <w:rsid w:val="00E057C3"/>
    <w:rsid w:val="00E10001"/>
    <w:rsid w:val="00E1052E"/>
    <w:rsid w:val="00E10BC1"/>
    <w:rsid w:val="00E10C20"/>
    <w:rsid w:val="00E10FC6"/>
    <w:rsid w:val="00E11DA2"/>
    <w:rsid w:val="00E11F4C"/>
    <w:rsid w:val="00E120F1"/>
    <w:rsid w:val="00E133CA"/>
    <w:rsid w:val="00E1343F"/>
    <w:rsid w:val="00E136D0"/>
    <w:rsid w:val="00E13975"/>
    <w:rsid w:val="00E14616"/>
    <w:rsid w:val="00E151DD"/>
    <w:rsid w:val="00E15ADB"/>
    <w:rsid w:val="00E15F84"/>
    <w:rsid w:val="00E16469"/>
    <w:rsid w:val="00E16905"/>
    <w:rsid w:val="00E174D0"/>
    <w:rsid w:val="00E20282"/>
    <w:rsid w:val="00E21A5C"/>
    <w:rsid w:val="00E21BC8"/>
    <w:rsid w:val="00E21F5A"/>
    <w:rsid w:val="00E22001"/>
    <w:rsid w:val="00E224FC"/>
    <w:rsid w:val="00E23592"/>
    <w:rsid w:val="00E2369C"/>
    <w:rsid w:val="00E24706"/>
    <w:rsid w:val="00E250D7"/>
    <w:rsid w:val="00E25916"/>
    <w:rsid w:val="00E2620B"/>
    <w:rsid w:val="00E26477"/>
    <w:rsid w:val="00E30387"/>
    <w:rsid w:val="00E311BC"/>
    <w:rsid w:val="00E329D5"/>
    <w:rsid w:val="00E334AB"/>
    <w:rsid w:val="00E340C6"/>
    <w:rsid w:val="00E34422"/>
    <w:rsid w:val="00E34908"/>
    <w:rsid w:val="00E35A87"/>
    <w:rsid w:val="00E35D21"/>
    <w:rsid w:val="00E369F1"/>
    <w:rsid w:val="00E36FDC"/>
    <w:rsid w:val="00E37475"/>
    <w:rsid w:val="00E37DD2"/>
    <w:rsid w:val="00E4007D"/>
    <w:rsid w:val="00E40131"/>
    <w:rsid w:val="00E40AC6"/>
    <w:rsid w:val="00E413D5"/>
    <w:rsid w:val="00E41770"/>
    <w:rsid w:val="00E44691"/>
    <w:rsid w:val="00E44A70"/>
    <w:rsid w:val="00E45618"/>
    <w:rsid w:val="00E4625D"/>
    <w:rsid w:val="00E465B3"/>
    <w:rsid w:val="00E46E99"/>
    <w:rsid w:val="00E4792A"/>
    <w:rsid w:val="00E504D5"/>
    <w:rsid w:val="00E50C82"/>
    <w:rsid w:val="00E523D9"/>
    <w:rsid w:val="00E52928"/>
    <w:rsid w:val="00E549DD"/>
    <w:rsid w:val="00E54D73"/>
    <w:rsid w:val="00E55255"/>
    <w:rsid w:val="00E56FE0"/>
    <w:rsid w:val="00E57561"/>
    <w:rsid w:val="00E576A6"/>
    <w:rsid w:val="00E57851"/>
    <w:rsid w:val="00E6004D"/>
    <w:rsid w:val="00E60232"/>
    <w:rsid w:val="00E612B1"/>
    <w:rsid w:val="00E61699"/>
    <w:rsid w:val="00E61E56"/>
    <w:rsid w:val="00E62F1D"/>
    <w:rsid w:val="00E6412E"/>
    <w:rsid w:val="00E642C3"/>
    <w:rsid w:val="00E6473F"/>
    <w:rsid w:val="00E64FBF"/>
    <w:rsid w:val="00E654CE"/>
    <w:rsid w:val="00E6557C"/>
    <w:rsid w:val="00E65980"/>
    <w:rsid w:val="00E65C5A"/>
    <w:rsid w:val="00E65FB9"/>
    <w:rsid w:val="00E664EA"/>
    <w:rsid w:val="00E6700B"/>
    <w:rsid w:val="00E70233"/>
    <w:rsid w:val="00E7085F"/>
    <w:rsid w:val="00E7120C"/>
    <w:rsid w:val="00E714E2"/>
    <w:rsid w:val="00E733D5"/>
    <w:rsid w:val="00E73C49"/>
    <w:rsid w:val="00E74002"/>
    <w:rsid w:val="00E7437D"/>
    <w:rsid w:val="00E751EF"/>
    <w:rsid w:val="00E75454"/>
    <w:rsid w:val="00E75F85"/>
    <w:rsid w:val="00E77079"/>
    <w:rsid w:val="00E77F3A"/>
    <w:rsid w:val="00E80845"/>
    <w:rsid w:val="00E810FA"/>
    <w:rsid w:val="00E815E3"/>
    <w:rsid w:val="00E81732"/>
    <w:rsid w:val="00E81E52"/>
    <w:rsid w:val="00E82D07"/>
    <w:rsid w:val="00E84074"/>
    <w:rsid w:val="00E84F4E"/>
    <w:rsid w:val="00E858D9"/>
    <w:rsid w:val="00E86212"/>
    <w:rsid w:val="00E86369"/>
    <w:rsid w:val="00E86A52"/>
    <w:rsid w:val="00E86B94"/>
    <w:rsid w:val="00E876CA"/>
    <w:rsid w:val="00E8795E"/>
    <w:rsid w:val="00E90849"/>
    <w:rsid w:val="00E90B30"/>
    <w:rsid w:val="00E90C45"/>
    <w:rsid w:val="00E91D7C"/>
    <w:rsid w:val="00E93C1B"/>
    <w:rsid w:val="00E93F92"/>
    <w:rsid w:val="00E94439"/>
    <w:rsid w:val="00E95588"/>
    <w:rsid w:val="00E971BE"/>
    <w:rsid w:val="00EA004C"/>
    <w:rsid w:val="00EA01DB"/>
    <w:rsid w:val="00EA0759"/>
    <w:rsid w:val="00EA0B78"/>
    <w:rsid w:val="00EA14C1"/>
    <w:rsid w:val="00EA1F7D"/>
    <w:rsid w:val="00EA34E8"/>
    <w:rsid w:val="00EA4361"/>
    <w:rsid w:val="00EA4750"/>
    <w:rsid w:val="00EA5CB8"/>
    <w:rsid w:val="00EA5D2A"/>
    <w:rsid w:val="00EA5D2C"/>
    <w:rsid w:val="00EA657A"/>
    <w:rsid w:val="00EA7AB1"/>
    <w:rsid w:val="00EB01EF"/>
    <w:rsid w:val="00EB0341"/>
    <w:rsid w:val="00EB0380"/>
    <w:rsid w:val="00EB0AC0"/>
    <w:rsid w:val="00EB0C13"/>
    <w:rsid w:val="00EB176F"/>
    <w:rsid w:val="00EB1B39"/>
    <w:rsid w:val="00EB21CE"/>
    <w:rsid w:val="00EB2B80"/>
    <w:rsid w:val="00EB2D76"/>
    <w:rsid w:val="00EB304B"/>
    <w:rsid w:val="00EB45BC"/>
    <w:rsid w:val="00EB46E0"/>
    <w:rsid w:val="00EB5C95"/>
    <w:rsid w:val="00EB5E50"/>
    <w:rsid w:val="00EB64C3"/>
    <w:rsid w:val="00EB6A26"/>
    <w:rsid w:val="00EB7075"/>
    <w:rsid w:val="00EB739D"/>
    <w:rsid w:val="00EB73F1"/>
    <w:rsid w:val="00EB7E9F"/>
    <w:rsid w:val="00EC1089"/>
    <w:rsid w:val="00EC14D7"/>
    <w:rsid w:val="00EC14E9"/>
    <w:rsid w:val="00EC154E"/>
    <w:rsid w:val="00EC16FA"/>
    <w:rsid w:val="00EC181D"/>
    <w:rsid w:val="00EC31CC"/>
    <w:rsid w:val="00EC3B42"/>
    <w:rsid w:val="00EC3D80"/>
    <w:rsid w:val="00EC4386"/>
    <w:rsid w:val="00EC5E00"/>
    <w:rsid w:val="00EC5F2B"/>
    <w:rsid w:val="00EC6408"/>
    <w:rsid w:val="00EC65EE"/>
    <w:rsid w:val="00EC663B"/>
    <w:rsid w:val="00EC6E97"/>
    <w:rsid w:val="00EC6FA4"/>
    <w:rsid w:val="00EC7398"/>
    <w:rsid w:val="00EC798B"/>
    <w:rsid w:val="00ED0994"/>
    <w:rsid w:val="00ED0998"/>
    <w:rsid w:val="00ED1A6D"/>
    <w:rsid w:val="00ED1C11"/>
    <w:rsid w:val="00ED2E18"/>
    <w:rsid w:val="00ED2F76"/>
    <w:rsid w:val="00ED3429"/>
    <w:rsid w:val="00ED3DA3"/>
    <w:rsid w:val="00ED434E"/>
    <w:rsid w:val="00ED53A1"/>
    <w:rsid w:val="00ED5C94"/>
    <w:rsid w:val="00ED5E39"/>
    <w:rsid w:val="00ED5ECF"/>
    <w:rsid w:val="00ED669A"/>
    <w:rsid w:val="00ED6AAA"/>
    <w:rsid w:val="00ED7CBE"/>
    <w:rsid w:val="00EE02CE"/>
    <w:rsid w:val="00EE0E20"/>
    <w:rsid w:val="00EE210E"/>
    <w:rsid w:val="00EE2AA0"/>
    <w:rsid w:val="00EE2E88"/>
    <w:rsid w:val="00EE2F89"/>
    <w:rsid w:val="00EE30B8"/>
    <w:rsid w:val="00EE328B"/>
    <w:rsid w:val="00EE39F5"/>
    <w:rsid w:val="00EE4828"/>
    <w:rsid w:val="00EE4FAE"/>
    <w:rsid w:val="00EE5019"/>
    <w:rsid w:val="00EE50AA"/>
    <w:rsid w:val="00EE5F7B"/>
    <w:rsid w:val="00EE6834"/>
    <w:rsid w:val="00EE72BE"/>
    <w:rsid w:val="00EE7503"/>
    <w:rsid w:val="00EE7A56"/>
    <w:rsid w:val="00EF0343"/>
    <w:rsid w:val="00EF0688"/>
    <w:rsid w:val="00EF185B"/>
    <w:rsid w:val="00EF448E"/>
    <w:rsid w:val="00EF4A6C"/>
    <w:rsid w:val="00EF6405"/>
    <w:rsid w:val="00EF6F7B"/>
    <w:rsid w:val="00EF71E7"/>
    <w:rsid w:val="00EF7421"/>
    <w:rsid w:val="00EF78CD"/>
    <w:rsid w:val="00F00506"/>
    <w:rsid w:val="00F007E5"/>
    <w:rsid w:val="00F027A1"/>
    <w:rsid w:val="00F02963"/>
    <w:rsid w:val="00F02A59"/>
    <w:rsid w:val="00F03792"/>
    <w:rsid w:val="00F04038"/>
    <w:rsid w:val="00F0450B"/>
    <w:rsid w:val="00F047EC"/>
    <w:rsid w:val="00F052BA"/>
    <w:rsid w:val="00F05303"/>
    <w:rsid w:val="00F05609"/>
    <w:rsid w:val="00F07957"/>
    <w:rsid w:val="00F106EC"/>
    <w:rsid w:val="00F1116E"/>
    <w:rsid w:val="00F1206E"/>
    <w:rsid w:val="00F127FD"/>
    <w:rsid w:val="00F1291B"/>
    <w:rsid w:val="00F129AF"/>
    <w:rsid w:val="00F1412C"/>
    <w:rsid w:val="00F14E96"/>
    <w:rsid w:val="00F15649"/>
    <w:rsid w:val="00F16AFB"/>
    <w:rsid w:val="00F17B10"/>
    <w:rsid w:val="00F17F7D"/>
    <w:rsid w:val="00F17FB6"/>
    <w:rsid w:val="00F200C9"/>
    <w:rsid w:val="00F200D0"/>
    <w:rsid w:val="00F20AC9"/>
    <w:rsid w:val="00F213F3"/>
    <w:rsid w:val="00F22C8E"/>
    <w:rsid w:val="00F23345"/>
    <w:rsid w:val="00F236A9"/>
    <w:rsid w:val="00F23D89"/>
    <w:rsid w:val="00F23E1D"/>
    <w:rsid w:val="00F23F4A"/>
    <w:rsid w:val="00F24A44"/>
    <w:rsid w:val="00F2512B"/>
    <w:rsid w:val="00F25A3B"/>
    <w:rsid w:val="00F2630F"/>
    <w:rsid w:val="00F26F69"/>
    <w:rsid w:val="00F306B8"/>
    <w:rsid w:val="00F310C3"/>
    <w:rsid w:val="00F31F1A"/>
    <w:rsid w:val="00F320A3"/>
    <w:rsid w:val="00F349B4"/>
    <w:rsid w:val="00F3665D"/>
    <w:rsid w:val="00F36923"/>
    <w:rsid w:val="00F406CC"/>
    <w:rsid w:val="00F40C5A"/>
    <w:rsid w:val="00F40D47"/>
    <w:rsid w:val="00F419BE"/>
    <w:rsid w:val="00F41A85"/>
    <w:rsid w:val="00F423C4"/>
    <w:rsid w:val="00F43453"/>
    <w:rsid w:val="00F43F4D"/>
    <w:rsid w:val="00F4419C"/>
    <w:rsid w:val="00F44373"/>
    <w:rsid w:val="00F4460D"/>
    <w:rsid w:val="00F45BCE"/>
    <w:rsid w:val="00F45EE3"/>
    <w:rsid w:val="00F45F7D"/>
    <w:rsid w:val="00F474A7"/>
    <w:rsid w:val="00F47723"/>
    <w:rsid w:val="00F504D2"/>
    <w:rsid w:val="00F50D5C"/>
    <w:rsid w:val="00F519D3"/>
    <w:rsid w:val="00F52C51"/>
    <w:rsid w:val="00F53463"/>
    <w:rsid w:val="00F54184"/>
    <w:rsid w:val="00F545E3"/>
    <w:rsid w:val="00F54FC0"/>
    <w:rsid w:val="00F5642D"/>
    <w:rsid w:val="00F56510"/>
    <w:rsid w:val="00F5680A"/>
    <w:rsid w:val="00F57935"/>
    <w:rsid w:val="00F57D06"/>
    <w:rsid w:val="00F60996"/>
    <w:rsid w:val="00F60A88"/>
    <w:rsid w:val="00F61520"/>
    <w:rsid w:val="00F61884"/>
    <w:rsid w:val="00F629EF"/>
    <w:rsid w:val="00F63100"/>
    <w:rsid w:val="00F6332A"/>
    <w:rsid w:val="00F65D37"/>
    <w:rsid w:val="00F661D0"/>
    <w:rsid w:val="00F66E50"/>
    <w:rsid w:val="00F70342"/>
    <w:rsid w:val="00F71174"/>
    <w:rsid w:val="00F719D4"/>
    <w:rsid w:val="00F72BF7"/>
    <w:rsid w:val="00F72DE1"/>
    <w:rsid w:val="00F744B4"/>
    <w:rsid w:val="00F74A08"/>
    <w:rsid w:val="00F74A33"/>
    <w:rsid w:val="00F75204"/>
    <w:rsid w:val="00F75BD2"/>
    <w:rsid w:val="00F765BA"/>
    <w:rsid w:val="00F767EC"/>
    <w:rsid w:val="00F76CA8"/>
    <w:rsid w:val="00F8001F"/>
    <w:rsid w:val="00F81127"/>
    <w:rsid w:val="00F81AAF"/>
    <w:rsid w:val="00F81EA1"/>
    <w:rsid w:val="00F825F0"/>
    <w:rsid w:val="00F82687"/>
    <w:rsid w:val="00F841D9"/>
    <w:rsid w:val="00F849DD"/>
    <w:rsid w:val="00F84F68"/>
    <w:rsid w:val="00F867D0"/>
    <w:rsid w:val="00F8741F"/>
    <w:rsid w:val="00F874AA"/>
    <w:rsid w:val="00F875F4"/>
    <w:rsid w:val="00F878A9"/>
    <w:rsid w:val="00F87E74"/>
    <w:rsid w:val="00F9024E"/>
    <w:rsid w:val="00F911FB"/>
    <w:rsid w:val="00F93D6E"/>
    <w:rsid w:val="00F94709"/>
    <w:rsid w:val="00F97E6F"/>
    <w:rsid w:val="00FA0951"/>
    <w:rsid w:val="00FA18C6"/>
    <w:rsid w:val="00FA24FA"/>
    <w:rsid w:val="00FA56D1"/>
    <w:rsid w:val="00FA6E64"/>
    <w:rsid w:val="00FA7A64"/>
    <w:rsid w:val="00FA7CB6"/>
    <w:rsid w:val="00FB040E"/>
    <w:rsid w:val="00FB0B7F"/>
    <w:rsid w:val="00FB0E54"/>
    <w:rsid w:val="00FB129E"/>
    <w:rsid w:val="00FB1E7B"/>
    <w:rsid w:val="00FB24D0"/>
    <w:rsid w:val="00FB28DA"/>
    <w:rsid w:val="00FB2B5A"/>
    <w:rsid w:val="00FB33C0"/>
    <w:rsid w:val="00FB34D2"/>
    <w:rsid w:val="00FB3FA2"/>
    <w:rsid w:val="00FB43C6"/>
    <w:rsid w:val="00FB4FFD"/>
    <w:rsid w:val="00FB5ECF"/>
    <w:rsid w:val="00FB5FF2"/>
    <w:rsid w:val="00FB644C"/>
    <w:rsid w:val="00FB668E"/>
    <w:rsid w:val="00FB6B8F"/>
    <w:rsid w:val="00FB6C4F"/>
    <w:rsid w:val="00FB6F92"/>
    <w:rsid w:val="00FB74FC"/>
    <w:rsid w:val="00FB79E6"/>
    <w:rsid w:val="00FC00AF"/>
    <w:rsid w:val="00FC0127"/>
    <w:rsid w:val="00FC1040"/>
    <w:rsid w:val="00FC121A"/>
    <w:rsid w:val="00FC1818"/>
    <w:rsid w:val="00FC18B0"/>
    <w:rsid w:val="00FC2C65"/>
    <w:rsid w:val="00FC2DA8"/>
    <w:rsid w:val="00FC35BE"/>
    <w:rsid w:val="00FC3A09"/>
    <w:rsid w:val="00FC488C"/>
    <w:rsid w:val="00FC511E"/>
    <w:rsid w:val="00FC5156"/>
    <w:rsid w:val="00FC5455"/>
    <w:rsid w:val="00FC6A39"/>
    <w:rsid w:val="00FC6F41"/>
    <w:rsid w:val="00FC7A3D"/>
    <w:rsid w:val="00FC7E98"/>
    <w:rsid w:val="00FD013A"/>
    <w:rsid w:val="00FD0169"/>
    <w:rsid w:val="00FD144E"/>
    <w:rsid w:val="00FD1700"/>
    <w:rsid w:val="00FD2160"/>
    <w:rsid w:val="00FD2DE9"/>
    <w:rsid w:val="00FD30F7"/>
    <w:rsid w:val="00FD3868"/>
    <w:rsid w:val="00FD5384"/>
    <w:rsid w:val="00FD7411"/>
    <w:rsid w:val="00FD77D0"/>
    <w:rsid w:val="00FD7B3B"/>
    <w:rsid w:val="00FE279E"/>
    <w:rsid w:val="00FE2DF2"/>
    <w:rsid w:val="00FE3879"/>
    <w:rsid w:val="00FE3B8B"/>
    <w:rsid w:val="00FE3C0A"/>
    <w:rsid w:val="00FE41A4"/>
    <w:rsid w:val="00FE4559"/>
    <w:rsid w:val="00FE5BB6"/>
    <w:rsid w:val="00FE6606"/>
    <w:rsid w:val="00FE79CB"/>
    <w:rsid w:val="00FF09EE"/>
    <w:rsid w:val="00FF0B90"/>
    <w:rsid w:val="00FF0C18"/>
    <w:rsid w:val="00FF1519"/>
    <w:rsid w:val="00FF2045"/>
    <w:rsid w:val="00FF2C86"/>
    <w:rsid w:val="00FF2FF5"/>
    <w:rsid w:val="00FF3744"/>
    <w:rsid w:val="00FF4A80"/>
    <w:rsid w:val="00FF5149"/>
    <w:rsid w:val="00FF59B9"/>
    <w:rsid w:val="00FF5EBD"/>
    <w:rsid w:val="00FF61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E2EB6"/>
    <w:pPr>
      <w:spacing w:after="0" w:line="240" w:lineRule="auto"/>
    </w:pPr>
    <w:rPr>
      <w:sz w:val="24"/>
      <w:szCs w:val="24"/>
      <w:lang w:val="en-US" w:eastAsia="en-US"/>
    </w:rPr>
  </w:style>
  <w:style w:type="paragraph" w:styleId="Heading1">
    <w:name w:val="heading 1"/>
    <w:basedOn w:val="Normal"/>
    <w:next w:val="Normal"/>
    <w:link w:val="Heading1Char"/>
    <w:uiPriority w:val="99"/>
    <w:qFormat/>
    <w:rsid w:val="007B74B0"/>
    <w:pPr>
      <w:keepNext/>
      <w:jc w:val="center"/>
      <w:outlineLvl w:val="0"/>
    </w:pPr>
    <w:rPr>
      <w:rFonts w:ascii="Arial" w:hAnsi="Arial" w:cs="Arial"/>
      <w:b/>
      <w:bCs/>
      <w:sz w:val="48"/>
    </w:rPr>
  </w:style>
  <w:style w:type="paragraph" w:styleId="Heading2">
    <w:name w:val="heading 2"/>
    <w:basedOn w:val="Normal"/>
    <w:next w:val="Normal"/>
    <w:link w:val="Heading2Char"/>
    <w:uiPriority w:val="99"/>
    <w:qFormat/>
    <w:rsid w:val="007B74B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B74B0"/>
    <w:pPr>
      <w:keepNext/>
      <w:ind w:right="-180"/>
      <w:jc w:val="center"/>
      <w:outlineLvl w:val="2"/>
    </w:pPr>
    <w:rPr>
      <w:rFonts w:ascii="Arial" w:hAnsi="Arial" w:cs="Arial"/>
      <w:b/>
      <w:bCs/>
      <w:sz w:val="40"/>
      <w:szCs w:val="40"/>
    </w:rPr>
  </w:style>
  <w:style w:type="paragraph" w:styleId="Heading4">
    <w:name w:val="heading 4"/>
    <w:basedOn w:val="Normal"/>
    <w:next w:val="Normal"/>
    <w:link w:val="Heading4Char"/>
    <w:uiPriority w:val="99"/>
    <w:qFormat/>
    <w:rsid w:val="007B74B0"/>
    <w:pPr>
      <w:keepNext/>
      <w:spacing w:before="240" w:after="60"/>
      <w:outlineLvl w:val="3"/>
    </w:pPr>
    <w:rPr>
      <w:b/>
      <w:bCs/>
      <w:sz w:val="28"/>
      <w:szCs w:val="28"/>
    </w:rPr>
  </w:style>
  <w:style w:type="paragraph" w:styleId="Heading5">
    <w:name w:val="heading 5"/>
    <w:basedOn w:val="Normal"/>
    <w:next w:val="Normal"/>
    <w:link w:val="Heading5Char"/>
    <w:uiPriority w:val="99"/>
    <w:qFormat/>
    <w:rsid w:val="007B74B0"/>
    <w:pPr>
      <w:keepNext/>
      <w:jc w:val="center"/>
      <w:outlineLvl w:val="4"/>
    </w:pPr>
    <w:rPr>
      <w:rFonts w:ascii="Arial" w:hAnsi="Arial" w:cs="Arial"/>
      <w:b/>
      <w:i/>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41CD"/>
    <w:rPr>
      <w:rFonts w:ascii="Cambria" w:hAnsi="Cambria"/>
      <w:b/>
      <w:kern w:val="32"/>
      <w:sz w:val="32"/>
    </w:rPr>
  </w:style>
  <w:style w:type="character" w:customStyle="1" w:styleId="Heading2Char">
    <w:name w:val="Heading 2 Char"/>
    <w:basedOn w:val="DefaultParagraphFont"/>
    <w:link w:val="Heading2"/>
    <w:uiPriority w:val="99"/>
    <w:semiHidden/>
    <w:locked/>
    <w:rsid w:val="007241CD"/>
    <w:rPr>
      <w:rFonts w:ascii="Cambria" w:hAnsi="Cambria"/>
      <w:b/>
      <w:i/>
      <w:sz w:val="28"/>
    </w:rPr>
  </w:style>
  <w:style w:type="character" w:customStyle="1" w:styleId="Heading3Char">
    <w:name w:val="Heading 3 Char"/>
    <w:basedOn w:val="DefaultParagraphFont"/>
    <w:link w:val="Heading3"/>
    <w:uiPriority w:val="99"/>
    <w:semiHidden/>
    <w:locked/>
    <w:rsid w:val="007241CD"/>
    <w:rPr>
      <w:rFonts w:ascii="Cambria" w:hAnsi="Cambria"/>
      <w:b/>
      <w:sz w:val="26"/>
    </w:rPr>
  </w:style>
  <w:style w:type="character" w:customStyle="1" w:styleId="Heading4Char">
    <w:name w:val="Heading 4 Char"/>
    <w:basedOn w:val="DefaultParagraphFont"/>
    <w:link w:val="Heading4"/>
    <w:uiPriority w:val="99"/>
    <w:semiHidden/>
    <w:locked/>
    <w:rsid w:val="007241CD"/>
    <w:rPr>
      <w:rFonts w:ascii="Calibri" w:hAnsi="Calibri"/>
      <w:b/>
      <w:sz w:val="28"/>
    </w:rPr>
  </w:style>
  <w:style w:type="character" w:customStyle="1" w:styleId="Heading5Char">
    <w:name w:val="Heading 5 Char"/>
    <w:basedOn w:val="DefaultParagraphFont"/>
    <w:link w:val="Heading5"/>
    <w:uiPriority w:val="99"/>
    <w:semiHidden/>
    <w:locked/>
    <w:rsid w:val="007241CD"/>
    <w:rPr>
      <w:rFonts w:ascii="Calibri" w:hAnsi="Calibri"/>
      <w:b/>
      <w:i/>
      <w:sz w:val="26"/>
    </w:rPr>
  </w:style>
  <w:style w:type="character" w:styleId="Hyperlink">
    <w:name w:val="Hyperlink"/>
    <w:basedOn w:val="DefaultParagraphFont"/>
    <w:uiPriority w:val="99"/>
    <w:rsid w:val="007B74B0"/>
    <w:rPr>
      <w:rFonts w:cs="Times New Roman"/>
      <w:color w:val="0000FF"/>
      <w:u w:val="single"/>
    </w:rPr>
  </w:style>
  <w:style w:type="paragraph" w:styleId="Header">
    <w:name w:val="header"/>
    <w:basedOn w:val="Normal"/>
    <w:link w:val="HeaderChar"/>
    <w:uiPriority w:val="99"/>
    <w:rsid w:val="007B74B0"/>
    <w:pPr>
      <w:tabs>
        <w:tab w:val="center" w:pos="4320"/>
        <w:tab w:val="right" w:pos="8640"/>
      </w:tabs>
    </w:pPr>
  </w:style>
  <w:style w:type="character" w:customStyle="1" w:styleId="HeaderChar">
    <w:name w:val="Header Char"/>
    <w:basedOn w:val="DefaultParagraphFont"/>
    <w:link w:val="Header"/>
    <w:uiPriority w:val="99"/>
    <w:semiHidden/>
    <w:locked/>
    <w:rsid w:val="007241CD"/>
    <w:rPr>
      <w:sz w:val="24"/>
    </w:rPr>
  </w:style>
  <w:style w:type="paragraph" w:styleId="Footer">
    <w:name w:val="footer"/>
    <w:basedOn w:val="Normal"/>
    <w:link w:val="FooterChar"/>
    <w:uiPriority w:val="99"/>
    <w:rsid w:val="007B74B0"/>
    <w:pPr>
      <w:tabs>
        <w:tab w:val="center" w:pos="4320"/>
        <w:tab w:val="right" w:pos="8640"/>
      </w:tabs>
    </w:pPr>
  </w:style>
  <w:style w:type="character" w:customStyle="1" w:styleId="FooterChar">
    <w:name w:val="Footer Char"/>
    <w:basedOn w:val="DefaultParagraphFont"/>
    <w:link w:val="Footer"/>
    <w:uiPriority w:val="99"/>
    <w:locked/>
    <w:rsid w:val="007241CD"/>
    <w:rPr>
      <w:sz w:val="24"/>
    </w:rPr>
  </w:style>
  <w:style w:type="paragraph" w:styleId="BodyText2">
    <w:name w:val="Body Text 2"/>
    <w:basedOn w:val="Normal"/>
    <w:link w:val="BodyText2Char"/>
    <w:uiPriority w:val="99"/>
    <w:rsid w:val="007B74B0"/>
    <w:pPr>
      <w:spacing w:after="120" w:line="480" w:lineRule="auto"/>
    </w:pPr>
  </w:style>
  <w:style w:type="character" w:customStyle="1" w:styleId="BodyText2Char">
    <w:name w:val="Body Text 2 Char"/>
    <w:basedOn w:val="DefaultParagraphFont"/>
    <w:link w:val="BodyText2"/>
    <w:uiPriority w:val="99"/>
    <w:semiHidden/>
    <w:locked/>
    <w:rsid w:val="007241CD"/>
    <w:rPr>
      <w:sz w:val="24"/>
    </w:rPr>
  </w:style>
  <w:style w:type="paragraph" w:customStyle="1" w:styleId="DefaultText">
    <w:name w:val="Default Text"/>
    <w:basedOn w:val="Normal"/>
    <w:uiPriority w:val="99"/>
    <w:rsid w:val="007B74B0"/>
    <w:pPr>
      <w:overflowPunct w:val="0"/>
      <w:autoSpaceDE w:val="0"/>
      <w:autoSpaceDN w:val="0"/>
      <w:adjustRightInd w:val="0"/>
      <w:textAlignment w:val="baseline"/>
    </w:pPr>
    <w:rPr>
      <w:szCs w:val="20"/>
    </w:rPr>
  </w:style>
  <w:style w:type="paragraph" w:styleId="BodyText">
    <w:name w:val="Body Text"/>
    <w:basedOn w:val="Normal"/>
    <w:link w:val="BodyTextChar"/>
    <w:uiPriority w:val="99"/>
    <w:rsid w:val="007B74B0"/>
    <w:pPr>
      <w:spacing w:after="120"/>
    </w:pPr>
  </w:style>
  <w:style w:type="character" w:customStyle="1" w:styleId="BodyTextChar">
    <w:name w:val="Body Text Char"/>
    <w:basedOn w:val="DefaultParagraphFont"/>
    <w:link w:val="BodyText"/>
    <w:uiPriority w:val="99"/>
    <w:semiHidden/>
    <w:locked/>
    <w:rsid w:val="007241CD"/>
    <w:rPr>
      <w:sz w:val="24"/>
    </w:rPr>
  </w:style>
  <w:style w:type="paragraph" w:styleId="BodyText3">
    <w:name w:val="Body Text 3"/>
    <w:basedOn w:val="Normal"/>
    <w:link w:val="BodyText3Char"/>
    <w:uiPriority w:val="99"/>
    <w:rsid w:val="007B74B0"/>
    <w:pPr>
      <w:jc w:val="center"/>
    </w:pPr>
    <w:rPr>
      <w:rFonts w:ascii="Arial" w:hAnsi="Arial" w:cs="Arial"/>
      <w:color w:val="000000"/>
    </w:rPr>
  </w:style>
  <w:style w:type="character" w:customStyle="1" w:styleId="BodyText3Char">
    <w:name w:val="Body Text 3 Char"/>
    <w:basedOn w:val="DefaultParagraphFont"/>
    <w:link w:val="BodyText3"/>
    <w:uiPriority w:val="99"/>
    <w:semiHidden/>
    <w:locked/>
    <w:rsid w:val="007241CD"/>
    <w:rPr>
      <w:sz w:val="16"/>
    </w:rPr>
  </w:style>
  <w:style w:type="paragraph" w:styleId="BalloonText">
    <w:name w:val="Balloon Text"/>
    <w:basedOn w:val="Normal"/>
    <w:link w:val="BalloonTextChar"/>
    <w:uiPriority w:val="99"/>
    <w:semiHidden/>
    <w:rsid w:val="007B74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41CD"/>
    <w:rPr>
      <w:sz w:val="2"/>
    </w:rPr>
  </w:style>
  <w:style w:type="paragraph" w:styleId="BodyTextIndent">
    <w:name w:val="Body Text Indent"/>
    <w:basedOn w:val="Normal"/>
    <w:link w:val="BodyTextIndentChar"/>
    <w:uiPriority w:val="99"/>
    <w:rsid w:val="007B74B0"/>
    <w:pPr>
      <w:ind w:firstLine="720"/>
    </w:pPr>
    <w:rPr>
      <w:rFonts w:ascii="Arial" w:hAnsi="Arial" w:cs="Arial"/>
    </w:rPr>
  </w:style>
  <w:style w:type="character" w:customStyle="1" w:styleId="BodyTextIndentChar">
    <w:name w:val="Body Text Indent Char"/>
    <w:basedOn w:val="DefaultParagraphFont"/>
    <w:link w:val="BodyTextIndent"/>
    <w:uiPriority w:val="99"/>
    <w:semiHidden/>
    <w:locked/>
    <w:rsid w:val="007241CD"/>
    <w:rPr>
      <w:sz w:val="24"/>
    </w:rPr>
  </w:style>
  <w:style w:type="character" w:styleId="Emphasis">
    <w:name w:val="Emphasis"/>
    <w:basedOn w:val="DefaultParagraphFont"/>
    <w:uiPriority w:val="99"/>
    <w:qFormat/>
    <w:rsid w:val="007B74B0"/>
    <w:rPr>
      <w:rFonts w:cs="Times New Roman"/>
      <w:i/>
    </w:rPr>
  </w:style>
  <w:style w:type="paragraph" w:customStyle="1" w:styleId="Style">
    <w:name w:val="Style"/>
    <w:basedOn w:val="Normal"/>
    <w:uiPriority w:val="99"/>
    <w:rsid w:val="007B74B0"/>
    <w:pPr>
      <w:spacing w:after="160" w:line="240" w:lineRule="exact"/>
    </w:pPr>
    <w:rPr>
      <w:rFonts w:ascii="Verdana" w:eastAsia="MS Mincho" w:hAnsi="Verdana" w:cs="Arial"/>
      <w:szCs w:val="20"/>
    </w:rPr>
  </w:style>
  <w:style w:type="paragraph" w:customStyle="1" w:styleId="CharChar1">
    <w:name w:val="Char Char1"/>
    <w:basedOn w:val="Normal"/>
    <w:uiPriority w:val="99"/>
    <w:rsid w:val="007B74B0"/>
    <w:pPr>
      <w:spacing w:after="160" w:line="240" w:lineRule="exact"/>
    </w:pPr>
    <w:rPr>
      <w:rFonts w:ascii="Verdana" w:eastAsia="MS Mincho" w:hAnsi="Verdana" w:cs="Arial"/>
      <w:szCs w:val="20"/>
    </w:rPr>
  </w:style>
  <w:style w:type="paragraph" w:styleId="DocumentMap">
    <w:name w:val="Document Map"/>
    <w:basedOn w:val="Normal"/>
    <w:link w:val="DocumentMapChar"/>
    <w:uiPriority w:val="99"/>
    <w:semiHidden/>
    <w:rsid w:val="007B74B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241CD"/>
    <w:rPr>
      <w:sz w:val="2"/>
    </w:rPr>
  </w:style>
  <w:style w:type="character" w:styleId="CommentReference">
    <w:name w:val="annotation reference"/>
    <w:basedOn w:val="DefaultParagraphFont"/>
    <w:uiPriority w:val="99"/>
    <w:semiHidden/>
    <w:rsid w:val="005C7CBA"/>
    <w:rPr>
      <w:rFonts w:cs="Times New Roman"/>
      <w:sz w:val="16"/>
    </w:rPr>
  </w:style>
  <w:style w:type="paragraph" w:styleId="CommentText">
    <w:name w:val="annotation text"/>
    <w:basedOn w:val="Normal"/>
    <w:link w:val="CommentTextChar"/>
    <w:uiPriority w:val="99"/>
    <w:semiHidden/>
    <w:rsid w:val="005C7CBA"/>
    <w:rPr>
      <w:sz w:val="20"/>
      <w:szCs w:val="20"/>
    </w:rPr>
  </w:style>
  <w:style w:type="character" w:customStyle="1" w:styleId="CommentTextChar">
    <w:name w:val="Comment Text Char"/>
    <w:basedOn w:val="DefaultParagraphFont"/>
    <w:link w:val="CommentText"/>
    <w:uiPriority w:val="99"/>
    <w:semiHidden/>
    <w:locked/>
    <w:rsid w:val="007241CD"/>
    <w:rPr>
      <w:sz w:val="20"/>
    </w:rPr>
  </w:style>
  <w:style w:type="paragraph" w:styleId="CommentSubject">
    <w:name w:val="annotation subject"/>
    <w:basedOn w:val="CommentText"/>
    <w:next w:val="CommentText"/>
    <w:link w:val="CommentSubjectChar"/>
    <w:uiPriority w:val="99"/>
    <w:semiHidden/>
    <w:rsid w:val="005C7CBA"/>
    <w:rPr>
      <w:b/>
      <w:bCs/>
    </w:rPr>
  </w:style>
  <w:style w:type="character" w:customStyle="1" w:styleId="CommentSubjectChar">
    <w:name w:val="Comment Subject Char"/>
    <w:basedOn w:val="CommentTextChar"/>
    <w:link w:val="CommentSubject"/>
    <w:uiPriority w:val="99"/>
    <w:semiHidden/>
    <w:locked/>
    <w:rsid w:val="007241CD"/>
    <w:rPr>
      <w:b/>
      <w:sz w:val="20"/>
    </w:rPr>
  </w:style>
  <w:style w:type="paragraph" w:styleId="NormalWeb">
    <w:name w:val="Normal (Web)"/>
    <w:basedOn w:val="Normal"/>
    <w:uiPriority w:val="99"/>
    <w:rsid w:val="00297BF7"/>
    <w:pPr>
      <w:spacing w:before="100" w:beforeAutospacing="1" w:after="100" w:afterAutospacing="1"/>
    </w:pPr>
  </w:style>
  <w:style w:type="character" w:styleId="FollowedHyperlink">
    <w:name w:val="FollowedHyperlink"/>
    <w:basedOn w:val="DefaultParagraphFont"/>
    <w:uiPriority w:val="99"/>
    <w:rsid w:val="0069522D"/>
    <w:rPr>
      <w:rFonts w:cs="Times New Roman"/>
      <w:color w:val="800080"/>
      <w:u w:val="single"/>
    </w:rPr>
  </w:style>
  <w:style w:type="paragraph" w:styleId="Date">
    <w:name w:val="Date"/>
    <w:basedOn w:val="Normal"/>
    <w:next w:val="Normal"/>
    <w:link w:val="DateChar"/>
    <w:uiPriority w:val="99"/>
    <w:rsid w:val="006D2429"/>
  </w:style>
  <w:style w:type="character" w:customStyle="1" w:styleId="DateChar">
    <w:name w:val="Date Char"/>
    <w:basedOn w:val="DefaultParagraphFont"/>
    <w:link w:val="Date"/>
    <w:uiPriority w:val="99"/>
    <w:semiHidden/>
    <w:locked/>
    <w:rsid w:val="007241CD"/>
    <w:rPr>
      <w:sz w:val="24"/>
    </w:rPr>
  </w:style>
  <w:style w:type="paragraph" w:styleId="Revision">
    <w:name w:val="Revision"/>
    <w:hidden/>
    <w:uiPriority w:val="99"/>
    <w:semiHidden/>
    <w:rsid w:val="009627F7"/>
    <w:pPr>
      <w:spacing w:after="0" w:line="240" w:lineRule="auto"/>
    </w:pPr>
    <w:rPr>
      <w:sz w:val="24"/>
      <w:szCs w:val="24"/>
      <w:lang w:val="en-US" w:eastAsia="en-US"/>
    </w:rPr>
  </w:style>
  <w:style w:type="paragraph" w:styleId="ListParagraph">
    <w:name w:val="List Paragraph"/>
    <w:basedOn w:val="Normal"/>
    <w:uiPriority w:val="99"/>
    <w:qFormat/>
    <w:rsid w:val="001E2211"/>
    <w:pPr>
      <w:ind w:left="720"/>
      <w:contextualSpacing/>
    </w:pPr>
  </w:style>
  <w:style w:type="table" w:styleId="TableGrid">
    <w:name w:val="Table Grid"/>
    <w:basedOn w:val="TableNormal"/>
    <w:uiPriority w:val="99"/>
    <w:locked/>
    <w:rsid w:val="00607F1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uiPriority w:val="99"/>
    <w:rsid w:val="00DD386B"/>
    <w:rPr>
      <w:rFonts w:ascii="Times New Roman" w:hAnsi="Times New Roman"/>
      <w:color w:val="000000"/>
      <w:sz w:val="20"/>
      <w:u w:val="none"/>
    </w:rPr>
  </w:style>
  <w:style w:type="character" w:styleId="PlaceholderText">
    <w:name w:val="Placeholder Text"/>
    <w:basedOn w:val="DefaultParagraphFont"/>
    <w:uiPriority w:val="99"/>
    <w:semiHidden/>
    <w:rsid w:val="00DD386B"/>
    <w:rPr>
      <w:color w:val="808080"/>
    </w:rPr>
  </w:style>
  <w:style w:type="paragraph" w:styleId="FootnoteText">
    <w:name w:val="footnote text"/>
    <w:basedOn w:val="Normal"/>
    <w:link w:val="FootnoteTextChar"/>
    <w:uiPriority w:val="99"/>
    <w:semiHidden/>
    <w:rsid w:val="00DE18FB"/>
    <w:rPr>
      <w:sz w:val="20"/>
      <w:szCs w:val="20"/>
    </w:rPr>
  </w:style>
  <w:style w:type="character" w:customStyle="1" w:styleId="FootnoteTextChar">
    <w:name w:val="Footnote Text Char"/>
    <w:basedOn w:val="DefaultParagraphFont"/>
    <w:link w:val="FootnoteText"/>
    <w:uiPriority w:val="99"/>
    <w:semiHidden/>
    <w:locked/>
    <w:rsid w:val="00DE18FB"/>
    <w:rPr>
      <w:sz w:val="20"/>
    </w:rPr>
  </w:style>
  <w:style w:type="character" w:styleId="FootnoteReference">
    <w:name w:val="footnote reference"/>
    <w:basedOn w:val="DefaultParagraphFont"/>
    <w:uiPriority w:val="99"/>
    <w:semiHidden/>
    <w:rsid w:val="00DE18FB"/>
    <w:rPr>
      <w:rFonts w:cs="Times New Roman"/>
      <w:vertAlign w:val="superscript"/>
    </w:rPr>
  </w:style>
  <w:style w:type="paragraph" w:customStyle="1" w:styleId="msonospacing0">
    <w:name w:val="msonospacing"/>
    <w:uiPriority w:val="99"/>
    <w:rsid w:val="00827F59"/>
    <w:pPr>
      <w:suppressAutoHyphens/>
      <w:spacing w:after="0" w:line="100" w:lineRule="atLeast"/>
    </w:pPr>
    <w:rPr>
      <w:rFonts w:ascii="Calibri" w:hAnsi="Calibri" w:cs="Calibri"/>
      <w:kern w:val="2"/>
      <w:lang w:val="en-US" w:eastAsia="zh-CN"/>
    </w:rPr>
  </w:style>
  <w:style w:type="character" w:styleId="PageNumber">
    <w:name w:val="page number"/>
    <w:basedOn w:val="DefaultParagraphFont"/>
    <w:uiPriority w:val="99"/>
    <w:locked/>
    <w:rsid w:val="00827F5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722622">
      <w:marLeft w:val="0"/>
      <w:marRight w:val="0"/>
      <w:marTop w:val="0"/>
      <w:marBottom w:val="0"/>
      <w:divBdr>
        <w:top w:val="none" w:sz="0" w:space="0" w:color="auto"/>
        <w:left w:val="none" w:sz="0" w:space="0" w:color="auto"/>
        <w:bottom w:val="none" w:sz="0" w:space="0" w:color="auto"/>
        <w:right w:val="none" w:sz="0" w:space="0" w:color="auto"/>
      </w:divBdr>
    </w:div>
    <w:div w:id="724722623">
      <w:marLeft w:val="0"/>
      <w:marRight w:val="0"/>
      <w:marTop w:val="0"/>
      <w:marBottom w:val="0"/>
      <w:divBdr>
        <w:top w:val="none" w:sz="0" w:space="0" w:color="auto"/>
        <w:left w:val="none" w:sz="0" w:space="0" w:color="auto"/>
        <w:bottom w:val="none" w:sz="0" w:space="0" w:color="auto"/>
        <w:right w:val="none" w:sz="0" w:space="0" w:color="auto"/>
      </w:divBdr>
    </w:div>
    <w:div w:id="724722624">
      <w:marLeft w:val="0"/>
      <w:marRight w:val="0"/>
      <w:marTop w:val="0"/>
      <w:marBottom w:val="0"/>
      <w:divBdr>
        <w:top w:val="none" w:sz="0" w:space="0" w:color="auto"/>
        <w:left w:val="none" w:sz="0" w:space="0" w:color="auto"/>
        <w:bottom w:val="none" w:sz="0" w:space="0" w:color="auto"/>
        <w:right w:val="none" w:sz="0" w:space="0" w:color="auto"/>
      </w:divBdr>
    </w:div>
    <w:div w:id="724722625">
      <w:marLeft w:val="0"/>
      <w:marRight w:val="0"/>
      <w:marTop w:val="0"/>
      <w:marBottom w:val="0"/>
      <w:divBdr>
        <w:top w:val="none" w:sz="0" w:space="0" w:color="auto"/>
        <w:left w:val="none" w:sz="0" w:space="0" w:color="auto"/>
        <w:bottom w:val="none" w:sz="0" w:space="0" w:color="auto"/>
        <w:right w:val="none" w:sz="0" w:space="0" w:color="auto"/>
      </w:divBdr>
      <w:divsChild>
        <w:div w:id="724722626">
          <w:marLeft w:val="0"/>
          <w:marRight w:val="0"/>
          <w:marTop w:val="45"/>
          <w:marBottom w:val="225"/>
          <w:divBdr>
            <w:top w:val="none" w:sz="0" w:space="0" w:color="auto"/>
            <w:left w:val="none" w:sz="0" w:space="0" w:color="auto"/>
            <w:bottom w:val="none" w:sz="0" w:space="0" w:color="auto"/>
            <w:right w:val="none" w:sz="0" w:space="0" w:color="auto"/>
          </w:divBdr>
          <w:divsChild>
            <w:div w:id="724722627">
              <w:marLeft w:val="150"/>
              <w:marRight w:val="0"/>
              <w:marTop w:val="300"/>
              <w:marBottom w:val="0"/>
              <w:divBdr>
                <w:top w:val="none" w:sz="0" w:space="0" w:color="auto"/>
                <w:left w:val="none" w:sz="0" w:space="0" w:color="auto"/>
                <w:bottom w:val="none" w:sz="0" w:space="0" w:color="auto"/>
                <w:right w:val="none" w:sz="0" w:space="0" w:color="auto"/>
              </w:divBdr>
              <w:divsChild>
                <w:div w:id="7247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22630">
      <w:marLeft w:val="0"/>
      <w:marRight w:val="0"/>
      <w:marTop w:val="0"/>
      <w:marBottom w:val="0"/>
      <w:divBdr>
        <w:top w:val="none" w:sz="0" w:space="0" w:color="auto"/>
        <w:left w:val="none" w:sz="0" w:space="0" w:color="auto"/>
        <w:bottom w:val="none" w:sz="0" w:space="0" w:color="auto"/>
        <w:right w:val="none" w:sz="0" w:space="0" w:color="auto"/>
      </w:divBdr>
      <w:divsChild>
        <w:div w:id="724722628">
          <w:marLeft w:val="0"/>
          <w:marRight w:val="0"/>
          <w:marTop w:val="45"/>
          <w:marBottom w:val="225"/>
          <w:divBdr>
            <w:top w:val="none" w:sz="0" w:space="0" w:color="auto"/>
            <w:left w:val="none" w:sz="0" w:space="0" w:color="auto"/>
            <w:bottom w:val="none" w:sz="0" w:space="0" w:color="auto"/>
            <w:right w:val="none" w:sz="0" w:space="0" w:color="auto"/>
          </w:divBdr>
          <w:divsChild>
            <w:div w:id="724722632">
              <w:marLeft w:val="150"/>
              <w:marRight w:val="0"/>
              <w:marTop w:val="300"/>
              <w:marBottom w:val="0"/>
              <w:divBdr>
                <w:top w:val="none" w:sz="0" w:space="0" w:color="auto"/>
                <w:left w:val="none" w:sz="0" w:space="0" w:color="auto"/>
                <w:bottom w:val="none" w:sz="0" w:space="0" w:color="auto"/>
                <w:right w:val="none" w:sz="0" w:space="0" w:color="auto"/>
              </w:divBdr>
              <w:divsChild>
                <w:div w:id="72472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22633">
      <w:marLeft w:val="0"/>
      <w:marRight w:val="0"/>
      <w:marTop w:val="0"/>
      <w:marBottom w:val="0"/>
      <w:divBdr>
        <w:top w:val="none" w:sz="0" w:space="0" w:color="auto"/>
        <w:left w:val="none" w:sz="0" w:space="0" w:color="auto"/>
        <w:bottom w:val="none" w:sz="0" w:space="0" w:color="auto"/>
        <w:right w:val="none" w:sz="0" w:space="0" w:color="auto"/>
      </w:divBdr>
    </w:div>
    <w:div w:id="724722634">
      <w:marLeft w:val="0"/>
      <w:marRight w:val="0"/>
      <w:marTop w:val="0"/>
      <w:marBottom w:val="0"/>
      <w:divBdr>
        <w:top w:val="none" w:sz="0" w:space="0" w:color="auto"/>
        <w:left w:val="none" w:sz="0" w:space="0" w:color="auto"/>
        <w:bottom w:val="none" w:sz="0" w:space="0" w:color="auto"/>
        <w:right w:val="none" w:sz="0" w:space="0" w:color="auto"/>
      </w:divBdr>
    </w:div>
    <w:div w:id="724722635">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karla.krejci@dbm.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essroom.ups.com/RSS"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longitudes.ups.com" TargetMode="External"/><Relationship Id="rId4" Type="http://schemas.openxmlformats.org/officeDocument/2006/relationships/webSettings" Target="webSettings.xml"/><Relationship Id="rId9" Type="http://schemas.openxmlformats.org/officeDocument/2006/relationships/hyperlink" Target="http://www.investors.up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1864</Words>
  <Characters>11001</Characters>
  <Application>Microsoft Office Word</Application>
  <DocSecurity>0</DocSecurity>
  <Lines>91</Lines>
  <Paragraphs>25</Paragraphs>
  <ScaleCrop>false</ScaleCrop>
  <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2017-04-26T13:03:00Z</dcterms:created>
  <dcterms:modified xsi:type="dcterms:W3CDTF">2017-04-27T13:10:00Z</dcterms:modified>
</cp:coreProperties>
</file>