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C0903" w14:textId="5A30D256" w:rsidR="005855A9" w:rsidRDefault="009721FA">
      <w:pPr>
        <w:rPr>
          <w:rFonts w:ascii="Arial" w:hAnsi="Arial" w:cs="Arial"/>
          <w:sz w:val="20"/>
          <w:szCs w:val="20"/>
        </w:rPr>
      </w:pPr>
      <w:bookmarkStart w:id="0" w:name="_GoBack"/>
      <w:r>
        <w:rPr>
          <w:noProof/>
        </w:rPr>
        <w:drawing>
          <wp:anchor distT="0" distB="0" distL="114300" distR="0" simplePos="0" relativeHeight="251659264" behindDoc="0" locked="0" layoutInCell="1" allowOverlap="1" wp14:anchorId="38F4F449" wp14:editId="5BBF09B9">
            <wp:simplePos x="0" y="0"/>
            <wp:positionH relativeFrom="margin">
              <wp:posOffset>5351929</wp:posOffset>
            </wp:positionH>
            <wp:positionV relativeFrom="paragraph">
              <wp:posOffset>113328</wp:posOffset>
            </wp:positionV>
            <wp:extent cx="571500" cy="6858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stretch>
                      <a:fillRect/>
                    </a:stretch>
                  </pic:blipFill>
                  <pic:spPr bwMode="auto">
                    <a:xfrm>
                      <a:off x="0" y="0"/>
                      <a:ext cx="571500" cy="685800"/>
                    </a:xfrm>
                    <a:prstGeom prst="rect">
                      <a:avLst/>
                    </a:prstGeom>
                  </pic:spPr>
                </pic:pic>
              </a:graphicData>
            </a:graphic>
          </wp:anchor>
        </w:drawing>
      </w:r>
      <w:bookmarkEnd w:id="0"/>
      <w:r w:rsidR="00C12580">
        <w:rPr>
          <w:rFonts w:ascii="Arial" w:hAnsi="Arial" w:cs="Arial"/>
          <w:sz w:val="20"/>
          <w:szCs w:val="20"/>
        </w:rPr>
        <w:tab/>
      </w:r>
      <w:r w:rsidR="009D311B">
        <w:rPr>
          <w:rFonts w:ascii="Arial" w:hAnsi="Arial" w:cs="Arial"/>
          <w:sz w:val="20"/>
          <w:szCs w:val="20"/>
        </w:rPr>
        <w:tab/>
      </w:r>
    </w:p>
    <w:p w14:paraId="351277A1" w14:textId="09B0AEDC" w:rsidR="005855A9" w:rsidRDefault="005855A9">
      <w:pPr>
        <w:rPr>
          <w:rFonts w:ascii="Arial" w:hAnsi="Arial" w:cs="Arial"/>
          <w:sz w:val="20"/>
          <w:szCs w:val="20"/>
        </w:rPr>
      </w:pPr>
    </w:p>
    <w:p w14:paraId="20843687" w14:textId="71073517" w:rsidR="00CF5EB1" w:rsidRPr="003E7BDA" w:rsidRDefault="005855A9" w:rsidP="005C42B5">
      <w:pPr>
        <w:rPr>
          <w:rFonts w:ascii="Arial" w:hAnsi="Arial" w:cs="Arial"/>
          <w:sz w:val="20"/>
          <w:szCs w:val="20"/>
        </w:rPr>
      </w:pPr>
      <w:r w:rsidRPr="003E7BDA">
        <w:rPr>
          <w:rFonts w:ascii="Arial" w:hAnsi="Arial" w:cs="Arial"/>
          <w:sz w:val="20"/>
          <w:szCs w:val="20"/>
        </w:rPr>
        <w:t>Contacts:</w:t>
      </w:r>
      <w:r w:rsidRPr="003E7BDA">
        <w:rPr>
          <w:rFonts w:ascii="Arial" w:hAnsi="Arial" w:cs="Arial"/>
          <w:sz w:val="16"/>
        </w:rPr>
        <w:tab/>
      </w:r>
      <w:r w:rsidR="005A04FD" w:rsidRPr="003E7BDA">
        <w:rPr>
          <w:rFonts w:ascii="Arial" w:hAnsi="Arial" w:cs="Arial"/>
          <w:sz w:val="20"/>
          <w:szCs w:val="20"/>
        </w:rPr>
        <w:t xml:space="preserve">Steve </w:t>
      </w:r>
      <w:proofErr w:type="spellStart"/>
      <w:r w:rsidR="005A04FD" w:rsidRPr="003E7BDA">
        <w:rPr>
          <w:rFonts w:ascii="Arial" w:hAnsi="Arial" w:cs="Arial"/>
          <w:sz w:val="20"/>
          <w:szCs w:val="20"/>
        </w:rPr>
        <w:t>Gaut</w:t>
      </w:r>
      <w:proofErr w:type="spellEnd"/>
      <w:r w:rsidR="005A04FD" w:rsidRPr="003E7BDA">
        <w:rPr>
          <w:rFonts w:ascii="Arial" w:hAnsi="Arial" w:cs="Arial"/>
          <w:sz w:val="20"/>
          <w:szCs w:val="20"/>
        </w:rPr>
        <w:t>,</w:t>
      </w:r>
      <w:r w:rsidRPr="003E7BDA">
        <w:rPr>
          <w:rFonts w:ascii="Arial" w:hAnsi="Arial" w:cs="Arial"/>
          <w:sz w:val="20"/>
          <w:szCs w:val="20"/>
        </w:rPr>
        <w:t xml:space="preserve"> Public Relations</w:t>
      </w:r>
      <w:r w:rsidRPr="003E7BDA">
        <w:rPr>
          <w:rFonts w:ascii="Arial" w:hAnsi="Arial" w:cs="Arial"/>
          <w:sz w:val="20"/>
          <w:szCs w:val="20"/>
        </w:rPr>
        <w:tab/>
      </w:r>
      <w:r w:rsidRPr="003E7BDA">
        <w:rPr>
          <w:rFonts w:ascii="Arial" w:hAnsi="Arial" w:cs="Arial"/>
          <w:sz w:val="20"/>
          <w:szCs w:val="20"/>
        </w:rPr>
        <w:tab/>
      </w:r>
      <w:r w:rsidRPr="003E7BDA">
        <w:rPr>
          <w:rFonts w:ascii="Arial" w:hAnsi="Arial" w:cs="Arial"/>
          <w:sz w:val="20"/>
          <w:szCs w:val="20"/>
        </w:rPr>
        <w:tab/>
      </w:r>
      <w:r w:rsidRPr="003E7BDA">
        <w:rPr>
          <w:rFonts w:ascii="Arial" w:hAnsi="Arial" w:cs="Arial"/>
          <w:sz w:val="20"/>
          <w:szCs w:val="20"/>
        </w:rPr>
        <w:tab/>
      </w:r>
    </w:p>
    <w:p w14:paraId="0B2CA71F" w14:textId="567D42ED" w:rsidR="005855A9" w:rsidRPr="003E7BDA" w:rsidRDefault="005855A9" w:rsidP="00CF5EB1">
      <w:pPr>
        <w:ind w:left="720" w:firstLine="720"/>
        <w:rPr>
          <w:rFonts w:ascii="Arial" w:hAnsi="Arial" w:cs="Arial"/>
          <w:sz w:val="20"/>
          <w:szCs w:val="20"/>
        </w:rPr>
      </w:pPr>
      <w:r w:rsidRPr="003E7BDA">
        <w:rPr>
          <w:rFonts w:ascii="Arial" w:hAnsi="Arial" w:cs="Arial"/>
          <w:sz w:val="20"/>
          <w:szCs w:val="20"/>
        </w:rPr>
        <w:t>404-828-</w:t>
      </w:r>
      <w:r w:rsidR="005A04FD" w:rsidRPr="003E7BDA">
        <w:rPr>
          <w:rFonts w:ascii="Arial" w:hAnsi="Arial" w:cs="Arial"/>
          <w:sz w:val="20"/>
          <w:szCs w:val="20"/>
        </w:rPr>
        <w:t>8787</w:t>
      </w:r>
    </w:p>
    <w:p w14:paraId="4B140E14" w14:textId="77777777" w:rsidR="00E57561" w:rsidRPr="003E7BDA" w:rsidRDefault="00E57561">
      <w:pPr>
        <w:pStyle w:val="Heading4"/>
        <w:spacing w:before="0" w:after="0"/>
        <w:ind w:left="720" w:firstLine="720"/>
        <w:rPr>
          <w:rFonts w:ascii="Arial" w:hAnsi="Arial" w:cs="Arial"/>
          <w:b w:val="0"/>
          <w:sz w:val="16"/>
          <w:szCs w:val="16"/>
        </w:rPr>
      </w:pPr>
    </w:p>
    <w:p w14:paraId="5B6CE97C" w14:textId="77777777" w:rsidR="005855A9" w:rsidRPr="003E7BDA" w:rsidRDefault="00ED434E">
      <w:pPr>
        <w:pStyle w:val="Heading4"/>
        <w:spacing w:before="0" w:after="0"/>
        <w:ind w:left="720" w:firstLine="720"/>
        <w:rPr>
          <w:rFonts w:ascii="Arial" w:hAnsi="Arial" w:cs="Arial"/>
          <w:b w:val="0"/>
          <w:sz w:val="20"/>
          <w:szCs w:val="20"/>
        </w:rPr>
      </w:pPr>
      <w:r w:rsidRPr="003E7BDA">
        <w:rPr>
          <w:rFonts w:ascii="Arial" w:hAnsi="Arial" w:cs="Arial"/>
          <w:b w:val="0"/>
          <w:sz w:val="20"/>
          <w:szCs w:val="20"/>
        </w:rPr>
        <w:t>Scott Childress</w:t>
      </w:r>
      <w:r w:rsidR="005855A9" w:rsidRPr="003E7BDA">
        <w:rPr>
          <w:rFonts w:ascii="Arial" w:hAnsi="Arial" w:cs="Arial"/>
          <w:b w:val="0"/>
          <w:sz w:val="20"/>
          <w:szCs w:val="20"/>
        </w:rPr>
        <w:t>, Investor Relations</w:t>
      </w:r>
    </w:p>
    <w:p w14:paraId="7C461A2D" w14:textId="77777777" w:rsidR="005855A9" w:rsidRPr="003E7BDA" w:rsidRDefault="005855A9">
      <w:pPr>
        <w:rPr>
          <w:rFonts w:ascii="Arial" w:hAnsi="Arial" w:cs="Arial"/>
          <w:sz w:val="20"/>
          <w:szCs w:val="20"/>
        </w:rPr>
      </w:pPr>
      <w:r w:rsidRPr="003E7BDA">
        <w:rPr>
          <w:rFonts w:ascii="Arial" w:hAnsi="Arial" w:cs="Arial"/>
          <w:sz w:val="20"/>
          <w:szCs w:val="20"/>
        </w:rPr>
        <w:tab/>
      </w:r>
      <w:r w:rsidRPr="003E7BDA">
        <w:rPr>
          <w:rFonts w:ascii="Arial" w:hAnsi="Arial" w:cs="Arial"/>
          <w:sz w:val="20"/>
          <w:szCs w:val="20"/>
        </w:rPr>
        <w:tab/>
        <w:t>404-828-</w:t>
      </w:r>
      <w:r w:rsidR="00ED434E" w:rsidRPr="003E7BDA">
        <w:rPr>
          <w:rFonts w:ascii="Arial" w:hAnsi="Arial" w:cs="Arial"/>
          <w:sz w:val="20"/>
          <w:szCs w:val="20"/>
        </w:rPr>
        <w:t>7957</w:t>
      </w:r>
      <w:r w:rsidRPr="003E7BDA">
        <w:rPr>
          <w:rFonts w:ascii="Arial" w:hAnsi="Arial" w:cs="Arial"/>
          <w:sz w:val="20"/>
          <w:szCs w:val="20"/>
        </w:rPr>
        <w:tab/>
      </w:r>
      <w:r w:rsidRPr="003E7BDA">
        <w:rPr>
          <w:rFonts w:ascii="Arial" w:hAnsi="Arial" w:cs="Arial"/>
          <w:sz w:val="20"/>
          <w:szCs w:val="20"/>
        </w:rPr>
        <w:tab/>
      </w:r>
      <w:r w:rsidRPr="003E7BDA">
        <w:rPr>
          <w:rFonts w:ascii="Arial" w:hAnsi="Arial" w:cs="Arial"/>
          <w:sz w:val="20"/>
          <w:szCs w:val="20"/>
        </w:rPr>
        <w:tab/>
      </w:r>
      <w:r w:rsidRPr="003E7BDA">
        <w:rPr>
          <w:rFonts w:ascii="Arial" w:hAnsi="Arial" w:cs="Arial"/>
          <w:sz w:val="20"/>
          <w:szCs w:val="20"/>
        </w:rPr>
        <w:tab/>
      </w:r>
      <w:r w:rsidRPr="003E7BDA">
        <w:rPr>
          <w:rFonts w:ascii="Arial" w:hAnsi="Arial" w:cs="Arial"/>
          <w:sz w:val="20"/>
          <w:szCs w:val="20"/>
        </w:rPr>
        <w:tab/>
      </w:r>
    </w:p>
    <w:p w14:paraId="28673246" w14:textId="77777777" w:rsidR="0077335C" w:rsidRPr="003E7BDA" w:rsidRDefault="005855A9" w:rsidP="007B357E">
      <w:pPr>
        <w:rPr>
          <w:rFonts w:ascii="Arial" w:hAnsi="Arial" w:cs="Arial"/>
          <w:sz w:val="18"/>
          <w:szCs w:val="22"/>
        </w:rPr>
      </w:pPr>
      <w:r w:rsidRPr="003E7BDA">
        <w:rPr>
          <w:rFonts w:ascii="Arial" w:hAnsi="Arial" w:cs="Arial"/>
          <w:sz w:val="20"/>
          <w:szCs w:val="20"/>
        </w:rPr>
        <w:tab/>
      </w:r>
    </w:p>
    <w:p w14:paraId="1A008013" w14:textId="77777777" w:rsidR="00CC13C8" w:rsidRPr="003E7BDA" w:rsidRDefault="00CC13C8" w:rsidP="00CC13C8">
      <w:pPr>
        <w:rPr>
          <w:rFonts w:ascii="Arial" w:hAnsi="Arial" w:cs="Arial"/>
          <w:sz w:val="18"/>
          <w:szCs w:val="22"/>
        </w:rPr>
      </w:pPr>
    </w:p>
    <w:p w14:paraId="203E07CF" w14:textId="77777777" w:rsidR="00AA6C14" w:rsidRDefault="00EE0794" w:rsidP="00AB1EB2">
      <w:pPr>
        <w:jc w:val="center"/>
        <w:rPr>
          <w:rFonts w:ascii="Arial" w:hAnsi="Arial" w:cs="Arial"/>
          <w:b/>
          <w:sz w:val="32"/>
          <w:szCs w:val="32"/>
        </w:rPr>
      </w:pPr>
      <w:r w:rsidRPr="00EC15D9">
        <w:rPr>
          <w:rFonts w:ascii="Arial" w:hAnsi="Arial" w:cs="Arial"/>
          <w:b/>
          <w:sz w:val="32"/>
          <w:szCs w:val="32"/>
        </w:rPr>
        <w:t xml:space="preserve">UPS </w:t>
      </w:r>
      <w:r w:rsidR="00AA6C14">
        <w:rPr>
          <w:rFonts w:ascii="Arial" w:hAnsi="Arial" w:cs="Arial"/>
          <w:b/>
          <w:sz w:val="32"/>
          <w:szCs w:val="32"/>
        </w:rPr>
        <w:t>ANNOUNCES FIRST QUARTER EARNINGS</w:t>
      </w:r>
    </w:p>
    <w:p w14:paraId="06BE5ECE" w14:textId="77777777" w:rsidR="00AA6C14" w:rsidRDefault="00AA6C14" w:rsidP="00AB1EB2">
      <w:pPr>
        <w:jc w:val="center"/>
        <w:rPr>
          <w:rFonts w:ascii="Arial" w:hAnsi="Arial" w:cs="Arial"/>
          <w:b/>
          <w:sz w:val="32"/>
          <w:szCs w:val="32"/>
        </w:rPr>
      </w:pPr>
    </w:p>
    <w:p w14:paraId="5047A6B4" w14:textId="77777777" w:rsidR="00F21B81" w:rsidRPr="00AA6C14" w:rsidRDefault="00EE0794" w:rsidP="001549E0">
      <w:pPr>
        <w:jc w:val="center"/>
        <w:rPr>
          <w:rFonts w:ascii="Arial" w:hAnsi="Arial" w:cs="Arial"/>
          <w:i/>
        </w:rPr>
      </w:pPr>
      <w:r w:rsidRPr="00AA6C14">
        <w:rPr>
          <w:rFonts w:ascii="Arial" w:hAnsi="Arial" w:cs="Arial"/>
          <w:i/>
        </w:rPr>
        <w:t>Tran</w:t>
      </w:r>
      <w:r w:rsidR="00EC15D9" w:rsidRPr="00AA6C14">
        <w:rPr>
          <w:rFonts w:ascii="Arial" w:hAnsi="Arial" w:cs="Arial"/>
          <w:i/>
        </w:rPr>
        <w:t xml:space="preserve">sformation </w:t>
      </w:r>
      <w:r w:rsidR="00AB1EB2" w:rsidRPr="00AA6C14">
        <w:rPr>
          <w:rFonts w:ascii="Arial" w:hAnsi="Arial" w:cs="Arial"/>
          <w:i/>
        </w:rPr>
        <w:t>Improves</w:t>
      </w:r>
      <w:r w:rsidR="00AA6C14" w:rsidRPr="00AA6C14">
        <w:rPr>
          <w:rFonts w:ascii="Arial" w:hAnsi="Arial" w:cs="Arial"/>
          <w:i/>
        </w:rPr>
        <w:t xml:space="preserve"> Efficiency and Revenue Quality</w:t>
      </w:r>
    </w:p>
    <w:p w14:paraId="67D32520" w14:textId="77777777" w:rsidR="00AA6C14" w:rsidRPr="001549E0" w:rsidRDefault="00AA6C14" w:rsidP="001549E0">
      <w:pPr>
        <w:jc w:val="center"/>
        <w:rPr>
          <w:rFonts w:ascii="Arial" w:hAnsi="Arial" w:cs="Arial"/>
          <w:b/>
          <w:sz w:val="28"/>
          <w:szCs w:val="26"/>
        </w:rPr>
      </w:pPr>
    </w:p>
    <w:p w14:paraId="2A441F62" w14:textId="77777777" w:rsidR="009F4520" w:rsidRDefault="009F4520" w:rsidP="00E068F2">
      <w:pPr>
        <w:pStyle w:val="ListParagraph"/>
        <w:numPr>
          <w:ilvl w:val="0"/>
          <w:numId w:val="1"/>
        </w:numPr>
        <w:ind w:left="540"/>
        <w:rPr>
          <w:rFonts w:ascii="Arial" w:hAnsi="Arial" w:cs="Arial"/>
          <w:b/>
          <w:i/>
        </w:rPr>
      </w:pPr>
      <w:r>
        <w:rPr>
          <w:rFonts w:ascii="Arial" w:hAnsi="Arial" w:cs="Arial"/>
          <w:b/>
          <w:i/>
        </w:rPr>
        <w:t xml:space="preserve">1Q19 EPS of $1.28; 1Q19 </w:t>
      </w:r>
      <w:r w:rsidR="00821B46">
        <w:rPr>
          <w:rFonts w:ascii="Arial" w:hAnsi="Arial" w:cs="Arial"/>
          <w:b/>
          <w:i/>
        </w:rPr>
        <w:t>Adjusted</w:t>
      </w:r>
      <w:r w:rsidR="00EF583E">
        <w:rPr>
          <w:rFonts w:ascii="Arial" w:hAnsi="Arial" w:cs="Arial"/>
          <w:b/>
          <w:i/>
          <w:vertAlign w:val="superscript"/>
        </w:rPr>
        <w:t>^</w:t>
      </w:r>
      <w:r w:rsidR="00821B46">
        <w:rPr>
          <w:rFonts w:ascii="Arial" w:hAnsi="Arial" w:cs="Arial"/>
          <w:b/>
          <w:i/>
        </w:rPr>
        <w:t xml:space="preserve"> </w:t>
      </w:r>
      <w:r>
        <w:rPr>
          <w:rFonts w:ascii="Arial" w:hAnsi="Arial" w:cs="Arial"/>
          <w:b/>
          <w:i/>
        </w:rPr>
        <w:t xml:space="preserve">EPS of $1.39 </w:t>
      </w:r>
    </w:p>
    <w:p w14:paraId="1274B584" w14:textId="77777777" w:rsidR="007B05F1" w:rsidRPr="007B05F1" w:rsidRDefault="007B05F1" w:rsidP="007B05F1">
      <w:pPr>
        <w:pStyle w:val="ListParagraph"/>
        <w:numPr>
          <w:ilvl w:val="0"/>
          <w:numId w:val="1"/>
        </w:numPr>
        <w:ind w:left="540"/>
        <w:rPr>
          <w:rFonts w:ascii="Arial" w:hAnsi="Arial" w:cs="Arial"/>
          <w:b/>
          <w:i/>
        </w:rPr>
      </w:pPr>
      <w:r>
        <w:rPr>
          <w:rFonts w:ascii="Arial" w:hAnsi="Arial" w:cs="Arial"/>
          <w:b/>
          <w:i/>
        </w:rPr>
        <w:t xml:space="preserve">Weather </w:t>
      </w:r>
      <w:r w:rsidR="007B7C85">
        <w:rPr>
          <w:rFonts w:ascii="Arial" w:hAnsi="Arial" w:cs="Arial"/>
          <w:b/>
          <w:i/>
        </w:rPr>
        <w:t xml:space="preserve">Lowered </w:t>
      </w:r>
      <w:r>
        <w:rPr>
          <w:rFonts w:ascii="Arial" w:hAnsi="Arial" w:cs="Arial"/>
          <w:b/>
          <w:i/>
        </w:rPr>
        <w:t xml:space="preserve">U.S. Profit by </w:t>
      </w:r>
      <w:r w:rsidR="00E147CE">
        <w:rPr>
          <w:rFonts w:ascii="Arial" w:hAnsi="Arial" w:cs="Arial"/>
          <w:b/>
          <w:i/>
        </w:rPr>
        <w:t>a</w:t>
      </w:r>
      <w:r w:rsidR="006600AD">
        <w:rPr>
          <w:rFonts w:ascii="Arial" w:hAnsi="Arial" w:cs="Arial"/>
          <w:b/>
          <w:i/>
        </w:rPr>
        <w:t>bout</w:t>
      </w:r>
      <w:r>
        <w:rPr>
          <w:rFonts w:ascii="Arial" w:hAnsi="Arial" w:cs="Arial"/>
          <w:b/>
          <w:i/>
        </w:rPr>
        <w:t xml:space="preserve"> </w:t>
      </w:r>
      <w:r w:rsidR="006600AD">
        <w:rPr>
          <w:rFonts w:ascii="Arial" w:hAnsi="Arial" w:cs="Arial"/>
          <w:b/>
          <w:i/>
        </w:rPr>
        <w:t>$80</w:t>
      </w:r>
      <w:r w:rsidR="009077E4">
        <w:rPr>
          <w:rFonts w:ascii="Arial" w:hAnsi="Arial" w:cs="Arial"/>
          <w:b/>
          <w:i/>
        </w:rPr>
        <w:t>M or $0.07</w:t>
      </w:r>
      <w:r>
        <w:rPr>
          <w:rFonts w:ascii="Arial" w:hAnsi="Arial" w:cs="Arial"/>
          <w:b/>
          <w:i/>
        </w:rPr>
        <w:t xml:space="preserve"> </w:t>
      </w:r>
      <w:r w:rsidRPr="007B05F1">
        <w:rPr>
          <w:rFonts w:ascii="Arial" w:hAnsi="Arial" w:cs="Arial"/>
          <w:b/>
          <w:i/>
        </w:rPr>
        <w:t>EPS</w:t>
      </w:r>
    </w:p>
    <w:p w14:paraId="2264444C" w14:textId="77777777" w:rsidR="007B05F1" w:rsidRDefault="007B05F1" w:rsidP="007B05F1">
      <w:pPr>
        <w:pStyle w:val="ListParagraph"/>
        <w:numPr>
          <w:ilvl w:val="0"/>
          <w:numId w:val="1"/>
        </w:numPr>
        <w:ind w:left="540"/>
        <w:rPr>
          <w:rFonts w:ascii="Arial" w:hAnsi="Arial" w:cs="Arial"/>
          <w:b/>
          <w:i/>
        </w:rPr>
      </w:pPr>
      <w:r>
        <w:rPr>
          <w:rFonts w:ascii="Arial" w:hAnsi="Arial" w:cs="Arial"/>
          <w:b/>
          <w:i/>
        </w:rPr>
        <w:t xml:space="preserve">U.S. Daily </w:t>
      </w:r>
      <w:r w:rsidR="003C056B">
        <w:rPr>
          <w:rFonts w:ascii="Arial" w:hAnsi="Arial" w:cs="Arial"/>
          <w:b/>
          <w:i/>
        </w:rPr>
        <w:t xml:space="preserve">Air </w:t>
      </w:r>
      <w:r>
        <w:rPr>
          <w:rFonts w:ascii="Arial" w:hAnsi="Arial" w:cs="Arial"/>
          <w:b/>
          <w:i/>
        </w:rPr>
        <w:t xml:space="preserve">Volume </w:t>
      </w:r>
      <w:r w:rsidR="000976B8">
        <w:rPr>
          <w:rFonts w:ascii="Arial" w:hAnsi="Arial" w:cs="Arial"/>
          <w:b/>
          <w:i/>
        </w:rPr>
        <w:t>Rose</w:t>
      </w:r>
      <w:r w:rsidR="003C056B">
        <w:rPr>
          <w:rFonts w:ascii="Arial" w:hAnsi="Arial" w:cs="Arial"/>
          <w:b/>
          <w:i/>
        </w:rPr>
        <w:t xml:space="preserve"> Nearly 8%; Growth</w:t>
      </w:r>
      <w:r>
        <w:rPr>
          <w:rFonts w:ascii="Arial" w:hAnsi="Arial" w:cs="Arial"/>
          <w:b/>
          <w:i/>
        </w:rPr>
        <w:t xml:space="preserve"> Across All Products</w:t>
      </w:r>
    </w:p>
    <w:p w14:paraId="7B9CEC0D" w14:textId="77777777" w:rsidR="007B05F1" w:rsidRDefault="007B05F1" w:rsidP="007B05F1">
      <w:pPr>
        <w:pStyle w:val="ListParagraph"/>
        <w:numPr>
          <w:ilvl w:val="0"/>
          <w:numId w:val="1"/>
        </w:numPr>
        <w:ind w:left="540"/>
        <w:rPr>
          <w:rFonts w:ascii="Arial" w:hAnsi="Arial" w:cs="Arial"/>
          <w:b/>
          <w:i/>
        </w:rPr>
      </w:pPr>
      <w:r>
        <w:rPr>
          <w:rFonts w:ascii="Arial" w:hAnsi="Arial" w:cs="Arial"/>
          <w:b/>
          <w:i/>
        </w:rPr>
        <w:t xml:space="preserve">U.S. </w:t>
      </w:r>
      <w:r w:rsidR="000976B8">
        <w:rPr>
          <w:rFonts w:ascii="Arial" w:hAnsi="Arial" w:cs="Arial"/>
          <w:b/>
          <w:i/>
        </w:rPr>
        <w:t>Revenue Yield</w:t>
      </w:r>
      <w:r w:rsidR="00E147CE">
        <w:rPr>
          <w:rFonts w:ascii="Arial" w:hAnsi="Arial" w:cs="Arial"/>
          <w:b/>
          <w:i/>
        </w:rPr>
        <w:t>s</w:t>
      </w:r>
      <w:r w:rsidR="00A7566C">
        <w:rPr>
          <w:rFonts w:ascii="Arial" w:hAnsi="Arial" w:cs="Arial"/>
          <w:b/>
          <w:i/>
        </w:rPr>
        <w:t xml:space="preserve"> U</w:t>
      </w:r>
      <w:r w:rsidR="000976B8">
        <w:rPr>
          <w:rFonts w:ascii="Arial" w:hAnsi="Arial" w:cs="Arial"/>
          <w:b/>
          <w:i/>
        </w:rPr>
        <w:t>p</w:t>
      </w:r>
      <w:r>
        <w:rPr>
          <w:rFonts w:ascii="Arial" w:hAnsi="Arial" w:cs="Arial"/>
          <w:b/>
          <w:i/>
        </w:rPr>
        <w:t xml:space="preserve">, Led by Ground </w:t>
      </w:r>
      <w:r w:rsidR="007337C2">
        <w:rPr>
          <w:rFonts w:ascii="Arial" w:hAnsi="Arial" w:cs="Arial"/>
          <w:b/>
          <w:i/>
        </w:rPr>
        <w:t>P</w:t>
      </w:r>
      <w:r w:rsidR="00A7566C">
        <w:rPr>
          <w:rFonts w:ascii="Arial" w:hAnsi="Arial" w:cs="Arial"/>
          <w:b/>
          <w:i/>
        </w:rPr>
        <w:t>roduct</w:t>
      </w:r>
      <w:r w:rsidR="00E147CE">
        <w:rPr>
          <w:rFonts w:ascii="Arial" w:hAnsi="Arial" w:cs="Arial"/>
          <w:b/>
          <w:i/>
        </w:rPr>
        <w:t>s</w:t>
      </w:r>
    </w:p>
    <w:p w14:paraId="4E18A3C3" w14:textId="77777777" w:rsidR="00BD4473" w:rsidRDefault="00407064" w:rsidP="00E068F2">
      <w:pPr>
        <w:pStyle w:val="ListParagraph"/>
        <w:numPr>
          <w:ilvl w:val="0"/>
          <w:numId w:val="1"/>
        </w:numPr>
        <w:ind w:left="540"/>
        <w:rPr>
          <w:rFonts w:ascii="Arial" w:hAnsi="Arial" w:cs="Arial"/>
          <w:b/>
          <w:i/>
        </w:rPr>
      </w:pPr>
      <w:r>
        <w:rPr>
          <w:rFonts w:ascii="Arial" w:hAnsi="Arial" w:cs="Arial"/>
          <w:b/>
          <w:i/>
        </w:rPr>
        <w:t>Supply Chain and</w:t>
      </w:r>
      <w:r w:rsidR="00BD4473" w:rsidRPr="00D352EF">
        <w:rPr>
          <w:rFonts w:ascii="Arial" w:hAnsi="Arial" w:cs="Arial"/>
          <w:b/>
          <w:i/>
        </w:rPr>
        <w:t xml:space="preserve"> Freight</w:t>
      </w:r>
      <w:r w:rsidR="00BD4473">
        <w:rPr>
          <w:rFonts w:ascii="Arial" w:hAnsi="Arial" w:cs="Arial"/>
          <w:b/>
          <w:i/>
        </w:rPr>
        <w:t xml:space="preserve"> Operating Profit </w:t>
      </w:r>
      <w:r w:rsidR="00A7566C">
        <w:rPr>
          <w:rFonts w:ascii="Arial" w:hAnsi="Arial" w:cs="Arial"/>
          <w:b/>
          <w:i/>
        </w:rPr>
        <w:t>U</w:t>
      </w:r>
      <w:r w:rsidR="00D337CE">
        <w:rPr>
          <w:rFonts w:ascii="Arial" w:hAnsi="Arial" w:cs="Arial"/>
          <w:b/>
          <w:i/>
        </w:rPr>
        <w:t xml:space="preserve">p </w:t>
      </w:r>
      <w:r w:rsidR="009077E4">
        <w:rPr>
          <w:rFonts w:ascii="Arial" w:hAnsi="Arial" w:cs="Arial"/>
          <w:b/>
          <w:i/>
        </w:rPr>
        <w:t>Nearly 18</w:t>
      </w:r>
      <w:r w:rsidR="00D337CE">
        <w:rPr>
          <w:rFonts w:ascii="Arial" w:hAnsi="Arial" w:cs="Arial"/>
          <w:b/>
          <w:i/>
        </w:rPr>
        <w:t>%;</w:t>
      </w:r>
      <w:r w:rsidR="006657B4">
        <w:rPr>
          <w:rFonts w:ascii="Arial" w:hAnsi="Arial" w:cs="Arial"/>
          <w:b/>
          <w:i/>
        </w:rPr>
        <w:t xml:space="preserve"> Adjusted </w:t>
      </w:r>
      <w:r w:rsidR="00AF06E5">
        <w:rPr>
          <w:rFonts w:ascii="Arial" w:hAnsi="Arial" w:cs="Arial"/>
          <w:b/>
          <w:i/>
        </w:rPr>
        <w:t xml:space="preserve">Operating </w:t>
      </w:r>
      <w:r w:rsidR="006657B4">
        <w:rPr>
          <w:rFonts w:ascii="Arial" w:hAnsi="Arial" w:cs="Arial"/>
          <w:b/>
          <w:i/>
        </w:rPr>
        <w:t xml:space="preserve">Profit </w:t>
      </w:r>
      <w:r w:rsidR="00AF06E5">
        <w:rPr>
          <w:rFonts w:ascii="Arial" w:hAnsi="Arial" w:cs="Arial"/>
          <w:b/>
          <w:i/>
        </w:rPr>
        <w:t>Increased More Than</w:t>
      </w:r>
      <w:r w:rsidR="00BD4473">
        <w:rPr>
          <w:rFonts w:ascii="Arial" w:hAnsi="Arial" w:cs="Arial"/>
          <w:b/>
          <w:i/>
        </w:rPr>
        <w:t xml:space="preserve"> 24%</w:t>
      </w:r>
    </w:p>
    <w:p w14:paraId="224F3F31" w14:textId="77777777" w:rsidR="00BD4473" w:rsidRPr="00BD4473" w:rsidRDefault="00BD4473" w:rsidP="00E068F2">
      <w:pPr>
        <w:pStyle w:val="ListParagraph"/>
        <w:numPr>
          <w:ilvl w:val="0"/>
          <w:numId w:val="1"/>
        </w:numPr>
        <w:ind w:left="540"/>
        <w:rPr>
          <w:rFonts w:ascii="Arial" w:hAnsi="Arial" w:cs="Arial"/>
          <w:b/>
          <w:i/>
        </w:rPr>
      </w:pPr>
      <w:r w:rsidRPr="00D352EF">
        <w:rPr>
          <w:rFonts w:ascii="Arial" w:hAnsi="Arial" w:cs="Arial"/>
          <w:b/>
          <w:i/>
        </w:rPr>
        <w:t>International</w:t>
      </w:r>
      <w:r w:rsidR="00610BF9">
        <w:rPr>
          <w:rFonts w:ascii="Arial" w:hAnsi="Arial" w:cs="Arial"/>
          <w:b/>
          <w:i/>
        </w:rPr>
        <w:t xml:space="preserve"> Operating Margin of 15.3</w:t>
      </w:r>
      <w:r w:rsidR="008A7EB7">
        <w:rPr>
          <w:rFonts w:ascii="Arial" w:hAnsi="Arial" w:cs="Arial"/>
          <w:b/>
          <w:i/>
        </w:rPr>
        <w:t>%;</w:t>
      </w:r>
      <w:r w:rsidR="006657B4">
        <w:rPr>
          <w:rFonts w:ascii="Arial" w:hAnsi="Arial" w:cs="Arial"/>
          <w:b/>
          <w:i/>
        </w:rPr>
        <w:t xml:space="preserve"> Adjusted Operating Margin </w:t>
      </w:r>
      <w:r w:rsidR="00610BF9">
        <w:rPr>
          <w:rFonts w:ascii="Arial" w:hAnsi="Arial" w:cs="Arial"/>
          <w:b/>
          <w:i/>
        </w:rPr>
        <w:t>of</w:t>
      </w:r>
      <w:r w:rsidR="00A7566C">
        <w:rPr>
          <w:rFonts w:ascii="Arial" w:hAnsi="Arial" w:cs="Arial"/>
          <w:b/>
          <w:i/>
        </w:rPr>
        <w:t xml:space="preserve"> 17.7% </w:t>
      </w:r>
    </w:p>
    <w:p w14:paraId="5537FBFD" w14:textId="77777777" w:rsidR="000D6B1E" w:rsidRDefault="00EE122A" w:rsidP="000D6B1E">
      <w:pPr>
        <w:pStyle w:val="ListParagraph"/>
        <w:numPr>
          <w:ilvl w:val="0"/>
          <w:numId w:val="1"/>
        </w:numPr>
        <w:ind w:left="540"/>
        <w:rPr>
          <w:rFonts w:ascii="Arial" w:hAnsi="Arial" w:cs="Arial"/>
          <w:b/>
          <w:i/>
        </w:rPr>
      </w:pPr>
      <w:r>
        <w:rPr>
          <w:rFonts w:ascii="Arial" w:hAnsi="Arial" w:cs="Arial"/>
          <w:b/>
          <w:i/>
        </w:rPr>
        <w:t xml:space="preserve">Cash from </w:t>
      </w:r>
      <w:r w:rsidR="00E147CE">
        <w:rPr>
          <w:rFonts w:ascii="Arial" w:hAnsi="Arial" w:cs="Arial"/>
          <w:b/>
          <w:i/>
        </w:rPr>
        <w:t xml:space="preserve">Operations of </w:t>
      </w:r>
      <w:r w:rsidR="00216582">
        <w:rPr>
          <w:rFonts w:ascii="Arial" w:hAnsi="Arial" w:cs="Arial"/>
          <w:b/>
          <w:i/>
        </w:rPr>
        <w:t>$2.3B</w:t>
      </w:r>
      <w:r>
        <w:rPr>
          <w:rFonts w:ascii="Arial" w:hAnsi="Arial" w:cs="Arial"/>
          <w:b/>
          <w:i/>
        </w:rPr>
        <w:t xml:space="preserve">; </w:t>
      </w:r>
      <w:r w:rsidRPr="00EE122A">
        <w:rPr>
          <w:rFonts w:ascii="Arial" w:hAnsi="Arial" w:cs="Arial"/>
          <w:b/>
          <w:i/>
        </w:rPr>
        <w:t xml:space="preserve">Free </w:t>
      </w:r>
      <w:r w:rsidR="00AE1CFE" w:rsidRPr="00EE122A">
        <w:rPr>
          <w:rFonts w:ascii="Arial" w:hAnsi="Arial" w:cs="Arial"/>
          <w:b/>
          <w:i/>
        </w:rPr>
        <w:t>Cash Flow</w:t>
      </w:r>
      <w:r w:rsidR="006657B4" w:rsidRPr="00EE122A">
        <w:rPr>
          <w:rFonts w:ascii="Arial" w:hAnsi="Arial" w:cs="Arial"/>
          <w:b/>
          <w:i/>
        </w:rPr>
        <w:t xml:space="preserve"> </w:t>
      </w:r>
      <w:r w:rsidR="00E147CE">
        <w:rPr>
          <w:rFonts w:ascii="Arial" w:hAnsi="Arial" w:cs="Arial"/>
          <w:b/>
          <w:i/>
        </w:rPr>
        <w:t>a</w:t>
      </w:r>
      <w:r w:rsidR="00755E5D">
        <w:rPr>
          <w:rFonts w:ascii="Arial" w:hAnsi="Arial" w:cs="Arial"/>
          <w:b/>
          <w:i/>
        </w:rPr>
        <w:t>bout $760</w:t>
      </w:r>
      <w:r w:rsidR="007301C7">
        <w:rPr>
          <w:rFonts w:ascii="Arial" w:hAnsi="Arial" w:cs="Arial"/>
          <w:b/>
          <w:i/>
        </w:rPr>
        <w:t>M</w:t>
      </w:r>
    </w:p>
    <w:p w14:paraId="5FCAF3CC" w14:textId="77777777" w:rsidR="000D6B1E" w:rsidRPr="00EF3E79" w:rsidRDefault="000009AD" w:rsidP="000D6B1E">
      <w:pPr>
        <w:pStyle w:val="ListParagraph"/>
        <w:numPr>
          <w:ilvl w:val="0"/>
          <w:numId w:val="1"/>
        </w:numPr>
        <w:ind w:left="540"/>
        <w:rPr>
          <w:rFonts w:ascii="Arial" w:hAnsi="Arial" w:cs="Arial"/>
          <w:b/>
          <w:i/>
        </w:rPr>
      </w:pPr>
      <w:r w:rsidRPr="00EF3E79">
        <w:rPr>
          <w:rFonts w:ascii="Arial" w:hAnsi="Arial" w:cs="Arial"/>
          <w:b/>
          <w:i/>
        </w:rPr>
        <w:t xml:space="preserve">UPS </w:t>
      </w:r>
      <w:r w:rsidR="00E46CFB">
        <w:rPr>
          <w:rFonts w:ascii="Arial" w:hAnsi="Arial" w:cs="Arial"/>
          <w:b/>
          <w:i/>
        </w:rPr>
        <w:t xml:space="preserve">reaffirms </w:t>
      </w:r>
      <w:r w:rsidR="00135D6B">
        <w:rPr>
          <w:rFonts w:ascii="Arial" w:hAnsi="Arial" w:cs="Arial"/>
          <w:b/>
          <w:i/>
        </w:rPr>
        <w:t>adjusted diluted EPS</w:t>
      </w:r>
      <w:r w:rsidR="00EF3E79">
        <w:rPr>
          <w:rFonts w:ascii="Arial" w:hAnsi="Arial" w:cs="Arial"/>
          <w:b/>
          <w:i/>
        </w:rPr>
        <w:t xml:space="preserve"> in the range of $7.45 to $7.75</w:t>
      </w:r>
    </w:p>
    <w:p w14:paraId="07F7BF9D" w14:textId="77777777" w:rsidR="0077335C" w:rsidRPr="000D6B1E" w:rsidRDefault="0077335C" w:rsidP="001279AB">
      <w:pPr>
        <w:pStyle w:val="ListParagraph"/>
        <w:ind w:left="540"/>
        <w:rPr>
          <w:rFonts w:ascii="Arial" w:hAnsi="Arial" w:cs="Arial"/>
          <w:szCs w:val="20"/>
        </w:rPr>
      </w:pPr>
    </w:p>
    <w:p w14:paraId="467EB018" w14:textId="77777777" w:rsidR="00B72213" w:rsidRPr="00405C9C" w:rsidRDefault="004F5DA4" w:rsidP="00405C9C">
      <w:pPr>
        <w:ind w:firstLine="720"/>
        <w:rPr>
          <w:rFonts w:ascii="Arial" w:hAnsi="Arial" w:cs="Arial"/>
          <w:sz w:val="22"/>
          <w:szCs w:val="22"/>
        </w:rPr>
      </w:pPr>
      <w:r w:rsidRPr="00D352EF">
        <w:rPr>
          <w:rFonts w:ascii="Arial" w:hAnsi="Arial" w:cs="Arial"/>
          <w:b/>
        </w:rPr>
        <w:t>A</w:t>
      </w:r>
      <w:r w:rsidR="006376D6" w:rsidRPr="00D352EF">
        <w:rPr>
          <w:rFonts w:ascii="Arial" w:hAnsi="Arial" w:cs="Arial"/>
          <w:b/>
        </w:rPr>
        <w:t xml:space="preserve">TLANTA </w:t>
      </w:r>
      <w:r w:rsidR="00456224" w:rsidRPr="00D352EF">
        <w:rPr>
          <w:rFonts w:ascii="Arial" w:hAnsi="Arial" w:cs="Arial"/>
          <w:b/>
        </w:rPr>
        <w:t>–</w:t>
      </w:r>
      <w:r w:rsidR="005855A9" w:rsidRPr="00D352EF">
        <w:rPr>
          <w:rFonts w:ascii="Arial" w:hAnsi="Arial" w:cs="Arial"/>
          <w:b/>
        </w:rPr>
        <w:t xml:space="preserve"> </w:t>
      </w:r>
      <w:r w:rsidR="000009AD">
        <w:rPr>
          <w:rFonts w:ascii="Arial" w:hAnsi="Arial" w:cs="Arial"/>
          <w:b/>
        </w:rPr>
        <w:t>April 25</w:t>
      </w:r>
      <w:r w:rsidR="005855A9" w:rsidRPr="00D352EF">
        <w:rPr>
          <w:rFonts w:ascii="Arial" w:hAnsi="Arial" w:cs="Arial"/>
          <w:b/>
        </w:rPr>
        <w:t>, 201</w:t>
      </w:r>
      <w:r w:rsidR="00B53A21" w:rsidRPr="00D352EF">
        <w:rPr>
          <w:rFonts w:ascii="Arial" w:hAnsi="Arial" w:cs="Arial"/>
          <w:b/>
        </w:rPr>
        <w:t>9</w:t>
      </w:r>
      <w:r w:rsidR="005855A9" w:rsidRPr="00D352EF">
        <w:rPr>
          <w:rFonts w:ascii="Arial" w:hAnsi="Arial" w:cs="Arial"/>
          <w:sz w:val="22"/>
        </w:rPr>
        <w:t xml:space="preserve"> – </w:t>
      </w:r>
      <w:r w:rsidR="005855A9" w:rsidRPr="006C44B7">
        <w:rPr>
          <w:rFonts w:ascii="Arial" w:hAnsi="Arial" w:cs="Arial"/>
          <w:sz w:val="22"/>
        </w:rPr>
        <w:t xml:space="preserve">UPS (NYSE:UPS) today </w:t>
      </w:r>
      <w:r w:rsidR="00B47330" w:rsidRPr="006C44B7">
        <w:rPr>
          <w:rFonts w:ascii="Arial" w:hAnsi="Arial" w:cs="Arial"/>
          <w:sz w:val="22"/>
        </w:rPr>
        <w:t xml:space="preserve">announced </w:t>
      </w:r>
      <w:r w:rsidR="000009AD" w:rsidRPr="006C44B7">
        <w:rPr>
          <w:rFonts w:ascii="Arial" w:hAnsi="Arial" w:cs="Arial"/>
          <w:sz w:val="22"/>
        </w:rPr>
        <w:t>first</w:t>
      </w:r>
      <w:r w:rsidR="00A93D14" w:rsidRPr="006C44B7">
        <w:rPr>
          <w:rFonts w:ascii="Arial" w:hAnsi="Arial" w:cs="Arial"/>
          <w:sz w:val="22"/>
        </w:rPr>
        <w:t>-</w:t>
      </w:r>
      <w:r w:rsidR="00C36109" w:rsidRPr="006C44B7">
        <w:rPr>
          <w:rFonts w:ascii="Arial" w:hAnsi="Arial" w:cs="Arial"/>
          <w:sz w:val="22"/>
        </w:rPr>
        <w:t>quarter</w:t>
      </w:r>
      <w:r w:rsidR="000C772F" w:rsidRPr="006C44B7">
        <w:rPr>
          <w:rFonts w:ascii="Arial" w:hAnsi="Arial" w:cs="Arial"/>
          <w:sz w:val="22"/>
        </w:rPr>
        <w:t xml:space="preserve"> </w:t>
      </w:r>
      <w:r w:rsidR="000009AD" w:rsidRPr="006C44B7">
        <w:rPr>
          <w:rFonts w:ascii="Arial" w:hAnsi="Arial" w:cs="Arial"/>
          <w:sz w:val="22"/>
        </w:rPr>
        <w:t>2019</w:t>
      </w:r>
      <w:r w:rsidR="0015541E" w:rsidRPr="006C44B7">
        <w:rPr>
          <w:rFonts w:ascii="Arial" w:hAnsi="Arial" w:cs="Arial"/>
          <w:sz w:val="22"/>
        </w:rPr>
        <w:t xml:space="preserve"> </w:t>
      </w:r>
      <w:r w:rsidR="0046796D">
        <w:rPr>
          <w:rFonts w:ascii="Arial" w:hAnsi="Arial" w:cs="Arial"/>
          <w:sz w:val="22"/>
        </w:rPr>
        <w:t xml:space="preserve">earnings </w:t>
      </w:r>
      <w:r w:rsidR="000D0706">
        <w:rPr>
          <w:rFonts w:ascii="Arial" w:hAnsi="Arial" w:cs="Arial"/>
          <w:sz w:val="22"/>
        </w:rPr>
        <w:t>strengthened by higher-</w:t>
      </w:r>
      <w:r w:rsidR="00367BDD">
        <w:rPr>
          <w:rFonts w:ascii="Arial" w:hAnsi="Arial" w:cs="Arial"/>
          <w:sz w:val="22"/>
        </w:rPr>
        <w:t xml:space="preserve">quality revenue and </w:t>
      </w:r>
      <w:r w:rsidR="00A91DEC">
        <w:rPr>
          <w:rFonts w:ascii="Arial" w:hAnsi="Arial" w:cs="Arial"/>
          <w:sz w:val="22"/>
        </w:rPr>
        <w:t>benefit</w:t>
      </w:r>
      <w:r w:rsidR="00CF6952">
        <w:rPr>
          <w:rFonts w:ascii="Arial" w:hAnsi="Arial" w:cs="Arial"/>
          <w:sz w:val="22"/>
        </w:rPr>
        <w:t>s from</w:t>
      </w:r>
      <w:r w:rsidR="00A91DEC">
        <w:rPr>
          <w:rFonts w:ascii="Arial" w:hAnsi="Arial" w:cs="Arial"/>
          <w:sz w:val="22"/>
        </w:rPr>
        <w:t xml:space="preserve"> </w:t>
      </w:r>
      <w:r w:rsidR="00367BDD">
        <w:rPr>
          <w:rFonts w:ascii="Arial" w:hAnsi="Arial" w:cs="Arial"/>
          <w:sz w:val="22"/>
        </w:rPr>
        <w:t xml:space="preserve">investments in </w:t>
      </w:r>
      <w:r w:rsidR="00CF6952">
        <w:rPr>
          <w:rFonts w:ascii="Arial" w:hAnsi="Arial" w:cs="Arial"/>
          <w:sz w:val="22"/>
        </w:rPr>
        <w:t>its</w:t>
      </w:r>
      <w:r w:rsidR="00367BDD">
        <w:rPr>
          <w:rFonts w:ascii="Arial" w:hAnsi="Arial" w:cs="Arial"/>
          <w:sz w:val="22"/>
        </w:rPr>
        <w:t xml:space="preserve"> global network. </w:t>
      </w:r>
      <w:r w:rsidR="00B72213">
        <w:rPr>
          <w:rFonts w:ascii="Arial" w:hAnsi="Arial" w:cs="Arial"/>
          <w:sz w:val="22"/>
        </w:rPr>
        <w:t>First</w:t>
      </w:r>
      <w:r w:rsidR="00B72213" w:rsidRPr="00F84BDD">
        <w:rPr>
          <w:rFonts w:ascii="Arial" w:hAnsi="Arial" w:cs="Arial"/>
          <w:sz w:val="22"/>
        </w:rPr>
        <w:t>-quarter adjusted results exclude a pre-tax charge of $</w:t>
      </w:r>
      <w:r w:rsidR="00B72213">
        <w:rPr>
          <w:rFonts w:ascii="Arial" w:hAnsi="Arial" w:cs="Arial"/>
          <w:sz w:val="22"/>
        </w:rPr>
        <w:t>123</w:t>
      </w:r>
      <w:r w:rsidR="00B72213" w:rsidRPr="00F84BDD">
        <w:rPr>
          <w:rFonts w:ascii="Arial" w:hAnsi="Arial" w:cs="Arial"/>
          <w:sz w:val="22"/>
        </w:rPr>
        <w:t xml:space="preserve"> million, or $0.</w:t>
      </w:r>
      <w:r w:rsidR="00B72213">
        <w:rPr>
          <w:rFonts w:ascii="Arial" w:hAnsi="Arial" w:cs="Arial"/>
          <w:sz w:val="22"/>
        </w:rPr>
        <w:t xml:space="preserve">11 </w:t>
      </w:r>
      <w:r w:rsidR="00B72213" w:rsidRPr="00F84BDD">
        <w:rPr>
          <w:rFonts w:ascii="Arial" w:hAnsi="Arial" w:cs="Arial"/>
          <w:sz w:val="22"/>
        </w:rPr>
        <w:t>per share after tax</w:t>
      </w:r>
      <w:r w:rsidR="00B72213">
        <w:rPr>
          <w:rFonts w:ascii="Arial" w:hAnsi="Arial" w:cs="Arial"/>
          <w:sz w:val="22"/>
        </w:rPr>
        <w:t>, due to T</w:t>
      </w:r>
      <w:r w:rsidR="00B72213" w:rsidRPr="00F84BDD">
        <w:rPr>
          <w:rFonts w:ascii="Arial" w:hAnsi="Arial" w:cs="Arial"/>
          <w:sz w:val="22"/>
        </w:rPr>
        <w:t xml:space="preserve">ransformation-related </w:t>
      </w:r>
      <w:r w:rsidR="00B72213">
        <w:rPr>
          <w:rFonts w:ascii="Arial" w:hAnsi="Arial" w:cs="Arial"/>
          <w:sz w:val="22"/>
        </w:rPr>
        <w:t>charges</w:t>
      </w:r>
      <w:r w:rsidR="00B72213" w:rsidRPr="00F84BDD">
        <w:rPr>
          <w:rFonts w:ascii="Arial" w:hAnsi="Arial" w:cs="Arial"/>
          <w:sz w:val="22"/>
        </w:rPr>
        <w:t>.  These projects</w:t>
      </w:r>
      <w:r w:rsidR="003A69AF">
        <w:rPr>
          <w:rFonts w:ascii="Arial" w:hAnsi="Arial" w:cs="Arial"/>
          <w:sz w:val="22"/>
        </w:rPr>
        <w:t xml:space="preserve"> </w:t>
      </w:r>
      <w:r w:rsidR="00473ED3">
        <w:rPr>
          <w:rFonts w:ascii="Arial" w:hAnsi="Arial" w:cs="Arial"/>
          <w:sz w:val="22"/>
        </w:rPr>
        <w:t xml:space="preserve">will </w:t>
      </w:r>
      <w:r w:rsidR="00B72213" w:rsidRPr="00F84BDD">
        <w:rPr>
          <w:rFonts w:ascii="Arial" w:hAnsi="Arial" w:cs="Arial"/>
          <w:sz w:val="22"/>
        </w:rPr>
        <w:t>create efficiencies across the enterprise</w:t>
      </w:r>
      <w:r w:rsidR="00B72213">
        <w:rPr>
          <w:rFonts w:ascii="Arial" w:hAnsi="Arial" w:cs="Arial"/>
          <w:sz w:val="22"/>
        </w:rPr>
        <w:t xml:space="preserve"> and </w:t>
      </w:r>
      <w:r w:rsidR="00B72213" w:rsidRPr="00F84BDD">
        <w:rPr>
          <w:rFonts w:ascii="Arial" w:hAnsi="Arial" w:cs="Arial"/>
          <w:sz w:val="22"/>
        </w:rPr>
        <w:t>produce higher-quality revenue growth</w:t>
      </w:r>
      <w:r w:rsidR="00B72213" w:rsidRPr="00405C9C">
        <w:rPr>
          <w:rFonts w:ascii="Arial" w:hAnsi="Arial" w:cs="Arial"/>
          <w:sz w:val="22"/>
          <w:szCs w:val="22"/>
        </w:rPr>
        <w:t xml:space="preserve">.     </w:t>
      </w:r>
    </w:p>
    <w:p w14:paraId="05365C31" w14:textId="77777777" w:rsidR="00AA6C14" w:rsidRPr="00405C9C" w:rsidRDefault="00AA6C14" w:rsidP="008C4DC8">
      <w:pPr>
        <w:rPr>
          <w:rFonts w:ascii="Arial" w:hAnsi="Arial" w:cs="Arial"/>
          <w:sz w:val="22"/>
          <w:szCs w:val="22"/>
        </w:rPr>
      </w:pPr>
    </w:p>
    <w:p w14:paraId="117B849E" w14:textId="77777777" w:rsidR="00AA6C14" w:rsidRPr="00405C9C" w:rsidRDefault="00AA6C14" w:rsidP="00AA6C14">
      <w:pPr>
        <w:ind w:firstLine="720"/>
        <w:rPr>
          <w:rFonts w:ascii="Arial" w:hAnsi="Arial" w:cs="Arial"/>
          <w:sz w:val="22"/>
          <w:szCs w:val="22"/>
        </w:rPr>
      </w:pPr>
      <w:r w:rsidRPr="00405C9C">
        <w:rPr>
          <w:rFonts w:ascii="Arial" w:hAnsi="Arial" w:cs="Arial"/>
          <w:sz w:val="22"/>
          <w:szCs w:val="22"/>
        </w:rPr>
        <w:t>“</w:t>
      </w:r>
      <w:r>
        <w:rPr>
          <w:rFonts w:ascii="Arial" w:hAnsi="Arial" w:cs="Arial"/>
          <w:sz w:val="22"/>
          <w:szCs w:val="22"/>
        </w:rPr>
        <w:t xml:space="preserve">The first quarter marked a good start to the year, as we executed against our strategy and generated solid performance across our business,” </w:t>
      </w:r>
      <w:r w:rsidRPr="00405C9C">
        <w:rPr>
          <w:rFonts w:ascii="Arial" w:hAnsi="Arial" w:cs="Arial"/>
          <w:sz w:val="22"/>
          <w:szCs w:val="22"/>
        </w:rPr>
        <w:t>said David Abney, UPS chairman and CEO. “Our Transformation initiatives are enhancing revenue quality and creating network efficiencies</w:t>
      </w:r>
      <w:r>
        <w:rPr>
          <w:rFonts w:ascii="Arial" w:hAnsi="Arial" w:cs="Arial"/>
          <w:sz w:val="22"/>
          <w:szCs w:val="22"/>
        </w:rPr>
        <w:t xml:space="preserve"> that will increase our long-term earnings power. We are on a </w:t>
      </w:r>
      <w:r w:rsidRPr="00405C9C">
        <w:rPr>
          <w:rFonts w:ascii="Arial" w:hAnsi="Arial" w:cs="Arial"/>
          <w:sz w:val="22"/>
          <w:szCs w:val="22"/>
        </w:rPr>
        <w:t>path to</w:t>
      </w:r>
      <w:r>
        <w:rPr>
          <w:rFonts w:ascii="Arial" w:hAnsi="Arial" w:cs="Arial"/>
          <w:sz w:val="22"/>
          <w:szCs w:val="22"/>
        </w:rPr>
        <w:t xml:space="preserve"> take advantage of growth opportunities and enhance our future performance</w:t>
      </w:r>
      <w:r w:rsidRPr="00405C9C">
        <w:rPr>
          <w:rFonts w:ascii="Arial" w:hAnsi="Arial" w:cs="Arial"/>
          <w:sz w:val="22"/>
          <w:szCs w:val="22"/>
        </w:rPr>
        <w:t>.”</w:t>
      </w:r>
    </w:p>
    <w:p w14:paraId="4A9B5972" w14:textId="77777777" w:rsidR="00BA4900" w:rsidRPr="00005E38" w:rsidRDefault="00BA4900" w:rsidP="000E624D">
      <w:pPr>
        <w:rPr>
          <w:rFonts w:ascii="Arial" w:hAnsi="Arial" w:cs="Arial"/>
          <w:sz w:val="22"/>
        </w:rPr>
      </w:pPr>
    </w:p>
    <w:tbl>
      <w:tblPr>
        <w:tblStyle w:val="TableGrid"/>
        <w:tblW w:w="7488"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1188"/>
        <w:gridCol w:w="1440"/>
        <w:gridCol w:w="1440"/>
      </w:tblGrid>
      <w:tr w:rsidR="0097181D" w:rsidRPr="00D352EF" w14:paraId="0F5B7F0E" w14:textId="77777777" w:rsidTr="0097181D">
        <w:tc>
          <w:tcPr>
            <w:tcW w:w="3420" w:type="dxa"/>
          </w:tcPr>
          <w:p w14:paraId="44C33F28" w14:textId="77777777" w:rsidR="0097181D" w:rsidRPr="00D352EF" w:rsidRDefault="0097181D" w:rsidP="005A5BC6">
            <w:pPr>
              <w:rPr>
                <w:rFonts w:ascii="Arial" w:hAnsi="Arial" w:cs="Arial"/>
                <w:b/>
                <w:sz w:val="20"/>
                <w:szCs w:val="22"/>
                <w:u w:val="single"/>
              </w:rPr>
            </w:pPr>
            <w:r w:rsidRPr="00D352EF">
              <w:rPr>
                <w:rFonts w:ascii="Arial" w:hAnsi="Arial" w:cs="Arial"/>
                <w:b/>
                <w:sz w:val="20"/>
                <w:szCs w:val="22"/>
                <w:u w:val="single"/>
              </w:rPr>
              <w:t>Consolidated</w:t>
            </w:r>
          </w:p>
          <w:p w14:paraId="115ACC15" w14:textId="77777777" w:rsidR="0097181D" w:rsidRPr="00D352EF" w:rsidRDefault="0097181D" w:rsidP="00723799">
            <w:pPr>
              <w:rPr>
                <w:rFonts w:ascii="Arial" w:hAnsi="Arial" w:cs="Arial"/>
                <w:b/>
                <w:sz w:val="20"/>
                <w:szCs w:val="22"/>
                <w:u w:val="single"/>
              </w:rPr>
            </w:pPr>
            <w:r w:rsidRPr="00D352EF">
              <w:rPr>
                <w:rFonts w:ascii="Arial" w:hAnsi="Arial" w:cs="Arial"/>
                <w:b/>
                <w:sz w:val="20"/>
                <w:szCs w:val="22"/>
                <w:u w:val="single"/>
              </w:rPr>
              <w:t>Results</w:t>
            </w:r>
          </w:p>
        </w:tc>
        <w:tc>
          <w:tcPr>
            <w:tcW w:w="1188" w:type="dxa"/>
          </w:tcPr>
          <w:p w14:paraId="63540058" w14:textId="77777777" w:rsidR="0097181D" w:rsidRPr="00D352EF" w:rsidRDefault="0097181D" w:rsidP="005A5BC6">
            <w:pPr>
              <w:jc w:val="right"/>
              <w:rPr>
                <w:rFonts w:ascii="Arial" w:hAnsi="Arial" w:cs="Arial"/>
                <w:b/>
                <w:sz w:val="20"/>
                <w:szCs w:val="22"/>
                <w:u w:val="single"/>
              </w:rPr>
            </w:pPr>
          </w:p>
          <w:p w14:paraId="289E0B15" w14:textId="77777777" w:rsidR="0097181D" w:rsidRPr="00D352EF" w:rsidRDefault="0097181D">
            <w:pPr>
              <w:jc w:val="right"/>
              <w:rPr>
                <w:rFonts w:ascii="Arial" w:hAnsi="Arial" w:cs="Arial"/>
                <w:b/>
                <w:sz w:val="20"/>
                <w:szCs w:val="22"/>
                <w:u w:val="single"/>
              </w:rPr>
            </w:pPr>
            <w:r>
              <w:rPr>
                <w:rFonts w:ascii="Arial" w:hAnsi="Arial" w:cs="Arial"/>
                <w:b/>
                <w:sz w:val="20"/>
                <w:szCs w:val="22"/>
                <w:u w:val="single"/>
              </w:rPr>
              <w:t>1</w:t>
            </w:r>
            <w:r w:rsidRPr="00D352EF">
              <w:rPr>
                <w:rFonts w:ascii="Arial" w:hAnsi="Arial" w:cs="Arial"/>
                <w:b/>
                <w:sz w:val="20"/>
                <w:szCs w:val="22"/>
                <w:u w:val="single"/>
              </w:rPr>
              <w:t>Q 2</w:t>
            </w:r>
            <w:r>
              <w:rPr>
                <w:rFonts w:ascii="Arial" w:hAnsi="Arial" w:cs="Arial"/>
                <w:b/>
                <w:sz w:val="20"/>
                <w:szCs w:val="22"/>
                <w:u w:val="single"/>
              </w:rPr>
              <w:t>019*</w:t>
            </w:r>
          </w:p>
        </w:tc>
        <w:tc>
          <w:tcPr>
            <w:tcW w:w="1440" w:type="dxa"/>
          </w:tcPr>
          <w:p w14:paraId="521BF9AC" w14:textId="77777777" w:rsidR="0097181D" w:rsidRPr="00D352EF" w:rsidRDefault="0097181D" w:rsidP="005A5BC6">
            <w:pPr>
              <w:jc w:val="right"/>
              <w:rPr>
                <w:rFonts w:ascii="Arial" w:hAnsi="Arial" w:cs="Arial"/>
                <w:b/>
                <w:sz w:val="20"/>
                <w:szCs w:val="22"/>
                <w:u w:val="single"/>
              </w:rPr>
            </w:pPr>
            <w:r w:rsidRPr="00D352EF">
              <w:rPr>
                <w:rFonts w:ascii="Arial" w:hAnsi="Arial" w:cs="Arial"/>
                <w:b/>
                <w:sz w:val="20"/>
                <w:szCs w:val="22"/>
                <w:u w:val="single"/>
              </w:rPr>
              <w:t>Adjusted</w:t>
            </w:r>
          </w:p>
          <w:p w14:paraId="16461B8C" w14:textId="77777777" w:rsidR="0097181D" w:rsidRPr="00D352EF" w:rsidRDefault="0097181D">
            <w:pPr>
              <w:jc w:val="right"/>
              <w:rPr>
                <w:rFonts w:ascii="Arial" w:hAnsi="Arial" w:cs="Arial"/>
                <w:b/>
                <w:sz w:val="20"/>
                <w:szCs w:val="22"/>
                <w:u w:val="single"/>
              </w:rPr>
            </w:pPr>
            <w:r>
              <w:rPr>
                <w:rFonts w:ascii="Arial" w:hAnsi="Arial" w:cs="Arial"/>
                <w:b/>
                <w:sz w:val="20"/>
                <w:szCs w:val="22"/>
                <w:u w:val="single"/>
              </w:rPr>
              <w:t>1</w:t>
            </w:r>
            <w:r w:rsidRPr="00D352EF">
              <w:rPr>
                <w:rFonts w:ascii="Arial" w:hAnsi="Arial" w:cs="Arial"/>
                <w:b/>
                <w:sz w:val="20"/>
                <w:szCs w:val="22"/>
                <w:u w:val="single"/>
              </w:rPr>
              <w:t xml:space="preserve">Q </w:t>
            </w:r>
            <w:r>
              <w:rPr>
                <w:rFonts w:ascii="Arial" w:hAnsi="Arial" w:cs="Arial"/>
                <w:b/>
                <w:sz w:val="20"/>
                <w:szCs w:val="22"/>
                <w:u w:val="single"/>
              </w:rPr>
              <w:t>2019*</w:t>
            </w:r>
          </w:p>
        </w:tc>
        <w:tc>
          <w:tcPr>
            <w:tcW w:w="1440" w:type="dxa"/>
          </w:tcPr>
          <w:p w14:paraId="1A9B7818" w14:textId="77777777" w:rsidR="0097181D" w:rsidRPr="00D352EF" w:rsidRDefault="0097181D" w:rsidP="005A5BC6">
            <w:pPr>
              <w:jc w:val="right"/>
              <w:rPr>
                <w:rFonts w:ascii="Arial" w:hAnsi="Arial" w:cs="Arial"/>
                <w:b/>
                <w:sz w:val="20"/>
                <w:szCs w:val="22"/>
                <w:u w:val="single"/>
              </w:rPr>
            </w:pPr>
          </w:p>
          <w:p w14:paraId="595AE6F7" w14:textId="77777777" w:rsidR="0097181D" w:rsidRPr="00D352EF" w:rsidRDefault="0097181D">
            <w:pPr>
              <w:jc w:val="right"/>
              <w:rPr>
                <w:rFonts w:ascii="Arial" w:hAnsi="Arial" w:cs="Arial"/>
                <w:b/>
                <w:sz w:val="20"/>
                <w:szCs w:val="22"/>
                <w:u w:val="single"/>
              </w:rPr>
            </w:pPr>
            <w:r>
              <w:rPr>
                <w:rFonts w:ascii="Arial" w:hAnsi="Arial" w:cs="Arial"/>
                <w:b/>
                <w:sz w:val="20"/>
                <w:szCs w:val="22"/>
                <w:u w:val="single"/>
              </w:rPr>
              <w:t>1</w:t>
            </w:r>
            <w:r w:rsidRPr="00D352EF">
              <w:rPr>
                <w:rFonts w:ascii="Arial" w:hAnsi="Arial" w:cs="Arial"/>
                <w:b/>
                <w:sz w:val="20"/>
                <w:szCs w:val="22"/>
                <w:u w:val="single"/>
              </w:rPr>
              <w:t xml:space="preserve">Q </w:t>
            </w:r>
            <w:r>
              <w:rPr>
                <w:rFonts w:ascii="Arial" w:hAnsi="Arial" w:cs="Arial"/>
                <w:b/>
                <w:sz w:val="20"/>
                <w:szCs w:val="22"/>
                <w:u w:val="single"/>
              </w:rPr>
              <w:t>2018</w:t>
            </w:r>
          </w:p>
        </w:tc>
      </w:tr>
      <w:tr w:rsidR="0097181D" w:rsidRPr="00D352EF" w14:paraId="6F15B6D7" w14:textId="77777777" w:rsidTr="0097181D">
        <w:tc>
          <w:tcPr>
            <w:tcW w:w="3420" w:type="dxa"/>
          </w:tcPr>
          <w:p w14:paraId="4425F016" w14:textId="77777777" w:rsidR="0097181D" w:rsidRPr="00D352EF" w:rsidRDefault="0097181D" w:rsidP="005A5BC6">
            <w:pPr>
              <w:rPr>
                <w:rFonts w:ascii="Arial" w:hAnsi="Arial" w:cs="Arial"/>
                <w:sz w:val="20"/>
                <w:szCs w:val="22"/>
              </w:rPr>
            </w:pPr>
            <w:r w:rsidRPr="00D352EF">
              <w:rPr>
                <w:rFonts w:ascii="Arial" w:hAnsi="Arial" w:cs="Arial"/>
                <w:sz w:val="20"/>
                <w:szCs w:val="22"/>
              </w:rPr>
              <w:t>Revenue</w:t>
            </w:r>
          </w:p>
        </w:tc>
        <w:tc>
          <w:tcPr>
            <w:tcW w:w="1188" w:type="dxa"/>
          </w:tcPr>
          <w:p w14:paraId="7E785813" w14:textId="77777777" w:rsidR="0097181D" w:rsidRPr="00D352EF" w:rsidRDefault="0097181D">
            <w:pPr>
              <w:jc w:val="right"/>
              <w:rPr>
                <w:rFonts w:ascii="Arial" w:hAnsi="Arial" w:cs="Arial"/>
                <w:sz w:val="20"/>
                <w:szCs w:val="22"/>
              </w:rPr>
            </w:pPr>
            <w:r>
              <w:rPr>
                <w:rFonts w:ascii="Arial" w:hAnsi="Arial" w:cs="Arial"/>
                <w:sz w:val="20"/>
                <w:szCs w:val="22"/>
              </w:rPr>
              <w:t>$17,160 M</w:t>
            </w:r>
          </w:p>
        </w:tc>
        <w:tc>
          <w:tcPr>
            <w:tcW w:w="1440" w:type="dxa"/>
          </w:tcPr>
          <w:p w14:paraId="69D7DA2B" w14:textId="77777777" w:rsidR="0097181D" w:rsidRPr="00D352EF" w:rsidRDefault="0097181D" w:rsidP="005A5BC6">
            <w:pPr>
              <w:jc w:val="right"/>
              <w:rPr>
                <w:rFonts w:ascii="Arial" w:hAnsi="Arial" w:cs="Arial"/>
                <w:sz w:val="20"/>
                <w:szCs w:val="22"/>
              </w:rPr>
            </w:pPr>
          </w:p>
        </w:tc>
        <w:tc>
          <w:tcPr>
            <w:tcW w:w="1440" w:type="dxa"/>
          </w:tcPr>
          <w:p w14:paraId="18D99AD6" w14:textId="77777777" w:rsidR="0097181D" w:rsidRPr="00D352EF" w:rsidRDefault="0097181D">
            <w:pPr>
              <w:jc w:val="right"/>
              <w:rPr>
                <w:rFonts w:ascii="Arial" w:hAnsi="Arial" w:cs="Arial"/>
                <w:sz w:val="20"/>
                <w:szCs w:val="22"/>
              </w:rPr>
            </w:pPr>
            <w:r>
              <w:rPr>
                <w:rFonts w:ascii="Arial" w:hAnsi="Arial" w:cs="Arial"/>
                <w:sz w:val="20"/>
                <w:szCs w:val="22"/>
              </w:rPr>
              <w:t>$17,113 M</w:t>
            </w:r>
          </w:p>
        </w:tc>
      </w:tr>
      <w:tr w:rsidR="0097181D" w:rsidRPr="00D352EF" w14:paraId="0060B586" w14:textId="77777777" w:rsidTr="0097181D">
        <w:tc>
          <w:tcPr>
            <w:tcW w:w="3420" w:type="dxa"/>
          </w:tcPr>
          <w:p w14:paraId="2F1451AA" w14:textId="77777777" w:rsidR="0097181D" w:rsidRPr="00D352EF" w:rsidRDefault="0097181D" w:rsidP="00382368">
            <w:pPr>
              <w:rPr>
                <w:rFonts w:ascii="Arial" w:hAnsi="Arial" w:cs="Arial"/>
                <w:sz w:val="20"/>
                <w:szCs w:val="22"/>
              </w:rPr>
            </w:pPr>
            <w:r w:rsidRPr="00D352EF">
              <w:rPr>
                <w:rFonts w:ascii="Arial" w:hAnsi="Arial" w:cs="Arial"/>
                <w:sz w:val="20"/>
                <w:szCs w:val="22"/>
              </w:rPr>
              <w:t xml:space="preserve">Net Income </w:t>
            </w:r>
          </w:p>
        </w:tc>
        <w:tc>
          <w:tcPr>
            <w:tcW w:w="1188" w:type="dxa"/>
          </w:tcPr>
          <w:p w14:paraId="398DAE77" w14:textId="77777777" w:rsidR="0097181D" w:rsidRPr="00D352EF" w:rsidRDefault="0097181D" w:rsidP="007527B7">
            <w:pPr>
              <w:jc w:val="right"/>
              <w:rPr>
                <w:rFonts w:ascii="Arial" w:hAnsi="Arial" w:cs="Arial"/>
                <w:sz w:val="20"/>
                <w:szCs w:val="22"/>
              </w:rPr>
            </w:pPr>
            <w:r>
              <w:rPr>
                <w:rFonts w:ascii="Arial" w:hAnsi="Arial" w:cs="Arial"/>
                <w:sz w:val="20"/>
                <w:szCs w:val="22"/>
              </w:rPr>
              <w:t>$1,111 M</w:t>
            </w:r>
          </w:p>
        </w:tc>
        <w:tc>
          <w:tcPr>
            <w:tcW w:w="1440" w:type="dxa"/>
          </w:tcPr>
          <w:p w14:paraId="0B6ADE8E" w14:textId="77777777" w:rsidR="0097181D" w:rsidRPr="00D352EF" w:rsidRDefault="0097181D" w:rsidP="00723799">
            <w:pPr>
              <w:jc w:val="right"/>
              <w:rPr>
                <w:rFonts w:ascii="Arial" w:hAnsi="Arial" w:cs="Arial"/>
                <w:sz w:val="20"/>
                <w:szCs w:val="22"/>
              </w:rPr>
            </w:pPr>
            <w:r>
              <w:rPr>
                <w:rFonts w:ascii="Arial" w:hAnsi="Arial" w:cs="Arial"/>
                <w:sz w:val="20"/>
                <w:szCs w:val="22"/>
              </w:rPr>
              <w:t>$1,204 M</w:t>
            </w:r>
          </w:p>
        </w:tc>
        <w:tc>
          <w:tcPr>
            <w:tcW w:w="1440" w:type="dxa"/>
          </w:tcPr>
          <w:p w14:paraId="1DE8A077" w14:textId="77777777" w:rsidR="0097181D" w:rsidRPr="00D352EF" w:rsidRDefault="0097181D" w:rsidP="007527B7">
            <w:pPr>
              <w:jc w:val="right"/>
              <w:rPr>
                <w:rFonts w:ascii="Arial" w:hAnsi="Arial" w:cs="Arial"/>
                <w:sz w:val="20"/>
                <w:szCs w:val="22"/>
              </w:rPr>
            </w:pPr>
            <w:r>
              <w:rPr>
                <w:rFonts w:ascii="Arial" w:hAnsi="Arial" w:cs="Arial"/>
                <w:sz w:val="20"/>
                <w:szCs w:val="22"/>
              </w:rPr>
              <w:t>$1,345 M</w:t>
            </w:r>
          </w:p>
        </w:tc>
      </w:tr>
      <w:tr w:rsidR="0097181D" w:rsidRPr="00D352EF" w14:paraId="484F921B" w14:textId="77777777" w:rsidTr="0097181D">
        <w:tc>
          <w:tcPr>
            <w:tcW w:w="3420" w:type="dxa"/>
          </w:tcPr>
          <w:p w14:paraId="19208350" w14:textId="77777777" w:rsidR="0097181D" w:rsidRPr="00D352EF" w:rsidRDefault="0097181D" w:rsidP="0004424A">
            <w:pPr>
              <w:rPr>
                <w:rFonts w:ascii="Arial" w:hAnsi="Arial" w:cs="Arial"/>
                <w:sz w:val="20"/>
                <w:szCs w:val="22"/>
              </w:rPr>
            </w:pPr>
            <w:r w:rsidRPr="00D352EF">
              <w:rPr>
                <w:rFonts w:ascii="Arial" w:hAnsi="Arial" w:cs="Arial"/>
                <w:sz w:val="20"/>
                <w:szCs w:val="22"/>
              </w:rPr>
              <w:t>Diluted Earnings Per Share</w:t>
            </w:r>
          </w:p>
        </w:tc>
        <w:tc>
          <w:tcPr>
            <w:tcW w:w="1188" w:type="dxa"/>
          </w:tcPr>
          <w:p w14:paraId="0F5A5F4C" w14:textId="77777777" w:rsidR="0097181D" w:rsidRPr="00D352EF" w:rsidRDefault="0097181D" w:rsidP="00BD7BA9">
            <w:pPr>
              <w:jc w:val="right"/>
              <w:rPr>
                <w:rFonts w:ascii="Arial" w:hAnsi="Arial" w:cs="Arial"/>
                <w:sz w:val="20"/>
                <w:szCs w:val="22"/>
              </w:rPr>
            </w:pPr>
            <w:r>
              <w:rPr>
                <w:rFonts w:ascii="Arial" w:hAnsi="Arial" w:cs="Arial"/>
                <w:sz w:val="20"/>
                <w:szCs w:val="22"/>
              </w:rPr>
              <w:t>$1.28</w:t>
            </w:r>
          </w:p>
        </w:tc>
        <w:tc>
          <w:tcPr>
            <w:tcW w:w="1440" w:type="dxa"/>
          </w:tcPr>
          <w:p w14:paraId="1906902E" w14:textId="77777777" w:rsidR="0097181D" w:rsidRPr="00D352EF" w:rsidRDefault="0097181D">
            <w:pPr>
              <w:jc w:val="right"/>
              <w:rPr>
                <w:rFonts w:ascii="Arial" w:hAnsi="Arial" w:cs="Arial"/>
                <w:sz w:val="20"/>
                <w:szCs w:val="22"/>
              </w:rPr>
            </w:pPr>
            <w:r>
              <w:rPr>
                <w:rFonts w:ascii="Arial" w:hAnsi="Arial" w:cs="Arial"/>
                <w:sz w:val="20"/>
                <w:szCs w:val="22"/>
              </w:rPr>
              <w:t>$1.39</w:t>
            </w:r>
          </w:p>
        </w:tc>
        <w:tc>
          <w:tcPr>
            <w:tcW w:w="1440" w:type="dxa"/>
          </w:tcPr>
          <w:p w14:paraId="2BD5E8C5" w14:textId="77777777" w:rsidR="0097181D" w:rsidRPr="00D352EF" w:rsidRDefault="0097181D" w:rsidP="00BD7BA9">
            <w:pPr>
              <w:jc w:val="right"/>
              <w:rPr>
                <w:rFonts w:ascii="Arial" w:hAnsi="Arial" w:cs="Arial"/>
                <w:sz w:val="20"/>
                <w:szCs w:val="22"/>
              </w:rPr>
            </w:pPr>
            <w:r>
              <w:rPr>
                <w:rFonts w:ascii="Arial" w:hAnsi="Arial" w:cs="Arial"/>
                <w:sz w:val="20"/>
                <w:szCs w:val="22"/>
              </w:rPr>
              <w:t>$1.55</w:t>
            </w:r>
          </w:p>
        </w:tc>
      </w:tr>
      <w:tr w:rsidR="0097181D" w:rsidRPr="00AF2273" w14:paraId="27524D78" w14:textId="77777777" w:rsidTr="0097181D">
        <w:tc>
          <w:tcPr>
            <w:tcW w:w="3420" w:type="dxa"/>
          </w:tcPr>
          <w:p w14:paraId="2FA4FF3C" w14:textId="77777777" w:rsidR="0097181D" w:rsidRPr="00AF2273" w:rsidRDefault="0097181D" w:rsidP="0004424A">
            <w:pPr>
              <w:rPr>
                <w:rFonts w:ascii="Arial" w:hAnsi="Arial" w:cs="Arial"/>
                <w:sz w:val="14"/>
                <w:szCs w:val="14"/>
              </w:rPr>
            </w:pPr>
          </w:p>
        </w:tc>
        <w:tc>
          <w:tcPr>
            <w:tcW w:w="4068" w:type="dxa"/>
            <w:gridSpan w:val="3"/>
          </w:tcPr>
          <w:p w14:paraId="67E06A13" w14:textId="77777777" w:rsidR="0097181D" w:rsidRPr="00AF2273" w:rsidRDefault="0097181D" w:rsidP="00971CED">
            <w:pPr>
              <w:rPr>
                <w:rFonts w:ascii="Arial" w:hAnsi="Arial" w:cs="Arial"/>
                <w:sz w:val="14"/>
                <w:szCs w:val="14"/>
              </w:rPr>
            </w:pPr>
          </w:p>
        </w:tc>
      </w:tr>
      <w:tr w:rsidR="0097181D" w:rsidRPr="00AF2273" w14:paraId="74F61639" w14:textId="77777777" w:rsidTr="0097181D">
        <w:tc>
          <w:tcPr>
            <w:tcW w:w="3420" w:type="dxa"/>
          </w:tcPr>
          <w:p w14:paraId="1B72C405" w14:textId="77777777" w:rsidR="0097181D" w:rsidRPr="00AF2273" w:rsidRDefault="0097181D" w:rsidP="00E348C9">
            <w:pPr>
              <w:rPr>
                <w:rFonts w:ascii="Arial" w:hAnsi="Arial" w:cs="Arial"/>
                <w:sz w:val="14"/>
                <w:szCs w:val="14"/>
              </w:rPr>
            </w:pPr>
            <w:r w:rsidRPr="00AF2273">
              <w:rPr>
                <w:rFonts w:ascii="Arial" w:hAnsi="Arial" w:cs="Arial"/>
                <w:sz w:val="14"/>
                <w:szCs w:val="14"/>
              </w:rPr>
              <w:t>*</w:t>
            </w:r>
            <w:r w:rsidR="00E348C9">
              <w:rPr>
                <w:rFonts w:ascii="Arial" w:hAnsi="Arial" w:cs="Arial"/>
                <w:sz w:val="14"/>
                <w:szCs w:val="14"/>
              </w:rPr>
              <w:t>2019 reflects</w:t>
            </w:r>
            <w:r w:rsidRPr="00AF2273">
              <w:rPr>
                <w:rFonts w:ascii="Arial" w:hAnsi="Arial" w:cs="Arial"/>
                <w:sz w:val="14"/>
                <w:szCs w:val="14"/>
              </w:rPr>
              <w:t xml:space="preserve"> one less operating day</w:t>
            </w:r>
          </w:p>
        </w:tc>
        <w:tc>
          <w:tcPr>
            <w:tcW w:w="4068" w:type="dxa"/>
            <w:gridSpan w:val="3"/>
          </w:tcPr>
          <w:p w14:paraId="1CD6BBFA" w14:textId="77777777" w:rsidR="0097181D" w:rsidRPr="00AF2273" w:rsidRDefault="0097181D" w:rsidP="00971CED">
            <w:pPr>
              <w:rPr>
                <w:rFonts w:ascii="Arial" w:hAnsi="Arial" w:cs="Arial"/>
                <w:sz w:val="14"/>
                <w:szCs w:val="14"/>
              </w:rPr>
            </w:pPr>
          </w:p>
        </w:tc>
      </w:tr>
    </w:tbl>
    <w:p w14:paraId="1FBF6F96" w14:textId="77777777" w:rsidR="00B53E29" w:rsidRDefault="00B53E29" w:rsidP="00B53E29">
      <w:pPr>
        <w:rPr>
          <w:rFonts w:ascii="Arial" w:hAnsi="Arial" w:cs="Arial"/>
          <w:sz w:val="22"/>
        </w:rPr>
      </w:pPr>
    </w:p>
    <w:p w14:paraId="0E28901B" w14:textId="77777777" w:rsidR="00B53E29" w:rsidRPr="00D352EF" w:rsidRDefault="000E02CF" w:rsidP="00B53E29">
      <w:pPr>
        <w:rPr>
          <w:rFonts w:ascii="Arial" w:hAnsi="Arial" w:cs="Arial"/>
          <w:sz w:val="22"/>
        </w:rPr>
      </w:pPr>
      <w:r w:rsidRPr="00D352EF">
        <w:rPr>
          <w:rFonts w:ascii="Arial" w:hAnsi="Arial" w:cs="Arial"/>
          <w:sz w:val="22"/>
        </w:rPr>
        <w:t xml:space="preserve">For the total company in </w:t>
      </w:r>
      <w:r w:rsidR="000009AD">
        <w:rPr>
          <w:rFonts w:ascii="Arial" w:hAnsi="Arial" w:cs="Arial"/>
          <w:sz w:val="22"/>
        </w:rPr>
        <w:t>1</w:t>
      </w:r>
      <w:r w:rsidRPr="00D352EF">
        <w:rPr>
          <w:rFonts w:ascii="Arial" w:hAnsi="Arial" w:cs="Arial"/>
          <w:sz w:val="22"/>
        </w:rPr>
        <w:t xml:space="preserve">Q </w:t>
      </w:r>
      <w:r w:rsidR="000009AD">
        <w:rPr>
          <w:rFonts w:ascii="Arial" w:hAnsi="Arial" w:cs="Arial"/>
          <w:sz w:val="22"/>
        </w:rPr>
        <w:t>2019</w:t>
      </w:r>
      <w:r w:rsidRPr="00D352EF">
        <w:rPr>
          <w:rFonts w:ascii="Arial" w:hAnsi="Arial" w:cs="Arial"/>
          <w:sz w:val="22"/>
        </w:rPr>
        <w:t>:</w:t>
      </w:r>
    </w:p>
    <w:p w14:paraId="452D21A4" w14:textId="77777777" w:rsidR="00752B12" w:rsidRDefault="00EE0794" w:rsidP="00B53E29">
      <w:pPr>
        <w:pStyle w:val="ListParagraph"/>
        <w:numPr>
          <w:ilvl w:val="0"/>
          <w:numId w:val="2"/>
        </w:numPr>
        <w:rPr>
          <w:rFonts w:ascii="Arial" w:hAnsi="Arial" w:cs="Arial"/>
          <w:sz w:val="22"/>
        </w:rPr>
      </w:pPr>
      <w:r>
        <w:rPr>
          <w:rFonts w:ascii="Arial" w:hAnsi="Arial" w:cs="Arial"/>
          <w:sz w:val="22"/>
        </w:rPr>
        <w:t>C</w:t>
      </w:r>
      <w:r w:rsidR="0001152C">
        <w:rPr>
          <w:rFonts w:ascii="Arial" w:hAnsi="Arial" w:cs="Arial"/>
          <w:sz w:val="22"/>
        </w:rPr>
        <w:t xml:space="preserve">onsolidated </w:t>
      </w:r>
      <w:r>
        <w:rPr>
          <w:rFonts w:ascii="Arial" w:hAnsi="Arial" w:cs="Arial"/>
          <w:sz w:val="22"/>
        </w:rPr>
        <w:t>revenue increased</w:t>
      </w:r>
      <w:r w:rsidR="00EA1FCE">
        <w:rPr>
          <w:rFonts w:ascii="Arial" w:hAnsi="Arial" w:cs="Arial"/>
          <w:sz w:val="22"/>
        </w:rPr>
        <w:t xml:space="preserve"> </w:t>
      </w:r>
      <w:r w:rsidR="0001152C">
        <w:rPr>
          <w:rFonts w:ascii="Arial" w:hAnsi="Arial" w:cs="Arial"/>
          <w:sz w:val="22"/>
        </w:rPr>
        <w:t>to $17.2 billion</w:t>
      </w:r>
      <w:r w:rsidR="000D0706">
        <w:rPr>
          <w:rFonts w:ascii="Arial" w:hAnsi="Arial" w:cs="Arial"/>
          <w:sz w:val="22"/>
        </w:rPr>
        <w:t>,</w:t>
      </w:r>
      <w:r w:rsidR="00752B12">
        <w:rPr>
          <w:rFonts w:ascii="Arial" w:hAnsi="Arial" w:cs="Arial"/>
          <w:sz w:val="22"/>
        </w:rPr>
        <w:t xml:space="preserve"> driven by gains in </w:t>
      </w:r>
      <w:r w:rsidR="00D7635E">
        <w:rPr>
          <w:rFonts w:ascii="Arial" w:hAnsi="Arial" w:cs="Arial"/>
          <w:sz w:val="22"/>
        </w:rPr>
        <w:t>averag</w:t>
      </w:r>
      <w:r w:rsidR="000D0706">
        <w:rPr>
          <w:rFonts w:ascii="Arial" w:hAnsi="Arial" w:cs="Arial"/>
          <w:sz w:val="22"/>
        </w:rPr>
        <w:t xml:space="preserve">e daily volume and </w:t>
      </w:r>
      <w:r w:rsidR="00E47434">
        <w:rPr>
          <w:rFonts w:ascii="Arial" w:hAnsi="Arial" w:cs="Arial"/>
          <w:sz w:val="22"/>
        </w:rPr>
        <w:t>higher-</w:t>
      </w:r>
      <w:r w:rsidR="00A91DEC">
        <w:rPr>
          <w:rFonts w:ascii="Arial" w:hAnsi="Arial" w:cs="Arial"/>
          <w:sz w:val="22"/>
        </w:rPr>
        <w:t xml:space="preserve">quality </w:t>
      </w:r>
      <w:r w:rsidR="000D0706">
        <w:rPr>
          <w:rFonts w:ascii="Arial" w:hAnsi="Arial" w:cs="Arial"/>
          <w:sz w:val="22"/>
        </w:rPr>
        <w:t>revenue</w:t>
      </w:r>
      <w:r w:rsidR="00D7635E">
        <w:rPr>
          <w:rFonts w:ascii="Arial" w:hAnsi="Arial" w:cs="Arial"/>
          <w:sz w:val="22"/>
        </w:rPr>
        <w:t>.</w:t>
      </w:r>
    </w:p>
    <w:p w14:paraId="6F707581" w14:textId="77777777" w:rsidR="00B73348" w:rsidRDefault="007B7C85" w:rsidP="007B7C85">
      <w:pPr>
        <w:pStyle w:val="CommentText"/>
        <w:numPr>
          <w:ilvl w:val="0"/>
          <w:numId w:val="2"/>
        </w:numPr>
        <w:rPr>
          <w:rFonts w:ascii="Arial" w:hAnsi="Arial" w:cs="Arial"/>
          <w:sz w:val="22"/>
          <w:szCs w:val="22"/>
        </w:rPr>
      </w:pPr>
      <w:r w:rsidRPr="00ED24FD">
        <w:rPr>
          <w:rFonts w:ascii="Arial" w:hAnsi="Arial" w:cs="Arial"/>
          <w:sz w:val="22"/>
          <w:szCs w:val="22"/>
        </w:rPr>
        <w:t>Results reflect the impact of</w:t>
      </w:r>
      <w:r>
        <w:rPr>
          <w:rFonts w:ascii="Arial" w:hAnsi="Arial" w:cs="Arial"/>
          <w:sz w:val="22"/>
          <w:szCs w:val="22"/>
        </w:rPr>
        <w:t xml:space="preserve"> severe</w:t>
      </w:r>
      <w:r w:rsidRPr="00ED24FD">
        <w:rPr>
          <w:rFonts w:ascii="Arial" w:hAnsi="Arial" w:cs="Arial"/>
          <w:sz w:val="22"/>
          <w:szCs w:val="22"/>
        </w:rPr>
        <w:t xml:space="preserve"> winter weather in the U.S.  </w:t>
      </w:r>
    </w:p>
    <w:p w14:paraId="4858C967" w14:textId="77777777" w:rsidR="007B7C85" w:rsidRPr="00ED24FD" w:rsidRDefault="007B7C85" w:rsidP="007B7C85">
      <w:pPr>
        <w:pStyle w:val="CommentText"/>
        <w:numPr>
          <w:ilvl w:val="0"/>
          <w:numId w:val="2"/>
        </w:numPr>
        <w:rPr>
          <w:rFonts w:ascii="Arial" w:hAnsi="Arial" w:cs="Arial"/>
          <w:sz w:val="22"/>
          <w:szCs w:val="22"/>
        </w:rPr>
      </w:pPr>
      <w:r w:rsidRPr="00ED24FD">
        <w:rPr>
          <w:rFonts w:ascii="Arial" w:hAnsi="Arial" w:cs="Arial"/>
          <w:sz w:val="22"/>
          <w:szCs w:val="22"/>
        </w:rPr>
        <w:t xml:space="preserve">Additionally, there was one less operating day in the quarter </w:t>
      </w:r>
      <w:r>
        <w:rPr>
          <w:rFonts w:ascii="Arial" w:hAnsi="Arial" w:cs="Arial"/>
          <w:sz w:val="22"/>
          <w:szCs w:val="22"/>
        </w:rPr>
        <w:t>than a year ago, and an impact of Easter moving to mid-April.</w:t>
      </w:r>
    </w:p>
    <w:p w14:paraId="113351DB" w14:textId="77777777" w:rsidR="00206EB7" w:rsidRDefault="00206EB7" w:rsidP="00206EB7">
      <w:pPr>
        <w:rPr>
          <w:rFonts w:ascii="Arial" w:hAnsi="Arial" w:cs="Arial"/>
          <w:sz w:val="22"/>
        </w:rPr>
      </w:pPr>
    </w:p>
    <w:p w14:paraId="78D80570" w14:textId="77777777" w:rsidR="003A69AF" w:rsidRPr="003A69AF" w:rsidRDefault="003A69AF" w:rsidP="003A69AF">
      <w:pPr>
        <w:jc w:val="center"/>
        <w:rPr>
          <w:rFonts w:ascii="Arial" w:hAnsi="Arial" w:cs="Arial"/>
          <w:sz w:val="20"/>
          <w:szCs w:val="20"/>
        </w:rPr>
      </w:pPr>
      <w:r w:rsidRPr="00D352EF">
        <w:rPr>
          <w:rFonts w:ascii="Arial" w:hAnsi="Arial" w:cs="Arial"/>
          <w:sz w:val="20"/>
          <w:szCs w:val="20"/>
        </w:rPr>
        <w:t>– more –</w:t>
      </w:r>
    </w:p>
    <w:p w14:paraId="12559373" w14:textId="77777777" w:rsidR="00206EB7" w:rsidRPr="003A69AF" w:rsidRDefault="00206EB7" w:rsidP="001279AB">
      <w:pPr>
        <w:rPr>
          <w:rFonts w:ascii="Arial" w:hAnsi="Arial" w:cs="Arial"/>
          <w:sz w:val="20"/>
          <w:szCs w:val="20"/>
          <w:vertAlign w:val="subscript"/>
        </w:rPr>
      </w:pPr>
      <w:r w:rsidRPr="003A69AF">
        <w:rPr>
          <w:rFonts w:ascii="Arial" w:hAnsi="Arial" w:cs="Arial"/>
          <w:b/>
          <w:sz w:val="20"/>
          <w:szCs w:val="20"/>
          <w:vertAlign w:val="subscript"/>
        </w:rPr>
        <w:t>^ “</w:t>
      </w:r>
      <w:r w:rsidRPr="003A69AF">
        <w:rPr>
          <w:rFonts w:ascii="Arial" w:hAnsi="Arial" w:cs="Arial"/>
          <w:sz w:val="20"/>
          <w:szCs w:val="20"/>
          <w:vertAlign w:val="subscript"/>
        </w:rPr>
        <w:t>Adjusted” and “as adjusted” amounts presented in this release are non-GAAP financial measures. See the appendix to this release for a discussion of non-GAAP financial metrics, including a reconciliation to the most closely correlated GAAP measure.</w:t>
      </w:r>
    </w:p>
    <w:p w14:paraId="78065CB2" w14:textId="77777777" w:rsidR="00C82AF7" w:rsidRPr="00C82AF7" w:rsidRDefault="00C82AF7" w:rsidP="00C82AF7">
      <w:pPr>
        <w:rPr>
          <w:rFonts w:ascii="Arial" w:hAnsi="Arial" w:cs="Arial"/>
          <w:sz w:val="22"/>
        </w:rPr>
      </w:pPr>
    </w:p>
    <w:p w14:paraId="271F022A" w14:textId="77777777" w:rsidR="003A69AF" w:rsidRDefault="003A69AF" w:rsidP="000D6B1E">
      <w:pPr>
        <w:rPr>
          <w:rFonts w:ascii="Arial" w:hAnsi="Arial" w:cs="Arial"/>
          <w:sz w:val="22"/>
        </w:rPr>
      </w:pPr>
    </w:p>
    <w:p w14:paraId="6BA2D581" w14:textId="77777777" w:rsidR="000D6B1E" w:rsidRPr="000D6B1E" w:rsidRDefault="000D6B1E" w:rsidP="000D6B1E">
      <w:pPr>
        <w:rPr>
          <w:rFonts w:ascii="Arial" w:hAnsi="Arial" w:cs="Arial"/>
          <w:sz w:val="22"/>
        </w:rPr>
      </w:pPr>
    </w:p>
    <w:p w14:paraId="60E5A44E" w14:textId="77777777" w:rsidR="00EA1FCE" w:rsidRDefault="00EA1FCE" w:rsidP="00B53E29">
      <w:pPr>
        <w:pStyle w:val="ListParagraph"/>
        <w:numPr>
          <w:ilvl w:val="0"/>
          <w:numId w:val="2"/>
        </w:numPr>
        <w:rPr>
          <w:rFonts w:ascii="Arial" w:hAnsi="Arial" w:cs="Arial"/>
          <w:sz w:val="22"/>
        </w:rPr>
      </w:pPr>
      <w:r>
        <w:rPr>
          <w:rFonts w:ascii="Arial" w:hAnsi="Arial" w:cs="Arial"/>
          <w:sz w:val="22"/>
        </w:rPr>
        <w:t xml:space="preserve">Capital expenditures </w:t>
      </w:r>
      <w:r w:rsidR="00473ED3">
        <w:rPr>
          <w:rFonts w:ascii="Arial" w:hAnsi="Arial" w:cs="Arial"/>
          <w:sz w:val="22"/>
        </w:rPr>
        <w:t xml:space="preserve">were $1.5 billion </w:t>
      </w:r>
      <w:r>
        <w:rPr>
          <w:rFonts w:ascii="Arial" w:hAnsi="Arial" w:cs="Arial"/>
          <w:sz w:val="22"/>
        </w:rPr>
        <w:t>to support networ</w:t>
      </w:r>
      <w:r w:rsidR="00216582">
        <w:rPr>
          <w:rFonts w:ascii="Arial" w:hAnsi="Arial" w:cs="Arial"/>
          <w:sz w:val="22"/>
        </w:rPr>
        <w:t>k enhancements</w:t>
      </w:r>
      <w:r>
        <w:rPr>
          <w:rFonts w:ascii="Arial" w:hAnsi="Arial" w:cs="Arial"/>
          <w:sz w:val="22"/>
        </w:rPr>
        <w:t>.</w:t>
      </w:r>
    </w:p>
    <w:p w14:paraId="64DD3AA5" w14:textId="77777777" w:rsidR="00F13860" w:rsidRPr="00F13860" w:rsidRDefault="00EA1FCE" w:rsidP="00F13860">
      <w:pPr>
        <w:pStyle w:val="ListParagraph"/>
        <w:numPr>
          <w:ilvl w:val="0"/>
          <w:numId w:val="6"/>
        </w:numPr>
        <w:rPr>
          <w:rFonts w:ascii="Arial" w:hAnsi="Arial" w:cs="Arial"/>
          <w:sz w:val="22"/>
        </w:rPr>
      </w:pPr>
      <w:r w:rsidRPr="00F13860">
        <w:rPr>
          <w:rFonts w:ascii="Arial" w:hAnsi="Arial" w:cs="Arial"/>
          <w:sz w:val="22"/>
        </w:rPr>
        <w:t xml:space="preserve">UPS </w:t>
      </w:r>
      <w:r w:rsidR="00A91DEC" w:rsidRPr="00F13860">
        <w:rPr>
          <w:rFonts w:ascii="Arial" w:hAnsi="Arial" w:cs="Arial"/>
          <w:sz w:val="22"/>
        </w:rPr>
        <w:t xml:space="preserve">continued to reward shareowners with strong dividend yields, paying </w:t>
      </w:r>
      <w:r w:rsidRPr="00F13860">
        <w:rPr>
          <w:rFonts w:ascii="Arial" w:hAnsi="Arial" w:cs="Arial"/>
          <w:sz w:val="22"/>
        </w:rPr>
        <w:t>dividends of $</w:t>
      </w:r>
      <w:r w:rsidR="00216582" w:rsidRPr="00F13860">
        <w:rPr>
          <w:rFonts w:ascii="Arial" w:hAnsi="Arial" w:cs="Arial"/>
          <w:sz w:val="22"/>
        </w:rPr>
        <w:t>867</w:t>
      </w:r>
      <w:r w:rsidRPr="00F13860">
        <w:rPr>
          <w:rFonts w:ascii="Arial" w:hAnsi="Arial" w:cs="Arial"/>
          <w:sz w:val="22"/>
        </w:rPr>
        <w:t xml:space="preserve"> million, an increase of </w:t>
      </w:r>
      <w:r w:rsidR="00B60F76" w:rsidRPr="00F13860">
        <w:rPr>
          <w:rFonts w:ascii="Arial" w:hAnsi="Arial" w:cs="Arial"/>
          <w:sz w:val="22"/>
        </w:rPr>
        <w:t>5.5</w:t>
      </w:r>
      <w:r w:rsidRPr="00F13860">
        <w:rPr>
          <w:rFonts w:ascii="Arial" w:hAnsi="Arial" w:cs="Arial"/>
          <w:sz w:val="22"/>
        </w:rPr>
        <w:t>%</w:t>
      </w:r>
      <w:r w:rsidR="008A7EB7" w:rsidRPr="00F13860">
        <w:rPr>
          <w:rFonts w:ascii="Arial" w:hAnsi="Arial" w:cs="Arial"/>
          <w:sz w:val="22"/>
        </w:rPr>
        <w:t xml:space="preserve"> per share over the prior-</w:t>
      </w:r>
      <w:r w:rsidRPr="00F13860">
        <w:rPr>
          <w:rFonts w:ascii="Arial" w:hAnsi="Arial" w:cs="Arial"/>
          <w:sz w:val="22"/>
        </w:rPr>
        <w:t>year</w:t>
      </w:r>
      <w:r w:rsidR="00A91DEC" w:rsidRPr="00F13860">
        <w:rPr>
          <w:rFonts w:ascii="Arial" w:hAnsi="Arial" w:cs="Arial"/>
          <w:sz w:val="22"/>
        </w:rPr>
        <w:t xml:space="preserve"> period</w:t>
      </w:r>
      <w:r w:rsidRPr="00F13860">
        <w:rPr>
          <w:rFonts w:ascii="Arial" w:hAnsi="Arial" w:cs="Arial"/>
          <w:sz w:val="22"/>
        </w:rPr>
        <w:t>.</w:t>
      </w:r>
    </w:p>
    <w:p w14:paraId="161FC4E1" w14:textId="77777777" w:rsidR="00EA1FCE" w:rsidRDefault="00EA1FCE" w:rsidP="00B53E29">
      <w:pPr>
        <w:pStyle w:val="ListParagraph"/>
        <w:numPr>
          <w:ilvl w:val="0"/>
          <w:numId w:val="2"/>
        </w:numPr>
        <w:rPr>
          <w:rFonts w:ascii="Arial" w:hAnsi="Arial" w:cs="Arial"/>
          <w:sz w:val="22"/>
        </w:rPr>
      </w:pPr>
      <w:r>
        <w:rPr>
          <w:rFonts w:ascii="Arial" w:hAnsi="Arial" w:cs="Arial"/>
          <w:sz w:val="22"/>
        </w:rPr>
        <w:t>The company r</w:t>
      </w:r>
      <w:r w:rsidRPr="001F1EB0">
        <w:rPr>
          <w:rFonts w:ascii="Arial" w:hAnsi="Arial" w:cs="Arial"/>
          <w:sz w:val="22"/>
        </w:rPr>
        <w:t xml:space="preserve">epurchased </w:t>
      </w:r>
      <w:r w:rsidR="00216582">
        <w:rPr>
          <w:rFonts w:ascii="Arial" w:hAnsi="Arial" w:cs="Arial"/>
          <w:sz w:val="22"/>
        </w:rPr>
        <w:t xml:space="preserve">2.4 </w:t>
      </w:r>
      <w:r w:rsidRPr="001F1EB0">
        <w:rPr>
          <w:rFonts w:ascii="Arial" w:hAnsi="Arial" w:cs="Arial"/>
          <w:sz w:val="22"/>
        </w:rPr>
        <w:t>million shares for approximately $</w:t>
      </w:r>
      <w:r w:rsidR="000D6E39">
        <w:rPr>
          <w:rFonts w:ascii="Arial" w:hAnsi="Arial" w:cs="Arial"/>
          <w:sz w:val="22"/>
        </w:rPr>
        <w:t>250</w:t>
      </w:r>
      <w:r w:rsidRPr="001F1EB0">
        <w:rPr>
          <w:rFonts w:ascii="Arial" w:hAnsi="Arial" w:cs="Arial"/>
          <w:sz w:val="22"/>
        </w:rPr>
        <w:t xml:space="preserve"> million</w:t>
      </w:r>
      <w:r w:rsidR="00A91DEC">
        <w:rPr>
          <w:rFonts w:ascii="Arial" w:hAnsi="Arial" w:cs="Arial"/>
          <w:sz w:val="22"/>
        </w:rPr>
        <w:t>.</w:t>
      </w:r>
    </w:p>
    <w:p w14:paraId="5BD0A5A8" w14:textId="77777777" w:rsidR="000D6E39" w:rsidRDefault="000D6E39" w:rsidP="005323C4">
      <w:pPr>
        <w:jc w:val="center"/>
        <w:rPr>
          <w:rFonts w:ascii="Arial" w:hAnsi="Arial" w:cs="Arial"/>
          <w:sz w:val="20"/>
          <w:szCs w:val="20"/>
        </w:rPr>
      </w:pPr>
    </w:p>
    <w:p w14:paraId="6E700787" w14:textId="77777777" w:rsidR="003A69AF" w:rsidRPr="001279AB" w:rsidRDefault="003A69AF" w:rsidP="001279AB">
      <w:pPr>
        <w:rPr>
          <w:rFonts w:ascii="Arial" w:hAnsi="Arial"/>
          <w:b/>
          <w:sz w:val="22"/>
          <w:u w:val="single"/>
        </w:rPr>
      </w:pPr>
    </w:p>
    <w:p w14:paraId="5ADDBCA7" w14:textId="77777777" w:rsidR="00B54509" w:rsidRPr="00D352EF" w:rsidRDefault="00B54509" w:rsidP="005323C4">
      <w:pPr>
        <w:rPr>
          <w:rFonts w:ascii="Arial" w:hAnsi="Arial" w:cs="Arial"/>
          <w:b/>
          <w:sz w:val="22"/>
          <w:u w:val="single"/>
        </w:rPr>
      </w:pPr>
      <w:r w:rsidRPr="00D352EF">
        <w:rPr>
          <w:rFonts w:ascii="Arial" w:hAnsi="Arial" w:cs="Arial"/>
          <w:b/>
          <w:sz w:val="22"/>
          <w:u w:val="single"/>
        </w:rPr>
        <w:t>U.S. Domestic Segment</w:t>
      </w:r>
    </w:p>
    <w:p w14:paraId="079B4131" w14:textId="77777777" w:rsidR="00451F11" w:rsidRPr="00D352EF" w:rsidRDefault="00451F11" w:rsidP="000E624D">
      <w:pPr>
        <w:rPr>
          <w:rFonts w:ascii="Arial" w:hAnsi="Arial" w:cs="Arial"/>
          <w:sz w:val="22"/>
        </w:rPr>
      </w:pPr>
    </w:p>
    <w:p w14:paraId="6A20A534" w14:textId="77777777" w:rsidR="00280787" w:rsidRPr="00DF50E2" w:rsidRDefault="00280787" w:rsidP="00280787">
      <w:pPr>
        <w:ind w:firstLine="720"/>
        <w:rPr>
          <w:rFonts w:ascii="Arial" w:hAnsi="Arial" w:cs="Arial"/>
          <w:sz w:val="22"/>
          <w:szCs w:val="22"/>
        </w:rPr>
      </w:pPr>
      <w:r w:rsidRPr="00DF50E2">
        <w:rPr>
          <w:rFonts w:ascii="Arial" w:hAnsi="Arial" w:cs="Arial"/>
          <w:sz w:val="22"/>
          <w:szCs w:val="22"/>
        </w:rPr>
        <w:t>U.S. Domestic continued a positive trend</w:t>
      </w:r>
      <w:r w:rsidR="00206BE0" w:rsidRPr="00DF50E2">
        <w:rPr>
          <w:rFonts w:ascii="Arial" w:hAnsi="Arial" w:cs="Arial"/>
          <w:sz w:val="22"/>
          <w:szCs w:val="22"/>
        </w:rPr>
        <w:t>, increas</w:t>
      </w:r>
      <w:r w:rsidRPr="00DF50E2">
        <w:rPr>
          <w:rFonts w:ascii="Arial" w:hAnsi="Arial" w:cs="Arial"/>
          <w:sz w:val="22"/>
          <w:szCs w:val="22"/>
        </w:rPr>
        <w:t>in</w:t>
      </w:r>
      <w:r w:rsidR="00206BE0" w:rsidRPr="00DF50E2">
        <w:rPr>
          <w:rFonts w:ascii="Arial" w:hAnsi="Arial" w:cs="Arial"/>
          <w:sz w:val="22"/>
          <w:szCs w:val="22"/>
        </w:rPr>
        <w:t>g</w:t>
      </w:r>
      <w:r w:rsidRPr="00DF50E2">
        <w:rPr>
          <w:rFonts w:ascii="Arial" w:hAnsi="Arial" w:cs="Arial"/>
          <w:sz w:val="22"/>
          <w:szCs w:val="22"/>
        </w:rPr>
        <w:t xml:space="preserve"> business-to-business volume </w:t>
      </w:r>
      <w:r w:rsidR="005555D5">
        <w:rPr>
          <w:rFonts w:ascii="Arial" w:hAnsi="Arial" w:cs="Arial"/>
          <w:sz w:val="22"/>
          <w:szCs w:val="22"/>
        </w:rPr>
        <w:t>once again this</w:t>
      </w:r>
      <w:r w:rsidR="0009777D">
        <w:rPr>
          <w:rFonts w:ascii="Arial" w:hAnsi="Arial" w:cs="Arial"/>
          <w:sz w:val="22"/>
          <w:szCs w:val="22"/>
        </w:rPr>
        <w:t xml:space="preserve"> </w:t>
      </w:r>
      <w:r w:rsidR="005555D5">
        <w:rPr>
          <w:rFonts w:ascii="Arial" w:hAnsi="Arial" w:cs="Arial"/>
          <w:sz w:val="22"/>
          <w:szCs w:val="22"/>
        </w:rPr>
        <w:t>quarter</w:t>
      </w:r>
      <w:r w:rsidRPr="00DF50E2">
        <w:rPr>
          <w:rFonts w:ascii="Arial" w:hAnsi="Arial" w:cs="Arial"/>
          <w:sz w:val="22"/>
          <w:szCs w:val="22"/>
        </w:rPr>
        <w:t>. Additionally, investments in new automated hubs contributed to improvement</w:t>
      </w:r>
      <w:r w:rsidR="0032645C" w:rsidRPr="00DF50E2">
        <w:rPr>
          <w:rFonts w:ascii="Arial" w:hAnsi="Arial" w:cs="Arial"/>
          <w:sz w:val="22"/>
          <w:szCs w:val="22"/>
        </w:rPr>
        <w:t>s</w:t>
      </w:r>
      <w:r w:rsidRPr="00DF50E2">
        <w:rPr>
          <w:rFonts w:ascii="Arial" w:hAnsi="Arial" w:cs="Arial"/>
          <w:sz w:val="22"/>
          <w:szCs w:val="22"/>
        </w:rPr>
        <w:t xml:space="preserve"> in </w:t>
      </w:r>
      <w:r w:rsidR="00EE6E2F">
        <w:rPr>
          <w:rFonts w:ascii="Arial" w:hAnsi="Arial" w:cs="Arial"/>
          <w:sz w:val="22"/>
          <w:szCs w:val="22"/>
        </w:rPr>
        <w:t xml:space="preserve">operational measures including productivity </w:t>
      </w:r>
      <w:r w:rsidR="00B73348">
        <w:rPr>
          <w:rFonts w:ascii="Arial" w:hAnsi="Arial" w:cs="Arial"/>
          <w:sz w:val="22"/>
          <w:szCs w:val="22"/>
        </w:rPr>
        <w:t xml:space="preserve">gains </w:t>
      </w:r>
      <w:r w:rsidR="00EE6E2F">
        <w:rPr>
          <w:rFonts w:ascii="Arial" w:hAnsi="Arial" w:cs="Arial"/>
          <w:sz w:val="22"/>
          <w:szCs w:val="22"/>
        </w:rPr>
        <w:t xml:space="preserve">and </w:t>
      </w:r>
      <w:r w:rsidR="00A84EA4">
        <w:rPr>
          <w:rFonts w:ascii="Arial" w:hAnsi="Arial" w:cs="Arial"/>
          <w:sz w:val="22"/>
          <w:szCs w:val="22"/>
        </w:rPr>
        <w:t>slower</w:t>
      </w:r>
      <w:r w:rsidR="00984BD6">
        <w:rPr>
          <w:rFonts w:ascii="Arial" w:hAnsi="Arial" w:cs="Arial"/>
          <w:sz w:val="22"/>
          <w:szCs w:val="22"/>
        </w:rPr>
        <w:t xml:space="preserve"> growth</w:t>
      </w:r>
      <w:r w:rsidR="00EE6E2F">
        <w:rPr>
          <w:rFonts w:ascii="Arial" w:hAnsi="Arial" w:cs="Arial"/>
          <w:sz w:val="22"/>
          <w:szCs w:val="22"/>
        </w:rPr>
        <w:t xml:space="preserve"> </w:t>
      </w:r>
      <w:r w:rsidR="00A84EA4">
        <w:rPr>
          <w:rFonts w:ascii="Arial" w:hAnsi="Arial" w:cs="Arial"/>
          <w:sz w:val="22"/>
          <w:szCs w:val="22"/>
        </w:rPr>
        <w:t>in</w:t>
      </w:r>
      <w:r w:rsidR="00EE6E2F">
        <w:rPr>
          <w:rFonts w:ascii="Arial" w:hAnsi="Arial" w:cs="Arial"/>
          <w:sz w:val="22"/>
          <w:szCs w:val="22"/>
        </w:rPr>
        <w:t xml:space="preserve"> unit costs.</w:t>
      </w:r>
    </w:p>
    <w:p w14:paraId="016EA2C5" w14:textId="77777777" w:rsidR="00CF6952" w:rsidRDefault="00CF6952" w:rsidP="0050295A">
      <w:pPr>
        <w:rPr>
          <w:rFonts w:ascii="Arial" w:hAnsi="Arial" w:cs="Arial"/>
          <w:sz w:val="22"/>
        </w:rPr>
      </w:pPr>
    </w:p>
    <w:p w14:paraId="0C67221B" w14:textId="77777777" w:rsidR="00AA6C14" w:rsidRPr="00AA6C14" w:rsidRDefault="00CF6952" w:rsidP="00AA6C14">
      <w:pPr>
        <w:ind w:firstLine="720"/>
        <w:rPr>
          <w:rFonts w:ascii="Arial" w:hAnsi="Arial" w:cs="Arial"/>
          <w:sz w:val="22"/>
          <w:szCs w:val="22"/>
        </w:rPr>
      </w:pPr>
      <w:r w:rsidRPr="00005E38">
        <w:rPr>
          <w:rFonts w:ascii="Arial" w:hAnsi="Arial" w:cs="Arial"/>
          <w:sz w:val="22"/>
          <w:szCs w:val="22"/>
        </w:rPr>
        <w:t xml:space="preserve">“We are </w:t>
      </w:r>
      <w:r>
        <w:rPr>
          <w:rFonts w:ascii="Arial" w:hAnsi="Arial" w:cs="Arial"/>
          <w:sz w:val="22"/>
          <w:szCs w:val="22"/>
        </w:rPr>
        <w:t>bend</w:t>
      </w:r>
      <w:r w:rsidR="00E47AFB">
        <w:rPr>
          <w:rFonts w:ascii="Arial" w:hAnsi="Arial" w:cs="Arial"/>
          <w:sz w:val="22"/>
          <w:szCs w:val="22"/>
        </w:rPr>
        <w:t>ing</w:t>
      </w:r>
      <w:r>
        <w:rPr>
          <w:rFonts w:ascii="Arial" w:hAnsi="Arial" w:cs="Arial"/>
          <w:sz w:val="22"/>
          <w:szCs w:val="22"/>
        </w:rPr>
        <w:t xml:space="preserve"> the cost curve in our U.S. Domestic segment as highly automated hubs come online</w:t>
      </w:r>
      <w:r w:rsidR="008A7EB7">
        <w:rPr>
          <w:rFonts w:ascii="Arial" w:hAnsi="Arial" w:cs="Arial"/>
          <w:sz w:val="22"/>
          <w:szCs w:val="22"/>
        </w:rPr>
        <w:t>,</w:t>
      </w:r>
      <w:r>
        <w:rPr>
          <w:rFonts w:ascii="Arial" w:hAnsi="Arial" w:cs="Arial"/>
          <w:sz w:val="22"/>
          <w:szCs w:val="22"/>
        </w:rPr>
        <w:t xml:space="preserve"> producing improved productivity </w:t>
      </w:r>
      <w:r w:rsidR="0051119A">
        <w:rPr>
          <w:rFonts w:ascii="Arial" w:hAnsi="Arial" w:cs="Arial"/>
          <w:sz w:val="22"/>
          <w:szCs w:val="22"/>
        </w:rPr>
        <w:t xml:space="preserve">benefits,” said Abney. </w:t>
      </w:r>
      <w:r w:rsidR="00AA6C14">
        <w:rPr>
          <w:rFonts w:ascii="Arial" w:hAnsi="Arial" w:cs="Arial"/>
          <w:sz w:val="22"/>
          <w:szCs w:val="22"/>
        </w:rPr>
        <w:t>“These improvements contributed to the segment’s performance in the quarter and will continue to gain momentum going forward.”</w:t>
      </w:r>
    </w:p>
    <w:p w14:paraId="6B9424AC" w14:textId="77777777" w:rsidR="005A5BC6" w:rsidRPr="00D352EF" w:rsidRDefault="005A5BC6" w:rsidP="00AA6C14">
      <w:pPr>
        <w:ind w:firstLine="720"/>
        <w:rPr>
          <w:rFonts w:ascii="Arial" w:hAnsi="Arial" w:cs="Arial"/>
          <w:sz w:val="22"/>
        </w:rPr>
      </w:pPr>
    </w:p>
    <w:tbl>
      <w:tblPr>
        <w:tblStyle w:val="TableGrid"/>
        <w:tblW w:w="73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1440"/>
        <w:gridCol w:w="1440"/>
        <w:gridCol w:w="1440"/>
      </w:tblGrid>
      <w:tr w:rsidR="0082624B" w:rsidRPr="002A6649" w14:paraId="44B2E561" w14:textId="77777777" w:rsidTr="0082624B">
        <w:trPr>
          <w:jc w:val="center"/>
        </w:trPr>
        <w:tc>
          <w:tcPr>
            <w:tcW w:w="3024" w:type="dxa"/>
          </w:tcPr>
          <w:p w14:paraId="2D4FCF09" w14:textId="77777777" w:rsidR="0082624B" w:rsidRPr="002A6649" w:rsidRDefault="0082624B" w:rsidP="0082624B">
            <w:pPr>
              <w:rPr>
                <w:rFonts w:ascii="Arial" w:hAnsi="Arial" w:cs="Arial"/>
                <w:b/>
                <w:sz w:val="20"/>
                <w:szCs w:val="22"/>
                <w:u w:val="single"/>
              </w:rPr>
            </w:pPr>
          </w:p>
          <w:p w14:paraId="69C667C1" w14:textId="77777777" w:rsidR="0082624B" w:rsidRPr="002A6649" w:rsidRDefault="0082624B" w:rsidP="0082624B">
            <w:pPr>
              <w:rPr>
                <w:rFonts w:ascii="Arial" w:hAnsi="Arial" w:cs="Arial"/>
                <w:b/>
                <w:sz w:val="20"/>
                <w:szCs w:val="22"/>
                <w:u w:val="single"/>
              </w:rPr>
            </w:pPr>
          </w:p>
        </w:tc>
        <w:tc>
          <w:tcPr>
            <w:tcW w:w="1440" w:type="dxa"/>
          </w:tcPr>
          <w:p w14:paraId="7B874EFF" w14:textId="77777777" w:rsidR="0082624B" w:rsidRPr="00D352EF" w:rsidRDefault="0082624B" w:rsidP="0082624B">
            <w:pPr>
              <w:jc w:val="right"/>
              <w:rPr>
                <w:rFonts w:ascii="Arial" w:hAnsi="Arial" w:cs="Arial"/>
                <w:b/>
                <w:sz w:val="20"/>
                <w:szCs w:val="22"/>
                <w:u w:val="single"/>
              </w:rPr>
            </w:pPr>
          </w:p>
          <w:p w14:paraId="10EE7E75" w14:textId="77777777" w:rsidR="0082624B" w:rsidRPr="002A6649" w:rsidRDefault="0082624B" w:rsidP="0082624B">
            <w:pPr>
              <w:jc w:val="right"/>
              <w:rPr>
                <w:rFonts w:ascii="Arial" w:hAnsi="Arial" w:cs="Arial"/>
                <w:b/>
                <w:sz w:val="20"/>
                <w:szCs w:val="22"/>
                <w:u w:val="single"/>
              </w:rPr>
            </w:pPr>
            <w:r>
              <w:rPr>
                <w:rFonts w:ascii="Arial" w:hAnsi="Arial" w:cs="Arial"/>
                <w:b/>
                <w:sz w:val="20"/>
                <w:szCs w:val="22"/>
                <w:u w:val="single"/>
              </w:rPr>
              <w:t>1Q 2019</w:t>
            </w:r>
            <w:r w:rsidR="00E47AFB">
              <w:rPr>
                <w:rFonts w:ascii="Arial" w:hAnsi="Arial" w:cs="Arial"/>
                <w:b/>
                <w:sz w:val="20"/>
                <w:szCs w:val="22"/>
                <w:u w:val="single"/>
              </w:rPr>
              <w:t>*</w:t>
            </w:r>
          </w:p>
        </w:tc>
        <w:tc>
          <w:tcPr>
            <w:tcW w:w="1440" w:type="dxa"/>
          </w:tcPr>
          <w:p w14:paraId="2875FEAF" w14:textId="77777777" w:rsidR="0082624B" w:rsidRPr="002A6649" w:rsidRDefault="0082624B" w:rsidP="0082624B">
            <w:pPr>
              <w:jc w:val="right"/>
              <w:rPr>
                <w:rFonts w:ascii="Arial" w:hAnsi="Arial" w:cs="Arial"/>
                <w:b/>
                <w:sz w:val="20"/>
                <w:szCs w:val="22"/>
                <w:u w:val="single"/>
              </w:rPr>
            </w:pPr>
            <w:r w:rsidRPr="002A6649">
              <w:rPr>
                <w:rFonts w:ascii="Arial" w:hAnsi="Arial" w:cs="Arial"/>
                <w:b/>
                <w:sz w:val="20"/>
                <w:szCs w:val="22"/>
                <w:u w:val="single"/>
              </w:rPr>
              <w:t>Adjusted</w:t>
            </w:r>
          </w:p>
          <w:p w14:paraId="51B8518C" w14:textId="77777777" w:rsidR="0082624B" w:rsidRPr="002A6649" w:rsidRDefault="0082624B" w:rsidP="0082624B">
            <w:pPr>
              <w:jc w:val="right"/>
              <w:rPr>
                <w:rFonts w:ascii="Arial" w:hAnsi="Arial" w:cs="Arial"/>
                <w:b/>
                <w:sz w:val="20"/>
                <w:szCs w:val="22"/>
                <w:u w:val="single"/>
              </w:rPr>
            </w:pPr>
            <w:r>
              <w:rPr>
                <w:rFonts w:ascii="Arial" w:hAnsi="Arial" w:cs="Arial"/>
                <w:b/>
                <w:sz w:val="20"/>
                <w:szCs w:val="22"/>
                <w:u w:val="single"/>
              </w:rPr>
              <w:t>1Q 2019</w:t>
            </w:r>
            <w:r w:rsidR="00E47AFB">
              <w:rPr>
                <w:rFonts w:ascii="Arial" w:hAnsi="Arial" w:cs="Arial"/>
                <w:b/>
                <w:sz w:val="20"/>
                <w:szCs w:val="22"/>
                <w:u w:val="single"/>
              </w:rPr>
              <w:t>*</w:t>
            </w:r>
          </w:p>
        </w:tc>
        <w:tc>
          <w:tcPr>
            <w:tcW w:w="1440" w:type="dxa"/>
          </w:tcPr>
          <w:p w14:paraId="271D36C3" w14:textId="77777777" w:rsidR="0082624B" w:rsidRPr="00D352EF" w:rsidRDefault="0082624B" w:rsidP="0082624B">
            <w:pPr>
              <w:jc w:val="right"/>
              <w:rPr>
                <w:rFonts w:ascii="Arial" w:hAnsi="Arial" w:cs="Arial"/>
                <w:b/>
                <w:sz w:val="20"/>
                <w:szCs w:val="22"/>
                <w:u w:val="single"/>
              </w:rPr>
            </w:pPr>
          </w:p>
          <w:p w14:paraId="26CA9495" w14:textId="77777777" w:rsidR="0082624B" w:rsidRPr="002A6649" w:rsidRDefault="0082624B" w:rsidP="0082624B">
            <w:pPr>
              <w:jc w:val="right"/>
              <w:rPr>
                <w:rFonts w:ascii="Arial" w:hAnsi="Arial" w:cs="Arial"/>
                <w:b/>
                <w:sz w:val="20"/>
                <w:szCs w:val="22"/>
                <w:u w:val="single"/>
              </w:rPr>
            </w:pPr>
            <w:r>
              <w:rPr>
                <w:rFonts w:ascii="Arial" w:hAnsi="Arial" w:cs="Arial"/>
                <w:b/>
                <w:sz w:val="20"/>
                <w:szCs w:val="22"/>
                <w:u w:val="single"/>
              </w:rPr>
              <w:t>1Q 2018</w:t>
            </w:r>
          </w:p>
        </w:tc>
      </w:tr>
      <w:tr w:rsidR="0082624B" w:rsidRPr="002A6649" w14:paraId="4C2C2F51" w14:textId="77777777" w:rsidTr="0082624B">
        <w:trPr>
          <w:jc w:val="center"/>
        </w:trPr>
        <w:tc>
          <w:tcPr>
            <w:tcW w:w="3024" w:type="dxa"/>
          </w:tcPr>
          <w:p w14:paraId="1E169E7F" w14:textId="77777777" w:rsidR="0082624B" w:rsidRPr="002A6649" w:rsidRDefault="0082624B" w:rsidP="0082624B">
            <w:pPr>
              <w:rPr>
                <w:rFonts w:ascii="Arial" w:hAnsi="Arial" w:cs="Arial"/>
                <w:sz w:val="20"/>
                <w:szCs w:val="22"/>
              </w:rPr>
            </w:pPr>
            <w:r w:rsidRPr="002A6649">
              <w:rPr>
                <w:rFonts w:ascii="Arial" w:hAnsi="Arial" w:cs="Arial"/>
                <w:sz w:val="20"/>
                <w:szCs w:val="22"/>
              </w:rPr>
              <w:t>Revenue</w:t>
            </w:r>
          </w:p>
        </w:tc>
        <w:tc>
          <w:tcPr>
            <w:tcW w:w="1440" w:type="dxa"/>
          </w:tcPr>
          <w:p w14:paraId="64CB22F6" w14:textId="77777777" w:rsidR="0082624B" w:rsidRPr="002A6649" w:rsidRDefault="0082624B" w:rsidP="0082624B">
            <w:pPr>
              <w:jc w:val="right"/>
              <w:rPr>
                <w:rFonts w:ascii="Arial" w:hAnsi="Arial" w:cs="Arial"/>
                <w:sz w:val="20"/>
                <w:szCs w:val="22"/>
              </w:rPr>
            </w:pPr>
            <w:r>
              <w:rPr>
                <w:rFonts w:ascii="Arial" w:hAnsi="Arial" w:cs="Arial"/>
                <w:sz w:val="20"/>
                <w:szCs w:val="22"/>
              </w:rPr>
              <w:t>$10,480 M</w:t>
            </w:r>
          </w:p>
        </w:tc>
        <w:tc>
          <w:tcPr>
            <w:tcW w:w="1440" w:type="dxa"/>
          </w:tcPr>
          <w:p w14:paraId="60091361" w14:textId="77777777" w:rsidR="0082624B" w:rsidRPr="002A6649" w:rsidRDefault="0082624B" w:rsidP="0082624B">
            <w:pPr>
              <w:jc w:val="right"/>
              <w:rPr>
                <w:rFonts w:ascii="Arial" w:hAnsi="Arial" w:cs="Arial"/>
                <w:sz w:val="20"/>
                <w:szCs w:val="22"/>
              </w:rPr>
            </w:pPr>
          </w:p>
        </w:tc>
        <w:tc>
          <w:tcPr>
            <w:tcW w:w="1440" w:type="dxa"/>
          </w:tcPr>
          <w:p w14:paraId="57394C2D" w14:textId="77777777" w:rsidR="0082624B" w:rsidRPr="002A6649" w:rsidRDefault="0082624B" w:rsidP="0082624B">
            <w:pPr>
              <w:jc w:val="right"/>
              <w:rPr>
                <w:rFonts w:ascii="Arial" w:hAnsi="Arial" w:cs="Arial"/>
                <w:sz w:val="20"/>
                <w:szCs w:val="22"/>
              </w:rPr>
            </w:pPr>
            <w:r>
              <w:rPr>
                <w:rFonts w:ascii="Arial" w:hAnsi="Arial" w:cs="Arial"/>
                <w:sz w:val="20"/>
                <w:szCs w:val="22"/>
              </w:rPr>
              <w:t>$10,227</w:t>
            </w:r>
            <w:r w:rsidR="007301C7">
              <w:rPr>
                <w:rFonts w:ascii="Arial" w:hAnsi="Arial" w:cs="Arial"/>
                <w:sz w:val="20"/>
                <w:szCs w:val="22"/>
              </w:rPr>
              <w:t xml:space="preserve"> M</w:t>
            </w:r>
          </w:p>
        </w:tc>
      </w:tr>
      <w:tr w:rsidR="0082624B" w:rsidRPr="002A6649" w14:paraId="1F448887" w14:textId="77777777" w:rsidTr="0082624B">
        <w:trPr>
          <w:jc w:val="center"/>
        </w:trPr>
        <w:tc>
          <w:tcPr>
            <w:tcW w:w="3024" w:type="dxa"/>
          </w:tcPr>
          <w:p w14:paraId="56200F84" w14:textId="77777777" w:rsidR="0082624B" w:rsidRPr="002A6649" w:rsidRDefault="0082624B" w:rsidP="0082624B">
            <w:pPr>
              <w:rPr>
                <w:rFonts w:ascii="Arial" w:hAnsi="Arial" w:cs="Arial"/>
                <w:sz w:val="20"/>
                <w:szCs w:val="22"/>
              </w:rPr>
            </w:pPr>
            <w:r w:rsidRPr="002A6649">
              <w:rPr>
                <w:rFonts w:ascii="Arial" w:hAnsi="Arial" w:cs="Arial"/>
                <w:sz w:val="20"/>
                <w:szCs w:val="22"/>
              </w:rPr>
              <w:t>Operating profit</w:t>
            </w:r>
          </w:p>
        </w:tc>
        <w:tc>
          <w:tcPr>
            <w:tcW w:w="1440" w:type="dxa"/>
          </w:tcPr>
          <w:p w14:paraId="270013AC" w14:textId="77777777" w:rsidR="0082624B" w:rsidRPr="002A6649" w:rsidRDefault="0082624B" w:rsidP="0082624B">
            <w:pPr>
              <w:jc w:val="right"/>
              <w:rPr>
                <w:rFonts w:ascii="Arial" w:hAnsi="Arial" w:cs="Arial"/>
                <w:sz w:val="20"/>
                <w:szCs w:val="22"/>
              </w:rPr>
            </w:pPr>
            <w:r>
              <w:rPr>
                <w:rFonts w:ascii="Arial" w:hAnsi="Arial" w:cs="Arial"/>
                <w:sz w:val="20"/>
                <w:szCs w:val="22"/>
              </w:rPr>
              <w:t>$666 M</w:t>
            </w:r>
          </w:p>
        </w:tc>
        <w:tc>
          <w:tcPr>
            <w:tcW w:w="1440" w:type="dxa"/>
          </w:tcPr>
          <w:p w14:paraId="48FF635C" w14:textId="77777777" w:rsidR="0082624B" w:rsidRPr="002A6649" w:rsidRDefault="0082624B" w:rsidP="0082624B">
            <w:pPr>
              <w:jc w:val="right"/>
              <w:rPr>
                <w:rFonts w:ascii="Arial" w:hAnsi="Arial" w:cs="Arial"/>
                <w:sz w:val="20"/>
                <w:szCs w:val="22"/>
              </w:rPr>
            </w:pPr>
            <w:r w:rsidRPr="002A6649">
              <w:rPr>
                <w:rFonts w:ascii="Arial" w:hAnsi="Arial" w:cs="Arial"/>
                <w:sz w:val="20"/>
                <w:szCs w:val="22"/>
              </w:rPr>
              <w:t>$</w:t>
            </w:r>
            <w:r>
              <w:rPr>
                <w:rFonts w:ascii="Arial" w:hAnsi="Arial" w:cs="Arial"/>
                <w:sz w:val="20"/>
                <w:szCs w:val="22"/>
              </w:rPr>
              <w:t xml:space="preserve">694 </w:t>
            </w:r>
            <w:r w:rsidRPr="002A6649">
              <w:rPr>
                <w:rFonts w:ascii="Arial" w:hAnsi="Arial" w:cs="Arial"/>
                <w:sz w:val="20"/>
                <w:szCs w:val="22"/>
              </w:rPr>
              <w:t>M</w:t>
            </w:r>
          </w:p>
        </w:tc>
        <w:tc>
          <w:tcPr>
            <w:tcW w:w="1440" w:type="dxa"/>
          </w:tcPr>
          <w:p w14:paraId="08938AE8" w14:textId="77777777" w:rsidR="0082624B" w:rsidRPr="002A6649" w:rsidRDefault="0082624B" w:rsidP="0082624B">
            <w:pPr>
              <w:jc w:val="right"/>
              <w:rPr>
                <w:rFonts w:ascii="Arial" w:hAnsi="Arial" w:cs="Arial"/>
                <w:sz w:val="20"/>
                <w:szCs w:val="22"/>
              </w:rPr>
            </w:pPr>
            <w:r>
              <w:rPr>
                <w:rFonts w:ascii="Arial" w:hAnsi="Arial" w:cs="Arial"/>
                <w:sz w:val="20"/>
                <w:szCs w:val="22"/>
              </w:rPr>
              <w:t>$756</w:t>
            </w:r>
            <w:r w:rsidR="007301C7">
              <w:rPr>
                <w:rFonts w:ascii="Arial" w:hAnsi="Arial" w:cs="Arial"/>
                <w:sz w:val="20"/>
                <w:szCs w:val="22"/>
              </w:rPr>
              <w:t xml:space="preserve"> M</w:t>
            </w:r>
          </w:p>
        </w:tc>
      </w:tr>
      <w:tr w:rsidR="00971CED" w:rsidRPr="002A6649" w14:paraId="66F9BDC0" w14:textId="77777777" w:rsidTr="00A16CA1">
        <w:trPr>
          <w:trHeight w:val="144"/>
          <w:jc w:val="center"/>
        </w:trPr>
        <w:tc>
          <w:tcPr>
            <w:tcW w:w="3024" w:type="dxa"/>
          </w:tcPr>
          <w:p w14:paraId="233656E5" w14:textId="77777777" w:rsidR="00971CED" w:rsidRPr="002A6649" w:rsidRDefault="00971CED" w:rsidP="0082624B">
            <w:pPr>
              <w:rPr>
                <w:rFonts w:ascii="Arial" w:hAnsi="Arial" w:cs="Arial"/>
                <w:sz w:val="20"/>
                <w:szCs w:val="22"/>
              </w:rPr>
            </w:pPr>
          </w:p>
        </w:tc>
        <w:tc>
          <w:tcPr>
            <w:tcW w:w="4320" w:type="dxa"/>
            <w:gridSpan w:val="3"/>
          </w:tcPr>
          <w:p w14:paraId="76B05D57" w14:textId="77777777" w:rsidR="00971CED" w:rsidRDefault="00971CED" w:rsidP="00971CED">
            <w:pPr>
              <w:rPr>
                <w:rFonts w:ascii="Arial" w:hAnsi="Arial" w:cs="Arial"/>
                <w:sz w:val="20"/>
                <w:szCs w:val="22"/>
              </w:rPr>
            </w:pPr>
          </w:p>
        </w:tc>
      </w:tr>
      <w:tr w:rsidR="00A16CA1" w:rsidRPr="002A6649" w14:paraId="3825DC73" w14:textId="77777777" w:rsidTr="008C14D5">
        <w:trPr>
          <w:jc w:val="center"/>
        </w:trPr>
        <w:tc>
          <w:tcPr>
            <w:tcW w:w="3024" w:type="dxa"/>
          </w:tcPr>
          <w:p w14:paraId="15F1655D" w14:textId="77777777" w:rsidR="00A16CA1" w:rsidRPr="002A6649" w:rsidRDefault="00A16CA1" w:rsidP="00E348C9">
            <w:pPr>
              <w:rPr>
                <w:rFonts w:ascii="Arial" w:hAnsi="Arial" w:cs="Arial"/>
                <w:sz w:val="20"/>
                <w:szCs w:val="22"/>
              </w:rPr>
            </w:pPr>
            <w:r w:rsidRPr="00AF2273">
              <w:rPr>
                <w:rFonts w:ascii="Arial" w:hAnsi="Arial" w:cs="Arial"/>
                <w:sz w:val="14"/>
                <w:szCs w:val="14"/>
              </w:rPr>
              <w:t>*</w:t>
            </w:r>
            <w:r w:rsidR="00E348C9">
              <w:rPr>
                <w:rFonts w:ascii="Arial" w:hAnsi="Arial" w:cs="Arial"/>
                <w:sz w:val="14"/>
                <w:szCs w:val="14"/>
              </w:rPr>
              <w:t>2019 reflects</w:t>
            </w:r>
            <w:r w:rsidRPr="00AF2273">
              <w:rPr>
                <w:rFonts w:ascii="Arial" w:hAnsi="Arial" w:cs="Arial"/>
                <w:sz w:val="14"/>
                <w:szCs w:val="14"/>
              </w:rPr>
              <w:t xml:space="preserve"> one less operating day</w:t>
            </w:r>
          </w:p>
        </w:tc>
        <w:tc>
          <w:tcPr>
            <w:tcW w:w="4320" w:type="dxa"/>
            <w:gridSpan w:val="3"/>
          </w:tcPr>
          <w:p w14:paraId="68CA68DD" w14:textId="77777777" w:rsidR="00A16CA1" w:rsidRPr="00AF2273" w:rsidRDefault="00A16CA1" w:rsidP="00971CED">
            <w:pPr>
              <w:rPr>
                <w:rFonts w:ascii="Arial" w:hAnsi="Arial" w:cs="Arial"/>
                <w:sz w:val="14"/>
                <w:szCs w:val="14"/>
              </w:rPr>
            </w:pPr>
          </w:p>
        </w:tc>
      </w:tr>
    </w:tbl>
    <w:p w14:paraId="1F86EC6A" w14:textId="77777777" w:rsidR="005A5BC6" w:rsidRPr="00D352EF" w:rsidRDefault="005A5BC6" w:rsidP="000E624D">
      <w:pPr>
        <w:rPr>
          <w:rFonts w:ascii="Arial" w:hAnsi="Arial" w:cs="Arial"/>
          <w:sz w:val="22"/>
        </w:rPr>
      </w:pPr>
    </w:p>
    <w:p w14:paraId="162860AC" w14:textId="77777777" w:rsidR="00B53E29" w:rsidRPr="00D352EF" w:rsidRDefault="000E624D" w:rsidP="000E624D">
      <w:pPr>
        <w:rPr>
          <w:rFonts w:ascii="Arial" w:hAnsi="Arial" w:cs="Arial"/>
          <w:sz w:val="22"/>
        </w:rPr>
      </w:pPr>
      <w:r w:rsidRPr="00D352EF">
        <w:rPr>
          <w:rFonts w:ascii="Arial" w:hAnsi="Arial" w:cs="Arial"/>
          <w:sz w:val="22"/>
        </w:rPr>
        <w:t xml:space="preserve">For the U.S. Domestic </w:t>
      </w:r>
      <w:r w:rsidR="00576472" w:rsidRPr="00D352EF">
        <w:rPr>
          <w:rFonts w:ascii="Arial" w:hAnsi="Arial" w:cs="Arial"/>
          <w:sz w:val="22"/>
        </w:rPr>
        <w:t xml:space="preserve">segment </w:t>
      </w:r>
      <w:r w:rsidR="00FC0817">
        <w:rPr>
          <w:rFonts w:ascii="Arial" w:hAnsi="Arial" w:cs="Arial"/>
          <w:sz w:val="22"/>
        </w:rPr>
        <w:t xml:space="preserve">in </w:t>
      </w:r>
      <w:r w:rsidR="002F3E9C">
        <w:rPr>
          <w:rFonts w:ascii="Arial" w:hAnsi="Arial" w:cs="Arial"/>
          <w:sz w:val="22"/>
        </w:rPr>
        <w:t xml:space="preserve">1Q </w:t>
      </w:r>
      <w:r w:rsidR="00ED7561" w:rsidRPr="00D352EF">
        <w:rPr>
          <w:rFonts w:ascii="Arial" w:hAnsi="Arial" w:cs="Arial"/>
          <w:sz w:val="22"/>
        </w:rPr>
        <w:t>20</w:t>
      </w:r>
      <w:r w:rsidR="002F3E9C">
        <w:rPr>
          <w:rFonts w:ascii="Arial" w:hAnsi="Arial" w:cs="Arial"/>
          <w:sz w:val="22"/>
        </w:rPr>
        <w:t>19</w:t>
      </w:r>
      <w:r w:rsidR="00B53E29">
        <w:rPr>
          <w:rFonts w:ascii="Arial" w:hAnsi="Arial" w:cs="Arial"/>
          <w:sz w:val="22"/>
        </w:rPr>
        <w:t>:</w:t>
      </w:r>
    </w:p>
    <w:p w14:paraId="261168DF" w14:textId="77777777" w:rsidR="00615614" w:rsidRDefault="00EA1FCE" w:rsidP="00E068F2">
      <w:pPr>
        <w:pStyle w:val="ListParagraph"/>
        <w:numPr>
          <w:ilvl w:val="0"/>
          <w:numId w:val="2"/>
        </w:numPr>
        <w:rPr>
          <w:rFonts w:ascii="Arial" w:hAnsi="Arial" w:cs="Arial"/>
          <w:sz w:val="22"/>
        </w:rPr>
      </w:pPr>
      <w:r>
        <w:rPr>
          <w:rFonts w:ascii="Arial" w:hAnsi="Arial" w:cs="Arial"/>
          <w:sz w:val="22"/>
        </w:rPr>
        <w:t>Revenue increased $253</w:t>
      </w:r>
      <w:r w:rsidR="00F90C05" w:rsidRPr="00D352EF">
        <w:rPr>
          <w:rFonts w:ascii="Arial" w:hAnsi="Arial" w:cs="Arial"/>
          <w:sz w:val="22"/>
        </w:rPr>
        <w:t xml:space="preserve"> </w:t>
      </w:r>
      <w:r w:rsidR="00746CB8" w:rsidRPr="00D352EF">
        <w:rPr>
          <w:rFonts w:ascii="Arial" w:hAnsi="Arial" w:cs="Arial"/>
          <w:sz w:val="22"/>
        </w:rPr>
        <w:t xml:space="preserve">million or </w:t>
      </w:r>
      <w:r>
        <w:rPr>
          <w:rFonts w:ascii="Arial" w:hAnsi="Arial" w:cs="Arial"/>
          <w:sz w:val="22"/>
        </w:rPr>
        <w:t>2.5</w:t>
      </w:r>
      <w:r w:rsidR="002F3E9C">
        <w:rPr>
          <w:rFonts w:ascii="Arial" w:hAnsi="Arial" w:cs="Arial"/>
          <w:sz w:val="22"/>
        </w:rPr>
        <w:t>% over 1</w:t>
      </w:r>
      <w:r w:rsidR="00746CB8" w:rsidRPr="00D352EF">
        <w:rPr>
          <w:rFonts w:ascii="Arial" w:hAnsi="Arial" w:cs="Arial"/>
          <w:sz w:val="22"/>
        </w:rPr>
        <w:t>Q 201</w:t>
      </w:r>
      <w:r w:rsidR="002F3E9C">
        <w:rPr>
          <w:rFonts w:ascii="Arial" w:hAnsi="Arial" w:cs="Arial"/>
          <w:sz w:val="22"/>
        </w:rPr>
        <w:t>8</w:t>
      </w:r>
      <w:r w:rsidR="009862AC">
        <w:rPr>
          <w:rFonts w:ascii="Arial" w:hAnsi="Arial" w:cs="Arial"/>
          <w:sz w:val="22"/>
        </w:rPr>
        <w:t>,</w:t>
      </w:r>
      <w:r w:rsidR="00F90C05" w:rsidRPr="00D352EF">
        <w:rPr>
          <w:rFonts w:ascii="Arial" w:hAnsi="Arial" w:cs="Arial"/>
          <w:sz w:val="22"/>
        </w:rPr>
        <w:t xml:space="preserve"> </w:t>
      </w:r>
      <w:r w:rsidR="00F90C05" w:rsidRPr="00EA1FCE">
        <w:rPr>
          <w:rFonts w:ascii="Arial" w:hAnsi="Arial" w:cs="Arial"/>
          <w:sz w:val="22"/>
        </w:rPr>
        <w:t xml:space="preserve">with </w:t>
      </w:r>
      <w:r w:rsidR="00C24CCA">
        <w:rPr>
          <w:rFonts w:ascii="Arial" w:hAnsi="Arial" w:cs="Arial"/>
          <w:sz w:val="22"/>
        </w:rPr>
        <w:t>healthy</w:t>
      </w:r>
      <w:r w:rsidR="00AF066F">
        <w:rPr>
          <w:rFonts w:ascii="Arial" w:hAnsi="Arial" w:cs="Arial"/>
          <w:sz w:val="22"/>
        </w:rPr>
        <w:t xml:space="preserve"> growth in</w:t>
      </w:r>
      <w:r>
        <w:rPr>
          <w:rFonts w:ascii="Arial" w:hAnsi="Arial" w:cs="Arial"/>
          <w:sz w:val="22"/>
        </w:rPr>
        <w:t xml:space="preserve"> commercial Ground</w:t>
      </w:r>
      <w:r w:rsidR="00475128">
        <w:rPr>
          <w:rFonts w:ascii="Arial" w:hAnsi="Arial" w:cs="Arial"/>
          <w:sz w:val="22"/>
        </w:rPr>
        <w:t>.</w:t>
      </w:r>
      <w:r w:rsidR="00746CB8" w:rsidRPr="00D352EF">
        <w:rPr>
          <w:rFonts w:ascii="Arial" w:hAnsi="Arial" w:cs="Arial"/>
          <w:sz w:val="22"/>
        </w:rPr>
        <w:t xml:space="preserve">  </w:t>
      </w:r>
    </w:p>
    <w:p w14:paraId="04F10A4F" w14:textId="77777777" w:rsidR="00D8122D" w:rsidRPr="00B15332" w:rsidRDefault="00C24CCA" w:rsidP="00E068F2">
      <w:pPr>
        <w:pStyle w:val="ListParagraph"/>
        <w:numPr>
          <w:ilvl w:val="0"/>
          <w:numId w:val="2"/>
        </w:numPr>
        <w:rPr>
          <w:rFonts w:ascii="Arial" w:hAnsi="Arial" w:cs="Arial"/>
          <w:sz w:val="22"/>
          <w:szCs w:val="22"/>
        </w:rPr>
      </w:pPr>
      <w:r>
        <w:rPr>
          <w:rFonts w:ascii="Arial" w:hAnsi="Arial" w:cs="Arial"/>
          <w:sz w:val="22"/>
          <w:szCs w:val="22"/>
        </w:rPr>
        <w:t xml:space="preserve">Growth in </w:t>
      </w:r>
      <w:r w:rsidR="005132A6">
        <w:rPr>
          <w:rFonts w:ascii="Arial" w:hAnsi="Arial" w:cs="Arial"/>
          <w:sz w:val="22"/>
          <w:szCs w:val="22"/>
        </w:rPr>
        <w:t>Ground r</w:t>
      </w:r>
      <w:r w:rsidR="00AE3AC9">
        <w:rPr>
          <w:rFonts w:ascii="Arial" w:hAnsi="Arial" w:cs="Arial"/>
          <w:sz w:val="22"/>
          <w:szCs w:val="22"/>
        </w:rPr>
        <w:t xml:space="preserve">evenue per piece </w:t>
      </w:r>
      <w:r>
        <w:rPr>
          <w:rFonts w:ascii="Arial" w:hAnsi="Arial" w:cs="Arial"/>
          <w:sz w:val="22"/>
          <w:szCs w:val="22"/>
        </w:rPr>
        <w:t xml:space="preserve">was strong at </w:t>
      </w:r>
      <w:r w:rsidR="005132A6">
        <w:rPr>
          <w:rFonts w:ascii="Arial" w:hAnsi="Arial" w:cs="Arial"/>
          <w:sz w:val="22"/>
          <w:szCs w:val="22"/>
        </w:rPr>
        <w:t>2.9</w:t>
      </w:r>
      <w:r w:rsidR="001E41B0">
        <w:rPr>
          <w:rFonts w:ascii="Arial" w:hAnsi="Arial" w:cs="Arial"/>
          <w:sz w:val="22"/>
          <w:szCs w:val="22"/>
        </w:rPr>
        <w:t>%</w:t>
      </w:r>
      <w:r w:rsidR="005132A6">
        <w:rPr>
          <w:rFonts w:ascii="Arial" w:hAnsi="Arial" w:cs="Arial"/>
          <w:sz w:val="22"/>
          <w:szCs w:val="22"/>
        </w:rPr>
        <w:t xml:space="preserve"> </w:t>
      </w:r>
      <w:r w:rsidR="001E41B0">
        <w:rPr>
          <w:rFonts w:ascii="Arial" w:hAnsi="Arial" w:cs="Arial"/>
          <w:sz w:val="22"/>
          <w:szCs w:val="22"/>
        </w:rPr>
        <w:t xml:space="preserve">led by </w:t>
      </w:r>
      <w:r>
        <w:rPr>
          <w:rFonts w:ascii="Arial" w:hAnsi="Arial" w:cs="Arial"/>
          <w:sz w:val="22"/>
          <w:szCs w:val="22"/>
        </w:rPr>
        <w:t xml:space="preserve">gains from </w:t>
      </w:r>
      <w:r w:rsidR="00E147CE">
        <w:rPr>
          <w:rFonts w:ascii="Arial" w:hAnsi="Arial" w:cs="Arial"/>
          <w:sz w:val="22"/>
          <w:szCs w:val="22"/>
        </w:rPr>
        <w:t xml:space="preserve">healthcare, </w:t>
      </w:r>
      <w:r>
        <w:rPr>
          <w:rFonts w:ascii="Arial" w:hAnsi="Arial" w:cs="Arial"/>
          <w:sz w:val="22"/>
          <w:szCs w:val="22"/>
        </w:rPr>
        <w:t xml:space="preserve">manufacturing </w:t>
      </w:r>
      <w:r w:rsidR="00E147CE">
        <w:rPr>
          <w:rFonts w:ascii="Arial" w:hAnsi="Arial" w:cs="Arial"/>
          <w:sz w:val="22"/>
          <w:szCs w:val="22"/>
        </w:rPr>
        <w:t>and e-commerce</w:t>
      </w:r>
      <w:r w:rsidR="00475128">
        <w:rPr>
          <w:rFonts w:ascii="Arial" w:hAnsi="Arial" w:cs="Arial"/>
          <w:sz w:val="22"/>
          <w:szCs w:val="22"/>
        </w:rPr>
        <w:t>.</w:t>
      </w:r>
    </w:p>
    <w:p w14:paraId="2E251D44" w14:textId="77777777" w:rsidR="00B15332" w:rsidRDefault="00EA17BB" w:rsidP="00E068F2">
      <w:pPr>
        <w:pStyle w:val="ListParagraph"/>
        <w:numPr>
          <w:ilvl w:val="0"/>
          <w:numId w:val="2"/>
        </w:numPr>
        <w:rPr>
          <w:rFonts w:ascii="Arial" w:hAnsi="Arial" w:cs="Arial"/>
          <w:sz w:val="22"/>
          <w:szCs w:val="22"/>
        </w:rPr>
      </w:pPr>
      <w:r>
        <w:rPr>
          <w:rFonts w:ascii="Arial" w:hAnsi="Arial" w:cs="Arial"/>
          <w:sz w:val="22"/>
          <w:szCs w:val="22"/>
        </w:rPr>
        <w:t xml:space="preserve">Average daily volume for </w:t>
      </w:r>
      <w:r w:rsidR="00B15332" w:rsidRPr="00B15332">
        <w:rPr>
          <w:rFonts w:ascii="Arial" w:hAnsi="Arial" w:cs="Arial"/>
          <w:sz w:val="22"/>
          <w:szCs w:val="22"/>
        </w:rPr>
        <w:t>air products grew nearly 8%</w:t>
      </w:r>
      <w:r>
        <w:rPr>
          <w:rFonts w:ascii="Arial" w:hAnsi="Arial" w:cs="Arial"/>
          <w:sz w:val="22"/>
          <w:szCs w:val="22"/>
        </w:rPr>
        <w:t>,</w:t>
      </w:r>
      <w:r w:rsidR="0096613E">
        <w:rPr>
          <w:rFonts w:ascii="Arial" w:hAnsi="Arial" w:cs="Arial"/>
          <w:sz w:val="22"/>
          <w:szCs w:val="22"/>
        </w:rPr>
        <w:t xml:space="preserve"> driven by high d</w:t>
      </w:r>
      <w:r w:rsidR="00BC496D">
        <w:rPr>
          <w:rFonts w:ascii="Arial" w:hAnsi="Arial" w:cs="Arial"/>
          <w:sz w:val="22"/>
          <w:szCs w:val="22"/>
        </w:rPr>
        <w:t>emand for faster delivery options</w:t>
      </w:r>
      <w:r w:rsidR="00475128">
        <w:rPr>
          <w:rFonts w:ascii="Arial" w:hAnsi="Arial" w:cs="Arial"/>
          <w:sz w:val="22"/>
          <w:szCs w:val="22"/>
        </w:rPr>
        <w:t>.</w:t>
      </w:r>
      <w:r w:rsidR="0047064D">
        <w:rPr>
          <w:rFonts w:ascii="Arial" w:hAnsi="Arial" w:cs="Arial"/>
          <w:sz w:val="22"/>
          <w:szCs w:val="22"/>
        </w:rPr>
        <w:t xml:space="preserve"> </w:t>
      </w:r>
    </w:p>
    <w:p w14:paraId="60E085C1" w14:textId="77777777" w:rsidR="00984BD6" w:rsidRPr="00984BD6" w:rsidRDefault="00ED5EFE" w:rsidP="00984BD6">
      <w:pPr>
        <w:pStyle w:val="ListParagraph"/>
        <w:numPr>
          <w:ilvl w:val="0"/>
          <w:numId w:val="2"/>
        </w:numPr>
        <w:contextualSpacing w:val="0"/>
        <w:rPr>
          <w:rFonts w:ascii="Arial" w:hAnsi="Arial" w:cs="Arial"/>
          <w:sz w:val="22"/>
          <w:szCs w:val="22"/>
          <w:lang w:val="en"/>
        </w:rPr>
      </w:pPr>
      <w:r w:rsidRPr="00984BD6">
        <w:rPr>
          <w:rFonts w:ascii="Arial" w:hAnsi="Arial" w:cs="Arial"/>
          <w:sz w:val="22"/>
          <w:szCs w:val="22"/>
          <w:lang w:val="en"/>
        </w:rPr>
        <w:t>Adjusted operating profit excludes Transformation-related charges of $28 million</w:t>
      </w:r>
      <w:r w:rsidR="00E47AFB" w:rsidRPr="00984BD6">
        <w:rPr>
          <w:rFonts w:ascii="Arial" w:hAnsi="Arial" w:cs="Arial"/>
          <w:sz w:val="22"/>
          <w:szCs w:val="22"/>
          <w:lang w:val="en"/>
        </w:rPr>
        <w:t xml:space="preserve"> </w:t>
      </w:r>
      <w:r w:rsidR="00984BD6" w:rsidRPr="00984BD6">
        <w:rPr>
          <w:rFonts w:ascii="Arial" w:hAnsi="Arial" w:cs="Arial"/>
          <w:sz w:val="22"/>
          <w:szCs w:val="22"/>
          <w:lang w:val="en"/>
        </w:rPr>
        <w:t>as we streamline and standardize our processes.</w:t>
      </w:r>
    </w:p>
    <w:p w14:paraId="207824F7" w14:textId="77777777" w:rsidR="00D7635E" w:rsidRPr="00984BD6" w:rsidRDefault="00215BCB" w:rsidP="0045314B">
      <w:pPr>
        <w:pStyle w:val="ListParagraph"/>
        <w:numPr>
          <w:ilvl w:val="0"/>
          <w:numId w:val="2"/>
        </w:numPr>
        <w:contextualSpacing w:val="0"/>
        <w:rPr>
          <w:rFonts w:ascii="Arial" w:hAnsi="Arial" w:cs="Arial"/>
          <w:sz w:val="22"/>
          <w:szCs w:val="22"/>
        </w:rPr>
      </w:pPr>
      <w:r w:rsidRPr="00984BD6">
        <w:rPr>
          <w:rStyle w:val="st1"/>
          <w:rFonts w:ascii="Arial" w:hAnsi="Arial" w:cs="Arial"/>
          <w:sz w:val="22"/>
          <w:szCs w:val="22"/>
          <w:lang w:val="en"/>
        </w:rPr>
        <w:t xml:space="preserve">Domestic </w:t>
      </w:r>
      <w:r w:rsidRPr="00984BD6">
        <w:rPr>
          <w:rStyle w:val="Emphasis"/>
          <w:rFonts w:ascii="Arial" w:hAnsi="Arial" w:cs="Arial"/>
          <w:i w:val="0"/>
          <w:sz w:val="22"/>
          <w:szCs w:val="22"/>
          <w:lang w:val="en"/>
        </w:rPr>
        <w:t>operating</w:t>
      </w:r>
      <w:r w:rsidR="00D7635E" w:rsidRPr="00984BD6">
        <w:rPr>
          <w:rStyle w:val="st1"/>
          <w:rFonts w:ascii="Arial" w:hAnsi="Arial" w:cs="Arial"/>
          <w:sz w:val="22"/>
          <w:szCs w:val="22"/>
          <w:lang w:val="en"/>
        </w:rPr>
        <w:t xml:space="preserve"> profit </w:t>
      </w:r>
      <w:r w:rsidR="00C24CCA" w:rsidRPr="00984BD6">
        <w:rPr>
          <w:rStyle w:val="st1"/>
          <w:rFonts w:ascii="Arial" w:hAnsi="Arial" w:cs="Arial"/>
          <w:sz w:val="22"/>
          <w:szCs w:val="22"/>
          <w:lang w:val="en"/>
        </w:rPr>
        <w:t>includes a drag of</w:t>
      </w:r>
      <w:r w:rsidR="00D7635E" w:rsidRPr="00984BD6">
        <w:rPr>
          <w:rStyle w:val="st1"/>
          <w:rFonts w:ascii="Arial" w:hAnsi="Arial" w:cs="Arial"/>
          <w:sz w:val="22"/>
          <w:szCs w:val="22"/>
          <w:lang w:val="en"/>
        </w:rPr>
        <w:t xml:space="preserve"> </w:t>
      </w:r>
      <w:r w:rsidR="005518F1" w:rsidRPr="00984BD6">
        <w:rPr>
          <w:rStyle w:val="st1"/>
          <w:rFonts w:ascii="Arial" w:hAnsi="Arial" w:cs="Arial"/>
          <w:sz w:val="22"/>
          <w:szCs w:val="22"/>
          <w:lang w:val="en"/>
        </w:rPr>
        <w:t>about $80 million</w:t>
      </w:r>
      <w:r w:rsidRPr="00984BD6">
        <w:rPr>
          <w:rStyle w:val="st1"/>
          <w:rFonts w:ascii="Arial" w:hAnsi="Arial" w:cs="Arial"/>
          <w:sz w:val="22"/>
          <w:szCs w:val="22"/>
          <w:lang w:val="en"/>
        </w:rPr>
        <w:t xml:space="preserve"> </w:t>
      </w:r>
      <w:r w:rsidR="00CE48BB" w:rsidRPr="00984BD6">
        <w:rPr>
          <w:rStyle w:val="st1"/>
          <w:rFonts w:ascii="Arial" w:hAnsi="Arial" w:cs="Arial"/>
          <w:sz w:val="22"/>
          <w:szCs w:val="22"/>
          <w:lang w:val="en"/>
        </w:rPr>
        <w:t xml:space="preserve">due to </w:t>
      </w:r>
      <w:r w:rsidR="00D7635E" w:rsidRPr="00984BD6">
        <w:rPr>
          <w:rFonts w:ascii="Arial" w:hAnsi="Arial" w:cs="Arial"/>
          <w:sz w:val="22"/>
          <w:szCs w:val="22"/>
          <w:lang w:val="en"/>
        </w:rPr>
        <w:t>severe winter weather</w:t>
      </w:r>
      <w:r w:rsidR="002A7139" w:rsidRPr="00984BD6">
        <w:rPr>
          <w:rFonts w:ascii="Arial" w:hAnsi="Arial" w:cs="Arial"/>
          <w:sz w:val="22"/>
          <w:szCs w:val="22"/>
          <w:lang w:val="en"/>
        </w:rPr>
        <w:t xml:space="preserve"> during </w:t>
      </w:r>
      <w:r w:rsidR="00206BE0" w:rsidRPr="00984BD6">
        <w:rPr>
          <w:rFonts w:ascii="Arial" w:hAnsi="Arial" w:cs="Arial"/>
          <w:sz w:val="22"/>
          <w:szCs w:val="22"/>
          <w:lang w:val="en"/>
        </w:rPr>
        <w:t>all</w:t>
      </w:r>
      <w:r w:rsidR="002A7139" w:rsidRPr="00984BD6">
        <w:rPr>
          <w:rFonts w:ascii="Arial" w:hAnsi="Arial" w:cs="Arial"/>
          <w:sz w:val="22"/>
          <w:szCs w:val="22"/>
          <w:lang w:val="en"/>
        </w:rPr>
        <w:t xml:space="preserve"> month</w:t>
      </w:r>
      <w:r w:rsidR="00206BE0" w:rsidRPr="00984BD6">
        <w:rPr>
          <w:rFonts w:ascii="Arial" w:hAnsi="Arial" w:cs="Arial"/>
          <w:sz w:val="22"/>
          <w:szCs w:val="22"/>
          <w:lang w:val="en"/>
        </w:rPr>
        <w:t>s</w:t>
      </w:r>
      <w:r w:rsidR="002A7139" w:rsidRPr="00984BD6">
        <w:rPr>
          <w:rFonts w:ascii="Arial" w:hAnsi="Arial" w:cs="Arial"/>
          <w:sz w:val="22"/>
          <w:szCs w:val="22"/>
          <w:lang w:val="en"/>
        </w:rPr>
        <w:t xml:space="preserve"> of the quarter</w:t>
      </w:r>
      <w:r w:rsidR="00D7635E" w:rsidRPr="00984BD6">
        <w:rPr>
          <w:rFonts w:ascii="Arial" w:hAnsi="Arial" w:cs="Arial"/>
          <w:sz w:val="22"/>
          <w:szCs w:val="22"/>
          <w:lang w:val="en"/>
        </w:rPr>
        <w:t>.</w:t>
      </w:r>
    </w:p>
    <w:p w14:paraId="3C2EE821" w14:textId="77777777" w:rsidR="00230093" w:rsidRPr="00D352EF" w:rsidRDefault="00230093" w:rsidP="00C5142D">
      <w:pPr>
        <w:rPr>
          <w:rFonts w:ascii="Arial" w:hAnsi="Arial" w:cs="Arial"/>
          <w:sz w:val="22"/>
        </w:rPr>
      </w:pPr>
    </w:p>
    <w:p w14:paraId="6E8C1001" w14:textId="77777777" w:rsidR="00BC6FC0" w:rsidRPr="00D352EF" w:rsidRDefault="00BC6FC0" w:rsidP="00C5142D">
      <w:pPr>
        <w:rPr>
          <w:rFonts w:ascii="Arial" w:hAnsi="Arial" w:cs="Arial"/>
          <w:sz w:val="22"/>
        </w:rPr>
      </w:pPr>
    </w:p>
    <w:p w14:paraId="0E4EE449" w14:textId="77777777" w:rsidR="00825A62" w:rsidRPr="00D352EF" w:rsidRDefault="004914AA" w:rsidP="00D12477">
      <w:pPr>
        <w:rPr>
          <w:rFonts w:ascii="Arial" w:hAnsi="Arial" w:cs="Arial"/>
          <w:b/>
          <w:sz w:val="22"/>
          <w:szCs w:val="20"/>
          <w:u w:val="single"/>
        </w:rPr>
      </w:pPr>
      <w:r w:rsidRPr="00D352EF">
        <w:rPr>
          <w:rFonts w:ascii="Arial" w:hAnsi="Arial" w:cs="Arial"/>
          <w:b/>
          <w:sz w:val="22"/>
          <w:szCs w:val="20"/>
          <w:u w:val="single"/>
        </w:rPr>
        <w:t>International</w:t>
      </w:r>
      <w:r w:rsidR="00941FD4" w:rsidRPr="00D352EF">
        <w:rPr>
          <w:rFonts w:ascii="Arial" w:hAnsi="Arial" w:cs="Arial"/>
          <w:b/>
          <w:sz w:val="22"/>
          <w:szCs w:val="20"/>
          <w:u w:val="single"/>
        </w:rPr>
        <w:t xml:space="preserve"> </w:t>
      </w:r>
      <w:r w:rsidRPr="00D352EF">
        <w:rPr>
          <w:rFonts w:ascii="Arial" w:hAnsi="Arial" w:cs="Arial"/>
          <w:b/>
          <w:sz w:val="22"/>
          <w:szCs w:val="20"/>
          <w:u w:val="single"/>
        </w:rPr>
        <w:t>Segment</w:t>
      </w:r>
    </w:p>
    <w:p w14:paraId="039889FB" w14:textId="77777777" w:rsidR="005A5BC6" w:rsidRDefault="005A5BC6" w:rsidP="005A5BC6">
      <w:pPr>
        <w:rPr>
          <w:rFonts w:ascii="Arial" w:hAnsi="Arial" w:cs="Arial"/>
          <w:sz w:val="22"/>
        </w:rPr>
      </w:pPr>
    </w:p>
    <w:p w14:paraId="0DF22446" w14:textId="77777777" w:rsidR="009F270D" w:rsidRPr="00BC496D" w:rsidRDefault="009F270D" w:rsidP="00B53E29">
      <w:pPr>
        <w:ind w:firstLine="720"/>
        <w:rPr>
          <w:rFonts w:ascii="Arial" w:hAnsi="Arial" w:cs="Arial"/>
          <w:sz w:val="22"/>
          <w:szCs w:val="22"/>
        </w:rPr>
      </w:pPr>
      <w:r w:rsidRPr="00BC496D">
        <w:rPr>
          <w:rFonts w:ascii="Arial" w:hAnsi="Arial" w:cs="Arial"/>
          <w:sz w:val="22"/>
        </w:rPr>
        <w:t xml:space="preserve">The International segment </w:t>
      </w:r>
      <w:r w:rsidR="008A7EB7">
        <w:rPr>
          <w:rFonts w:ascii="Arial" w:hAnsi="Arial" w:cs="Arial"/>
          <w:sz w:val="22"/>
        </w:rPr>
        <w:t>reported record first-</w:t>
      </w:r>
      <w:r w:rsidR="00F12948">
        <w:rPr>
          <w:rFonts w:ascii="Arial" w:hAnsi="Arial" w:cs="Arial"/>
          <w:sz w:val="22"/>
        </w:rPr>
        <w:t>quarter operating profit, reflecting the s</w:t>
      </w:r>
      <w:r w:rsidR="00B72213">
        <w:rPr>
          <w:rFonts w:ascii="Arial" w:hAnsi="Arial" w:cs="Arial"/>
          <w:sz w:val="22"/>
        </w:rPr>
        <w:t>trength and flexibility of the c</w:t>
      </w:r>
      <w:r w:rsidR="00F12948">
        <w:rPr>
          <w:rFonts w:ascii="Arial" w:hAnsi="Arial" w:cs="Arial"/>
          <w:sz w:val="22"/>
        </w:rPr>
        <w:t>ompany’s global</w:t>
      </w:r>
      <w:r w:rsidRPr="00BC496D">
        <w:rPr>
          <w:rFonts w:ascii="Arial" w:hAnsi="Arial" w:cs="Arial"/>
          <w:sz w:val="22"/>
        </w:rPr>
        <w:t xml:space="preserve"> network </w:t>
      </w:r>
      <w:r w:rsidR="00875998">
        <w:rPr>
          <w:rFonts w:ascii="Arial" w:hAnsi="Arial" w:cs="Arial"/>
          <w:sz w:val="22"/>
        </w:rPr>
        <w:t>and its ability to execute in a</w:t>
      </w:r>
      <w:r w:rsidR="002400E2">
        <w:rPr>
          <w:rFonts w:ascii="Arial" w:hAnsi="Arial" w:cs="Arial"/>
          <w:sz w:val="22"/>
        </w:rPr>
        <w:t xml:space="preserve"> changing</w:t>
      </w:r>
      <w:r w:rsidR="00035E68" w:rsidRPr="00BC496D">
        <w:rPr>
          <w:rFonts w:ascii="Arial" w:hAnsi="Arial" w:cs="Arial"/>
          <w:sz w:val="22"/>
        </w:rPr>
        <w:t xml:space="preserve"> global trade environment</w:t>
      </w:r>
      <w:r w:rsidRPr="00BC496D">
        <w:rPr>
          <w:rFonts w:ascii="Arial" w:hAnsi="Arial" w:cs="Arial"/>
          <w:sz w:val="22"/>
        </w:rPr>
        <w:t xml:space="preserve">. </w:t>
      </w:r>
      <w:r w:rsidR="00BC496D" w:rsidRPr="00BC496D">
        <w:rPr>
          <w:rFonts w:ascii="Arial" w:hAnsi="Arial" w:cs="Arial"/>
          <w:sz w:val="22"/>
          <w:szCs w:val="22"/>
        </w:rPr>
        <w:t>Operating margin was 15.3%</w:t>
      </w:r>
      <w:r w:rsidR="000D6E39">
        <w:rPr>
          <w:rFonts w:ascii="Arial" w:hAnsi="Arial" w:cs="Arial"/>
          <w:sz w:val="22"/>
          <w:szCs w:val="22"/>
        </w:rPr>
        <w:t xml:space="preserve"> and 17.7% on an adjusted basis. The adjusted margin expanded </w:t>
      </w:r>
      <w:r w:rsidR="008A7EB7">
        <w:rPr>
          <w:rFonts w:ascii="Arial" w:hAnsi="Arial" w:cs="Arial"/>
          <w:sz w:val="22"/>
          <w:szCs w:val="22"/>
        </w:rPr>
        <w:t>90 basis point</w:t>
      </w:r>
      <w:r w:rsidR="000D6E39">
        <w:rPr>
          <w:rFonts w:ascii="Arial" w:hAnsi="Arial" w:cs="Arial"/>
          <w:sz w:val="22"/>
          <w:szCs w:val="22"/>
        </w:rPr>
        <w:t>s</w:t>
      </w:r>
      <w:r w:rsidR="00EF583E" w:rsidRPr="00EF583E">
        <w:rPr>
          <w:rFonts w:ascii="Arial" w:hAnsi="Arial" w:cs="Arial"/>
          <w:sz w:val="22"/>
          <w:szCs w:val="22"/>
          <w:vertAlign w:val="superscript"/>
        </w:rPr>
        <w:t>+</w:t>
      </w:r>
      <w:r w:rsidR="000D6E39">
        <w:rPr>
          <w:rFonts w:ascii="Arial" w:hAnsi="Arial" w:cs="Arial"/>
          <w:sz w:val="22"/>
          <w:szCs w:val="22"/>
        </w:rPr>
        <w:t xml:space="preserve"> over the prior period</w:t>
      </w:r>
      <w:r w:rsidR="00BC496D" w:rsidRPr="00BC496D">
        <w:rPr>
          <w:rFonts w:ascii="Arial" w:hAnsi="Arial" w:cs="Arial"/>
          <w:sz w:val="22"/>
          <w:szCs w:val="22"/>
        </w:rPr>
        <w:t>.</w:t>
      </w:r>
      <w:r w:rsidR="00BC496D">
        <w:rPr>
          <w:rFonts w:ascii="Arial" w:hAnsi="Arial" w:cs="Arial"/>
          <w:sz w:val="22"/>
          <w:szCs w:val="22"/>
        </w:rPr>
        <w:t xml:space="preserve">  </w:t>
      </w:r>
    </w:p>
    <w:p w14:paraId="1D664CDA" w14:textId="77777777" w:rsidR="009F270D" w:rsidRPr="00D352EF" w:rsidRDefault="009F270D" w:rsidP="005A5BC6">
      <w:pPr>
        <w:rPr>
          <w:rFonts w:ascii="Arial" w:hAnsi="Arial" w:cs="Arial"/>
          <w:sz w:val="22"/>
        </w:rPr>
      </w:pPr>
    </w:p>
    <w:tbl>
      <w:tblPr>
        <w:tblStyle w:val="TableGrid"/>
        <w:tblW w:w="73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1440"/>
        <w:gridCol w:w="1440"/>
        <w:gridCol w:w="1440"/>
      </w:tblGrid>
      <w:tr w:rsidR="003826C8" w:rsidRPr="00F84BDD" w14:paraId="62072481" w14:textId="77777777" w:rsidTr="002651E6">
        <w:trPr>
          <w:jc w:val="center"/>
        </w:trPr>
        <w:tc>
          <w:tcPr>
            <w:tcW w:w="3024" w:type="dxa"/>
          </w:tcPr>
          <w:p w14:paraId="789EFC3E" w14:textId="77777777" w:rsidR="003826C8" w:rsidRPr="00C313D5" w:rsidRDefault="003826C8" w:rsidP="002651E6">
            <w:pPr>
              <w:rPr>
                <w:rFonts w:ascii="Arial" w:hAnsi="Arial" w:cs="Arial"/>
                <w:b/>
                <w:sz w:val="20"/>
                <w:szCs w:val="22"/>
                <w:u w:val="single"/>
              </w:rPr>
            </w:pPr>
          </w:p>
          <w:p w14:paraId="063FC772" w14:textId="77777777" w:rsidR="003826C8" w:rsidRPr="00C313D5" w:rsidRDefault="003826C8" w:rsidP="002651E6">
            <w:pPr>
              <w:rPr>
                <w:rFonts w:ascii="Arial" w:hAnsi="Arial" w:cs="Arial"/>
                <w:b/>
                <w:sz w:val="20"/>
                <w:szCs w:val="22"/>
                <w:u w:val="single"/>
              </w:rPr>
            </w:pPr>
          </w:p>
        </w:tc>
        <w:tc>
          <w:tcPr>
            <w:tcW w:w="1440" w:type="dxa"/>
          </w:tcPr>
          <w:p w14:paraId="57D309B3" w14:textId="77777777" w:rsidR="003826C8" w:rsidRPr="00C313D5" w:rsidRDefault="003826C8" w:rsidP="002651E6">
            <w:pPr>
              <w:jc w:val="right"/>
              <w:rPr>
                <w:rFonts w:ascii="Arial" w:hAnsi="Arial" w:cs="Arial"/>
                <w:b/>
                <w:sz w:val="20"/>
                <w:szCs w:val="22"/>
                <w:u w:val="single"/>
              </w:rPr>
            </w:pPr>
          </w:p>
          <w:p w14:paraId="5627F516" w14:textId="77777777" w:rsidR="003826C8" w:rsidRPr="002A57D6" w:rsidRDefault="003826C8" w:rsidP="002651E6">
            <w:pPr>
              <w:jc w:val="right"/>
              <w:rPr>
                <w:rFonts w:ascii="Arial" w:hAnsi="Arial" w:cs="Arial"/>
                <w:b/>
                <w:sz w:val="20"/>
                <w:szCs w:val="22"/>
                <w:u w:val="single"/>
              </w:rPr>
            </w:pPr>
            <w:r>
              <w:rPr>
                <w:rFonts w:ascii="Arial" w:hAnsi="Arial" w:cs="Arial"/>
                <w:b/>
                <w:sz w:val="20"/>
                <w:szCs w:val="22"/>
                <w:u w:val="single"/>
              </w:rPr>
              <w:t>1Q 2019</w:t>
            </w:r>
          </w:p>
        </w:tc>
        <w:tc>
          <w:tcPr>
            <w:tcW w:w="1440" w:type="dxa"/>
          </w:tcPr>
          <w:p w14:paraId="55F23DC2" w14:textId="77777777" w:rsidR="003826C8" w:rsidRPr="002A57D6" w:rsidRDefault="003826C8" w:rsidP="002651E6">
            <w:pPr>
              <w:jc w:val="right"/>
              <w:rPr>
                <w:rFonts w:ascii="Arial" w:hAnsi="Arial" w:cs="Arial"/>
                <w:b/>
                <w:sz w:val="20"/>
                <w:szCs w:val="22"/>
                <w:u w:val="single"/>
              </w:rPr>
            </w:pPr>
            <w:r w:rsidRPr="002A57D6">
              <w:rPr>
                <w:rFonts w:ascii="Arial" w:hAnsi="Arial" w:cs="Arial"/>
                <w:b/>
                <w:sz w:val="20"/>
                <w:szCs w:val="22"/>
                <w:u w:val="single"/>
              </w:rPr>
              <w:t>Adjusted</w:t>
            </w:r>
          </w:p>
          <w:p w14:paraId="4938237A" w14:textId="77777777" w:rsidR="003826C8" w:rsidRPr="00F84BDD" w:rsidRDefault="003826C8" w:rsidP="002651E6">
            <w:pPr>
              <w:jc w:val="right"/>
              <w:rPr>
                <w:rFonts w:ascii="Arial" w:hAnsi="Arial" w:cs="Arial"/>
                <w:b/>
                <w:sz w:val="20"/>
                <w:szCs w:val="22"/>
                <w:u w:val="single"/>
              </w:rPr>
            </w:pPr>
            <w:r>
              <w:rPr>
                <w:rFonts w:ascii="Arial" w:hAnsi="Arial" w:cs="Arial"/>
                <w:b/>
                <w:sz w:val="20"/>
                <w:szCs w:val="22"/>
                <w:u w:val="single"/>
              </w:rPr>
              <w:t>1Q 2019</w:t>
            </w:r>
          </w:p>
        </w:tc>
        <w:tc>
          <w:tcPr>
            <w:tcW w:w="1440" w:type="dxa"/>
          </w:tcPr>
          <w:p w14:paraId="09B5DDA9" w14:textId="77777777" w:rsidR="003826C8" w:rsidRPr="00F84BDD" w:rsidRDefault="003826C8" w:rsidP="002651E6">
            <w:pPr>
              <w:jc w:val="right"/>
              <w:rPr>
                <w:rFonts w:ascii="Arial" w:hAnsi="Arial" w:cs="Arial"/>
                <w:b/>
                <w:sz w:val="20"/>
                <w:szCs w:val="22"/>
                <w:u w:val="single"/>
              </w:rPr>
            </w:pPr>
          </w:p>
          <w:p w14:paraId="210543CF" w14:textId="77777777" w:rsidR="003826C8" w:rsidRPr="00F84BDD" w:rsidRDefault="003826C8" w:rsidP="002651E6">
            <w:pPr>
              <w:jc w:val="right"/>
              <w:rPr>
                <w:rFonts w:ascii="Arial" w:hAnsi="Arial" w:cs="Arial"/>
                <w:b/>
                <w:sz w:val="20"/>
                <w:szCs w:val="22"/>
                <w:u w:val="single"/>
              </w:rPr>
            </w:pPr>
            <w:r>
              <w:rPr>
                <w:rFonts w:ascii="Arial" w:hAnsi="Arial" w:cs="Arial"/>
                <w:b/>
                <w:sz w:val="20"/>
                <w:szCs w:val="22"/>
                <w:u w:val="single"/>
              </w:rPr>
              <w:t>1Q 2018</w:t>
            </w:r>
          </w:p>
        </w:tc>
      </w:tr>
      <w:tr w:rsidR="003826C8" w:rsidRPr="00F84BDD" w14:paraId="010B2C29" w14:textId="77777777" w:rsidTr="002651E6">
        <w:trPr>
          <w:jc w:val="center"/>
        </w:trPr>
        <w:tc>
          <w:tcPr>
            <w:tcW w:w="3024" w:type="dxa"/>
          </w:tcPr>
          <w:p w14:paraId="47104D91" w14:textId="77777777" w:rsidR="003826C8" w:rsidRPr="00F84BDD" w:rsidRDefault="003826C8" w:rsidP="002651E6">
            <w:pPr>
              <w:rPr>
                <w:rFonts w:ascii="Arial" w:hAnsi="Arial" w:cs="Arial"/>
                <w:sz w:val="20"/>
                <w:szCs w:val="22"/>
              </w:rPr>
            </w:pPr>
            <w:r w:rsidRPr="00F84BDD">
              <w:rPr>
                <w:rFonts w:ascii="Arial" w:hAnsi="Arial" w:cs="Arial"/>
                <w:sz w:val="20"/>
                <w:szCs w:val="22"/>
              </w:rPr>
              <w:t>Revenue</w:t>
            </w:r>
          </w:p>
        </w:tc>
        <w:tc>
          <w:tcPr>
            <w:tcW w:w="1440" w:type="dxa"/>
          </w:tcPr>
          <w:p w14:paraId="577C924F" w14:textId="77777777" w:rsidR="003826C8" w:rsidRPr="00F84BDD" w:rsidRDefault="003826C8" w:rsidP="002651E6">
            <w:pPr>
              <w:jc w:val="right"/>
              <w:rPr>
                <w:rFonts w:ascii="Arial" w:hAnsi="Arial" w:cs="Arial"/>
                <w:sz w:val="20"/>
                <w:szCs w:val="22"/>
              </w:rPr>
            </w:pPr>
            <w:r w:rsidRPr="00F84BDD">
              <w:rPr>
                <w:rFonts w:ascii="Arial" w:hAnsi="Arial" w:cs="Arial"/>
                <w:sz w:val="20"/>
                <w:szCs w:val="22"/>
              </w:rPr>
              <w:t>$3,</w:t>
            </w:r>
            <w:r>
              <w:rPr>
                <w:rFonts w:ascii="Arial" w:hAnsi="Arial" w:cs="Arial"/>
                <w:sz w:val="20"/>
                <w:szCs w:val="22"/>
              </w:rPr>
              <w:t>459</w:t>
            </w:r>
            <w:r w:rsidRPr="00F84BDD">
              <w:rPr>
                <w:rFonts w:ascii="Arial" w:hAnsi="Arial" w:cs="Arial"/>
                <w:sz w:val="20"/>
                <w:szCs w:val="22"/>
              </w:rPr>
              <w:t xml:space="preserve"> M</w:t>
            </w:r>
          </w:p>
        </w:tc>
        <w:tc>
          <w:tcPr>
            <w:tcW w:w="1440" w:type="dxa"/>
          </w:tcPr>
          <w:p w14:paraId="6105CA59" w14:textId="77777777" w:rsidR="003826C8" w:rsidRPr="00F84BDD" w:rsidRDefault="003826C8" w:rsidP="002651E6">
            <w:pPr>
              <w:jc w:val="right"/>
              <w:rPr>
                <w:rFonts w:ascii="Arial" w:hAnsi="Arial" w:cs="Arial"/>
                <w:sz w:val="20"/>
                <w:szCs w:val="22"/>
              </w:rPr>
            </w:pPr>
          </w:p>
        </w:tc>
        <w:tc>
          <w:tcPr>
            <w:tcW w:w="1440" w:type="dxa"/>
          </w:tcPr>
          <w:p w14:paraId="36309685" w14:textId="77777777" w:rsidR="003826C8" w:rsidRPr="00F84BDD" w:rsidRDefault="003826C8" w:rsidP="002651E6">
            <w:pPr>
              <w:jc w:val="right"/>
              <w:rPr>
                <w:rFonts w:ascii="Arial" w:hAnsi="Arial" w:cs="Arial"/>
                <w:sz w:val="20"/>
                <w:szCs w:val="22"/>
              </w:rPr>
            </w:pPr>
            <w:r>
              <w:rPr>
                <w:rFonts w:ascii="Arial" w:hAnsi="Arial" w:cs="Arial"/>
                <w:sz w:val="20"/>
                <w:szCs w:val="22"/>
              </w:rPr>
              <w:t>$3,533</w:t>
            </w:r>
            <w:r w:rsidRPr="00F84BDD">
              <w:rPr>
                <w:rFonts w:ascii="Arial" w:hAnsi="Arial" w:cs="Arial"/>
                <w:sz w:val="20"/>
                <w:szCs w:val="22"/>
              </w:rPr>
              <w:t xml:space="preserve"> M</w:t>
            </w:r>
          </w:p>
        </w:tc>
      </w:tr>
      <w:tr w:rsidR="003826C8" w:rsidRPr="00F84BDD" w14:paraId="701D15AD" w14:textId="77777777" w:rsidTr="002651E6">
        <w:trPr>
          <w:jc w:val="center"/>
        </w:trPr>
        <w:tc>
          <w:tcPr>
            <w:tcW w:w="3024" w:type="dxa"/>
          </w:tcPr>
          <w:p w14:paraId="24A9CB15" w14:textId="77777777" w:rsidR="003826C8" w:rsidRPr="00F84BDD" w:rsidRDefault="003826C8" w:rsidP="002651E6">
            <w:pPr>
              <w:rPr>
                <w:rFonts w:ascii="Arial" w:hAnsi="Arial" w:cs="Arial"/>
                <w:sz w:val="20"/>
                <w:szCs w:val="22"/>
              </w:rPr>
            </w:pPr>
            <w:r w:rsidRPr="00F84BDD">
              <w:rPr>
                <w:rFonts w:ascii="Arial" w:hAnsi="Arial" w:cs="Arial"/>
                <w:sz w:val="20"/>
                <w:szCs w:val="22"/>
              </w:rPr>
              <w:t>Operating profit</w:t>
            </w:r>
          </w:p>
        </w:tc>
        <w:tc>
          <w:tcPr>
            <w:tcW w:w="1440" w:type="dxa"/>
          </w:tcPr>
          <w:p w14:paraId="20E0A239" w14:textId="77777777" w:rsidR="003826C8" w:rsidRPr="00F84BDD" w:rsidRDefault="003826C8" w:rsidP="002651E6">
            <w:pPr>
              <w:jc w:val="right"/>
              <w:rPr>
                <w:rFonts w:ascii="Arial" w:hAnsi="Arial" w:cs="Arial"/>
                <w:sz w:val="20"/>
                <w:szCs w:val="22"/>
              </w:rPr>
            </w:pPr>
            <w:r w:rsidRPr="00F84BDD">
              <w:rPr>
                <w:rFonts w:ascii="Arial" w:hAnsi="Arial" w:cs="Arial"/>
                <w:sz w:val="20"/>
                <w:szCs w:val="22"/>
              </w:rPr>
              <w:t>$</w:t>
            </w:r>
            <w:r>
              <w:rPr>
                <w:rFonts w:ascii="Arial" w:hAnsi="Arial" w:cs="Arial"/>
                <w:sz w:val="20"/>
                <w:szCs w:val="22"/>
              </w:rPr>
              <w:t>528</w:t>
            </w:r>
            <w:r w:rsidRPr="00F84BDD">
              <w:rPr>
                <w:rFonts w:ascii="Arial" w:hAnsi="Arial" w:cs="Arial"/>
                <w:sz w:val="20"/>
                <w:szCs w:val="22"/>
              </w:rPr>
              <w:t xml:space="preserve"> M</w:t>
            </w:r>
          </w:p>
        </w:tc>
        <w:tc>
          <w:tcPr>
            <w:tcW w:w="1440" w:type="dxa"/>
          </w:tcPr>
          <w:p w14:paraId="64BC2F85" w14:textId="77777777" w:rsidR="003826C8" w:rsidRPr="00F84BDD" w:rsidRDefault="003826C8" w:rsidP="002651E6">
            <w:pPr>
              <w:jc w:val="right"/>
              <w:rPr>
                <w:rFonts w:ascii="Arial" w:hAnsi="Arial" w:cs="Arial"/>
                <w:sz w:val="20"/>
                <w:szCs w:val="22"/>
              </w:rPr>
            </w:pPr>
            <w:r w:rsidRPr="00F84BDD">
              <w:rPr>
                <w:rFonts w:ascii="Arial" w:hAnsi="Arial" w:cs="Arial"/>
                <w:sz w:val="20"/>
                <w:szCs w:val="22"/>
              </w:rPr>
              <w:t>$</w:t>
            </w:r>
            <w:r>
              <w:rPr>
                <w:rFonts w:ascii="Arial" w:hAnsi="Arial" w:cs="Arial"/>
                <w:sz w:val="20"/>
                <w:szCs w:val="22"/>
              </w:rPr>
              <w:t>612</w:t>
            </w:r>
            <w:r w:rsidRPr="00F84BDD">
              <w:rPr>
                <w:rFonts w:ascii="Arial" w:hAnsi="Arial" w:cs="Arial"/>
                <w:sz w:val="20"/>
                <w:szCs w:val="22"/>
              </w:rPr>
              <w:t xml:space="preserve"> M</w:t>
            </w:r>
          </w:p>
        </w:tc>
        <w:tc>
          <w:tcPr>
            <w:tcW w:w="1440" w:type="dxa"/>
          </w:tcPr>
          <w:p w14:paraId="2277FC77" w14:textId="77777777" w:rsidR="003826C8" w:rsidRPr="00F84BDD" w:rsidRDefault="003826C8" w:rsidP="002651E6">
            <w:pPr>
              <w:jc w:val="right"/>
              <w:rPr>
                <w:rFonts w:ascii="Arial" w:hAnsi="Arial" w:cs="Arial"/>
                <w:sz w:val="20"/>
                <w:szCs w:val="22"/>
              </w:rPr>
            </w:pPr>
            <w:r w:rsidRPr="00F84BDD">
              <w:rPr>
                <w:rFonts w:ascii="Arial" w:hAnsi="Arial" w:cs="Arial"/>
                <w:sz w:val="20"/>
                <w:szCs w:val="22"/>
              </w:rPr>
              <w:t>$</w:t>
            </w:r>
            <w:r>
              <w:rPr>
                <w:rFonts w:ascii="Arial" w:hAnsi="Arial" w:cs="Arial"/>
                <w:sz w:val="20"/>
                <w:szCs w:val="22"/>
              </w:rPr>
              <w:t>594</w:t>
            </w:r>
            <w:r w:rsidRPr="00F84BDD">
              <w:rPr>
                <w:rFonts w:ascii="Arial" w:hAnsi="Arial" w:cs="Arial"/>
                <w:sz w:val="20"/>
                <w:szCs w:val="22"/>
              </w:rPr>
              <w:t xml:space="preserve"> M</w:t>
            </w:r>
          </w:p>
        </w:tc>
      </w:tr>
    </w:tbl>
    <w:p w14:paraId="26D593BF" w14:textId="77777777" w:rsidR="003826C8" w:rsidRDefault="003826C8" w:rsidP="00512620">
      <w:pPr>
        <w:ind w:left="720" w:hanging="720"/>
        <w:rPr>
          <w:rFonts w:ascii="Arial" w:hAnsi="Arial" w:cs="Arial"/>
          <w:szCs w:val="22"/>
        </w:rPr>
      </w:pPr>
    </w:p>
    <w:p w14:paraId="6A91D0A3" w14:textId="77777777" w:rsidR="003A69AF" w:rsidRPr="006158BB" w:rsidRDefault="003A69AF" w:rsidP="003A69AF">
      <w:pPr>
        <w:pStyle w:val="ListParagraph"/>
        <w:ind w:left="360"/>
        <w:jc w:val="center"/>
        <w:rPr>
          <w:rFonts w:ascii="Arial" w:hAnsi="Arial" w:cs="Arial"/>
          <w:sz w:val="22"/>
          <w:szCs w:val="20"/>
        </w:rPr>
      </w:pPr>
      <w:r w:rsidRPr="006158BB">
        <w:rPr>
          <w:rFonts w:ascii="Arial" w:hAnsi="Arial" w:cs="Arial"/>
          <w:sz w:val="22"/>
          <w:szCs w:val="20"/>
        </w:rPr>
        <w:t>– more –</w:t>
      </w:r>
    </w:p>
    <w:p w14:paraId="76FDFDA4" w14:textId="77777777" w:rsidR="003A69AF" w:rsidRPr="001279AB" w:rsidRDefault="003A69AF" w:rsidP="001279AB">
      <w:pPr>
        <w:ind w:left="720" w:hanging="720"/>
        <w:rPr>
          <w:rFonts w:ascii="Arial" w:hAnsi="Arial"/>
        </w:rPr>
      </w:pPr>
    </w:p>
    <w:p w14:paraId="08F86329" w14:textId="77777777" w:rsidR="00971CED" w:rsidRPr="00971CED" w:rsidRDefault="00971CED" w:rsidP="00971CED">
      <w:pPr>
        <w:rPr>
          <w:rFonts w:ascii="Arial" w:hAnsi="Arial" w:cs="Arial"/>
          <w:b/>
          <w:sz w:val="20"/>
          <w:szCs w:val="20"/>
          <w:vertAlign w:val="subscript"/>
        </w:rPr>
      </w:pPr>
      <w:r w:rsidRPr="00971CED">
        <w:rPr>
          <w:rFonts w:ascii="Arial" w:hAnsi="Arial" w:cs="Arial"/>
          <w:b/>
          <w:sz w:val="20"/>
          <w:szCs w:val="20"/>
          <w:vertAlign w:val="superscript"/>
        </w:rPr>
        <w:t>+</w:t>
      </w:r>
      <w:r w:rsidRPr="00971CED">
        <w:rPr>
          <w:rFonts w:ascii="Arial" w:hAnsi="Arial" w:cs="Arial"/>
          <w:b/>
          <w:sz w:val="20"/>
          <w:szCs w:val="20"/>
          <w:vertAlign w:val="subscript"/>
        </w:rPr>
        <w:t>One basis point equals one-hundredth of a percentage point.</w:t>
      </w:r>
    </w:p>
    <w:p w14:paraId="3C00C2A2" w14:textId="77777777" w:rsidR="00971CED" w:rsidRPr="00A24E76" w:rsidRDefault="00971CED" w:rsidP="001279AB">
      <w:pPr>
        <w:pStyle w:val="ListParagraph"/>
        <w:ind w:left="360"/>
        <w:rPr>
          <w:rFonts w:ascii="Arial" w:hAnsi="Arial" w:cs="Arial"/>
          <w:sz w:val="22"/>
          <w:szCs w:val="22"/>
        </w:rPr>
      </w:pPr>
    </w:p>
    <w:p w14:paraId="0437972C" w14:textId="77777777" w:rsidR="00984BD6" w:rsidRPr="00984BD6" w:rsidRDefault="00984BD6" w:rsidP="00984BD6">
      <w:pPr>
        <w:rPr>
          <w:rFonts w:ascii="Arial" w:hAnsi="Arial" w:cs="Arial"/>
          <w:szCs w:val="22"/>
        </w:rPr>
      </w:pPr>
      <w:r w:rsidRPr="00984BD6">
        <w:rPr>
          <w:rFonts w:ascii="Arial" w:hAnsi="Arial" w:cs="Arial"/>
          <w:sz w:val="22"/>
          <w:szCs w:val="22"/>
        </w:rPr>
        <w:lastRenderedPageBreak/>
        <w:t>For the International segment in 1Q 2019</w:t>
      </w:r>
      <w:r w:rsidRPr="00984BD6">
        <w:rPr>
          <w:rFonts w:ascii="Arial" w:hAnsi="Arial" w:cs="Arial"/>
          <w:szCs w:val="22"/>
        </w:rPr>
        <w:t>:</w:t>
      </w:r>
    </w:p>
    <w:p w14:paraId="63AF300D" w14:textId="77777777" w:rsidR="00035E68" w:rsidRDefault="00035E68" w:rsidP="00035E68">
      <w:pPr>
        <w:pStyle w:val="ListParagraph"/>
        <w:numPr>
          <w:ilvl w:val="0"/>
          <w:numId w:val="2"/>
        </w:numPr>
        <w:rPr>
          <w:rFonts w:ascii="Arial" w:hAnsi="Arial" w:cs="Arial"/>
          <w:sz w:val="22"/>
        </w:rPr>
      </w:pPr>
      <w:r w:rsidRPr="009D17DE">
        <w:rPr>
          <w:rFonts w:ascii="Arial" w:hAnsi="Arial" w:cs="Arial"/>
          <w:sz w:val="22"/>
        </w:rPr>
        <w:t>Revenue per piece</w:t>
      </w:r>
      <w:r>
        <w:rPr>
          <w:rFonts w:ascii="Arial" w:hAnsi="Arial" w:cs="Arial"/>
          <w:sz w:val="22"/>
        </w:rPr>
        <w:t xml:space="preserve"> </w:t>
      </w:r>
      <w:r w:rsidR="0038342D">
        <w:rPr>
          <w:rFonts w:ascii="Arial" w:hAnsi="Arial" w:cs="Arial"/>
          <w:sz w:val="22"/>
        </w:rPr>
        <w:t xml:space="preserve">was lower by </w:t>
      </w:r>
      <w:r w:rsidR="00875998">
        <w:rPr>
          <w:rFonts w:ascii="Arial" w:hAnsi="Arial" w:cs="Arial"/>
          <w:sz w:val="22"/>
        </w:rPr>
        <w:t xml:space="preserve">1.2%; </w:t>
      </w:r>
      <w:r w:rsidR="0009777D">
        <w:rPr>
          <w:rFonts w:ascii="Arial" w:hAnsi="Arial" w:cs="Arial"/>
          <w:sz w:val="22"/>
        </w:rPr>
        <w:t xml:space="preserve">when adjusting for currency, </w:t>
      </w:r>
      <w:r w:rsidR="007B7C85">
        <w:rPr>
          <w:rFonts w:ascii="Arial" w:hAnsi="Arial" w:cs="Arial"/>
          <w:sz w:val="22"/>
        </w:rPr>
        <w:t xml:space="preserve">it </w:t>
      </w:r>
      <w:r w:rsidR="00473ED3">
        <w:rPr>
          <w:rFonts w:ascii="Arial" w:hAnsi="Arial" w:cs="Arial"/>
          <w:sz w:val="22"/>
        </w:rPr>
        <w:t>increased</w:t>
      </w:r>
      <w:r w:rsidR="00875998">
        <w:rPr>
          <w:rFonts w:ascii="Arial" w:hAnsi="Arial" w:cs="Arial"/>
          <w:sz w:val="22"/>
        </w:rPr>
        <w:t xml:space="preserve"> by</w:t>
      </w:r>
      <w:r w:rsidR="00935362">
        <w:rPr>
          <w:rFonts w:ascii="Arial" w:hAnsi="Arial" w:cs="Arial"/>
          <w:sz w:val="22"/>
        </w:rPr>
        <w:t xml:space="preserve"> 2</w:t>
      </w:r>
      <w:r w:rsidR="00875998">
        <w:rPr>
          <w:rFonts w:ascii="Arial" w:hAnsi="Arial" w:cs="Arial"/>
          <w:sz w:val="22"/>
        </w:rPr>
        <w:t>.3%, led by a 3.9% gain in domestic products.</w:t>
      </w:r>
    </w:p>
    <w:p w14:paraId="52D33DFC" w14:textId="77777777" w:rsidR="00875998" w:rsidRPr="00A24E76" w:rsidRDefault="00ED5EFE" w:rsidP="008218FA">
      <w:pPr>
        <w:pStyle w:val="ListParagraph"/>
        <w:numPr>
          <w:ilvl w:val="0"/>
          <w:numId w:val="2"/>
        </w:numPr>
        <w:rPr>
          <w:rFonts w:ascii="Arial" w:hAnsi="Arial" w:cs="Arial"/>
          <w:sz w:val="22"/>
        </w:rPr>
      </w:pPr>
      <w:r w:rsidRPr="00875998">
        <w:rPr>
          <w:rFonts w:ascii="Arial" w:hAnsi="Arial" w:cs="Arial"/>
          <w:sz w:val="22"/>
          <w:szCs w:val="22"/>
        </w:rPr>
        <w:t>Operating profit was $528 million</w:t>
      </w:r>
      <w:r w:rsidR="008A7EB7">
        <w:rPr>
          <w:rFonts w:ascii="Arial" w:hAnsi="Arial" w:cs="Arial"/>
          <w:sz w:val="22"/>
          <w:szCs w:val="22"/>
        </w:rPr>
        <w:t>;</w:t>
      </w:r>
      <w:r w:rsidR="00875998">
        <w:rPr>
          <w:rFonts w:ascii="Arial" w:hAnsi="Arial" w:cs="Arial"/>
          <w:sz w:val="22"/>
          <w:szCs w:val="22"/>
        </w:rPr>
        <w:t xml:space="preserve"> on a</w:t>
      </w:r>
      <w:r w:rsidR="00473ED3">
        <w:rPr>
          <w:rFonts w:ascii="Arial" w:hAnsi="Arial" w:cs="Arial"/>
          <w:sz w:val="22"/>
          <w:szCs w:val="22"/>
        </w:rPr>
        <w:t xml:space="preserve">n adjusted </w:t>
      </w:r>
      <w:r w:rsidR="00875998">
        <w:rPr>
          <w:rFonts w:ascii="Arial" w:hAnsi="Arial" w:cs="Arial"/>
          <w:sz w:val="22"/>
          <w:szCs w:val="22"/>
        </w:rPr>
        <w:t>basis, the segment produced $612 million</w:t>
      </w:r>
      <w:r w:rsidR="00953EA3">
        <w:rPr>
          <w:rFonts w:ascii="Arial" w:hAnsi="Arial" w:cs="Arial"/>
          <w:sz w:val="22"/>
          <w:szCs w:val="22"/>
        </w:rPr>
        <w:t xml:space="preserve"> in profit</w:t>
      </w:r>
      <w:r w:rsidR="00875998">
        <w:rPr>
          <w:rFonts w:ascii="Arial" w:hAnsi="Arial" w:cs="Arial"/>
          <w:sz w:val="22"/>
          <w:szCs w:val="22"/>
        </w:rPr>
        <w:t xml:space="preserve">. </w:t>
      </w:r>
    </w:p>
    <w:p w14:paraId="0CFDCF88" w14:textId="77777777" w:rsidR="00A24E76" w:rsidRDefault="00A24E76" w:rsidP="00A24E76">
      <w:pPr>
        <w:pStyle w:val="ListParagraph"/>
        <w:numPr>
          <w:ilvl w:val="0"/>
          <w:numId w:val="2"/>
        </w:numPr>
        <w:rPr>
          <w:rFonts w:ascii="Arial" w:hAnsi="Arial" w:cs="Arial"/>
          <w:sz w:val="22"/>
          <w:szCs w:val="22"/>
        </w:rPr>
      </w:pPr>
      <w:r w:rsidRPr="00A24E76">
        <w:rPr>
          <w:rFonts w:ascii="Arial" w:hAnsi="Arial" w:cs="Arial"/>
          <w:sz w:val="22"/>
          <w:szCs w:val="22"/>
        </w:rPr>
        <w:t>Disciplined yield management</w:t>
      </w:r>
      <w:r w:rsidR="008A7EB7">
        <w:rPr>
          <w:rFonts w:ascii="Arial" w:hAnsi="Arial" w:cs="Arial"/>
          <w:sz w:val="22"/>
          <w:szCs w:val="22"/>
        </w:rPr>
        <w:t>,</w:t>
      </w:r>
      <w:r w:rsidRPr="00A24E76">
        <w:rPr>
          <w:rFonts w:ascii="Arial" w:hAnsi="Arial" w:cs="Arial"/>
          <w:sz w:val="22"/>
          <w:szCs w:val="22"/>
        </w:rPr>
        <w:t xml:space="preserve"> coupled with growth from middle market B2B </w:t>
      </w:r>
      <w:r>
        <w:rPr>
          <w:rFonts w:ascii="Arial" w:hAnsi="Arial" w:cs="Arial"/>
          <w:sz w:val="22"/>
          <w:szCs w:val="22"/>
        </w:rPr>
        <w:t>customers</w:t>
      </w:r>
      <w:r w:rsidR="008A7EB7">
        <w:rPr>
          <w:rFonts w:ascii="Arial" w:hAnsi="Arial" w:cs="Arial"/>
          <w:sz w:val="22"/>
          <w:szCs w:val="22"/>
        </w:rPr>
        <w:t>,</w:t>
      </w:r>
      <w:r>
        <w:rPr>
          <w:rFonts w:ascii="Arial" w:hAnsi="Arial" w:cs="Arial"/>
          <w:sz w:val="22"/>
          <w:szCs w:val="22"/>
        </w:rPr>
        <w:t xml:space="preserve"> </w:t>
      </w:r>
      <w:r w:rsidRPr="00A24E76">
        <w:rPr>
          <w:rFonts w:ascii="Arial" w:hAnsi="Arial" w:cs="Arial"/>
          <w:sz w:val="22"/>
          <w:szCs w:val="22"/>
        </w:rPr>
        <w:t xml:space="preserve">contributed to gains in revenue quality. </w:t>
      </w:r>
    </w:p>
    <w:p w14:paraId="000F45DD" w14:textId="77777777" w:rsidR="00A16F01" w:rsidRDefault="00984BD6" w:rsidP="00A16F01">
      <w:pPr>
        <w:pStyle w:val="ListParagraph"/>
        <w:numPr>
          <w:ilvl w:val="0"/>
          <w:numId w:val="2"/>
        </w:numPr>
        <w:rPr>
          <w:rFonts w:ascii="Arial" w:hAnsi="Arial" w:cs="Arial"/>
          <w:sz w:val="22"/>
        </w:rPr>
      </w:pPr>
      <w:r w:rsidRPr="00A16F01">
        <w:rPr>
          <w:rFonts w:ascii="Arial" w:hAnsi="Arial" w:cs="Arial"/>
          <w:sz w:val="22"/>
        </w:rPr>
        <w:t>High growth in export average daily volume in the prior-year period created tough comparisons. On a two-year stack basis, International exports achieved volume growth of nearly 12%, led by Europe and the</w:t>
      </w:r>
      <w:r w:rsidR="00A16F01">
        <w:rPr>
          <w:rFonts w:ascii="Arial" w:hAnsi="Arial" w:cs="Arial"/>
          <w:sz w:val="22"/>
        </w:rPr>
        <w:t xml:space="preserve"> Americas</w:t>
      </w:r>
      <w:r w:rsidRPr="00A16F01">
        <w:rPr>
          <w:rFonts w:ascii="Arial" w:hAnsi="Arial" w:cs="Arial"/>
          <w:sz w:val="22"/>
        </w:rPr>
        <w:t>.</w:t>
      </w:r>
    </w:p>
    <w:p w14:paraId="64F7DE43" w14:textId="77777777" w:rsidR="00875998" w:rsidRPr="00A16F01" w:rsidRDefault="00953EA3" w:rsidP="00A16F01">
      <w:pPr>
        <w:pStyle w:val="ListParagraph"/>
        <w:numPr>
          <w:ilvl w:val="0"/>
          <w:numId w:val="2"/>
        </w:numPr>
        <w:rPr>
          <w:rFonts w:ascii="Arial" w:hAnsi="Arial" w:cs="Arial"/>
          <w:sz w:val="22"/>
        </w:rPr>
      </w:pPr>
      <w:r w:rsidRPr="00A16F01">
        <w:rPr>
          <w:rFonts w:ascii="Arial" w:hAnsi="Arial" w:cs="Arial"/>
          <w:sz w:val="22"/>
          <w:szCs w:val="22"/>
        </w:rPr>
        <w:t xml:space="preserve">Adjusted operating profit excludes </w:t>
      </w:r>
      <w:r w:rsidR="00875998" w:rsidRPr="00A16F01">
        <w:rPr>
          <w:rFonts w:ascii="Arial" w:hAnsi="Arial" w:cs="Arial"/>
          <w:sz w:val="22"/>
          <w:szCs w:val="22"/>
        </w:rPr>
        <w:t>Transformation-related charges of $84 million</w:t>
      </w:r>
      <w:r w:rsidR="001261E7" w:rsidRPr="00A16F01">
        <w:rPr>
          <w:rFonts w:ascii="Arial" w:hAnsi="Arial" w:cs="Arial"/>
          <w:sz w:val="22"/>
          <w:szCs w:val="22"/>
        </w:rPr>
        <w:t xml:space="preserve"> for </w:t>
      </w:r>
      <w:r w:rsidR="005014FE" w:rsidRPr="00A16F01">
        <w:rPr>
          <w:rFonts w:ascii="Arial" w:hAnsi="Arial" w:cs="Arial"/>
          <w:sz w:val="22"/>
          <w:szCs w:val="22"/>
        </w:rPr>
        <w:t xml:space="preserve">global realignment of </w:t>
      </w:r>
      <w:r w:rsidR="00A16F01" w:rsidRPr="00A16F01">
        <w:rPr>
          <w:rFonts w:ascii="Arial" w:hAnsi="Arial" w:cs="Arial"/>
          <w:sz w:val="22"/>
          <w:szCs w:val="22"/>
        </w:rPr>
        <w:t xml:space="preserve">systems and </w:t>
      </w:r>
      <w:r w:rsidR="005014FE" w:rsidRPr="00A16F01">
        <w:rPr>
          <w:rFonts w:ascii="Arial" w:hAnsi="Arial" w:cs="Arial"/>
          <w:sz w:val="22"/>
          <w:szCs w:val="22"/>
        </w:rPr>
        <w:t>resources.</w:t>
      </w:r>
    </w:p>
    <w:p w14:paraId="1416AC47" w14:textId="77777777" w:rsidR="002A0FDD" w:rsidRPr="001279AB" w:rsidRDefault="002A0FDD" w:rsidP="001279AB">
      <w:pPr>
        <w:rPr>
          <w:rFonts w:ascii="Arial" w:hAnsi="Arial"/>
          <w:b/>
          <w:sz w:val="22"/>
          <w:vertAlign w:val="subscript"/>
        </w:rPr>
      </w:pPr>
    </w:p>
    <w:p w14:paraId="44DBCB2D" w14:textId="77777777" w:rsidR="000665F0" w:rsidRDefault="000665F0" w:rsidP="004914AA">
      <w:pPr>
        <w:rPr>
          <w:rFonts w:ascii="Arial" w:hAnsi="Arial" w:cs="Arial"/>
          <w:b/>
          <w:sz w:val="22"/>
          <w:u w:val="single"/>
        </w:rPr>
      </w:pPr>
    </w:p>
    <w:p w14:paraId="3F0E5DB5" w14:textId="77777777" w:rsidR="000E624D" w:rsidRPr="00D352EF" w:rsidRDefault="000E624D" w:rsidP="004914AA">
      <w:pPr>
        <w:rPr>
          <w:rFonts w:ascii="Arial" w:hAnsi="Arial" w:cs="Arial"/>
          <w:b/>
          <w:sz w:val="22"/>
          <w:u w:val="single"/>
        </w:rPr>
      </w:pPr>
      <w:r w:rsidRPr="00D352EF">
        <w:rPr>
          <w:rFonts w:ascii="Arial" w:hAnsi="Arial" w:cs="Arial"/>
          <w:b/>
          <w:sz w:val="22"/>
          <w:u w:val="single"/>
        </w:rPr>
        <w:t>Supply Chain and Freight Segment</w:t>
      </w:r>
    </w:p>
    <w:p w14:paraId="252DB2DC" w14:textId="77777777" w:rsidR="001C4621" w:rsidRDefault="001C4621" w:rsidP="002C0AD0">
      <w:pPr>
        <w:rPr>
          <w:rFonts w:ascii="Arial" w:hAnsi="Arial" w:cs="Arial"/>
          <w:sz w:val="22"/>
        </w:rPr>
      </w:pPr>
    </w:p>
    <w:p w14:paraId="65336E0C" w14:textId="77777777" w:rsidR="008C354B" w:rsidRDefault="00F12948" w:rsidP="00B53E29">
      <w:pPr>
        <w:ind w:firstLine="720"/>
        <w:rPr>
          <w:rFonts w:ascii="Arial" w:hAnsi="Arial" w:cs="Arial"/>
          <w:sz w:val="22"/>
        </w:rPr>
      </w:pPr>
      <w:r>
        <w:rPr>
          <w:rFonts w:ascii="Arial" w:hAnsi="Arial" w:cs="Arial"/>
          <w:sz w:val="22"/>
        </w:rPr>
        <w:t>Supply Chain and</w:t>
      </w:r>
      <w:r w:rsidR="009B1170">
        <w:rPr>
          <w:rFonts w:ascii="Arial" w:hAnsi="Arial" w:cs="Arial"/>
          <w:sz w:val="22"/>
        </w:rPr>
        <w:t xml:space="preserve"> Freight produced </w:t>
      </w:r>
      <w:r w:rsidR="000D6E39">
        <w:rPr>
          <w:rFonts w:ascii="Arial" w:hAnsi="Arial" w:cs="Arial"/>
          <w:sz w:val="22"/>
        </w:rPr>
        <w:t>strong profit growth in the quarter</w:t>
      </w:r>
      <w:r w:rsidR="00652A2F">
        <w:rPr>
          <w:rFonts w:ascii="Arial" w:hAnsi="Arial" w:cs="Arial"/>
          <w:sz w:val="22"/>
        </w:rPr>
        <w:t xml:space="preserve">. The segment </w:t>
      </w:r>
      <w:r w:rsidR="0090412A">
        <w:rPr>
          <w:rFonts w:ascii="Arial" w:hAnsi="Arial" w:cs="Arial"/>
          <w:sz w:val="22"/>
        </w:rPr>
        <w:t xml:space="preserve">also </w:t>
      </w:r>
      <w:r w:rsidR="00652A2F">
        <w:rPr>
          <w:rFonts w:ascii="Arial" w:hAnsi="Arial" w:cs="Arial"/>
          <w:sz w:val="22"/>
        </w:rPr>
        <w:t>expanded operating margins</w:t>
      </w:r>
      <w:r>
        <w:rPr>
          <w:rFonts w:ascii="Arial" w:hAnsi="Arial" w:cs="Arial"/>
          <w:sz w:val="22"/>
        </w:rPr>
        <w:t>,</w:t>
      </w:r>
      <w:r w:rsidR="00652A2F">
        <w:rPr>
          <w:rFonts w:ascii="Arial" w:hAnsi="Arial" w:cs="Arial"/>
          <w:sz w:val="22"/>
        </w:rPr>
        <w:t xml:space="preserve"> driven by </w:t>
      </w:r>
      <w:r w:rsidR="008A7EB7">
        <w:rPr>
          <w:rFonts w:ascii="Arial" w:hAnsi="Arial" w:cs="Arial"/>
          <w:sz w:val="22"/>
        </w:rPr>
        <w:t>disciplined cost-</w:t>
      </w:r>
      <w:r w:rsidR="00821B46">
        <w:rPr>
          <w:rFonts w:ascii="Arial" w:hAnsi="Arial" w:cs="Arial"/>
          <w:sz w:val="22"/>
        </w:rPr>
        <w:t xml:space="preserve">management initiatives and </w:t>
      </w:r>
      <w:r w:rsidR="00652A2F">
        <w:rPr>
          <w:rFonts w:ascii="Arial" w:hAnsi="Arial" w:cs="Arial"/>
          <w:sz w:val="22"/>
        </w:rPr>
        <w:t>the</w:t>
      </w:r>
      <w:r w:rsidR="005E0855">
        <w:rPr>
          <w:rFonts w:ascii="Arial" w:hAnsi="Arial" w:cs="Arial"/>
          <w:sz w:val="22"/>
        </w:rPr>
        <w:t xml:space="preserve"> </w:t>
      </w:r>
      <w:r w:rsidR="00652A2F">
        <w:rPr>
          <w:rFonts w:ascii="Arial" w:hAnsi="Arial" w:cs="Arial"/>
          <w:sz w:val="22"/>
        </w:rPr>
        <w:t>flexibility of</w:t>
      </w:r>
      <w:r w:rsidR="00E4177C">
        <w:rPr>
          <w:rFonts w:ascii="Arial" w:hAnsi="Arial" w:cs="Arial"/>
          <w:sz w:val="22"/>
        </w:rPr>
        <w:t xml:space="preserve"> the network</w:t>
      </w:r>
      <w:r w:rsidR="009077E4">
        <w:rPr>
          <w:rFonts w:ascii="Arial" w:hAnsi="Arial" w:cs="Arial"/>
          <w:sz w:val="22"/>
        </w:rPr>
        <w:t xml:space="preserve"> to </w:t>
      </w:r>
      <w:r w:rsidR="0090412A">
        <w:rPr>
          <w:rFonts w:ascii="Arial" w:hAnsi="Arial" w:cs="Arial"/>
          <w:sz w:val="22"/>
        </w:rPr>
        <w:t>adapt to changing market conditions</w:t>
      </w:r>
      <w:r w:rsidR="009B1170">
        <w:rPr>
          <w:rFonts w:ascii="Arial" w:hAnsi="Arial" w:cs="Arial"/>
          <w:sz w:val="22"/>
        </w:rPr>
        <w:t xml:space="preserve">. </w:t>
      </w:r>
    </w:p>
    <w:p w14:paraId="0111B12F" w14:textId="77777777" w:rsidR="009B1170" w:rsidRDefault="009B1170" w:rsidP="009B1170">
      <w:pPr>
        <w:rPr>
          <w:rFonts w:ascii="Arial" w:hAnsi="Arial" w:cs="Arial"/>
          <w:sz w:val="22"/>
          <w:szCs w:val="22"/>
        </w:rPr>
      </w:pPr>
    </w:p>
    <w:p w14:paraId="1EC6FDFE" w14:textId="77777777" w:rsidR="009B1170" w:rsidRPr="008035E5" w:rsidRDefault="009B1170" w:rsidP="00B53E29">
      <w:pPr>
        <w:ind w:firstLine="720"/>
        <w:rPr>
          <w:rFonts w:ascii="Arial" w:hAnsi="Arial" w:cs="Arial"/>
          <w:sz w:val="22"/>
          <w:szCs w:val="22"/>
        </w:rPr>
      </w:pPr>
      <w:r w:rsidRPr="008035E5">
        <w:rPr>
          <w:rFonts w:ascii="Arial" w:hAnsi="Arial" w:cs="Arial"/>
          <w:sz w:val="22"/>
          <w:szCs w:val="22"/>
        </w:rPr>
        <w:t xml:space="preserve">“Supply Chain and Freight generated excellent operating profit this quarter, </w:t>
      </w:r>
      <w:r w:rsidR="008035E5" w:rsidRPr="008035E5">
        <w:rPr>
          <w:rFonts w:ascii="Arial" w:hAnsi="Arial" w:cs="Arial"/>
          <w:sz w:val="22"/>
          <w:szCs w:val="22"/>
        </w:rPr>
        <w:t xml:space="preserve">with </w:t>
      </w:r>
      <w:r w:rsidR="0027555C">
        <w:rPr>
          <w:rFonts w:ascii="Arial" w:hAnsi="Arial" w:cs="Arial"/>
          <w:sz w:val="22"/>
          <w:szCs w:val="22"/>
        </w:rPr>
        <w:t>strong</w:t>
      </w:r>
      <w:r w:rsidRPr="008035E5">
        <w:rPr>
          <w:rFonts w:ascii="Arial" w:hAnsi="Arial" w:cs="Arial"/>
          <w:sz w:val="22"/>
          <w:szCs w:val="22"/>
        </w:rPr>
        <w:t xml:space="preserve"> contributions from </w:t>
      </w:r>
      <w:r w:rsidR="00652A2F" w:rsidRPr="008035E5">
        <w:rPr>
          <w:rFonts w:ascii="Arial" w:hAnsi="Arial" w:cs="Arial"/>
          <w:sz w:val="22"/>
          <w:szCs w:val="22"/>
        </w:rPr>
        <w:t xml:space="preserve">Coyote and the rest of </w:t>
      </w:r>
      <w:r w:rsidR="00F7095B">
        <w:rPr>
          <w:rFonts w:ascii="Arial" w:hAnsi="Arial" w:cs="Arial"/>
          <w:sz w:val="22"/>
          <w:szCs w:val="22"/>
        </w:rPr>
        <w:t>our Forwarding unit</w:t>
      </w:r>
      <w:r w:rsidRPr="008035E5">
        <w:rPr>
          <w:rFonts w:ascii="Arial" w:hAnsi="Arial" w:cs="Arial"/>
          <w:sz w:val="22"/>
          <w:szCs w:val="22"/>
        </w:rPr>
        <w:t>,” said Abney.</w:t>
      </w:r>
      <w:r w:rsidR="00E855B8">
        <w:rPr>
          <w:rFonts w:ascii="Arial" w:hAnsi="Arial" w:cs="Arial"/>
          <w:sz w:val="22"/>
          <w:szCs w:val="22"/>
        </w:rPr>
        <w:t xml:space="preserve"> “We continue </w:t>
      </w:r>
      <w:r w:rsidR="0027555C">
        <w:rPr>
          <w:rFonts w:ascii="Arial" w:hAnsi="Arial" w:cs="Arial"/>
          <w:sz w:val="22"/>
          <w:szCs w:val="22"/>
        </w:rPr>
        <w:t xml:space="preserve">to execute </w:t>
      </w:r>
      <w:r w:rsidR="0040098C" w:rsidRPr="008035E5">
        <w:rPr>
          <w:rFonts w:ascii="Arial" w:hAnsi="Arial" w:cs="Arial"/>
          <w:sz w:val="22"/>
          <w:szCs w:val="22"/>
        </w:rPr>
        <w:t xml:space="preserve">our asset-light </w:t>
      </w:r>
      <w:r w:rsidR="00A258CC">
        <w:rPr>
          <w:rFonts w:ascii="Arial" w:hAnsi="Arial" w:cs="Arial"/>
          <w:sz w:val="22"/>
          <w:szCs w:val="22"/>
        </w:rPr>
        <w:t>strategies</w:t>
      </w:r>
      <w:r w:rsidR="0040098C" w:rsidRPr="008035E5">
        <w:rPr>
          <w:rFonts w:ascii="Arial" w:hAnsi="Arial" w:cs="Arial"/>
          <w:sz w:val="22"/>
          <w:szCs w:val="22"/>
        </w:rPr>
        <w:t>, while providing our customers with the high-qual</w:t>
      </w:r>
      <w:r w:rsidR="00A258CC">
        <w:rPr>
          <w:rFonts w:ascii="Arial" w:hAnsi="Arial" w:cs="Arial"/>
          <w:sz w:val="22"/>
          <w:szCs w:val="22"/>
        </w:rPr>
        <w:t>ity service they expect</w:t>
      </w:r>
      <w:r w:rsidR="0040098C" w:rsidRPr="008035E5">
        <w:rPr>
          <w:rFonts w:ascii="Arial" w:hAnsi="Arial" w:cs="Arial"/>
          <w:sz w:val="22"/>
          <w:szCs w:val="22"/>
        </w:rPr>
        <w:t>.”</w:t>
      </w:r>
    </w:p>
    <w:p w14:paraId="530AA94E" w14:textId="77777777" w:rsidR="005A5BC6" w:rsidRDefault="005A5BC6" w:rsidP="0040098C">
      <w:pPr>
        <w:rPr>
          <w:rFonts w:ascii="Arial" w:hAnsi="Arial" w:cs="Arial"/>
          <w:szCs w:val="22"/>
        </w:rPr>
      </w:pPr>
    </w:p>
    <w:tbl>
      <w:tblPr>
        <w:tblStyle w:val="TableGrid"/>
        <w:tblW w:w="73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1440"/>
        <w:gridCol w:w="1440"/>
        <w:gridCol w:w="1440"/>
      </w:tblGrid>
      <w:tr w:rsidR="003826C8" w:rsidRPr="002A6649" w14:paraId="3E8E2A42" w14:textId="77777777" w:rsidTr="002651E6">
        <w:trPr>
          <w:jc w:val="center"/>
        </w:trPr>
        <w:tc>
          <w:tcPr>
            <w:tcW w:w="3024" w:type="dxa"/>
          </w:tcPr>
          <w:p w14:paraId="5B0DE4DF" w14:textId="77777777" w:rsidR="003826C8" w:rsidRPr="002A6649" w:rsidRDefault="003826C8" w:rsidP="002651E6">
            <w:pPr>
              <w:rPr>
                <w:rFonts w:ascii="Arial" w:hAnsi="Arial" w:cs="Arial"/>
                <w:b/>
                <w:sz w:val="20"/>
                <w:szCs w:val="22"/>
                <w:u w:val="single"/>
              </w:rPr>
            </w:pPr>
          </w:p>
          <w:p w14:paraId="3F1224C4" w14:textId="77777777" w:rsidR="003826C8" w:rsidRPr="002A6649" w:rsidRDefault="003826C8" w:rsidP="002651E6">
            <w:pPr>
              <w:rPr>
                <w:rFonts w:ascii="Arial" w:hAnsi="Arial" w:cs="Arial"/>
                <w:b/>
                <w:sz w:val="20"/>
                <w:szCs w:val="22"/>
                <w:u w:val="single"/>
              </w:rPr>
            </w:pPr>
          </w:p>
        </w:tc>
        <w:tc>
          <w:tcPr>
            <w:tcW w:w="1440" w:type="dxa"/>
          </w:tcPr>
          <w:p w14:paraId="3619404E" w14:textId="77777777" w:rsidR="003826C8" w:rsidRPr="002A6649" w:rsidRDefault="003826C8" w:rsidP="002651E6">
            <w:pPr>
              <w:jc w:val="right"/>
              <w:rPr>
                <w:rFonts w:ascii="Arial" w:hAnsi="Arial" w:cs="Arial"/>
                <w:b/>
                <w:sz w:val="20"/>
                <w:szCs w:val="22"/>
                <w:u w:val="single"/>
              </w:rPr>
            </w:pPr>
          </w:p>
          <w:p w14:paraId="01C4C6A8" w14:textId="77777777" w:rsidR="003826C8" w:rsidRPr="002A6649" w:rsidRDefault="003826C8" w:rsidP="002651E6">
            <w:pPr>
              <w:jc w:val="right"/>
              <w:rPr>
                <w:rFonts w:ascii="Arial" w:hAnsi="Arial" w:cs="Arial"/>
                <w:b/>
                <w:sz w:val="20"/>
                <w:szCs w:val="22"/>
                <w:u w:val="single"/>
              </w:rPr>
            </w:pPr>
            <w:r>
              <w:rPr>
                <w:rFonts w:ascii="Arial" w:hAnsi="Arial" w:cs="Arial"/>
                <w:b/>
                <w:sz w:val="20"/>
                <w:szCs w:val="22"/>
                <w:u w:val="single"/>
              </w:rPr>
              <w:t>1Q 2019</w:t>
            </w:r>
          </w:p>
        </w:tc>
        <w:tc>
          <w:tcPr>
            <w:tcW w:w="1440" w:type="dxa"/>
          </w:tcPr>
          <w:p w14:paraId="7505D818" w14:textId="77777777" w:rsidR="003826C8" w:rsidRPr="002A6649" w:rsidRDefault="003826C8" w:rsidP="002651E6">
            <w:pPr>
              <w:jc w:val="right"/>
              <w:rPr>
                <w:rFonts w:ascii="Arial" w:hAnsi="Arial" w:cs="Arial"/>
                <w:b/>
                <w:sz w:val="20"/>
                <w:szCs w:val="22"/>
                <w:u w:val="single"/>
              </w:rPr>
            </w:pPr>
            <w:r w:rsidRPr="002A6649">
              <w:rPr>
                <w:rFonts w:ascii="Arial" w:hAnsi="Arial" w:cs="Arial"/>
                <w:b/>
                <w:sz w:val="20"/>
                <w:szCs w:val="22"/>
                <w:u w:val="single"/>
              </w:rPr>
              <w:t>Adjusted</w:t>
            </w:r>
          </w:p>
          <w:p w14:paraId="7C401258" w14:textId="77777777" w:rsidR="003826C8" w:rsidRPr="002A6649" w:rsidRDefault="003826C8" w:rsidP="002651E6">
            <w:pPr>
              <w:jc w:val="right"/>
              <w:rPr>
                <w:rFonts w:ascii="Arial" w:hAnsi="Arial" w:cs="Arial"/>
                <w:b/>
                <w:sz w:val="20"/>
                <w:szCs w:val="22"/>
                <w:u w:val="single"/>
              </w:rPr>
            </w:pPr>
            <w:r>
              <w:rPr>
                <w:rFonts w:ascii="Arial" w:hAnsi="Arial" w:cs="Arial"/>
                <w:b/>
                <w:sz w:val="20"/>
                <w:szCs w:val="22"/>
                <w:u w:val="single"/>
              </w:rPr>
              <w:t>1Q 2019</w:t>
            </w:r>
          </w:p>
        </w:tc>
        <w:tc>
          <w:tcPr>
            <w:tcW w:w="1440" w:type="dxa"/>
          </w:tcPr>
          <w:p w14:paraId="410CB407" w14:textId="77777777" w:rsidR="003826C8" w:rsidRPr="002A6649" w:rsidRDefault="003826C8" w:rsidP="002651E6">
            <w:pPr>
              <w:jc w:val="right"/>
              <w:rPr>
                <w:rFonts w:ascii="Arial" w:hAnsi="Arial" w:cs="Arial"/>
                <w:b/>
                <w:sz w:val="20"/>
                <w:szCs w:val="22"/>
                <w:u w:val="single"/>
              </w:rPr>
            </w:pPr>
          </w:p>
          <w:p w14:paraId="1F634657" w14:textId="77777777" w:rsidR="003826C8" w:rsidRPr="002A6649" w:rsidRDefault="003826C8" w:rsidP="002651E6">
            <w:pPr>
              <w:jc w:val="right"/>
              <w:rPr>
                <w:rFonts w:ascii="Arial" w:hAnsi="Arial" w:cs="Arial"/>
                <w:b/>
                <w:sz w:val="20"/>
                <w:szCs w:val="22"/>
                <w:u w:val="single"/>
              </w:rPr>
            </w:pPr>
            <w:r>
              <w:rPr>
                <w:rFonts w:ascii="Arial" w:hAnsi="Arial" w:cs="Arial"/>
                <w:b/>
                <w:sz w:val="20"/>
                <w:szCs w:val="22"/>
                <w:u w:val="single"/>
              </w:rPr>
              <w:t>1Q 2018</w:t>
            </w:r>
          </w:p>
        </w:tc>
      </w:tr>
      <w:tr w:rsidR="003826C8" w:rsidRPr="002A6649" w14:paraId="0C0B3769" w14:textId="77777777" w:rsidTr="002651E6">
        <w:trPr>
          <w:jc w:val="center"/>
        </w:trPr>
        <w:tc>
          <w:tcPr>
            <w:tcW w:w="3024" w:type="dxa"/>
          </w:tcPr>
          <w:p w14:paraId="6EF7F7B9" w14:textId="77777777" w:rsidR="003826C8" w:rsidRPr="002A6649" w:rsidRDefault="003826C8" w:rsidP="002651E6">
            <w:pPr>
              <w:rPr>
                <w:rFonts w:ascii="Arial" w:hAnsi="Arial" w:cs="Arial"/>
                <w:sz w:val="20"/>
                <w:szCs w:val="22"/>
              </w:rPr>
            </w:pPr>
            <w:r w:rsidRPr="002A6649">
              <w:rPr>
                <w:rFonts w:ascii="Arial" w:hAnsi="Arial" w:cs="Arial"/>
                <w:sz w:val="20"/>
                <w:szCs w:val="22"/>
              </w:rPr>
              <w:t>Revenue</w:t>
            </w:r>
          </w:p>
        </w:tc>
        <w:tc>
          <w:tcPr>
            <w:tcW w:w="1440" w:type="dxa"/>
          </w:tcPr>
          <w:p w14:paraId="39E75491" w14:textId="77777777" w:rsidR="003826C8" w:rsidRPr="002A6649" w:rsidRDefault="003826C8" w:rsidP="002651E6">
            <w:pPr>
              <w:jc w:val="right"/>
              <w:rPr>
                <w:rFonts w:ascii="Arial" w:hAnsi="Arial" w:cs="Arial"/>
                <w:sz w:val="20"/>
                <w:szCs w:val="22"/>
              </w:rPr>
            </w:pPr>
            <w:r>
              <w:rPr>
                <w:rFonts w:ascii="Arial" w:hAnsi="Arial" w:cs="Arial"/>
                <w:sz w:val="20"/>
                <w:szCs w:val="22"/>
              </w:rPr>
              <w:t>$3,221</w:t>
            </w:r>
            <w:r w:rsidRPr="002A6649">
              <w:rPr>
                <w:rFonts w:ascii="Arial" w:hAnsi="Arial" w:cs="Arial"/>
                <w:sz w:val="20"/>
                <w:szCs w:val="22"/>
              </w:rPr>
              <w:t xml:space="preserve"> M</w:t>
            </w:r>
          </w:p>
        </w:tc>
        <w:tc>
          <w:tcPr>
            <w:tcW w:w="1440" w:type="dxa"/>
          </w:tcPr>
          <w:p w14:paraId="7AA408ED" w14:textId="77777777" w:rsidR="003826C8" w:rsidRPr="002A6649" w:rsidRDefault="003826C8" w:rsidP="002651E6">
            <w:pPr>
              <w:jc w:val="right"/>
              <w:rPr>
                <w:rFonts w:ascii="Arial" w:hAnsi="Arial" w:cs="Arial"/>
                <w:sz w:val="20"/>
                <w:szCs w:val="22"/>
              </w:rPr>
            </w:pPr>
          </w:p>
        </w:tc>
        <w:tc>
          <w:tcPr>
            <w:tcW w:w="1440" w:type="dxa"/>
          </w:tcPr>
          <w:p w14:paraId="01F76C87" w14:textId="77777777" w:rsidR="003826C8" w:rsidRPr="002A6649" w:rsidRDefault="003826C8" w:rsidP="002651E6">
            <w:pPr>
              <w:jc w:val="right"/>
              <w:rPr>
                <w:rFonts w:ascii="Arial" w:hAnsi="Arial" w:cs="Arial"/>
                <w:sz w:val="20"/>
                <w:szCs w:val="22"/>
              </w:rPr>
            </w:pPr>
            <w:r w:rsidRPr="002A6649">
              <w:rPr>
                <w:rFonts w:ascii="Arial" w:hAnsi="Arial" w:cs="Arial"/>
                <w:sz w:val="20"/>
                <w:szCs w:val="22"/>
              </w:rPr>
              <w:t>$3,</w:t>
            </w:r>
            <w:r>
              <w:rPr>
                <w:rFonts w:ascii="Arial" w:hAnsi="Arial" w:cs="Arial"/>
                <w:sz w:val="20"/>
                <w:szCs w:val="22"/>
              </w:rPr>
              <w:t>353</w:t>
            </w:r>
            <w:r w:rsidRPr="002A6649">
              <w:rPr>
                <w:rFonts w:ascii="Arial" w:hAnsi="Arial" w:cs="Arial"/>
                <w:sz w:val="20"/>
                <w:szCs w:val="22"/>
              </w:rPr>
              <w:t xml:space="preserve"> M</w:t>
            </w:r>
          </w:p>
        </w:tc>
      </w:tr>
      <w:tr w:rsidR="003826C8" w:rsidRPr="002A6649" w14:paraId="38EBD370" w14:textId="77777777" w:rsidTr="002651E6">
        <w:trPr>
          <w:jc w:val="center"/>
        </w:trPr>
        <w:tc>
          <w:tcPr>
            <w:tcW w:w="3024" w:type="dxa"/>
          </w:tcPr>
          <w:p w14:paraId="25596BC0" w14:textId="77777777" w:rsidR="003826C8" w:rsidRPr="002A6649" w:rsidRDefault="003826C8" w:rsidP="002651E6">
            <w:pPr>
              <w:rPr>
                <w:rFonts w:ascii="Arial" w:hAnsi="Arial" w:cs="Arial"/>
                <w:sz w:val="20"/>
                <w:szCs w:val="22"/>
              </w:rPr>
            </w:pPr>
            <w:r w:rsidRPr="002A6649">
              <w:rPr>
                <w:rFonts w:ascii="Arial" w:hAnsi="Arial" w:cs="Arial"/>
                <w:sz w:val="20"/>
                <w:szCs w:val="22"/>
              </w:rPr>
              <w:t>Operating profit</w:t>
            </w:r>
          </w:p>
        </w:tc>
        <w:tc>
          <w:tcPr>
            <w:tcW w:w="1440" w:type="dxa"/>
          </w:tcPr>
          <w:p w14:paraId="72875C7C" w14:textId="77777777" w:rsidR="003826C8" w:rsidRPr="002A6649" w:rsidRDefault="003826C8" w:rsidP="002651E6">
            <w:pPr>
              <w:jc w:val="right"/>
              <w:rPr>
                <w:rFonts w:ascii="Arial" w:hAnsi="Arial" w:cs="Arial"/>
                <w:sz w:val="20"/>
                <w:szCs w:val="22"/>
              </w:rPr>
            </w:pPr>
            <w:r w:rsidRPr="002A6649">
              <w:rPr>
                <w:rFonts w:ascii="Arial" w:hAnsi="Arial" w:cs="Arial"/>
                <w:sz w:val="20"/>
                <w:szCs w:val="22"/>
              </w:rPr>
              <w:t>$2</w:t>
            </w:r>
            <w:r>
              <w:rPr>
                <w:rFonts w:ascii="Arial" w:hAnsi="Arial" w:cs="Arial"/>
                <w:sz w:val="20"/>
                <w:szCs w:val="22"/>
              </w:rPr>
              <w:t>00</w:t>
            </w:r>
            <w:r w:rsidRPr="002A6649">
              <w:rPr>
                <w:rFonts w:ascii="Arial" w:hAnsi="Arial" w:cs="Arial"/>
                <w:sz w:val="20"/>
                <w:szCs w:val="22"/>
              </w:rPr>
              <w:t xml:space="preserve"> M</w:t>
            </w:r>
          </w:p>
        </w:tc>
        <w:tc>
          <w:tcPr>
            <w:tcW w:w="1440" w:type="dxa"/>
          </w:tcPr>
          <w:p w14:paraId="4DF3F765" w14:textId="77777777" w:rsidR="003826C8" w:rsidRPr="002A6649" w:rsidRDefault="003826C8" w:rsidP="002651E6">
            <w:pPr>
              <w:jc w:val="right"/>
              <w:rPr>
                <w:rFonts w:ascii="Arial" w:hAnsi="Arial" w:cs="Arial"/>
                <w:sz w:val="20"/>
                <w:szCs w:val="22"/>
              </w:rPr>
            </w:pPr>
            <w:r w:rsidRPr="002A6649">
              <w:rPr>
                <w:rFonts w:ascii="Arial" w:hAnsi="Arial" w:cs="Arial"/>
                <w:sz w:val="20"/>
                <w:szCs w:val="22"/>
              </w:rPr>
              <w:t>$2</w:t>
            </w:r>
            <w:r>
              <w:rPr>
                <w:rFonts w:ascii="Arial" w:hAnsi="Arial" w:cs="Arial"/>
                <w:sz w:val="20"/>
                <w:szCs w:val="22"/>
              </w:rPr>
              <w:t>11</w:t>
            </w:r>
            <w:r w:rsidRPr="002A6649">
              <w:rPr>
                <w:rFonts w:ascii="Arial" w:hAnsi="Arial" w:cs="Arial"/>
                <w:sz w:val="20"/>
                <w:szCs w:val="22"/>
              </w:rPr>
              <w:t xml:space="preserve"> M</w:t>
            </w:r>
          </w:p>
        </w:tc>
        <w:tc>
          <w:tcPr>
            <w:tcW w:w="1440" w:type="dxa"/>
          </w:tcPr>
          <w:p w14:paraId="2366C6F8" w14:textId="77777777" w:rsidR="003826C8" w:rsidRPr="002A6649" w:rsidRDefault="003826C8" w:rsidP="002651E6">
            <w:pPr>
              <w:jc w:val="right"/>
              <w:rPr>
                <w:rFonts w:ascii="Arial" w:hAnsi="Arial" w:cs="Arial"/>
                <w:sz w:val="20"/>
                <w:szCs w:val="22"/>
              </w:rPr>
            </w:pPr>
            <w:r w:rsidRPr="002A6649">
              <w:rPr>
                <w:rFonts w:ascii="Arial" w:hAnsi="Arial" w:cs="Arial"/>
                <w:sz w:val="20"/>
                <w:szCs w:val="22"/>
              </w:rPr>
              <w:t>$</w:t>
            </w:r>
            <w:r>
              <w:rPr>
                <w:rFonts w:ascii="Arial" w:hAnsi="Arial" w:cs="Arial"/>
                <w:sz w:val="20"/>
                <w:szCs w:val="22"/>
              </w:rPr>
              <w:t>170</w:t>
            </w:r>
            <w:r w:rsidRPr="002A6649">
              <w:rPr>
                <w:rFonts w:ascii="Arial" w:hAnsi="Arial" w:cs="Arial"/>
                <w:sz w:val="20"/>
                <w:szCs w:val="22"/>
              </w:rPr>
              <w:t xml:space="preserve"> M</w:t>
            </w:r>
          </w:p>
        </w:tc>
      </w:tr>
    </w:tbl>
    <w:p w14:paraId="4A1B4422" w14:textId="77777777" w:rsidR="003826C8" w:rsidRPr="00D352EF" w:rsidRDefault="003826C8" w:rsidP="00B47CCC">
      <w:pPr>
        <w:ind w:left="720" w:hanging="720"/>
        <w:rPr>
          <w:rFonts w:ascii="Arial" w:hAnsi="Arial" w:cs="Arial"/>
          <w:szCs w:val="22"/>
        </w:rPr>
      </w:pPr>
    </w:p>
    <w:p w14:paraId="13119B08" w14:textId="77777777" w:rsidR="00B53E29" w:rsidRPr="00D352EF" w:rsidRDefault="00B47CCC" w:rsidP="00B53E29">
      <w:pPr>
        <w:ind w:left="720" w:hanging="720"/>
        <w:rPr>
          <w:rFonts w:ascii="Arial" w:hAnsi="Arial" w:cs="Arial"/>
          <w:szCs w:val="22"/>
        </w:rPr>
      </w:pPr>
      <w:r w:rsidRPr="00D352EF">
        <w:rPr>
          <w:rFonts w:ascii="Arial" w:hAnsi="Arial" w:cs="Arial"/>
          <w:sz w:val="22"/>
          <w:szCs w:val="22"/>
        </w:rPr>
        <w:t xml:space="preserve">For the Supply Chain and Freight segment in </w:t>
      </w:r>
      <w:r w:rsidR="00D75E53">
        <w:rPr>
          <w:rFonts w:ascii="Arial" w:hAnsi="Arial" w:cs="Arial"/>
          <w:sz w:val="22"/>
          <w:szCs w:val="22"/>
        </w:rPr>
        <w:t>1</w:t>
      </w:r>
      <w:r w:rsidRPr="00D352EF">
        <w:rPr>
          <w:rFonts w:ascii="Arial" w:hAnsi="Arial" w:cs="Arial"/>
          <w:sz w:val="22"/>
          <w:szCs w:val="22"/>
        </w:rPr>
        <w:t xml:space="preserve">Q </w:t>
      </w:r>
      <w:r w:rsidR="00D75E53">
        <w:rPr>
          <w:rFonts w:ascii="Arial" w:hAnsi="Arial" w:cs="Arial"/>
          <w:sz w:val="22"/>
          <w:szCs w:val="22"/>
        </w:rPr>
        <w:t>2019</w:t>
      </w:r>
      <w:r w:rsidRPr="00D352EF">
        <w:rPr>
          <w:rFonts w:ascii="Arial" w:hAnsi="Arial" w:cs="Arial"/>
          <w:szCs w:val="22"/>
        </w:rPr>
        <w:t>:</w:t>
      </w:r>
    </w:p>
    <w:p w14:paraId="25752ABE" w14:textId="77777777" w:rsidR="00280787" w:rsidRDefault="00280787" w:rsidP="00280787">
      <w:pPr>
        <w:pStyle w:val="ListParagraph"/>
        <w:numPr>
          <w:ilvl w:val="0"/>
          <w:numId w:val="2"/>
        </w:numPr>
        <w:contextualSpacing w:val="0"/>
        <w:rPr>
          <w:rFonts w:ascii="Arial" w:hAnsi="Arial" w:cs="Arial"/>
          <w:sz w:val="22"/>
          <w:szCs w:val="22"/>
        </w:rPr>
      </w:pPr>
      <w:r>
        <w:rPr>
          <w:rFonts w:ascii="Arial" w:hAnsi="Arial" w:cs="Arial"/>
          <w:sz w:val="22"/>
          <w:szCs w:val="22"/>
        </w:rPr>
        <w:t>The segment generated strong growth in operating profit of $200 million and adjusted operating profit of $211 million, a more than 24% increase over the first quarter of 2018.</w:t>
      </w:r>
    </w:p>
    <w:p w14:paraId="1AF594A4" w14:textId="77777777" w:rsidR="00C402F6" w:rsidRPr="00C402F6" w:rsidRDefault="00280787" w:rsidP="00E068F2">
      <w:pPr>
        <w:pStyle w:val="ListParagraph"/>
        <w:numPr>
          <w:ilvl w:val="0"/>
          <w:numId w:val="2"/>
        </w:numPr>
        <w:rPr>
          <w:rFonts w:ascii="Arial" w:hAnsi="Arial" w:cs="Arial"/>
          <w:sz w:val="22"/>
          <w:szCs w:val="22"/>
        </w:rPr>
      </w:pPr>
      <w:r>
        <w:rPr>
          <w:rFonts w:ascii="Arial" w:hAnsi="Arial" w:cs="Arial"/>
          <w:sz w:val="22"/>
          <w:szCs w:val="22"/>
        </w:rPr>
        <w:t xml:space="preserve">Cost management </w:t>
      </w:r>
      <w:r w:rsidR="00C3637D">
        <w:rPr>
          <w:rFonts w:ascii="Arial" w:hAnsi="Arial" w:cs="Arial"/>
          <w:sz w:val="22"/>
          <w:szCs w:val="22"/>
        </w:rPr>
        <w:t>actions</w:t>
      </w:r>
      <w:r w:rsidR="00C402F6">
        <w:rPr>
          <w:rFonts w:ascii="Arial" w:hAnsi="Arial" w:cs="Arial"/>
          <w:sz w:val="22"/>
          <w:szCs w:val="22"/>
        </w:rPr>
        <w:t xml:space="preserve"> helped </w:t>
      </w:r>
      <w:r w:rsidR="00F7095B">
        <w:rPr>
          <w:rFonts w:ascii="Arial" w:hAnsi="Arial" w:cs="Arial"/>
          <w:sz w:val="22"/>
          <w:szCs w:val="22"/>
        </w:rPr>
        <w:t>balance</w:t>
      </w:r>
      <w:r w:rsidR="00C402F6">
        <w:rPr>
          <w:rFonts w:ascii="Arial" w:hAnsi="Arial" w:cs="Arial"/>
          <w:sz w:val="22"/>
          <w:szCs w:val="22"/>
        </w:rPr>
        <w:t xml:space="preserve"> </w:t>
      </w:r>
      <w:r w:rsidR="00C3637D">
        <w:rPr>
          <w:rFonts w:ascii="Arial" w:hAnsi="Arial" w:cs="Arial"/>
          <w:sz w:val="22"/>
          <w:szCs w:val="22"/>
        </w:rPr>
        <w:t xml:space="preserve">market changes to </w:t>
      </w:r>
      <w:r w:rsidR="00C402F6">
        <w:rPr>
          <w:rFonts w:ascii="Arial" w:hAnsi="Arial" w:cs="Arial"/>
          <w:sz w:val="22"/>
          <w:szCs w:val="22"/>
        </w:rPr>
        <w:t xml:space="preserve">volume and </w:t>
      </w:r>
      <w:r w:rsidR="00C402F6" w:rsidRPr="00C402F6">
        <w:rPr>
          <w:rFonts w:ascii="Arial" w:hAnsi="Arial" w:cs="Arial"/>
          <w:sz w:val="22"/>
          <w:szCs w:val="22"/>
        </w:rPr>
        <w:t>revenue</w:t>
      </w:r>
      <w:r w:rsidR="00C3637D">
        <w:rPr>
          <w:rFonts w:ascii="Arial" w:hAnsi="Arial" w:cs="Arial"/>
          <w:sz w:val="22"/>
          <w:szCs w:val="22"/>
        </w:rPr>
        <w:t>,</w:t>
      </w:r>
      <w:r w:rsidR="00C402F6" w:rsidRPr="00C402F6">
        <w:rPr>
          <w:rFonts w:ascii="Arial" w:hAnsi="Arial" w:cs="Arial"/>
          <w:sz w:val="22"/>
          <w:szCs w:val="22"/>
        </w:rPr>
        <w:t xml:space="preserve"> </w:t>
      </w:r>
      <w:r w:rsidR="00C3637D">
        <w:rPr>
          <w:rFonts w:ascii="Arial" w:hAnsi="Arial" w:cs="Arial"/>
          <w:sz w:val="22"/>
          <w:szCs w:val="22"/>
        </w:rPr>
        <w:t>and enabled</w:t>
      </w:r>
      <w:r w:rsidR="00C402F6" w:rsidRPr="00C402F6">
        <w:rPr>
          <w:rFonts w:ascii="Arial" w:hAnsi="Arial" w:cs="Arial"/>
          <w:sz w:val="22"/>
          <w:szCs w:val="22"/>
        </w:rPr>
        <w:t xml:space="preserve"> </w:t>
      </w:r>
      <w:r w:rsidR="008C354B">
        <w:rPr>
          <w:rFonts w:ascii="Arial" w:hAnsi="Arial" w:cs="Arial"/>
          <w:sz w:val="22"/>
          <w:szCs w:val="22"/>
        </w:rPr>
        <w:t>profit</w:t>
      </w:r>
      <w:r w:rsidR="00C402F6" w:rsidRPr="00C402F6">
        <w:rPr>
          <w:rFonts w:ascii="Arial" w:hAnsi="Arial" w:cs="Arial"/>
          <w:sz w:val="22"/>
          <w:szCs w:val="22"/>
        </w:rPr>
        <w:t xml:space="preserve"> momentum</w:t>
      </w:r>
      <w:r w:rsidR="003B1BAE">
        <w:rPr>
          <w:rFonts w:ascii="Arial" w:hAnsi="Arial" w:cs="Arial"/>
          <w:sz w:val="22"/>
          <w:szCs w:val="22"/>
        </w:rPr>
        <w:t>, most notably in Coyote</w:t>
      </w:r>
      <w:r w:rsidR="00C402F6" w:rsidRPr="00C402F6">
        <w:rPr>
          <w:rFonts w:ascii="Arial" w:hAnsi="Arial" w:cs="Arial"/>
          <w:sz w:val="22"/>
          <w:szCs w:val="22"/>
        </w:rPr>
        <w:t>.</w:t>
      </w:r>
    </w:p>
    <w:p w14:paraId="5A541458" w14:textId="77777777" w:rsidR="00D75E53" w:rsidRDefault="0032645C" w:rsidP="00E068F2">
      <w:pPr>
        <w:pStyle w:val="ListParagraph"/>
        <w:numPr>
          <w:ilvl w:val="0"/>
          <w:numId w:val="2"/>
        </w:numPr>
        <w:contextualSpacing w:val="0"/>
        <w:rPr>
          <w:rFonts w:ascii="Arial" w:hAnsi="Arial" w:cs="Arial"/>
          <w:sz w:val="22"/>
          <w:szCs w:val="22"/>
        </w:rPr>
      </w:pPr>
      <w:r>
        <w:rPr>
          <w:rFonts w:ascii="Arial" w:hAnsi="Arial" w:cs="Arial"/>
          <w:sz w:val="22"/>
        </w:rPr>
        <w:t>International Air and Ocean</w:t>
      </w:r>
      <w:r w:rsidR="00AC3F4D">
        <w:rPr>
          <w:rFonts w:ascii="Arial" w:hAnsi="Arial" w:cs="Arial"/>
          <w:sz w:val="22"/>
        </w:rPr>
        <w:t xml:space="preserve"> </w:t>
      </w:r>
      <w:r>
        <w:rPr>
          <w:rFonts w:ascii="Arial" w:hAnsi="Arial" w:cs="Arial"/>
          <w:sz w:val="22"/>
        </w:rPr>
        <w:t>Fr</w:t>
      </w:r>
      <w:r w:rsidR="0009777D">
        <w:rPr>
          <w:rFonts w:ascii="Arial" w:hAnsi="Arial" w:cs="Arial"/>
          <w:sz w:val="22"/>
        </w:rPr>
        <w:t>ei</w:t>
      </w:r>
      <w:r>
        <w:rPr>
          <w:rFonts w:ascii="Arial" w:hAnsi="Arial" w:cs="Arial"/>
          <w:sz w:val="22"/>
        </w:rPr>
        <w:t>ght</w:t>
      </w:r>
      <w:r w:rsidR="00280787">
        <w:rPr>
          <w:rFonts w:ascii="Arial" w:hAnsi="Arial" w:cs="Arial"/>
          <w:sz w:val="22"/>
        </w:rPr>
        <w:t xml:space="preserve"> </w:t>
      </w:r>
      <w:r w:rsidR="00AC3F4D" w:rsidRPr="00D352EF">
        <w:rPr>
          <w:rFonts w:ascii="Arial" w:hAnsi="Arial" w:cs="Arial"/>
          <w:sz w:val="22"/>
        </w:rPr>
        <w:t xml:space="preserve">made significant contributions </w:t>
      </w:r>
      <w:r w:rsidR="00AC3F4D">
        <w:rPr>
          <w:rFonts w:ascii="Arial" w:hAnsi="Arial" w:cs="Arial"/>
          <w:sz w:val="22"/>
        </w:rPr>
        <w:t xml:space="preserve">to operating profit </w:t>
      </w:r>
      <w:r w:rsidR="001A3FB9">
        <w:rPr>
          <w:rFonts w:ascii="Arial" w:hAnsi="Arial" w:cs="Arial"/>
          <w:sz w:val="22"/>
        </w:rPr>
        <w:t xml:space="preserve">growth </w:t>
      </w:r>
      <w:r w:rsidR="00AC3F4D" w:rsidRPr="00D352EF">
        <w:rPr>
          <w:rFonts w:ascii="Arial" w:hAnsi="Arial" w:cs="Arial"/>
          <w:sz w:val="22"/>
        </w:rPr>
        <w:t xml:space="preserve">as </w:t>
      </w:r>
      <w:r w:rsidR="008035E5">
        <w:rPr>
          <w:rFonts w:ascii="Arial" w:hAnsi="Arial" w:cs="Arial"/>
          <w:sz w:val="22"/>
        </w:rPr>
        <w:t>a</w:t>
      </w:r>
      <w:r w:rsidR="00AC3F4D" w:rsidRPr="00D352EF">
        <w:rPr>
          <w:rFonts w:ascii="Arial" w:hAnsi="Arial" w:cs="Arial"/>
          <w:sz w:val="22"/>
        </w:rPr>
        <w:t xml:space="preserve"> result of </w:t>
      </w:r>
      <w:r w:rsidR="00AC3F4D">
        <w:rPr>
          <w:rFonts w:ascii="Arial" w:hAnsi="Arial" w:cs="Arial"/>
          <w:sz w:val="22"/>
        </w:rPr>
        <w:t>greater</w:t>
      </w:r>
      <w:r w:rsidR="00AC3F4D" w:rsidRPr="00D352EF">
        <w:rPr>
          <w:rFonts w:ascii="Arial" w:hAnsi="Arial" w:cs="Arial"/>
          <w:sz w:val="22"/>
        </w:rPr>
        <w:t xml:space="preserve"> alignment with small and medium-sized customers. </w:t>
      </w:r>
      <w:r w:rsidR="005A50BD">
        <w:rPr>
          <w:rFonts w:ascii="Arial" w:hAnsi="Arial" w:cs="Arial"/>
          <w:sz w:val="22"/>
          <w:szCs w:val="22"/>
        </w:rPr>
        <w:t xml:space="preserve">UPS Freight </w:t>
      </w:r>
      <w:r w:rsidR="008227A7">
        <w:rPr>
          <w:rFonts w:ascii="Arial" w:hAnsi="Arial" w:cs="Arial"/>
          <w:sz w:val="22"/>
          <w:szCs w:val="22"/>
        </w:rPr>
        <w:t xml:space="preserve">increased revenue per LTL (less-than-truckload) hundredweight by 5.4% </w:t>
      </w:r>
      <w:r w:rsidR="00377CD2">
        <w:rPr>
          <w:rFonts w:ascii="Arial" w:hAnsi="Arial" w:cs="Arial"/>
          <w:sz w:val="22"/>
          <w:szCs w:val="22"/>
        </w:rPr>
        <w:t>through</w:t>
      </w:r>
      <w:r w:rsidR="008A7EB7">
        <w:rPr>
          <w:rFonts w:ascii="Arial" w:hAnsi="Arial" w:cs="Arial"/>
          <w:sz w:val="22"/>
          <w:szCs w:val="22"/>
        </w:rPr>
        <w:t xml:space="preserve"> revenue-</w:t>
      </w:r>
      <w:r w:rsidR="008227A7">
        <w:rPr>
          <w:rFonts w:ascii="Arial" w:hAnsi="Arial" w:cs="Arial"/>
          <w:sz w:val="22"/>
          <w:szCs w:val="22"/>
        </w:rPr>
        <w:t xml:space="preserve">quality </w:t>
      </w:r>
      <w:r w:rsidR="00377CD2">
        <w:rPr>
          <w:rFonts w:ascii="Arial" w:hAnsi="Arial" w:cs="Arial"/>
          <w:sz w:val="22"/>
          <w:szCs w:val="22"/>
        </w:rPr>
        <w:t xml:space="preserve">initiatives </w:t>
      </w:r>
      <w:r w:rsidR="008227A7">
        <w:rPr>
          <w:rFonts w:ascii="Arial" w:hAnsi="Arial" w:cs="Arial"/>
          <w:sz w:val="22"/>
          <w:szCs w:val="22"/>
        </w:rPr>
        <w:t>and</w:t>
      </w:r>
      <w:r w:rsidR="008A7EB7">
        <w:rPr>
          <w:rFonts w:ascii="Arial" w:hAnsi="Arial" w:cs="Arial"/>
          <w:sz w:val="22"/>
          <w:szCs w:val="22"/>
        </w:rPr>
        <w:t xml:space="preserve"> growth in the middle-</w:t>
      </w:r>
      <w:r w:rsidR="006E4261">
        <w:rPr>
          <w:rFonts w:ascii="Arial" w:hAnsi="Arial" w:cs="Arial"/>
          <w:sz w:val="22"/>
          <w:szCs w:val="22"/>
        </w:rPr>
        <w:t xml:space="preserve">market </w:t>
      </w:r>
      <w:r w:rsidR="005A50BD">
        <w:rPr>
          <w:rFonts w:ascii="Arial" w:hAnsi="Arial" w:cs="Arial"/>
          <w:sz w:val="22"/>
          <w:szCs w:val="22"/>
        </w:rPr>
        <w:t>segment</w:t>
      </w:r>
      <w:r w:rsidR="001A6290">
        <w:rPr>
          <w:rFonts w:ascii="Arial" w:hAnsi="Arial" w:cs="Arial"/>
          <w:sz w:val="22"/>
          <w:szCs w:val="22"/>
        </w:rPr>
        <w:t>.</w:t>
      </w:r>
    </w:p>
    <w:p w14:paraId="669D59B8" w14:textId="77777777" w:rsidR="00ED5EFE" w:rsidRPr="00FE49D4" w:rsidRDefault="00ED5EFE" w:rsidP="00FE49D4">
      <w:pPr>
        <w:pStyle w:val="ListParagraph"/>
        <w:numPr>
          <w:ilvl w:val="0"/>
          <w:numId w:val="2"/>
        </w:numPr>
        <w:contextualSpacing w:val="0"/>
        <w:rPr>
          <w:rFonts w:ascii="Arial" w:hAnsi="Arial" w:cs="Arial"/>
          <w:sz w:val="22"/>
          <w:szCs w:val="22"/>
        </w:rPr>
      </w:pPr>
      <w:r w:rsidRPr="00FE49D4">
        <w:rPr>
          <w:rFonts w:ascii="Arial" w:hAnsi="Arial" w:cs="Arial"/>
          <w:sz w:val="22"/>
          <w:szCs w:val="22"/>
          <w:lang w:val="en"/>
        </w:rPr>
        <w:t>Adjusted operating profit excludes Transformation-related charges of $11 million</w:t>
      </w:r>
      <w:r w:rsidR="00D22F35" w:rsidRPr="00FE49D4">
        <w:rPr>
          <w:rFonts w:ascii="Arial" w:hAnsi="Arial" w:cs="Arial"/>
          <w:sz w:val="22"/>
          <w:szCs w:val="22"/>
          <w:lang w:val="en"/>
        </w:rPr>
        <w:t xml:space="preserve"> </w:t>
      </w:r>
      <w:r w:rsidR="00984BD6">
        <w:rPr>
          <w:rFonts w:ascii="Arial" w:hAnsi="Arial" w:cs="Arial"/>
          <w:sz w:val="22"/>
          <w:szCs w:val="22"/>
          <w:lang w:val="en"/>
        </w:rPr>
        <w:t>to optimize back-office support</w:t>
      </w:r>
      <w:r w:rsidR="00FE49D4">
        <w:rPr>
          <w:rFonts w:ascii="Arial" w:hAnsi="Arial" w:cs="Arial"/>
          <w:sz w:val="22"/>
          <w:szCs w:val="22"/>
          <w:lang w:val="en"/>
        </w:rPr>
        <w:t>.</w:t>
      </w:r>
    </w:p>
    <w:p w14:paraId="3D87DB4F" w14:textId="77777777" w:rsidR="00475128" w:rsidRDefault="00475128" w:rsidP="005A5BC6">
      <w:pPr>
        <w:rPr>
          <w:rFonts w:ascii="Arial" w:hAnsi="Arial" w:cs="Arial"/>
          <w:b/>
          <w:u w:val="single"/>
        </w:rPr>
      </w:pPr>
    </w:p>
    <w:p w14:paraId="1FF53C05" w14:textId="77777777" w:rsidR="008C354B" w:rsidRDefault="008C354B" w:rsidP="005A5BC6">
      <w:pPr>
        <w:rPr>
          <w:rFonts w:ascii="Arial" w:hAnsi="Arial" w:cs="Arial"/>
          <w:b/>
          <w:u w:val="single"/>
        </w:rPr>
      </w:pPr>
    </w:p>
    <w:p w14:paraId="1E0C48E3" w14:textId="77777777" w:rsidR="005A5BC6" w:rsidRPr="00D352EF" w:rsidRDefault="005A5BC6" w:rsidP="005A5BC6">
      <w:pPr>
        <w:rPr>
          <w:rFonts w:ascii="Arial" w:hAnsi="Arial" w:cs="Arial"/>
          <w:b/>
          <w:u w:val="single"/>
        </w:rPr>
      </w:pPr>
      <w:r w:rsidRPr="00D352EF">
        <w:rPr>
          <w:rFonts w:ascii="Arial" w:hAnsi="Arial" w:cs="Arial"/>
          <w:b/>
          <w:u w:val="single"/>
        </w:rPr>
        <w:t>Outlook</w:t>
      </w:r>
    </w:p>
    <w:p w14:paraId="5854E15D" w14:textId="77777777" w:rsidR="005A5BC6" w:rsidRPr="00D352EF" w:rsidRDefault="005A5BC6" w:rsidP="005A5BC6">
      <w:pPr>
        <w:ind w:firstLine="720"/>
        <w:rPr>
          <w:rFonts w:ascii="Arial" w:hAnsi="Arial" w:cs="Arial"/>
        </w:rPr>
      </w:pPr>
    </w:p>
    <w:p w14:paraId="4B568FC4" w14:textId="77777777" w:rsidR="005A5BC6" w:rsidRDefault="005A5BC6" w:rsidP="005A5BC6">
      <w:pPr>
        <w:ind w:firstLine="720"/>
        <w:rPr>
          <w:rFonts w:ascii="Arial" w:hAnsi="Arial" w:cs="Arial"/>
          <w:sz w:val="22"/>
          <w:szCs w:val="22"/>
        </w:rPr>
      </w:pPr>
      <w:r w:rsidRPr="00DF39F0">
        <w:rPr>
          <w:rFonts w:ascii="Arial" w:hAnsi="Arial" w:cs="Arial"/>
          <w:sz w:val="22"/>
          <w:szCs w:val="22"/>
        </w:rPr>
        <w:t>The company provides guidance on an adjusted (non-GAAP) basis because it is not possible to predict or provide a reconciliation reflecting the impact of future pension mark-to-market adjustments</w:t>
      </w:r>
      <w:r w:rsidR="001D1E65" w:rsidRPr="00DF39F0">
        <w:rPr>
          <w:rFonts w:ascii="Arial" w:hAnsi="Arial" w:cs="Arial"/>
          <w:sz w:val="22"/>
          <w:szCs w:val="22"/>
        </w:rPr>
        <w:t xml:space="preserve"> or other unanticipated events</w:t>
      </w:r>
      <w:r w:rsidRPr="00DF39F0">
        <w:rPr>
          <w:rFonts w:ascii="Arial" w:hAnsi="Arial" w:cs="Arial"/>
          <w:sz w:val="22"/>
          <w:szCs w:val="22"/>
        </w:rPr>
        <w:t>, which would be included in reported (GAAP) results and could be material.</w:t>
      </w:r>
    </w:p>
    <w:p w14:paraId="52D62A05" w14:textId="77777777" w:rsidR="003A69AF" w:rsidRPr="00D352EF" w:rsidRDefault="003A69AF" w:rsidP="005A5BC6">
      <w:pPr>
        <w:ind w:firstLine="720"/>
        <w:rPr>
          <w:rFonts w:ascii="Arial" w:hAnsi="Arial" w:cs="Arial"/>
          <w:sz w:val="22"/>
          <w:szCs w:val="22"/>
        </w:rPr>
      </w:pPr>
    </w:p>
    <w:p w14:paraId="7D16D728" w14:textId="77777777" w:rsidR="003A69AF" w:rsidRPr="006158BB" w:rsidRDefault="003A69AF" w:rsidP="003A69AF">
      <w:pPr>
        <w:pStyle w:val="ListParagraph"/>
        <w:ind w:left="360"/>
        <w:jc w:val="center"/>
        <w:rPr>
          <w:rFonts w:ascii="Arial" w:hAnsi="Arial" w:cs="Arial"/>
          <w:sz w:val="22"/>
          <w:szCs w:val="20"/>
        </w:rPr>
      </w:pPr>
      <w:r w:rsidRPr="006158BB">
        <w:rPr>
          <w:rFonts w:ascii="Arial" w:hAnsi="Arial" w:cs="Arial"/>
          <w:sz w:val="22"/>
          <w:szCs w:val="20"/>
        </w:rPr>
        <w:t>– more –</w:t>
      </w:r>
    </w:p>
    <w:p w14:paraId="70491576" w14:textId="77777777" w:rsidR="005A5BC6" w:rsidRDefault="005A5BC6" w:rsidP="005A5BC6">
      <w:pPr>
        <w:ind w:firstLine="720"/>
        <w:rPr>
          <w:rFonts w:ascii="Arial" w:hAnsi="Arial" w:cs="Arial"/>
          <w:sz w:val="22"/>
          <w:szCs w:val="22"/>
        </w:rPr>
      </w:pPr>
    </w:p>
    <w:p w14:paraId="3EC93A7E" w14:textId="77777777" w:rsidR="003A69AF" w:rsidRDefault="003A69AF" w:rsidP="005A5BC6">
      <w:pPr>
        <w:ind w:firstLine="720"/>
        <w:rPr>
          <w:rFonts w:ascii="Arial" w:hAnsi="Arial" w:cs="Arial"/>
          <w:sz w:val="22"/>
          <w:szCs w:val="22"/>
        </w:rPr>
      </w:pPr>
    </w:p>
    <w:p w14:paraId="48D5B988" w14:textId="77777777" w:rsidR="005775F1" w:rsidRDefault="005775F1" w:rsidP="00EB1D47">
      <w:pPr>
        <w:ind w:firstLine="720"/>
        <w:rPr>
          <w:rFonts w:ascii="Arial" w:hAnsi="Arial" w:cs="Arial"/>
          <w:sz w:val="22"/>
          <w:szCs w:val="22"/>
        </w:rPr>
      </w:pPr>
    </w:p>
    <w:p w14:paraId="4A3B745E" w14:textId="77777777" w:rsidR="004C46DD" w:rsidRPr="00DB274D" w:rsidRDefault="004C46DD" w:rsidP="004C46DD">
      <w:pPr>
        <w:ind w:firstLine="360"/>
        <w:rPr>
          <w:rFonts w:ascii="Arial" w:hAnsi="Arial" w:cs="Arial"/>
          <w:sz w:val="22"/>
          <w:szCs w:val="22"/>
        </w:rPr>
      </w:pPr>
      <w:r w:rsidRPr="004C46DD">
        <w:rPr>
          <w:rFonts w:ascii="Arial" w:hAnsi="Arial"/>
          <w:sz w:val="22"/>
          <w:szCs w:val="22"/>
        </w:rPr>
        <w:lastRenderedPageBreak/>
        <w:t xml:space="preserve">“Transformation </w:t>
      </w:r>
      <w:r w:rsidRPr="004C46DD">
        <w:rPr>
          <w:rFonts w:ascii="Arial" w:hAnsi="Arial" w:cs="Arial"/>
          <w:sz w:val="22"/>
          <w:szCs w:val="22"/>
        </w:rPr>
        <w:t>is</w:t>
      </w:r>
      <w:r w:rsidRPr="004C46DD">
        <w:rPr>
          <w:rFonts w:ascii="Arial" w:hAnsi="Arial"/>
          <w:sz w:val="22"/>
          <w:szCs w:val="22"/>
        </w:rPr>
        <w:t xml:space="preserve"> creating a firm foundation for performance well into the future</w:t>
      </w:r>
      <w:r w:rsidR="00AA6C14">
        <w:rPr>
          <w:rFonts w:ascii="Arial" w:hAnsi="Arial" w:cs="Arial"/>
          <w:sz w:val="22"/>
          <w:szCs w:val="22"/>
        </w:rPr>
        <w:t>,</w:t>
      </w:r>
      <w:r w:rsidRPr="004C46DD">
        <w:rPr>
          <w:rFonts w:ascii="Arial" w:hAnsi="Arial" w:cs="Arial"/>
          <w:sz w:val="22"/>
          <w:szCs w:val="22"/>
        </w:rPr>
        <w:t>”</w:t>
      </w:r>
      <w:r w:rsidRPr="004C46DD">
        <w:rPr>
          <w:rFonts w:ascii="Arial" w:hAnsi="Arial"/>
          <w:sz w:val="22"/>
          <w:szCs w:val="22"/>
        </w:rPr>
        <w:t xml:space="preserve"> said Richard </w:t>
      </w:r>
      <w:proofErr w:type="spellStart"/>
      <w:r w:rsidRPr="004C46DD">
        <w:rPr>
          <w:rFonts w:ascii="Arial" w:hAnsi="Arial"/>
          <w:sz w:val="22"/>
          <w:szCs w:val="22"/>
        </w:rPr>
        <w:t>Peretz</w:t>
      </w:r>
      <w:proofErr w:type="spellEnd"/>
      <w:r w:rsidRPr="004C46DD">
        <w:rPr>
          <w:rFonts w:ascii="Arial" w:hAnsi="Arial"/>
          <w:sz w:val="22"/>
          <w:szCs w:val="22"/>
        </w:rPr>
        <w:t>, UPS’s chief financial officer. “</w:t>
      </w:r>
      <w:r w:rsidRPr="004C46DD">
        <w:rPr>
          <w:rFonts w:ascii="Arial" w:hAnsi="Arial" w:cs="Arial"/>
          <w:sz w:val="22"/>
          <w:szCs w:val="22"/>
        </w:rPr>
        <w:t>Our strategies and initiatives are driving additional network efficiency and flexibility</w:t>
      </w:r>
      <w:r w:rsidR="00AA6C14">
        <w:rPr>
          <w:rFonts w:ascii="Arial" w:hAnsi="Arial" w:cs="Arial"/>
          <w:sz w:val="22"/>
          <w:szCs w:val="22"/>
        </w:rPr>
        <w:t>, and we remain confident in achieving our targets for the year</w:t>
      </w:r>
      <w:r w:rsidRPr="004C46DD">
        <w:rPr>
          <w:rFonts w:ascii="Arial" w:hAnsi="Arial" w:cs="Arial"/>
          <w:sz w:val="22"/>
          <w:szCs w:val="22"/>
        </w:rPr>
        <w:t>.”</w:t>
      </w:r>
    </w:p>
    <w:p w14:paraId="65EC0B72" w14:textId="77777777" w:rsidR="006B626C" w:rsidRPr="001279AB" w:rsidRDefault="006B626C" w:rsidP="006B626C">
      <w:pPr>
        <w:ind w:firstLine="720"/>
        <w:rPr>
          <w:rFonts w:ascii="Arial" w:hAnsi="Arial"/>
          <w:sz w:val="22"/>
        </w:rPr>
      </w:pPr>
    </w:p>
    <w:p w14:paraId="2B7FF154" w14:textId="77777777" w:rsidR="005775F1" w:rsidRPr="001279AB" w:rsidRDefault="00D76B30" w:rsidP="001279AB">
      <w:pPr>
        <w:pStyle w:val="ListParagraph"/>
        <w:numPr>
          <w:ilvl w:val="0"/>
          <w:numId w:val="3"/>
        </w:numPr>
        <w:spacing w:after="160" w:line="259" w:lineRule="auto"/>
        <w:ind w:left="360"/>
        <w:rPr>
          <w:rFonts w:ascii="Arial" w:hAnsi="Arial"/>
          <w:sz w:val="22"/>
        </w:rPr>
      </w:pPr>
      <w:r w:rsidRPr="001279AB">
        <w:rPr>
          <w:rFonts w:ascii="Arial" w:hAnsi="Arial" w:cs="Arial"/>
          <w:sz w:val="22"/>
          <w:szCs w:val="22"/>
        </w:rPr>
        <w:t>The company</w:t>
      </w:r>
      <w:r w:rsidR="005775F1" w:rsidRPr="001279AB">
        <w:rPr>
          <w:rFonts w:ascii="Arial" w:hAnsi="Arial"/>
          <w:sz w:val="22"/>
        </w:rPr>
        <w:t xml:space="preserve"> </w:t>
      </w:r>
      <w:r w:rsidR="00E46CFB">
        <w:rPr>
          <w:rFonts w:ascii="Arial" w:hAnsi="Arial"/>
          <w:sz w:val="22"/>
        </w:rPr>
        <w:t>reaffirms</w:t>
      </w:r>
      <w:r w:rsidR="00E46CFB" w:rsidRPr="001279AB">
        <w:rPr>
          <w:rFonts w:ascii="Arial" w:hAnsi="Arial"/>
          <w:sz w:val="22"/>
        </w:rPr>
        <w:t xml:space="preserve"> </w:t>
      </w:r>
      <w:r w:rsidR="00DB2677" w:rsidRPr="001279AB">
        <w:rPr>
          <w:rFonts w:ascii="Arial" w:hAnsi="Arial"/>
          <w:sz w:val="22"/>
        </w:rPr>
        <w:t>a</w:t>
      </w:r>
      <w:r w:rsidR="00AF066F" w:rsidRPr="001279AB">
        <w:rPr>
          <w:rFonts w:ascii="Arial" w:hAnsi="Arial"/>
          <w:sz w:val="22"/>
        </w:rPr>
        <w:t xml:space="preserve">djusted diluted </w:t>
      </w:r>
      <w:r w:rsidR="005775F1" w:rsidRPr="001279AB">
        <w:rPr>
          <w:rFonts w:ascii="Arial" w:hAnsi="Arial"/>
          <w:sz w:val="22"/>
        </w:rPr>
        <w:t>EPS</w:t>
      </w:r>
      <w:r w:rsidR="003F065F" w:rsidRPr="001279AB">
        <w:rPr>
          <w:rFonts w:ascii="Arial" w:hAnsi="Arial"/>
          <w:sz w:val="22"/>
        </w:rPr>
        <w:t xml:space="preserve"> </w:t>
      </w:r>
      <w:r w:rsidR="00DB2677" w:rsidRPr="001279AB">
        <w:rPr>
          <w:rFonts w:ascii="Arial" w:hAnsi="Arial" w:cs="Arial"/>
          <w:sz w:val="22"/>
          <w:szCs w:val="22"/>
        </w:rPr>
        <w:t>will</w:t>
      </w:r>
      <w:r w:rsidR="003F065F" w:rsidRPr="001279AB">
        <w:rPr>
          <w:rFonts w:ascii="Arial" w:hAnsi="Arial" w:cs="Arial"/>
          <w:sz w:val="22"/>
          <w:szCs w:val="22"/>
        </w:rPr>
        <w:t xml:space="preserve"> be</w:t>
      </w:r>
      <w:r w:rsidR="00AF066F" w:rsidRPr="001279AB">
        <w:rPr>
          <w:rFonts w:ascii="Arial" w:hAnsi="Arial" w:cs="Arial"/>
          <w:sz w:val="22"/>
          <w:szCs w:val="22"/>
        </w:rPr>
        <w:t xml:space="preserve"> </w:t>
      </w:r>
      <w:r w:rsidR="00AF066F" w:rsidRPr="001279AB">
        <w:rPr>
          <w:rFonts w:ascii="Arial" w:hAnsi="Arial"/>
          <w:sz w:val="22"/>
        </w:rPr>
        <w:t xml:space="preserve">in </w:t>
      </w:r>
      <w:r w:rsidR="00DB2677" w:rsidRPr="001279AB">
        <w:rPr>
          <w:rFonts w:ascii="Arial" w:hAnsi="Arial"/>
          <w:sz w:val="22"/>
        </w:rPr>
        <w:t xml:space="preserve">the </w:t>
      </w:r>
      <w:r w:rsidR="00AF066F" w:rsidRPr="001279AB">
        <w:rPr>
          <w:rFonts w:ascii="Arial" w:hAnsi="Arial"/>
          <w:sz w:val="22"/>
        </w:rPr>
        <w:t xml:space="preserve">range of </w:t>
      </w:r>
      <w:r w:rsidR="003F065F" w:rsidRPr="001279AB">
        <w:rPr>
          <w:rFonts w:ascii="Arial" w:hAnsi="Arial"/>
          <w:sz w:val="22"/>
        </w:rPr>
        <w:t>$</w:t>
      </w:r>
      <w:r w:rsidR="003F065F" w:rsidRPr="001279AB">
        <w:rPr>
          <w:rFonts w:ascii="Arial" w:hAnsi="Arial" w:cs="Arial"/>
          <w:sz w:val="22"/>
          <w:szCs w:val="22"/>
        </w:rPr>
        <w:t>7.45</w:t>
      </w:r>
      <w:r w:rsidR="003F065F" w:rsidRPr="001279AB">
        <w:rPr>
          <w:rFonts w:ascii="Arial" w:hAnsi="Arial"/>
          <w:sz w:val="22"/>
        </w:rPr>
        <w:t xml:space="preserve"> to $</w:t>
      </w:r>
      <w:r w:rsidR="003F065F" w:rsidRPr="001279AB">
        <w:rPr>
          <w:rFonts w:ascii="Arial" w:hAnsi="Arial" w:cs="Arial"/>
          <w:sz w:val="22"/>
          <w:szCs w:val="22"/>
        </w:rPr>
        <w:t>7.75</w:t>
      </w:r>
      <w:r w:rsidR="00C3177D" w:rsidRPr="001279AB">
        <w:rPr>
          <w:rFonts w:ascii="Arial" w:hAnsi="Arial"/>
          <w:sz w:val="22"/>
        </w:rPr>
        <w:t>.</w:t>
      </w:r>
    </w:p>
    <w:p w14:paraId="6659DFFB" w14:textId="77777777" w:rsidR="005775F1" w:rsidRPr="001279AB" w:rsidRDefault="005775F1" w:rsidP="005775F1">
      <w:pPr>
        <w:pStyle w:val="ListParagraph"/>
        <w:numPr>
          <w:ilvl w:val="0"/>
          <w:numId w:val="3"/>
        </w:numPr>
        <w:spacing w:after="160" w:line="259" w:lineRule="auto"/>
        <w:ind w:left="360"/>
        <w:rPr>
          <w:rFonts w:ascii="Arial" w:hAnsi="Arial"/>
          <w:sz w:val="22"/>
        </w:rPr>
      </w:pPr>
      <w:r w:rsidRPr="001279AB">
        <w:rPr>
          <w:rFonts w:ascii="Arial" w:hAnsi="Arial"/>
          <w:sz w:val="22"/>
        </w:rPr>
        <w:t>Adjusted free cash flow</w:t>
      </w:r>
      <w:r w:rsidRPr="005775F1">
        <w:rPr>
          <w:rFonts w:ascii="Arial" w:hAnsi="Arial" w:cs="Arial"/>
          <w:sz w:val="22"/>
          <w:szCs w:val="22"/>
        </w:rPr>
        <w:t xml:space="preserve"> for the year</w:t>
      </w:r>
      <w:r w:rsidRPr="001279AB">
        <w:rPr>
          <w:rFonts w:ascii="Arial" w:hAnsi="Arial"/>
          <w:sz w:val="22"/>
        </w:rPr>
        <w:t xml:space="preserve"> is </w:t>
      </w:r>
      <w:r w:rsidR="004B1DBB">
        <w:rPr>
          <w:rFonts w:ascii="Arial" w:hAnsi="Arial"/>
          <w:sz w:val="22"/>
        </w:rPr>
        <w:t>projected</w:t>
      </w:r>
      <w:r w:rsidRPr="001279AB">
        <w:rPr>
          <w:rFonts w:ascii="Arial" w:hAnsi="Arial"/>
          <w:sz w:val="22"/>
        </w:rPr>
        <w:t xml:space="preserve"> to be between $3.5 and $4 billion with potential additional upside from the working capital initiatives.</w:t>
      </w:r>
    </w:p>
    <w:p w14:paraId="20F2906E" w14:textId="77777777" w:rsidR="005775F1" w:rsidRPr="005775F1" w:rsidRDefault="005775F1" w:rsidP="005775F1">
      <w:pPr>
        <w:pStyle w:val="ListParagraph"/>
        <w:numPr>
          <w:ilvl w:val="0"/>
          <w:numId w:val="3"/>
        </w:numPr>
        <w:spacing w:after="160" w:line="259" w:lineRule="auto"/>
        <w:ind w:left="360"/>
        <w:rPr>
          <w:rFonts w:ascii="Arial" w:hAnsi="Arial" w:cs="Arial"/>
          <w:sz w:val="22"/>
          <w:szCs w:val="22"/>
        </w:rPr>
      </w:pPr>
      <w:r w:rsidRPr="005775F1">
        <w:rPr>
          <w:rFonts w:ascii="Arial" w:hAnsi="Arial" w:cs="Arial"/>
          <w:sz w:val="22"/>
          <w:szCs w:val="22"/>
        </w:rPr>
        <w:t>The effective tax rate for 2019 is estimated to be between 23% and 24%.</w:t>
      </w:r>
    </w:p>
    <w:p w14:paraId="149B8330" w14:textId="77777777" w:rsidR="00034865" w:rsidRPr="00827E85" w:rsidRDefault="00CD5CE4" w:rsidP="00CD5CE4">
      <w:pPr>
        <w:pStyle w:val="ListParagraph"/>
        <w:numPr>
          <w:ilvl w:val="0"/>
          <w:numId w:val="3"/>
        </w:numPr>
        <w:spacing w:after="160" w:line="259" w:lineRule="auto"/>
        <w:ind w:left="360"/>
        <w:rPr>
          <w:rFonts w:ascii="Arial" w:hAnsi="Arial" w:cs="Arial"/>
          <w:sz w:val="22"/>
        </w:rPr>
      </w:pPr>
      <w:r>
        <w:rPr>
          <w:rFonts w:ascii="Arial" w:hAnsi="Arial" w:cs="Arial"/>
          <w:sz w:val="22"/>
          <w:szCs w:val="22"/>
        </w:rPr>
        <w:t>In the second quarter, w</w:t>
      </w:r>
      <w:r w:rsidR="00361D84">
        <w:rPr>
          <w:rFonts w:ascii="Arial" w:hAnsi="Arial" w:cs="Arial"/>
          <w:sz w:val="22"/>
          <w:szCs w:val="22"/>
        </w:rPr>
        <w:t>e will open about 30% of our planned 2019</w:t>
      </w:r>
      <w:r w:rsidR="00034865" w:rsidRPr="00CD5CE4">
        <w:rPr>
          <w:rFonts w:ascii="Arial" w:hAnsi="Arial" w:cs="Arial"/>
          <w:sz w:val="22"/>
          <w:szCs w:val="22"/>
        </w:rPr>
        <w:t xml:space="preserve"> capacity</w:t>
      </w:r>
      <w:r w:rsidR="00361D84">
        <w:rPr>
          <w:rFonts w:ascii="Arial" w:hAnsi="Arial" w:cs="Arial"/>
          <w:sz w:val="22"/>
          <w:szCs w:val="22"/>
        </w:rPr>
        <w:t>;</w:t>
      </w:r>
      <w:r w:rsidR="00034865" w:rsidRPr="00CD5CE4">
        <w:rPr>
          <w:rFonts w:ascii="Arial" w:hAnsi="Arial" w:cs="Arial"/>
          <w:sz w:val="22"/>
          <w:szCs w:val="22"/>
        </w:rPr>
        <w:t xml:space="preserve"> no facilities were o</w:t>
      </w:r>
      <w:r w:rsidR="00361D84">
        <w:rPr>
          <w:rFonts w:ascii="Arial" w:hAnsi="Arial" w:cs="Arial"/>
          <w:sz w:val="22"/>
          <w:szCs w:val="22"/>
        </w:rPr>
        <w:t xml:space="preserve">pened during the same period </w:t>
      </w:r>
      <w:r w:rsidR="00034865" w:rsidRPr="00CD5CE4">
        <w:rPr>
          <w:rFonts w:ascii="Arial" w:hAnsi="Arial" w:cs="Arial"/>
          <w:sz w:val="22"/>
          <w:szCs w:val="22"/>
        </w:rPr>
        <w:t>last year. Thus onboarding co</w:t>
      </w:r>
      <w:r w:rsidR="004F1B33">
        <w:rPr>
          <w:rFonts w:ascii="Arial" w:hAnsi="Arial" w:cs="Arial"/>
          <w:sz w:val="22"/>
          <w:szCs w:val="22"/>
        </w:rPr>
        <w:t>sts will weigh on the second-</w:t>
      </w:r>
      <w:r w:rsidR="00034865" w:rsidRPr="00CD5CE4">
        <w:rPr>
          <w:rFonts w:ascii="Arial" w:hAnsi="Arial" w:cs="Arial"/>
          <w:sz w:val="22"/>
          <w:szCs w:val="22"/>
        </w:rPr>
        <w:t>quarter</w:t>
      </w:r>
      <w:r w:rsidR="00361D84">
        <w:rPr>
          <w:rFonts w:ascii="Arial" w:hAnsi="Arial" w:cs="Arial"/>
          <w:sz w:val="22"/>
          <w:szCs w:val="22"/>
        </w:rPr>
        <w:t xml:space="preserve"> results</w:t>
      </w:r>
      <w:r w:rsidR="00034865" w:rsidRPr="00CD5CE4">
        <w:rPr>
          <w:rFonts w:ascii="Arial" w:hAnsi="Arial" w:cs="Arial"/>
          <w:sz w:val="22"/>
          <w:szCs w:val="22"/>
        </w:rPr>
        <w:t>.</w:t>
      </w:r>
    </w:p>
    <w:p w14:paraId="2D0476E5" w14:textId="77777777" w:rsidR="00827E85" w:rsidRPr="00AA6C14" w:rsidRDefault="00827E85" w:rsidP="00CD5CE4">
      <w:pPr>
        <w:pStyle w:val="ListParagraph"/>
        <w:numPr>
          <w:ilvl w:val="0"/>
          <w:numId w:val="3"/>
        </w:numPr>
        <w:spacing w:after="160" w:line="259" w:lineRule="auto"/>
        <w:ind w:left="360"/>
        <w:rPr>
          <w:rFonts w:ascii="Arial" w:hAnsi="Arial" w:cs="Arial"/>
          <w:sz w:val="22"/>
        </w:rPr>
      </w:pPr>
      <w:r w:rsidRPr="0086564C">
        <w:rPr>
          <w:rFonts w:ascii="Arial" w:hAnsi="Arial" w:cs="Arial"/>
          <w:sz w:val="22"/>
          <w:szCs w:val="22"/>
        </w:rPr>
        <w:t>Overall operating profit in the second quarter is expected to grow. Adjusted EPS is anticipated to be relatively flat to last year driven by planned pension financing costs.</w:t>
      </w:r>
    </w:p>
    <w:p w14:paraId="1F51FA59" w14:textId="77777777" w:rsidR="00034865" w:rsidRPr="00827E85" w:rsidRDefault="004F1B33" w:rsidP="00827E85">
      <w:pPr>
        <w:pStyle w:val="ListParagraph"/>
        <w:numPr>
          <w:ilvl w:val="0"/>
          <w:numId w:val="3"/>
        </w:numPr>
        <w:spacing w:after="160" w:line="259" w:lineRule="auto"/>
        <w:ind w:left="360"/>
        <w:rPr>
          <w:rFonts w:ascii="Arial" w:hAnsi="Arial" w:cs="Arial"/>
          <w:sz w:val="22"/>
        </w:rPr>
      </w:pPr>
      <w:r>
        <w:rPr>
          <w:rFonts w:ascii="Arial" w:hAnsi="Arial" w:cs="Arial"/>
          <w:sz w:val="22"/>
          <w:szCs w:val="22"/>
        </w:rPr>
        <w:t>Third-</w:t>
      </w:r>
      <w:r w:rsidR="00AA6C14" w:rsidRPr="0086564C">
        <w:rPr>
          <w:rFonts w:ascii="Arial" w:hAnsi="Arial" w:cs="Arial"/>
          <w:sz w:val="22"/>
          <w:szCs w:val="22"/>
        </w:rPr>
        <w:t xml:space="preserve">quarter adjusted EPS is expected to benefit from numerous items including one additional operating day and year-over-year International benefits from 2018 commodities headwinds that should not repeat. </w:t>
      </w:r>
    </w:p>
    <w:p w14:paraId="26FDE2EE" w14:textId="77777777" w:rsidR="00B25481" w:rsidRPr="0086564C" w:rsidRDefault="00743F05" w:rsidP="00B53E29">
      <w:pPr>
        <w:pStyle w:val="ListParagraph"/>
        <w:numPr>
          <w:ilvl w:val="0"/>
          <w:numId w:val="3"/>
        </w:numPr>
        <w:spacing w:after="160" w:line="259" w:lineRule="auto"/>
        <w:ind w:left="360"/>
        <w:rPr>
          <w:rFonts w:ascii="Arial" w:hAnsi="Arial"/>
          <w:sz w:val="22"/>
        </w:rPr>
      </w:pPr>
      <w:r w:rsidRPr="0086564C">
        <w:rPr>
          <w:rFonts w:ascii="Arial" w:hAnsi="Arial"/>
          <w:sz w:val="22"/>
        </w:rPr>
        <w:t>Transformation</w:t>
      </w:r>
      <w:r w:rsidR="009077E4" w:rsidRPr="0086564C">
        <w:rPr>
          <w:rFonts w:ascii="Arial" w:hAnsi="Arial"/>
          <w:sz w:val="22"/>
        </w:rPr>
        <w:t>-related</w:t>
      </w:r>
      <w:r w:rsidRPr="0086564C">
        <w:rPr>
          <w:rFonts w:ascii="Arial" w:hAnsi="Arial"/>
          <w:sz w:val="22"/>
        </w:rPr>
        <w:t xml:space="preserve"> </w:t>
      </w:r>
      <w:r w:rsidR="00C402F6" w:rsidRPr="0086564C">
        <w:rPr>
          <w:rFonts w:ascii="Arial" w:hAnsi="Arial"/>
          <w:sz w:val="22"/>
        </w:rPr>
        <w:t>charges</w:t>
      </w:r>
      <w:r w:rsidRPr="0086564C">
        <w:rPr>
          <w:rFonts w:ascii="Arial" w:hAnsi="Arial"/>
          <w:sz w:val="22"/>
        </w:rPr>
        <w:t xml:space="preserve"> and pension MTM are not included in </w:t>
      </w:r>
      <w:r w:rsidR="006605AF">
        <w:rPr>
          <w:rFonts w:ascii="Arial" w:hAnsi="Arial"/>
          <w:sz w:val="22"/>
        </w:rPr>
        <w:t xml:space="preserve">the adjusted </w:t>
      </w:r>
      <w:r w:rsidRPr="0086564C">
        <w:rPr>
          <w:rFonts w:ascii="Arial" w:hAnsi="Arial"/>
          <w:sz w:val="22"/>
        </w:rPr>
        <w:t>guidance.</w:t>
      </w:r>
    </w:p>
    <w:p w14:paraId="74F77995" w14:textId="77777777" w:rsidR="00B25481" w:rsidRDefault="00136137" w:rsidP="00B25481">
      <w:pPr>
        <w:rPr>
          <w:rFonts w:ascii="Arial" w:hAnsi="Arial" w:cs="Arial"/>
          <w:b/>
          <w:sz w:val="20"/>
          <w:szCs w:val="20"/>
          <w:vertAlign w:val="subscript"/>
        </w:rPr>
      </w:pPr>
      <w:r w:rsidRPr="003B6732">
        <w:rPr>
          <w:sz w:val="20"/>
          <w:szCs w:val="20"/>
          <w:vertAlign w:val="subscript"/>
        </w:rPr>
        <w:t> </w:t>
      </w:r>
    </w:p>
    <w:p w14:paraId="55004103" w14:textId="77777777" w:rsidR="00B0128F" w:rsidRDefault="0092416D" w:rsidP="006D4C14">
      <w:pPr>
        <w:jc w:val="center"/>
        <w:rPr>
          <w:rFonts w:ascii="Arial" w:hAnsi="Arial" w:cs="Arial"/>
          <w:color w:val="003436"/>
          <w:sz w:val="22"/>
          <w:szCs w:val="22"/>
        </w:rPr>
      </w:pPr>
      <w:r w:rsidRPr="00867759">
        <w:rPr>
          <w:rFonts w:ascii="Arial" w:hAnsi="Arial" w:cs="Arial"/>
          <w:color w:val="003436"/>
          <w:sz w:val="22"/>
          <w:szCs w:val="22"/>
        </w:rPr>
        <w:t># # #</w:t>
      </w:r>
    </w:p>
    <w:p w14:paraId="05CB01E9" w14:textId="77777777" w:rsidR="00B70DE2" w:rsidRDefault="00B70DE2" w:rsidP="006D4C14">
      <w:pPr>
        <w:jc w:val="center"/>
        <w:rPr>
          <w:rFonts w:ascii="Arial" w:hAnsi="Arial" w:cs="Arial"/>
          <w:color w:val="003436"/>
          <w:sz w:val="22"/>
          <w:szCs w:val="22"/>
        </w:rPr>
      </w:pPr>
    </w:p>
    <w:p w14:paraId="5814F7BF" w14:textId="77777777" w:rsidR="00B70DE2" w:rsidRPr="00D352EF" w:rsidRDefault="00B70DE2" w:rsidP="00B70DE2">
      <w:pPr>
        <w:rPr>
          <w:rFonts w:ascii="Arial" w:hAnsi="Arial" w:cs="Arial"/>
          <w:sz w:val="22"/>
          <w:szCs w:val="22"/>
          <w:u w:val="single"/>
        </w:rPr>
      </w:pPr>
      <w:r w:rsidRPr="00D352EF">
        <w:rPr>
          <w:rFonts w:ascii="Arial" w:hAnsi="Arial" w:cs="Arial"/>
          <w:b/>
          <w:sz w:val="22"/>
          <w:szCs w:val="22"/>
          <w:u w:val="single"/>
        </w:rPr>
        <w:t>Conference Call Information</w:t>
      </w:r>
    </w:p>
    <w:p w14:paraId="37714BC1" w14:textId="77777777" w:rsidR="00B70DE2" w:rsidRPr="00D352EF" w:rsidRDefault="00B70DE2" w:rsidP="00B70DE2">
      <w:pPr>
        <w:rPr>
          <w:rFonts w:ascii="Arial" w:hAnsi="Arial" w:cs="Arial"/>
          <w:sz w:val="22"/>
          <w:szCs w:val="22"/>
        </w:rPr>
      </w:pPr>
      <w:r w:rsidRPr="00D352EF">
        <w:rPr>
          <w:rFonts w:ascii="Arial" w:hAnsi="Arial" w:cs="Arial"/>
          <w:sz w:val="22"/>
          <w:szCs w:val="22"/>
        </w:rPr>
        <w:tab/>
      </w:r>
    </w:p>
    <w:p w14:paraId="1073FE23" w14:textId="77777777" w:rsidR="00B70DE2" w:rsidRPr="00D352EF" w:rsidRDefault="00B70DE2" w:rsidP="00B70DE2">
      <w:pPr>
        <w:ind w:firstLine="720"/>
        <w:rPr>
          <w:rFonts w:ascii="Arial" w:hAnsi="Arial" w:cs="Arial"/>
          <w:sz w:val="22"/>
          <w:szCs w:val="22"/>
        </w:rPr>
      </w:pPr>
      <w:r w:rsidRPr="00D352EF">
        <w:rPr>
          <w:rFonts w:ascii="Arial" w:hAnsi="Arial" w:cs="Arial"/>
          <w:sz w:val="22"/>
          <w:szCs w:val="22"/>
        </w:rPr>
        <w:t xml:space="preserve">UPS CEO David Abney and CFO Richard </w:t>
      </w:r>
      <w:proofErr w:type="spellStart"/>
      <w:r w:rsidRPr="00D352EF">
        <w:rPr>
          <w:rFonts w:ascii="Arial" w:hAnsi="Arial" w:cs="Arial"/>
          <w:sz w:val="22"/>
          <w:szCs w:val="22"/>
        </w:rPr>
        <w:t>Peretz</w:t>
      </w:r>
      <w:proofErr w:type="spellEnd"/>
      <w:r w:rsidRPr="00D352EF">
        <w:rPr>
          <w:rFonts w:ascii="Arial" w:hAnsi="Arial" w:cs="Arial"/>
          <w:sz w:val="22"/>
          <w:szCs w:val="22"/>
        </w:rPr>
        <w:t xml:space="preserve"> will discuss </w:t>
      </w:r>
      <w:r w:rsidR="00821C26">
        <w:rPr>
          <w:rFonts w:ascii="Arial" w:hAnsi="Arial" w:cs="Arial"/>
          <w:sz w:val="22"/>
          <w:szCs w:val="22"/>
        </w:rPr>
        <w:t>first</w:t>
      </w:r>
      <w:r w:rsidRPr="00D352EF">
        <w:rPr>
          <w:rFonts w:ascii="Arial" w:hAnsi="Arial" w:cs="Arial"/>
          <w:sz w:val="22"/>
          <w:szCs w:val="22"/>
        </w:rPr>
        <w:t xml:space="preserve">-quarter results with investors and analysts during a conference call at 8:30 a.m. ET, </w:t>
      </w:r>
      <w:r>
        <w:rPr>
          <w:rFonts w:ascii="Arial" w:hAnsi="Arial" w:cs="Arial"/>
          <w:sz w:val="22"/>
          <w:szCs w:val="22"/>
        </w:rPr>
        <w:t>April 25</w:t>
      </w:r>
      <w:r w:rsidRPr="00D352EF">
        <w:rPr>
          <w:rFonts w:ascii="Arial" w:hAnsi="Arial" w:cs="Arial"/>
          <w:sz w:val="22"/>
          <w:szCs w:val="22"/>
        </w:rPr>
        <w:t xml:space="preserve">, 2019.  That call will be open to others through a live Webcast.  To access the call, go to </w:t>
      </w:r>
      <w:hyperlink r:id="rId9" w:history="1">
        <w:r w:rsidRPr="00D352EF">
          <w:rPr>
            <w:rStyle w:val="Hyperlink"/>
            <w:rFonts w:ascii="Arial" w:hAnsi="Arial" w:cs="Arial"/>
            <w:sz w:val="22"/>
            <w:szCs w:val="22"/>
          </w:rPr>
          <w:t>www.investors.ups.com</w:t>
        </w:r>
      </w:hyperlink>
      <w:r w:rsidRPr="00D352EF">
        <w:rPr>
          <w:rFonts w:ascii="Arial" w:hAnsi="Arial" w:cs="Arial"/>
          <w:sz w:val="22"/>
          <w:szCs w:val="22"/>
          <w:u w:val="single"/>
        </w:rPr>
        <w:t xml:space="preserve"> </w:t>
      </w:r>
      <w:r w:rsidRPr="00D352EF">
        <w:rPr>
          <w:rFonts w:ascii="Arial" w:hAnsi="Arial" w:cs="Arial"/>
          <w:sz w:val="22"/>
          <w:szCs w:val="22"/>
        </w:rPr>
        <w:t>and click on “Earnings Webcast.”</w:t>
      </w:r>
      <w:r>
        <w:rPr>
          <w:rFonts w:ascii="Arial" w:hAnsi="Arial" w:cs="Arial"/>
          <w:sz w:val="22"/>
          <w:szCs w:val="22"/>
        </w:rPr>
        <w:t xml:space="preserve"> Additional financial information is included in the detailed financial schedules being posted on </w:t>
      </w:r>
      <w:hyperlink r:id="rId10" w:history="1">
        <w:r w:rsidRPr="00BA6445">
          <w:rPr>
            <w:rStyle w:val="Hyperlink"/>
            <w:rFonts w:ascii="Arial" w:hAnsi="Arial" w:cs="Arial"/>
            <w:sz w:val="22"/>
            <w:szCs w:val="22"/>
          </w:rPr>
          <w:t>www.investors.ups.com</w:t>
        </w:r>
      </w:hyperlink>
      <w:r>
        <w:rPr>
          <w:rFonts w:ascii="Arial" w:hAnsi="Arial" w:cs="Arial"/>
          <w:sz w:val="22"/>
          <w:szCs w:val="22"/>
        </w:rPr>
        <w:t xml:space="preserve"> under “Financials” and as filed with the SEC as an exhibit to our Current Report on Form 8-K.</w:t>
      </w:r>
    </w:p>
    <w:p w14:paraId="4CE94215" w14:textId="77777777" w:rsidR="00B70DE2" w:rsidRPr="00D352EF" w:rsidRDefault="00B70DE2" w:rsidP="00B70DE2">
      <w:pPr>
        <w:autoSpaceDE w:val="0"/>
        <w:autoSpaceDN w:val="0"/>
        <w:adjustRightInd w:val="0"/>
        <w:ind w:firstLine="720"/>
        <w:rPr>
          <w:rFonts w:ascii="Arial" w:hAnsi="Arial" w:cs="Arial"/>
          <w:sz w:val="22"/>
          <w:szCs w:val="22"/>
        </w:rPr>
      </w:pPr>
    </w:p>
    <w:p w14:paraId="2B98F067" w14:textId="77777777" w:rsidR="00137F73" w:rsidRDefault="00137F73" w:rsidP="00137F73">
      <w:pPr>
        <w:rPr>
          <w:rFonts w:ascii="Arial" w:hAnsi="Arial" w:cs="Arial"/>
          <w:b/>
          <w:bCs/>
        </w:rPr>
      </w:pPr>
      <w:r>
        <w:rPr>
          <w:rFonts w:ascii="Arial" w:hAnsi="Arial" w:cs="Arial"/>
          <w:b/>
          <w:bCs/>
        </w:rPr>
        <w:t>About UPS</w:t>
      </w:r>
    </w:p>
    <w:p w14:paraId="254B71EA" w14:textId="77777777" w:rsidR="00137F73" w:rsidRDefault="00137F73" w:rsidP="00137F73">
      <w:pPr>
        <w:rPr>
          <w:rFonts w:ascii="Arial" w:hAnsi="Arial" w:cs="Arial"/>
          <w:b/>
          <w:bCs/>
        </w:rPr>
      </w:pPr>
    </w:p>
    <w:p w14:paraId="5A5DF752" w14:textId="77777777" w:rsidR="00137F73" w:rsidRDefault="00137F73" w:rsidP="00137F73">
      <w:pPr>
        <w:ind w:firstLine="720"/>
        <w:rPr>
          <w:rFonts w:ascii="Arial" w:hAnsi="Arial" w:cs="Arial"/>
        </w:rPr>
      </w:pPr>
      <w:r>
        <w:rPr>
          <w:rFonts w:ascii="Arial" w:hAnsi="Arial" w:cs="Arial"/>
        </w:rPr>
        <w:t xml:space="preserve">UPS (NYSE: UPS) is a global leader in logistics, offering a broad range of solutions including transporting packages and freight; facilitating international trade, and deploying advanced technology to more efficiently manage the world of business. Headquartered in Atlanta, UPS serves more than 220 countries and territories worldwide. UPS was awarded </w:t>
      </w:r>
      <w:hyperlink r:id="rId11" w:history="1">
        <w:r>
          <w:rPr>
            <w:rStyle w:val="Hyperlink"/>
            <w:rFonts w:ascii="Arial" w:hAnsi="Arial" w:cs="Arial"/>
          </w:rPr>
          <w:t>America’s Best Customer Service</w:t>
        </w:r>
      </w:hyperlink>
      <w:r>
        <w:rPr>
          <w:rFonts w:ascii="Arial" w:hAnsi="Arial" w:cs="Arial"/>
        </w:rPr>
        <w:t xml:space="preserve"> company for Shipping and Delivery services by Newsweek magazine; Forbes </w:t>
      </w:r>
      <w:hyperlink r:id="rId12" w:anchor="tab:rank_industry:Transportation" w:history="1">
        <w:r>
          <w:rPr>
            <w:rStyle w:val="Hyperlink"/>
            <w:rFonts w:ascii="Arial" w:hAnsi="Arial" w:cs="Arial"/>
          </w:rPr>
          <w:t>Most Valuable Brand in Transportation</w:t>
        </w:r>
      </w:hyperlink>
      <w:r>
        <w:rPr>
          <w:rFonts w:ascii="Arial" w:hAnsi="Arial" w:cs="Arial"/>
        </w:rPr>
        <w:t xml:space="preserve">; and top rankings on the </w:t>
      </w:r>
      <w:hyperlink r:id="rId13" w:anchor="4309ad3b2bf0" w:history="1">
        <w:r>
          <w:rPr>
            <w:rStyle w:val="Hyperlink"/>
            <w:rFonts w:ascii="Arial" w:hAnsi="Arial" w:cs="Arial"/>
          </w:rPr>
          <w:t>JUST 100</w:t>
        </w:r>
      </w:hyperlink>
      <w:r>
        <w:rPr>
          <w:rFonts w:ascii="Arial" w:hAnsi="Arial" w:cs="Arial"/>
        </w:rPr>
        <w:t xml:space="preserve"> list for social responsibility, the Dow Jones Sustainability World Index, and the Harris Poll Reputation Quotient, among other prestigious rankings and awards. The company can be found on the web at </w:t>
      </w:r>
      <w:hyperlink r:id="rId14" w:history="1">
        <w:r>
          <w:rPr>
            <w:rStyle w:val="Hyperlink"/>
            <w:rFonts w:ascii="Arial" w:hAnsi="Arial" w:cs="Arial"/>
          </w:rPr>
          <w:t>ups.com</w:t>
        </w:r>
      </w:hyperlink>
      <w:r>
        <w:rPr>
          <w:rFonts w:ascii="Arial" w:hAnsi="Arial" w:cs="Arial"/>
        </w:rPr>
        <w:t xml:space="preserve"> or </w:t>
      </w:r>
      <w:hyperlink r:id="rId15" w:history="1">
        <w:r>
          <w:rPr>
            <w:rStyle w:val="Hyperlink"/>
            <w:rFonts w:ascii="Arial" w:hAnsi="Arial" w:cs="Arial"/>
          </w:rPr>
          <w:t>pressroom.ups.com</w:t>
        </w:r>
      </w:hyperlink>
      <w:r>
        <w:rPr>
          <w:rFonts w:ascii="Arial" w:hAnsi="Arial" w:cs="Arial"/>
        </w:rPr>
        <w:t xml:space="preserve"> and its corporate blog can be found at </w:t>
      </w:r>
      <w:hyperlink r:id="rId16" w:history="1">
        <w:r>
          <w:rPr>
            <w:rStyle w:val="Hyperlink"/>
            <w:rFonts w:ascii="Arial" w:hAnsi="Arial" w:cs="Arial"/>
          </w:rPr>
          <w:t>longitudes.ups.com</w:t>
        </w:r>
      </w:hyperlink>
      <w:r>
        <w:rPr>
          <w:rFonts w:ascii="Arial" w:hAnsi="Arial" w:cs="Arial"/>
        </w:rPr>
        <w:t xml:space="preserve">. The company’s sustainability </w:t>
      </w:r>
      <w:proofErr w:type="spellStart"/>
      <w:r>
        <w:rPr>
          <w:rFonts w:ascii="Arial" w:hAnsi="Arial" w:cs="Arial"/>
        </w:rPr>
        <w:t>eNewsletter</w:t>
      </w:r>
      <w:proofErr w:type="spellEnd"/>
      <w:r>
        <w:rPr>
          <w:rFonts w:ascii="Arial" w:hAnsi="Arial" w:cs="Arial"/>
        </w:rPr>
        <w:t xml:space="preserve">, UPS Horizons, can be found at </w:t>
      </w:r>
      <w:hyperlink r:id="rId17" w:history="1">
        <w:r>
          <w:rPr>
            <w:rStyle w:val="Hyperlink"/>
            <w:rFonts w:ascii="Arial" w:hAnsi="Arial" w:cs="Arial"/>
          </w:rPr>
          <w:t>ups.com/</w:t>
        </w:r>
        <w:proofErr w:type="spellStart"/>
        <w:r>
          <w:rPr>
            <w:rStyle w:val="Hyperlink"/>
            <w:rFonts w:ascii="Arial" w:hAnsi="Arial" w:cs="Arial"/>
          </w:rPr>
          <w:t>sustainabilitynewsletter</w:t>
        </w:r>
        <w:proofErr w:type="spellEnd"/>
      </w:hyperlink>
      <w:r>
        <w:rPr>
          <w:rFonts w:ascii="Arial" w:hAnsi="Arial" w:cs="Arial"/>
        </w:rPr>
        <w:t xml:space="preserve">. To get UPS news direct, follow </w:t>
      </w:r>
      <w:hyperlink r:id="rId18" w:history="1">
        <w:r>
          <w:rPr>
            <w:rStyle w:val="Hyperlink"/>
            <w:rFonts w:ascii="Arial" w:hAnsi="Arial" w:cs="Arial"/>
          </w:rPr>
          <w:t>@</w:t>
        </w:r>
        <w:proofErr w:type="spellStart"/>
        <w:r>
          <w:rPr>
            <w:rStyle w:val="Hyperlink"/>
            <w:rFonts w:ascii="Arial" w:hAnsi="Arial" w:cs="Arial"/>
          </w:rPr>
          <w:t>UPS_News</w:t>
        </w:r>
        <w:proofErr w:type="spellEnd"/>
      </w:hyperlink>
      <w:r>
        <w:rPr>
          <w:rFonts w:ascii="Arial" w:hAnsi="Arial" w:cs="Arial"/>
        </w:rPr>
        <w:t xml:space="preserve"> on Twitter.</w:t>
      </w:r>
    </w:p>
    <w:p w14:paraId="61E5F268" w14:textId="77777777" w:rsidR="00B70DE2" w:rsidRDefault="00B70DE2" w:rsidP="00B70DE2">
      <w:pPr>
        <w:spacing w:line="288" w:lineRule="auto"/>
        <w:rPr>
          <w:rFonts w:ascii="Arial" w:hAnsi="Arial"/>
          <w:b/>
          <w:sz w:val="22"/>
          <w:u w:val="single" w:color="000000"/>
        </w:rPr>
      </w:pPr>
    </w:p>
    <w:p w14:paraId="4D917605" w14:textId="77777777" w:rsidR="00B70DE2" w:rsidRDefault="00B70DE2" w:rsidP="00B70DE2">
      <w:pPr>
        <w:spacing w:line="288" w:lineRule="auto"/>
        <w:rPr>
          <w:rFonts w:ascii="Arial" w:hAnsi="Arial"/>
          <w:b/>
          <w:sz w:val="22"/>
          <w:u w:val="single" w:color="000000"/>
        </w:rPr>
      </w:pPr>
    </w:p>
    <w:p w14:paraId="6069696B" w14:textId="77777777" w:rsidR="00910DF3" w:rsidRDefault="00910DF3" w:rsidP="00033990">
      <w:pPr>
        <w:rPr>
          <w:rFonts w:ascii="Arial" w:hAnsi="Arial"/>
          <w:b/>
          <w:color w:val="000000"/>
          <w:sz w:val="22"/>
          <w:u w:val="single" w:color="000000"/>
        </w:rPr>
      </w:pPr>
    </w:p>
    <w:p w14:paraId="46FE1246" w14:textId="77777777" w:rsidR="00910DF3" w:rsidRDefault="00910DF3" w:rsidP="00033990">
      <w:pPr>
        <w:rPr>
          <w:rFonts w:ascii="Arial" w:hAnsi="Arial"/>
          <w:b/>
          <w:color w:val="000000"/>
          <w:sz w:val="22"/>
          <w:u w:val="single" w:color="000000"/>
        </w:rPr>
      </w:pPr>
    </w:p>
    <w:p w14:paraId="1C0FF08E" w14:textId="77777777" w:rsidR="00910DF3" w:rsidRDefault="00910DF3" w:rsidP="00033990">
      <w:pPr>
        <w:rPr>
          <w:rFonts w:ascii="Arial" w:hAnsi="Arial"/>
          <w:b/>
          <w:color w:val="000000"/>
          <w:sz w:val="22"/>
          <w:u w:val="single" w:color="000000"/>
        </w:rPr>
      </w:pPr>
    </w:p>
    <w:p w14:paraId="2A8C4B5B" w14:textId="77777777" w:rsidR="00910DF3" w:rsidRDefault="00910DF3" w:rsidP="00033990">
      <w:pPr>
        <w:rPr>
          <w:rFonts w:ascii="Arial" w:hAnsi="Arial"/>
          <w:b/>
          <w:color w:val="000000"/>
          <w:sz w:val="22"/>
          <w:u w:val="single" w:color="000000"/>
        </w:rPr>
      </w:pPr>
    </w:p>
    <w:p w14:paraId="6333BEBE" w14:textId="77777777" w:rsidR="00910DF3" w:rsidRDefault="00910DF3" w:rsidP="00033990">
      <w:pPr>
        <w:rPr>
          <w:rFonts w:ascii="Arial" w:hAnsi="Arial"/>
          <w:b/>
          <w:color w:val="000000"/>
          <w:sz w:val="22"/>
          <w:u w:val="single" w:color="000000"/>
        </w:rPr>
      </w:pPr>
    </w:p>
    <w:p w14:paraId="53297350" w14:textId="77777777" w:rsidR="00033990" w:rsidRPr="009E5710" w:rsidRDefault="00033990" w:rsidP="00033990">
      <w:pPr>
        <w:rPr>
          <w:rFonts w:ascii="Arial" w:hAnsi="Arial"/>
          <w:b/>
          <w:sz w:val="22"/>
        </w:rPr>
      </w:pPr>
      <w:r w:rsidRPr="009E5710">
        <w:rPr>
          <w:rFonts w:ascii="Arial" w:hAnsi="Arial"/>
          <w:b/>
          <w:color w:val="000000"/>
          <w:sz w:val="22"/>
          <w:u w:val="single" w:color="000000"/>
        </w:rPr>
        <w:lastRenderedPageBreak/>
        <w:t>Forward-Looking Statements</w:t>
      </w:r>
    </w:p>
    <w:p w14:paraId="78399A4D" w14:textId="77777777" w:rsidR="00033990" w:rsidRPr="009E5710" w:rsidRDefault="00033990" w:rsidP="00033990"/>
    <w:p w14:paraId="54E17ECC" w14:textId="77777777" w:rsidR="00033990" w:rsidRDefault="00033990" w:rsidP="00910DF3">
      <w:pPr>
        <w:ind w:firstLine="720"/>
        <w:rPr>
          <w:rFonts w:ascii="Arial" w:hAnsi="Arial" w:cs="Arial"/>
          <w:sz w:val="22"/>
        </w:rPr>
      </w:pPr>
      <w:r>
        <w:rPr>
          <w:rFonts w:ascii="Arial" w:hAnsi="Arial" w:cs="Arial"/>
          <w:sz w:val="22"/>
        </w:rPr>
        <w:t>Except for historical information contained herein, the statements made in this release constitute forward-looking statements within the meaning of Section 27A of the Securities Act of 1933 and Section 21E of the Securities Exchange Act of 1934. Such forward-looking statements, including statements regarding the intent, belief or current expectations of UPS and its management regarding the company's strategic direction, prospects and future results, involve certain ris</w:t>
      </w:r>
      <w:r w:rsidR="00910DF3">
        <w:rPr>
          <w:rFonts w:ascii="Arial" w:hAnsi="Arial" w:cs="Arial"/>
          <w:sz w:val="22"/>
        </w:rPr>
        <w:t>ks and uncertainties.</w:t>
      </w:r>
    </w:p>
    <w:p w14:paraId="69CA37A4" w14:textId="77777777" w:rsidR="00033990" w:rsidRDefault="00033990" w:rsidP="00033990">
      <w:pPr>
        <w:ind w:firstLine="720"/>
        <w:rPr>
          <w:rFonts w:ascii="Arial" w:hAnsi="Arial" w:cs="Arial"/>
          <w:sz w:val="22"/>
        </w:rPr>
      </w:pPr>
    </w:p>
    <w:p w14:paraId="0DC57F20" w14:textId="77777777" w:rsidR="00033990" w:rsidRDefault="00033990" w:rsidP="00033990">
      <w:pPr>
        <w:ind w:firstLine="720"/>
        <w:rPr>
          <w:rFonts w:ascii="Arial" w:hAnsi="Arial" w:cs="Arial"/>
          <w:sz w:val="22"/>
        </w:rPr>
      </w:pPr>
    </w:p>
    <w:p w14:paraId="6CAA9B5B" w14:textId="77777777" w:rsidR="00033990" w:rsidRPr="009E5710" w:rsidRDefault="00033990" w:rsidP="00033990">
      <w:pPr>
        <w:ind w:firstLine="720"/>
        <w:rPr>
          <w:rFonts w:ascii="Arial" w:hAnsi="Arial"/>
          <w:sz w:val="22"/>
        </w:rPr>
      </w:pPr>
      <w:r>
        <w:rPr>
          <w:rFonts w:ascii="Arial" w:hAnsi="Arial" w:cs="Arial"/>
          <w:sz w:val="22"/>
        </w:rPr>
        <w:t>Certain factors may cause actual results to differ materially from those contemplated by the forward-looking statements, including changes in economic and other conditions in the markets in which we operate, governmental regulations (including tax laws and regulations), our competitive environment, and the facts or assumptions underlying our health and pension benefit funding obligations, the results of negotiation and ratification of labor contracts, the impact of any strikes, work stoppages or slowdowns, changes in aviation and motor fuel prices, cyclical and seasonal fluctuations in our operating results, and other risks discussed in the company's Form 10-K and other filings with the Securities and Exchange Commission, which discussions are incorporated herein by reference.</w:t>
      </w:r>
    </w:p>
    <w:p w14:paraId="6816DCC1" w14:textId="77777777" w:rsidR="00033990" w:rsidRDefault="00033990" w:rsidP="00033990">
      <w:pPr>
        <w:ind w:firstLine="720"/>
        <w:rPr>
          <w:rFonts w:ascii="Arial" w:hAnsi="Arial" w:cs="Arial"/>
          <w:sz w:val="22"/>
        </w:rPr>
      </w:pPr>
    </w:p>
    <w:p w14:paraId="501FCB21" w14:textId="77777777" w:rsidR="00033990" w:rsidRDefault="00033990" w:rsidP="00033990">
      <w:pPr>
        <w:ind w:firstLine="720"/>
        <w:rPr>
          <w:rFonts w:ascii="Arial" w:hAnsi="Arial" w:cs="Arial"/>
          <w:sz w:val="22"/>
        </w:rPr>
      </w:pPr>
    </w:p>
    <w:p w14:paraId="6EC083DB" w14:textId="77777777" w:rsidR="00033990" w:rsidRPr="009E5710" w:rsidRDefault="00033990" w:rsidP="00033990">
      <w:pPr>
        <w:rPr>
          <w:rFonts w:ascii="Arial" w:hAnsi="Arial"/>
          <w:b/>
          <w:sz w:val="22"/>
        </w:rPr>
      </w:pPr>
      <w:r w:rsidRPr="009E5710">
        <w:rPr>
          <w:rFonts w:ascii="Arial" w:hAnsi="Arial"/>
          <w:b/>
          <w:color w:val="000000"/>
          <w:sz w:val="22"/>
          <w:u w:val="single" w:color="000000"/>
        </w:rPr>
        <w:t>Reconciliation of GAAP and non-GAAP Financial Measures</w:t>
      </w:r>
    </w:p>
    <w:p w14:paraId="6A8F64B6" w14:textId="77777777" w:rsidR="00033990" w:rsidRPr="009E5710" w:rsidRDefault="00033990" w:rsidP="00033990"/>
    <w:p w14:paraId="1A179993" w14:textId="77777777" w:rsidR="00033990" w:rsidRDefault="00033990" w:rsidP="00033990">
      <w:pPr>
        <w:ind w:firstLine="720"/>
        <w:rPr>
          <w:rFonts w:ascii="Arial" w:hAnsi="Arial" w:cs="Arial"/>
          <w:sz w:val="22"/>
        </w:rPr>
      </w:pPr>
      <w:r>
        <w:rPr>
          <w:rFonts w:ascii="Arial" w:hAnsi="Arial" w:cs="Arial"/>
          <w:sz w:val="22"/>
        </w:rPr>
        <w:t xml:space="preserve">We supplement the reporting of our financial information determined under generally accepted accounting principles ("GAAP") with certain non-GAAP financial measures, including, as applicable, "as adjusted" operating profit, operating margin, other income (expense), pre-tax income, net income and earnings per </w:t>
      </w:r>
      <w:r w:rsidRPr="0024655C">
        <w:rPr>
          <w:rFonts w:ascii="Arial" w:hAnsi="Arial" w:cs="Arial"/>
          <w:sz w:val="22"/>
        </w:rPr>
        <w:t>share.</w:t>
      </w:r>
      <w:r w:rsidRPr="00CF3F20">
        <w:rPr>
          <w:rFonts w:ascii="Arial" w:hAnsi="Arial" w:cs="Arial"/>
          <w:sz w:val="22"/>
        </w:rPr>
        <w:t xml:space="preserve"> </w:t>
      </w:r>
      <w:r>
        <w:rPr>
          <w:rFonts w:ascii="Arial" w:hAnsi="Arial" w:cs="Arial"/>
          <w:sz w:val="22"/>
        </w:rPr>
        <w:t xml:space="preserve">Additionally, we periodically disclose free cash flow, free cash flow excluding discretionary pension contributions, and capital expenditures excluding principal repayments of capital lease obligations. </w:t>
      </w:r>
      <w:r w:rsidRPr="00FE05F6">
        <w:rPr>
          <w:rFonts w:ascii="Arial" w:hAnsi="Arial" w:cs="Arial"/>
          <w:sz w:val="22"/>
        </w:rPr>
        <w:t>The equivalent measures determined in accordance with GAAP are also referred to as "reported" or</w:t>
      </w:r>
      <w:r>
        <w:rPr>
          <w:rFonts w:ascii="Arial" w:hAnsi="Arial" w:cs="Arial"/>
          <w:sz w:val="22"/>
        </w:rPr>
        <w:t xml:space="preserve"> "unadjusted.” </w:t>
      </w:r>
    </w:p>
    <w:p w14:paraId="166B4EC2" w14:textId="77777777" w:rsidR="00033990" w:rsidRPr="009E5710" w:rsidRDefault="00033990" w:rsidP="00033990">
      <w:pPr>
        <w:ind w:firstLine="720"/>
      </w:pPr>
    </w:p>
    <w:p w14:paraId="2DB91E5A" w14:textId="77777777" w:rsidR="00033990" w:rsidRPr="009E5710" w:rsidRDefault="00033990" w:rsidP="00033990">
      <w:r w:rsidRPr="009E5710">
        <w:tab/>
      </w:r>
      <w:r>
        <w:rPr>
          <w:rFonts w:ascii="Arial" w:hAnsi="Arial" w:cs="Arial"/>
          <w:sz w:val="22"/>
        </w:rPr>
        <w:t>We consider quantitative and qualitative factors in assessing whether to adjust for the impact of items that may be significant or that could affect an understanding of our ongoing financial and business performance or trends. Examples of items for which we may make adjustments include but are not limited to: amounts related to mark-to-market gains or losses (non-cash); settlement of contingencies; gains or losses associated with mergers, acquisitions, divestitures and other structural changes; charges related to restructuring programs such as the implementation of our Transformation strategy; asset impairments (non-cash); amounts related to changes in tax regulations or positions; amounts related to changes in foreign currency exchange rates and the impact of any hedging activities; other pension and postretirement related items; and debt modifications.</w:t>
      </w:r>
    </w:p>
    <w:p w14:paraId="31CE2D2D" w14:textId="77777777" w:rsidR="00033990" w:rsidRPr="009E5710" w:rsidRDefault="00033990" w:rsidP="00033990"/>
    <w:p w14:paraId="4DA7DFF4" w14:textId="77777777" w:rsidR="00033990" w:rsidRDefault="00033990" w:rsidP="00033990">
      <w:pPr>
        <w:ind w:firstLine="720"/>
        <w:rPr>
          <w:rFonts w:ascii="Arial" w:hAnsi="Arial" w:cs="Arial"/>
          <w:sz w:val="22"/>
        </w:rPr>
      </w:pPr>
      <w:r>
        <w:rPr>
          <w:rFonts w:ascii="Arial" w:hAnsi="Arial" w:cs="Arial"/>
          <w:sz w:val="22"/>
        </w:rPr>
        <w:t>We believe that these non-GAAP measures provide additional meaningful information to assist users of our financial statements in understanding our financial results, cash flows and assessing our ongoing performance because they exclude items that may not be indicative of, or are unrelated to, our underlying operations and may provide a useful baseline for analyzing trends in our underlying businesses. Management uses these non-GAAP financial measures in making financial, operating and planning decisions. We also use certain of these measures for the determination of incentive compensation awards.</w:t>
      </w:r>
    </w:p>
    <w:p w14:paraId="3C476DDB" w14:textId="77777777" w:rsidR="00033990" w:rsidRPr="009E5710" w:rsidRDefault="00033990" w:rsidP="00033990">
      <w:pPr>
        <w:ind w:firstLine="720"/>
      </w:pPr>
    </w:p>
    <w:p w14:paraId="1B4E38B6" w14:textId="77777777" w:rsidR="00033990" w:rsidRDefault="00033990" w:rsidP="00033990">
      <w:pPr>
        <w:ind w:firstLine="720"/>
        <w:rPr>
          <w:rFonts w:ascii="Arial" w:hAnsi="Arial" w:cs="Arial"/>
          <w:sz w:val="22"/>
        </w:rPr>
      </w:pPr>
      <w:r>
        <w:rPr>
          <w:rFonts w:ascii="Arial" w:hAnsi="Arial" w:cs="Arial"/>
          <w:sz w:val="22"/>
        </w:rPr>
        <w:t>Non-GAAP financial measures should be considered in addition to, and not as an alternative for, our reported results prepared in accordance with GAAP. Our non-GAAP financial information does not represent a comprehensive basis of accounting. Therefore, our non-GAAP financial information may not be comparable to similarly titled measures reported by other companies.</w:t>
      </w:r>
    </w:p>
    <w:p w14:paraId="22E262E7" w14:textId="77777777" w:rsidR="00033990" w:rsidRDefault="00033990" w:rsidP="00033990">
      <w:pPr>
        <w:rPr>
          <w:rFonts w:ascii="Arial" w:hAnsi="Arial" w:cs="Arial"/>
          <w:i/>
          <w:sz w:val="22"/>
        </w:rPr>
      </w:pPr>
      <w:r>
        <w:rPr>
          <w:rFonts w:ascii="Arial" w:hAnsi="Arial" w:cs="Arial"/>
          <w:i/>
          <w:sz w:val="22"/>
        </w:rPr>
        <w:lastRenderedPageBreak/>
        <w:t>Costs Related to Restructuring Programs; Transformation Strategy Costs</w:t>
      </w:r>
    </w:p>
    <w:p w14:paraId="61F90804" w14:textId="77777777" w:rsidR="00033990" w:rsidRPr="009E5710" w:rsidRDefault="00033990" w:rsidP="00033990"/>
    <w:p w14:paraId="29B561F6" w14:textId="77777777" w:rsidR="00033990" w:rsidRDefault="00033990" w:rsidP="00033990">
      <w:pPr>
        <w:ind w:firstLine="720"/>
        <w:rPr>
          <w:rFonts w:ascii="Arial" w:hAnsi="Arial" w:cs="Arial"/>
          <w:sz w:val="22"/>
        </w:rPr>
      </w:pPr>
      <w:r>
        <w:rPr>
          <w:rFonts w:ascii="Arial" w:hAnsi="Arial" w:cs="Arial"/>
          <w:sz w:val="22"/>
        </w:rPr>
        <w:t>We supplement the presentation of our operating profit, operating margin, pre-tax income, net income and earnings per share with similar non-GAAP measures that exclude the impact of costs related to restructuring programs, including Transformation strategy costs.  We believe this adjusted information provides a useful comparison of year-to-year financial performance without considering the short-term impact of restructuring costs. We evaluate our performance on this adjusted basis.</w:t>
      </w:r>
    </w:p>
    <w:p w14:paraId="2E7BF269" w14:textId="77777777" w:rsidR="00033990" w:rsidRPr="009E5710" w:rsidRDefault="00033990" w:rsidP="00033990">
      <w:pPr>
        <w:ind w:firstLine="720"/>
      </w:pPr>
    </w:p>
    <w:p w14:paraId="640F6A07" w14:textId="77777777" w:rsidR="00033990" w:rsidRDefault="00033990" w:rsidP="00033990">
      <w:pPr>
        <w:rPr>
          <w:rFonts w:ascii="Arial" w:hAnsi="Arial" w:cs="Arial"/>
          <w:i/>
          <w:sz w:val="22"/>
        </w:rPr>
      </w:pPr>
      <w:r>
        <w:rPr>
          <w:rFonts w:ascii="Arial" w:hAnsi="Arial" w:cs="Arial"/>
          <w:i/>
          <w:sz w:val="22"/>
        </w:rPr>
        <w:t>Impact of Changes in Foreign Currency Exchange Rates and Hedging Activities</w:t>
      </w:r>
    </w:p>
    <w:p w14:paraId="3E637E1D" w14:textId="77777777" w:rsidR="00033990" w:rsidRPr="009E5710" w:rsidRDefault="00033990" w:rsidP="00033990"/>
    <w:p w14:paraId="09E9E3C6" w14:textId="77777777" w:rsidR="00033990" w:rsidRDefault="00033990" w:rsidP="00033990">
      <w:pPr>
        <w:ind w:firstLine="720"/>
        <w:rPr>
          <w:rFonts w:ascii="Arial" w:hAnsi="Arial" w:cs="Arial"/>
          <w:sz w:val="22"/>
        </w:rPr>
      </w:pPr>
      <w:r>
        <w:rPr>
          <w:rFonts w:ascii="Arial" w:hAnsi="Arial" w:cs="Arial"/>
          <w:sz w:val="22"/>
        </w:rPr>
        <w:t>We supplement the reporting of our revenue, revenue per piece and operating profit with non-GAAP measures that exclude the period-over-period impact of foreign currency exchange rate changes and hedging activities. We believe currency-neutral revenue, revenue per piece and operating profit information allows users of our financial statements to understand growth trends in our products and results. We evaluate the performance of our International Package and Supply Chain and Freight segments on this currency-neutral basis.</w:t>
      </w:r>
    </w:p>
    <w:p w14:paraId="6CD3D01C" w14:textId="77777777" w:rsidR="00033990" w:rsidRDefault="00033990" w:rsidP="00033990">
      <w:pPr>
        <w:ind w:firstLine="720"/>
        <w:rPr>
          <w:rFonts w:ascii="Arial" w:hAnsi="Arial" w:cs="Arial"/>
          <w:sz w:val="22"/>
        </w:rPr>
      </w:pPr>
    </w:p>
    <w:p w14:paraId="14E3B052" w14:textId="77777777" w:rsidR="00033990" w:rsidRDefault="00033990" w:rsidP="00033990">
      <w:pPr>
        <w:ind w:firstLine="720"/>
        <w:rPr>
          <w:rFonts w:ascii="Arial" w:hAnsi="Arial" w:cs="Arial"/>
          <w:sz w:val="22"/>
        </w:rPr>
      </w:pPr>
      <w:r>
        <w:rPr>
          <w:rFonts w:ascii="Arial" w:hAnsi="Arial" w:cs="Arial"/>
          <w:sz w:val="22"/>
        </w:rPr>
        <w:t>Currency-neutral revenue, revenue per piece and operating profit are calculated by dividing current period reported U.S. dollar revenue, revenue per piece and operating profit by the current period average exchange rates to derive current period local currency revenue, revenue per piece and operating profit. The derived amounts are then multiplied by the average foreign exchange rates used to translate the comparable results for each month in the prior year period (including the period over period impact of foreign currency hedging activities). The difference between the current period reported U.S. dollar revenue, revenue per piece and operating profit and the derived current period U.S. dollar revenue, revenue per piece and operating profit is the period over period impact of currency fluctuations.</w:t>
      </w:r>
    </w:p>
    <w:p w14:paraId="7DEFEDDC" w14:textId="77777777" w:rsidR="00033990" w:rsidRPr="009E5710" w:rsidRDefault="00033990" w:rsidP="00033990">
      <w:pPr>
        <w:rPr>
          <w:rFonts w:ascii="Arial" w:hAnsi="Arial"/>
          <w:i/>
          <w:sz w:val="22"/>
        </w:rPr>
      </w:pPr>
    </w:p>
    <w:p w14:paraId="78851A56" w14:textId="77777777" w:rsidR="00033990" w:rsidRPr="003B639B" w:rsidRDefault="00033990" w:rsidP="00033990">
      <w:pPr>
        <w:rPr>
          <w:rFonts w:ascii="Arial" w:hAnsi="Arial" w:cs="Arial"/>
          <w:i/>
          <w:sz w:val="22"/>
        </w:rPr>
      </w:pPr>
      <w:r w:rsidRPr="003B639B">
        <w:rPr>
          <w:rFonts w:ascii="Arial" w:hAnsi="Arial" w:cs="Arial"/>
          <w:i/>
          <w:sz w:val="22"/>
        </w:rPr>
        <w:t>Free Cash Flow and Adjusted Capital Expenditures</w:t>
      </w:r>
    </w:p>
    <w:p w14:paraId="25505A8B" w14:textId="77777777" w:rsidR="00033990" w:rsidRPr="009E5710" w:rsidRDefault="00033990" w:rsidP="00033990">
      <w:pPr>
        <w:rPr>
          <w:rFonts w:ascii="Arial" w:hAnsi="Arial"/>
          <w:sz w:val="22"/>
        </w:rPr>
      </w:pPr>
    </w:p>
    <w:p w14:paraId="16AE3F5F" w14:textId="77777777" w:rsidR="00B70DE2" w:rsidRPr="00033990" w:rsidRDefault="00033990" w:rsidP="00033990">
      <w:pPr>
        <w:ind w:firstLine="720"/>
        <w:rPr>
          <w:sz w:val="16"/>
        </w:rPr>
      </w:pPr>
      <w:r w:rsidRPr="003B639B">
        <w:rPr>
          <w:rFonts w:ascii="Arial" w:hAnsi="Arial" w:cs="Arial"/>
          <w:sz w:val="22"/>
        </w:rPr>
        <w:t xml:space="preserve">We supplement the reporting of cash flows from operating activities with free cash flow, free cash flow excluding discretionary pension contributions and free cash flow plus principal repayments of capital lease obligations, non-GAAP liquidity measures. We believe </w:t>
      </w:r>
      <w:r>
        <w:rPr>
          <w:rFonts w:ascii="Arial" w:hAnsi="Arial" w:cs="Arial"/>
          <w:sz w:val="22"/>
        </w:rPr>
        <w:t xml:space="preserve">these </w:t>
      </w:r>
      <w:r w:rsidRPr="003B639B">
        <w:rPr>
          <w:rFonts w:ascii="Arial" w:hAnsi="Arial" w:cs="Arial"/>
          <w:sz w:val="22"/>
        </w:rPr>
        <w:t xml:space="preserve">free cash flow </w:t>
      </w:r>
      <w:r>
        <w:rPr>
          <w:rFonts w:ascii="Arial" w:hAnsi="Arial" w:cs="Arial"/>
          <w:sz w:val="22"/>
        </w:rPr>
        <w:t>measures are</w:t>
      </w:r>
      <w:r w:rsidRPr="003B639B">
        <w:rPr>
          <w:rFonts w:ascii="Arial" w:hAnsi="Arial" w:cs="Arial"/>
          <w:sz w:val="22"/>
        </w:rPr>
        <w:t xml:space="preserve"> important indicator</w:t>
      </w:r>
      <w:r>
        <w:rPr>
          <w:rFonts w:ascii="Arial" w:hAnsi="Arial" w:cs="Arial"/>
          <w:sz w:val="22"/>
        </w:rPr>
        <w:t>s</w:t>
      </w:r>
      <w:r w:rsidRPr="003B639B">
        <w:rPr>
          <w:rFonts w:ascii="Arial" w:hAnsi="Arial" w:cs="Arial"/>
          <w:sz w:val="22"/>
        </w:rPr>
        <w:t xml:space="preserve"> of how much cash is generated by regular business operations and we use it as a measure of incremental cash available to invest in our business, meet our debt obligations and return cash to shareowners. Additionally, we believe that adjusting ca</w:t>
      </w:r>
      <w:r>
        <w:rPr>
          <w:rFonts w:ascii="Arial" w:hAnsi="Arial" w:cs="Arial"/>
          <w:sz w:val="22"/>
        </w:rPr>
        <w:t>pital expenditures for principal</w:t>
      </w:r>
      <w:r w:rsidRPr="003B639B">
        <w:rPr>
          <w:rFonts w:ascii="Arial" w:hAnsi="Arial" w:cs="Arial"/>
          <w:sz w:val="22"/>
        </w:rPr>
        <w:t xml:space="preserve"> repayments of capital lease obligations </w:t>
      </w:r>
      <w:r>
        <w:rPr>
          <w:rFonts w:ascii="Arial" w:hAnsi="Arial" w:cs="Arial"/>
          <w:sz w:val="22"/>
        </w:rPr>
        <w:t xml:space="preserve">more appropriately </w:t>
      </w:r>
      <w:r w:rsidRPr="003B639B">
        <w:rPr>
          <w:rFonts w:ascii="Arial" w:hAnsi="Arial" w:cs="Arial"/>
          <w:sz w:val="22"/>
        </w:rPr>
        <w:t>reflects the overall cash that we have invested in capital assets.</w:t>
      </w:r>
      <w:r>
        <w:rPr>
          <w:i/>
          <w:sz w:val="16"/>
        </w:rPr>
        <w:t xml:space="preserve">   </w:t>
      </w:r>
      <w:r w:rsidRPr="003B639B">
        <w:rPr>
          <w:rFonts w:ascii="Arial" w:hAnsi="Arial" w:cs="Arial"/>
          <w:sz w:val="22"/>
        </w:rPr>
        <w:t xml:space="preserve">We calculate free cash flow as cash flows from operating activities less capital expenditures, proceeds from disposals of property, plant and equipment, and plus or minus the net changes in finance receivables </w:t>
      </w:r>
      <w:r>
        <w:rPr>
          <w:rFonts w:ascii="Arial" w:hAnsi="Arial" w:cs="Arial"/>
          <w:sz w:val="22"/>
        </w:rPr>
        <w:t>and other investing activities</w:t>
      </w:r>
      <w:r w:rsidRPr="003B639B">
        <w:rPr>
          <w:rFonts w:ascii="Arial" w:hAnsi="Arial" w:cs="Arial"/>
          <w:sz w:val="22"/>
        </w:rPr>
        <w:t xml:space="preserve">. </w:t>
      </w:r>
      <w:r>
        <w:rPr>
          <w:rFonts w:ascii="Arial" w:hAnsi="Arial" w:cs="Arial"/>
          <w:sz w:val="22"/>
        </w:rPr>
        <w:t xml:space="preserve">Free cash flow excluding discretionary pension contributions adds back any discretionary pension contributions made during the period.  </w:t>
      </w:r>
    </w:p>
    <w:p w14:paraId="35C1CDD1" w14:textId="77777777" w:rsidR="00140166" w:rsidRDefault="00140166">
      <w:pPr>
        <w:rPr>
          <w:sz w:val="16"/>
        </w:rPr>
      </w:pPr>
      <w:r>
        <w:rPr>
          <w:sz w:val="16"/>
        </w:rPr>
        <w:br w:type="page"/>
      </w:r>
    </w:p>
    <w:p w14:paraId="6701AE81" w14:textId="77777777" w:rsidR="00140166" w:rsidRDefault="003F11FF">
      <w:pPr>
        <w:rPr>
          <w:rFonts w:ascii="Arial" w:hAnsi="Arial" w:cs="Arial"/>
          <w:sz w:val="22"/>
          <w:szCs w:val="22"/>
        </w:rPr>
      </w:pPr>
      <w:r w:rsidRPr="00DA2EAB">
        <w:rPr>
          <w:noProof/>
        </w:rPr>
        <w:lastRenderedPageBreak/>
        <w:drawing>
          <wp:inline distT="0" distB="0" distL="0" distR="0" wp14:anchorId="7407684B" wp14:editId="5B38F377">
            <wp:extent cx="5836920" cy="301752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36920" cy="3017520"/>
                    </a:xfrm>
                    <a:prstGeom prst="rect">
                      <a:avLst/>
                    </a:prstGeom>
                    <a:noFill/>
                    <a:ln>
                      <a:noFill/>
                    </a:ln>
                  </pic:spPr>
                </pic:pic>
              </a:graphicData>
            </a:graphic>
          </wp:inline>
        </w:drawing>
      </w:r>
      <w:r w:rsidR="00140166">
        <w:rPr>
          <w:rFonts w:ascii="Arial" w:hAnsi="Arial" w:cs="Arial"/>
          <w:sz w:val="22"/>
          <w:szCs w:val="22"/>
        </w:rPr>
        <w:br w:type="page"/>
      </w:r>
    </w:p>
    <w:p w14:paraId="46907410" w14:textId="77777777" w:rsidR="00140166" w:rsidRDefault="003F11FF" w:rsidP="00B70DE2">
      <w:pPr>
        <w:rPr>
          <w:rFonts w:ascii="Arial" w:hAnsi="Arial" w:cs="Arial"/>
          <w:sz w:val="22"/>
          <w:szCs w:val="22"/>
        </w:rPr>
      </w:pPr>
      <w:r w:rsidRPr="00DA2EAB">
        <w:rPr>
          <w:noProof/>
        </w:rPr>
        <w:lastRenderedPageBreak/>
        <w:drawing>
          <wp:inline distT="0" distB="0" distL="0" distR="0" wp14:anchorId="32E0FD90" wp14:editId="7C6C5546">
            <wp:extent cx="5897880" cy="489966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97880" cy="4899660"/>
                    </a:xfrm>
                    <a:prstGeom prst="rect">
                      <a:avLst/>
                    </a:prstGeom>
                    <a:noFill/>
                    <a:ln>
                      <a:noFill/>
                    </a:ln>
                  </pic:spPr>
                </pic:pic>
              </a:graphicData>
            </a:graphic>
          </wp:inline>
        </w:drawing>
      </w:r>
    </w:p>
    <w:p w14:paraId="2EC1648D" w14:textId="77777777" w:rsidR="00140166" w:rsidRDefault="00140166" w:rsidP="00B70DE2">
      <w:pPr>
        <w:rPr>
          <w:rFonts w:ascii="Arial" w:hAnsi="Arial" w:cs="Arial"/>
          <w:sz w:val="22"/>
          <w:szCs w:val="22"/>
        </w:rPr>
      </w:pPr>
    </w:p>
    <w:p w14:paraId="4C3B4DCA" w14:textId="77777777" w:rsidR="00140166" w:rsidRDefault="00140166">
      <w:pPr>
        <w:rPr>
          <w:rFonts w:ascii="Arial" w:hAnsi="Arial" w:cs="Arial"/>
          <w:sz w:val="22"/>
          <w:szCs w:val="22"/>
        </w:rPr>
      </w:pPr>
      <w:r>
        <w:rPr>
          <w:rFonts w:ascii="Arial" w:hAnsi="Arial" w:cs="Arial"/>
          <w:sz w:val="22"/>
          <w:szCs w:val="22"/>
        </w:rPr>
        <w:br w:type="page"/>
      </w:r>
    </w:p>
    <w:p w14:paraId="1A240CAF" w14:textId="77777777" w:rsidR="00140166" w:rsidRPr="00B70DE2" w:rsidRDefault="003F11FF" w:rsidP="00B70DE2">
      <w:pPr>
        <w:rPr>
          <w:rFonts w:ascii="Arial" w:hAnsi="Arial" w:cs="Arial"/>
          <w:sz w:val="22"/>
          <w:szCs w:val="22"/>
        </w:rPr>
      </w:pPr>
      <w:r w:rsidRPr="00DA2EAB">
        <w:rPr>
          <w:noProof/>
        </w:rPr>
        <w:lastRenderedPageBreak/>
        <w:drawing>
          <wp:inline distT="0" distB="0" distL="0" distR="0" wp14:anchorId="63106812" wp14:editId="07756E4F">
            <wp:extent cx="5173980" cy="4983480"/>
            <wp:effectExtent l="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73980" cy="4983480"/>
                    </a:xfrm>
                    <a:prstGeom prst="rect">
                      <a:avLst/>
                    </a:prstGeom>
                    <a:noFill/>
                    <a:ln>
                      <a:noFill/>
                    </a:ln>
                  </pic:spPr>
                </pic:pic>
              </a:graphicData>
            </a:graphic>
          </wp:inline>
        </w:drawing>
      </w:r>
    </w:p>
    <w:sectPr w:rsidR="00140166" w:rsidRPr="00B70DE2" w:rsidSect="000346B8">
      <w:headerReference w:type="default" r:id="rId22"/>
      <w:headerReference w:type="first" r:id="rId23"/>
      <w:footerReference w:type="first" r:id="rId24"/>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9BFC1" w14:textId="77777777" w:rsidR="003F11FF" w:rsidRDefault="003F11FF">
      <w:r>
        <w:separator/>
      </w:r>
    </w:p>
  </w:endnote>
  <w:endnote w:type="continuationSeparator" w:id="0">
    <w:p w14:paraId="757F7C87" w14:textId="77777777" w:rsidR="003F11FF" w:rsidRDefault="003F11FF">
      <w:r>
        <w:continuationSeparator/>
      </w:r>
    </w:p>
  </w:endnote>
  <w:endnote w:type="continuationNotice" w:id="1">
    <w:p w14:paraId="48559038" w14:textId="77777777" w:rsidR="003F11FF" w:rsidRDefault="003F11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2808E" w14:textId="77777777" w:rsidR="00023E74" w:rsidRPr="00034414" w:rsidRDefault="00023E74" w:rsidP="00034414">
    <w:pPr>
      <w:pStyle w:val="Footer"/>
      <w:rPr>
        <w:rFonts w:ascii="Arial" w:hAnsi="Arial" w:cs="Arial"/>
      </w:rPr>
    </w:pPr>
    <w:r>
      <w:rPr>
        <w:rFonts w:ascii="Arial" w:hAnsi="Arial" w:cs="Arial"/>
      </w:rPr>
      <w:tab/>
    </w:r>
    <w:r>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5722A" w14:textId="77777777" w:rsidR="003F11FF" w:rsidRDefault="003F11FF">
      <w:r>
        <w:separator/>
      </w:r>
    </w:p>
  </w:footnote>
  <w:footnote w:type="continuationSeparator" w:id="0">
    <w:p w14:paraId="327B0FA7" w14:textId="77777777" w:rsidR="003F11FF" w:rsidRDefault="003F11FF">
      <w:r>
        <w:continuationSeparator/>
      </w:r>
    </w:p>
  </w:footnote>
  <w:footnote w:type="continuationNotice" w:id="1">
    <w:p w14:paraId="4416BC6F" w14:textId="77777777" w:rsidR="003F11FF" w:rsidRDefault="003F11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1FDAC" w14:textId="77777777" w:rsidR="00023E74" w:rsidRPr="00AC447A" w:rsidRDefault="00B072C6" w:rsidP="000346B8">
    <w:pPr>
      <w:pStyle w:val="Header"/>
      <w:tabs>
        <w:tab w:val="clear" w:pos="4320"/>
        <w:tab w:val="center" w:pos="0"/>
        <w:tab w:val="left" w:pos="4665"/>
      </w:tabs>
      <w:ind w:left="3240" w:hanging="34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ACB91" w14:textId="77777777" w:rsidR="00023E74" w:rsidRPr="007C49ED" w:rsidRDefault="00023E74" w:rsidP="00F36B0F">
    <w:pPr>
      <w:pStyle w:val="Header"/>
      <w:tabs>
        <w:tab w:val="clear" w:pos="4320"/>
        <w:tab w:val="center" w:pos="0"/>
        <w:tab w:val="left" w:pos="4665"/>
      </w:tabs>
      <w:ind w:left="3240" w:hanging="3420"/>
      <w:jc w:val="right"/>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3C63"/>
    <w:multiLevelType w:val="hybridMultilevel"/>
    <w:tmpl w:val="C1127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0E69D8"/>
    <w:multiLevelType w:val="hybridMultilevel"/>
    <w:tmpl w:val="C3BEF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E401594"/>
    <w:multiLevelType w:val="hybridMultilevel"/>
    <w:tmpl w:val="19843BA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6333CD"/>
    <w:multiLevelType w:val="hybridMultilevel"/>
    <w:tmpl w:val="2CDA27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 w15:restartNumberingAfterBreak="0">
    <w:nsid w:val="6C5B20F9"/>
    <w:multiLevelType w:val="hybridMultilevel"/>
    <w:tmpl w:val="596E6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B87A33"/>
    <w:multiLevelType w:val="multilevel"/>
    <w:tmpl w:val="B4D2589C"/>
    <w:lvl w:ilvl="0">
      <w:start w:val="1"/>
      <w:numFmt w:val="bullet"/>
      <w:pStyle w:val="QA1-Bullet-1st-Clear"/>
      <w:lvlText w:val=""/>
      <w:lvlJc w:val="left"/>
      <w:pPr>
        <w:tabs>
          <w:tab w:val="num" w:pos="360"/>
        </w:tabs>
        <w:ind w:left="360" w:hanging="360"/>
      </w:pPr>
      <w:rPr>
        <w:rFonts w:ascii="Symbol" w:hAnsi="Symbol" w:hint="default"/>
        <w:b w:val="0"/>
        <w:i w:val="0"/>
        <w:caps w:val="0"/>
        <w:smallCaps w:val="0"/>
        <w:strike w:val="0"/>
        <w:dstrike w:val="0"/>
        <w:vanish w:val="0"/>
        <w:color w:val="000000"/>
        <w:spacing w:val="0"/>
        <w:kern w:val="0"/>
        <w:position w:val="0"/>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450"/>
        </w:tabs>
        <w:ind w:left="450" w:hanging="360"/>
      </w:pPr>
      <w:rPr>
        <w:rFonts w:ascii="Symbol" w:hAnsi="Symbol" w:hint="default"/>
        <w:color w:val="000000" w:themeColor="text1"/>
        <w:sz w:val="16"/>
      </w:rPr>
    </w:lvl>
    <w:lvl w:ilvl="2">
      <w:start w:val="1"/>
      <w:numFmt w:val="bullet"/>
      <w:lvlText w:val=""/>
      <w:lvlJc w:val="left"/>
      <w:pPr>
        <w:tabs>
          <w:tab w:val="num" w:pos="720"/>
        </w:tabs>
        <w:ind w:left="720" w:hanging="360"/>
      </w:pPr>
      <w:rPr>
        <w:rFonts w:ascii="Symbol" w:hAnsi="Symbol" w:hint="default"/>
        <w:color w:val="808080"/>
        <w:sz w:val="16"/>
      </w:rPr>
    </w:lvl>
    <w:lvl w:ilvl="3">
      <w:start w:val="1"/>
      <w:numFmt w:val="bullet"/>
      <w:lvlText w:val=""/>
      <w:lvlJc w:val="left"/>
      <w:pPr>
        <w:tabs>
          <w:tab w:val="num" w:pos="540"/>
        </w:tabs>
        <w:ind w:left="540" w:hanging="360"/>
      </w:pPr>
      <w:rPr>
        <w:rFonts w:ascii="Arial" w:hAnsi="Arial" w:hint="default"/>
      </w:rPr>
    </w:lvl>
    <w:lvl w:ilvl="4">
      <w:start w:val="1"/>
      <w:numFmt w:val="bullet"/>
      <w:lvlText w:val=""/>
      <w:lvlJc w:val="left"/>
      <w:pPr>
        <w:tabs>
          <w:tab w:val="num" w:pos="1620"/>
        </w:tabs>
        <w:ind w:left="1620" w:hanging="360"/>
      </w:pPr>
      <w:rPr>
        <w:rFonts w:ascii="Symbol" w:hAnsi="Symbol" w:hint="default"/>
        <w:color w:val="808080"/>
        <w:sz w:val="16"/>
      </w:rPr>
    </w:lvl>
    <w:lvl w:ilvl="5">
      <w:start w:val="1"/>
      <w:numFmt w:val="bullet"/>
      <w:lvlText w:val=""/>
      <w:lvlJc w:val="left"/>
      <w:pPr>
        <w:tabs>
          <w:tab w:val="num" w:pos="1980"/>
        </w:tabs>
        <w:ind w:left="1980" w:hanging="360"/>
      </w:pPr>
      <w:rPr>
        <w:rFonts w:ascii="Wingdings" w:hAnsi="Wingdings" w:hint="default"/>
      </w:rPr>
    </w:lvl>
    <w:lvl w:ilvl="6">
      <w:start w:val="1"/>
      <w:numFmt w:val="bullet"/>
      <w:lvlText w:val=""/>
      <w:lvlJc w:val="left"/>
      <w:pPr>
        <w:tabs>
          <w:tab w:val="num" w:pos="2340"/>
        </w:tabs>
        <w:ind w:left="2340" w:hanging="360"/>
      </w:pPr>
      <w:rPr>
        <w:rFonts w:ascii="Wingdings" w:hAnsi="Wingdings" w:hint="default"/>
      </w:rPr>
    </w:lvl>
    <w:lvl w:ilvl="7">
      <w:start w:val="1"/>
      <w:numFmt w:val="bullet"/>
      <w:lvlText w:val=""/>
      <w:lvlJc w:val="left"/>
      <w:pPr>
        <w:tabs>
          <w:tab w:val="num" w:pos="2700"/>
        </w:tabs>
        <w:ind w:left="2700" w:hanging="360"/>
      </w:pPr>
      <w:rPr>
        <w:rFonts w:ascii="Symbol" w:hAnsi="Symbol" w:hint="default"/>
      </w:rPr>
    </w:lvl>
    <w:lvl w:ilvl="8">
      <w:start w:val="1"/>
      <w:numFmt w:val="bullet"/>
      <w:lvlText w:val=""/>
      <w:lvlJc w:val="left"/>
      <w:pPr>
        <w:tabs>
          <w:tab w:val="num" w:pos="3060"/>
        </w:tabs>
        <w:ind w:left="3060" w:hanging="360"/>
      </w:pPr>
      <w:rPr>
        <w:rFonts w:ascii="Symbol" w:hAnsi="Symbol" w:hint="default"/>
      </w:rPr>
    </w:lvl>
  </w:abstractNum>
  <w:num w:numId="1">
    <w:abstractNumId w:val="2"/>
  </w:num>
  <w:num w:numId="2">
    <w:abstractNumId w:val="3"/>
  </w:num>
  <w:num w:numId="3">
    <w:abstractNumId w:val="0"/>
  </w:num>
  <w:num w:numId="4">
    <w:abstractNumId w:val="4"/>
  </w:num>
  <w:num w:numId="5">
    <w:abstractNumId w:val="5"/>
  </w:num>
  <w:num w:numId="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5E9"/>
    <w:rsid w:val="000001AA"/>
    <w:rsid w:val="000009AD"/>
    <w:rsid w:val="000009CE"/>
    <w:rsid w:val="00000BEC"/>
    <w:rsid w:val="00000C78"/>
    <w:rsid w:val="00000CF0"/>
    <w:rsid w:val="00000D48"/>
    <w:rsid w:val="00001817"/>
    <w:rsid w:val="00001EF4"/>
    <w:rsid w:val="00002310"/>
    <w:rsid w:val="0000265D"/>
    <w:rsid w:val="000029E9"/>
    <w:rsid w:val="000036E3"/>
    <w:rsid w:val="000038AB"/>
    <w:rsid w:val="000046CC"/>
    <w:rsid w:val="00004702"/>
    <w:rsid w:val="000048BC"/>
    <w:rsid w:val="000057C1"/>
    <w:rsid w:val="0000599F"/>
    <w:rsid w:val="00005E38"/>
    <w:rsid w:val="00006B7B"/>
    <w:rsid w:val="00007181"/>
    <w:rsid w:val="0001037D"/>
    <w:rsid w:val="00010EF6"/>
    <w:rsid w:val="00010EFA"/>
    <w:rsid w:val="0001150F"/>
    <w:rsid w:val="0001152C"/>
    <w:rsid w:val="0001185A"/>
    <w:rsid w:val="00011AEF"/>
    <w:rsid w:val="00012B1F"/>
    <w:rsid w:val="000138EB"/>
    <w:rsid w:val="000139B5"/>
    <w:rsid w:val="00013BB0"/>
    <w:rsid w:val="00013E39"/>
    <w:rsid w:val="00013EA6"/>
    <w:rsid w:val="00014512"/>
    <w:rsid w:val="000145DA"/>
    <w:rsid w:val="000152E7"/>
    <w:rsid w:val="00015BC1"/>
    <w:rsid w:val="00016177"/>
    <w:rsid w:val="00016298"/>
    <w:rsid w:val="00016A51"/>
    <w:rsid w:val="00017619"/>
    <w:rsid w:val="00017624"/>
    <w:rsid w:val="00020147"/>
    <w:rsid w:val="0002098F"/>
    <w:rsid w:val="000209FE"/>
    <w:rsid w:val="00020EE2"/>
    <w:rsid w:val="00021289"/>
    <w:rsid w:val="0002227F"/>
    <w:rsid w:val="000223B2"/>
    <w:rsid w:val="00023555"/>
    <w:rsid w:val="000238FA"/>
    <w:rsid w:val="00023E74"/>
    <w:rsid w:val="000243F0"/>
    <w:rsid w:val="00024A62"/>
    <w:rsid w:val="00024AC7"/>
    <w:rsid w:val="00025957"/>
    <w:rsid w:val="00025BA7"/>
    <w:rsid w:val="00025ECA"/>
    <w:rsid w:val="000270C6"/>
    <w:rsid w:val="00030419"/>
    <w:rsid w:val="0003069C"/>
    <w:rsid w:val="00030EE2"/>
    <w:rsid w:val="00030F0B"/>
    <w:rsid w:val="000314AD"/>
    <w:rsid w:val="000314D4"/>
    <w:rsid w:val="00031BA6"/>
    <w:rsid w:val="00031E52"/>
    <w:rsid w:val="00031FF1"/>
    <w:rsid w:val="00032756"/>
    <w:rsid w:val="0003277E"/>
    <w:rsid w:val="00032B7A"/>
    <w:rsid w:val="00032F33"/>
    <w:rsid w:val="00033409"/>
    <w:rsid w:val="00033412"/>
    <w:rsid w:val="00033574"/>
    <w:rsid w:val="00033990"/>
    <w:rsid w:val="00033BC4"/>
    <w:rsid w:val="00034084"/>
    <w:rsid w:val="00034414"/>
    <w:rsid w:val="000346B8"/>
    <w:rsid w:val="00034865"/>
    <w:rsid w:val="00034F95"/>
    <w:rsid w:val="00035AB9"/>
    <w:rsid w:val="00035E68"/>
    <w:rsid w:val="000366A1"/>
    <w:rsid w:val="000368E2"/>
    <w:rsid w:val="00036A2B"/>
    <w:rsid w:val="00036D8B"/>
    <w:rsid w:val="000370F6"/>
    <w:rsid w:val="000378FA"/>
    <w:rsid w:val="00037CBD"/>
    <w:rsid w:val="0004026C"/>
    <w:rsid w:val="000403BB"/>
    <w:rsid w:val="00041C86"/>
    <w:rsid w:val="0004240D"/>
    <w:rsid w:val="000430CB"/>
    <w:rsid w:val="0004424A"/>
    <w:rsid w:val="00044659"/>
    <w:rsid w:val="00044773"/>
    <w:rsid w:val="00044B0F"/>
    <w:rsid w:val="00044D21"/>
    <w:rsid w:val="00044E4A"/>
    <w:rsid w:val="00044E7A"/>
    <w:rsid w:val="00044EE9"/>
    <w:rsid w:val="0004507D"/>
    <w:rsid w:val="00046D73"/>
    <w:rsid w:val="00047024"/>
    <w:rsid w:val="00050B3D"/>
    <w:rsid w:val="00050EEC"/>
    <w:rsid w:val="00051155"/>
    <w:rsid w:val="00052042"/>
    <w:rsid w:val="00052501"/>
    <w:rsid w:val="00053814"/>
    <w:rsid w:val="0005470C"/>
    <w:rsid w:val="000555D7"/>
    <w:rsid w:val="00055ABC"/>
    <w:rsid w:val="00055C69"/>
    <w:rsid w:val="00055EAA"/>
    <w:rsid w:val="00056BB6"/>
    <w:rsid w:val="00057025"/>
    <w:rsid w:val="00057381"/>
    <w:rsid w:val="000574CB"/>
    <w:rsid w:val="0005777D"/>
    <w:rsid w:val="00057816"/>
    <w:rsid w:val="00057B46"/>
    <w:rsid w:val="000601AD"/>
    <w:rsid w:val="000605FD"/>
    <w:rsid w:val="00060E93"/>
    <w:rsid w:val="00061559"/>
    <w:rsid w:val="0006242B"/>
    <w:rsid w:val="000625E9"/>
    <w:rsid w:val="00062C26"/>
    <w:rsid w:val="00062CEA"/>
    <w:rsid w:val="00063266"/>
    <w:rsid w:val="00063957"/>
    <w:rsid w:val="00063A5B"/>
    <w:rsid w:val="00065DAD"/>
    <w:rsid w:val="00065E6A"/>
    <w:rsid w:val="00066105"/>
    <w:rsid w:val="000665F0"/>
    <w:rsid w:val="00066B00"/>
    <w:rsid w:val="00066B4B"/>
    <w:rsid w:val="00066E53"/>
    <w:rsid w:val="00066EC9"/>
    <w:rsid w:val="0006734E"/>
    <w:rsid w:val="00070311"/>
    <w:rsid w:val="0007073D"/>
    <w:rsid w:val="00070906"/>
    <w:rsid w:val="00071848"/>
    <w:rsid w:val="00071CA3"/>
    <w:rsid w:val="00072B36"/>
    <w:rsid w:val="00072E8E"/>
    <w:rsid w:val="000731C1"/>
    <w:rsid w:val="0007321E"/>
    <w:rsid w:val="00073733"/>
    <w:rsid w:val="000737F6"/>
    <w:rsid w:val="00075C3F"/>
    <w:rsid w:val="000766C5"/>
    <w:rsid w:val="00076B83"/>
    <w:rsid w:val="000775B1"/>
    <w:rsid w:val="00080389"/>
    <w:rsid w:val="000812AA"/>
    <w:rsid w:val="00081E6A"/>
    <w:rsid w:val="000822DE"/>
    <w:rsid w:val="00082D8C"/>
    <w:rsid w:val="00082F78"/>
    <w:rsid w:val="00083090"/>
    <w:rsid w:val="000832F9"/>
    <w:rsid w:val="00083894"/>
    <w:rsid w:val="00084379"/>
    <w:rsid w:val="0008447A"/>
    <w:rsid w:val="00084CBC"/>
    <w:rsid w:val="00085354"/>
    <w:rsid w:val="00085810"/>
    <w:rsid w:val="000866E0"/>
    <w:rsid w:val="00086F86"/>
    <w:rsid w:val="000903AC"/>
    <w:rsid w:val="00090BCB"/>
    <w:rsid w:val="00090C7C"/>
    <w:rsid w:val="00090CFB"/>
    <w:rsid w:val="0009111F"/>
    <w:rsid w:val="00091121"/>
    <w:rsid w:val="000913F0"/>
    <w:rsid w:val="00091710"/>
    <w:rsid w:val="00091C9D"/>
    <w:rsid w:val="00093487"/>
    <w:rsid w:val="00094F32"/>
    <w:rsid w:val="0009544A"/>
    <w:rsid w:val="000954C0"/>
    <w:rsid w:val="000959E5"/>
    <w:rsid w:val="00095A24"/>
    <w:rsid w:val="000976B8"/>
    <w:rsid w:val="0009777D"/>
    <w:rsid w:val="00097B4A"/>
    <w:rsid w:val="00097D20"/>
    <w:rsid w:val="00097F41"/>
    <w:rsid w:val="00097FCE"/>
    <w:rsid w:val="000A0456"/>
    <w:rsid w:val="000A053A"/>
    <w:rsid w:val="000A0B78"/>
    <w:rsid w:val="000A1A16"/>
    <w:rsid w:val="000A1D88"/>
    <w:rsid w:val="000A2085"/>
    <w:rsid w:val="000A2356"/>
    <w:rsid w:val="000A2671"/>
    <w:rsid w:val="000A381B"/>
    <w:rsid w:val="000A3AE6"/>
    <w:rsid w:val="000A505A"/>
    <w:rsid w:val="000A5590"/>
    <w:rsid w:val="000A67E7"/>
    <w:rsid w:val="000A68CB"/>
    <w:rsid w:val="000A6918"/>
    <w:rsid w:val="000A6B8C"/>
    <w:rsid w:val="000A77DA"/>
    <w:rsid w:val="000A78AC"/>
    <w:rsid w:val="000B0B29"/>
    <w:rsid w:val="000B1EE6"/>
    <w:rsid w:val="000B20CF"/>
    <w:rsid w:val="000B2AE2"/>
    <w:rsid w:val="000B3497"/>
    <w:rsid w:val="000B3C08"/>
    <w:rsid w:val="000B3C30"/>
    <w:rsid w:val="000B442C"/>
    <w:rsid w:val="000B4CC5"/>
    <w:rsid w:val="000B5CF8"/>
    <w:rsid w:val="000B7D22"/>
    <w:rsid w:val="000C06F5"/>
    <w:rsid w:val="000C0B9E"/>
    <w:rsid w:val="000C0DDC"/>
    <w:rsid w:val="000C1699"/>
    <w:rsid w:val="000C1966"/>
    <w:rsid w:val="000C1AC5"/>
    <w:rsid w:val="000C1E48"/>
    <w:rsid w:val="000C2BC0"/>
    <w:rsid w:val="000C2F8C"/>
    <w:rsid w:val="000C36E1"/>
    <w:rsid w:val="000C3A24"/>
    <w:rsid w:val="000C3C38"/>
    <w:rsid w:val="000C3CD2"/>
    <w:rsid w:val="000C41DE"/>
    <w:rsid w:val="000C46BA"/>
    <w:rsid w:val="000C627C"/>
    <w:rsid w:val="000C63BC"/>
    <w:rsid w:val="000C6BEC"/>
    <w:rsid w:val="000C7151"/>
    <w:rsid w:val="000C744F"/>
    <w:rsid w:val="000C75C2"/>
    <w:rsid w:val="000C772F"/>
    <w:rsid w:val="000D0706"/>
    <w:rsid w:val="000D0E02"/>
    <w:rsid w:val="000D19DD"/>
    <w:rsid w:val="000D1DDA"/>
    <w:rsid w:val="000D2521"/>
    <w:rsid w:val="000D4493"/>
    <w:rsid w:val="000D4587"/>
    <w:rsid w:val="000D584D"/>
    <w:rsid w:val="000D66BE"/>
    <w:rsid w:val="000D6778"/>
    <w:rsid w:val="000D6B1E"/>
    <w:rsid w:val="000D6DF8"/>
    <w:rsid w:val="000D6E39"/>
    <w:rsid w:val="000D7811"/>
    <w:rsid w:val="000D78F7"/>
    <w:rsid w:val="000D7979"/>
    <w:rsid w:val="000D7D48"/>
    <w:rsid w:val="000E02CF"/>
    <w:rsid w:val="000E0603"/>
    <w:rsid w:val="000E066F"/>
    <w:rsid w:val="000E0F0A"/>
    <w:rsid w:val="000E10CD"/>
    <w:rsid w:val="000E16F8"/>
    <w:rsid w:val="000E1AE0"/>
    <w:rsid w:val="000E26D5"/>
    <w:rsid w:val="000E2A63"/>
    <w:rsid w:val="000E2CAE"/>
    <w:rsid w:val="000E3F10"/>
    <w:rsid w:val="000E4053"/>
    <w:rsid w:val="000E40E0"/>
    <w:rsid w:val="000E4408"/>
    <w:rsid w:val="000E5379"/>
    <w:rsid w:val="000E624D"/>
    <w:rsid w:val="000E6D0D"/>
    <w:rsid w:val="000E7712"/>
    <w:rsid w:val="000F03F7"/>
    <w:rsid w:val="000F0F70"/>
    <w:rsid w:val="000F1CE4"/>
    <w:rsid w:val="000F2042"/>
    <w:rsid w:val="000F2273"/>
    <w:rsid w:val="000F2933"/>
    <w:rsid w:val="000F2B05"/>
    <w:rsid w:val="000F2FEA"/>
    <w:rsid w:val="000F383E"/>
    <w:rsid w:val="000F41A5"/>
    <w:rsid w:val="000F59EF"/>
    <w:rsid w:val="000F5B11"/>
    <w:rsid w:val="000F5B30"/>
    <w:rsid w:val="000F6837"/>
    <w:rsid w:val="00100269"/>
    <w:rsid w:val="00100F59"/>
    <w:rsid w:val="00101242"/>
    <w:rsid w:val="00101735"/>
    <w:rsid w:val="001022AC"/>
    <w:rsid w:val="0010236F"/>
    <w:rsid w:val="0010313A"/>
    <w:rsid w:val="001031FE"/>
    <w:rsid w:val="0010360F"/>
    <w:rsid w:val="001049FC"/>
    <w:rsid w:val="00105EB9"/>
    <w:rsid w:val="00106029"/>
    <w:rsid w:val="00107994"/>
    <w:rsid w:val="00107CA6"/>
    <w:rsid w:val="00110702"/>
    <w:rsid w:val="00110FB5"/>
    <w:rsid w:val="0011100D"/>
    <w:rsid w:val="00111BC6"/>
    <w:rsid w:val="00112141"/>
    <w:rsid w:val="00112783"/>
    <w:rsid w:val="00112808"/>
    <w:rsid w:val="001136B8"/>
    <w:rsid w:val="00113F78"/>
    <w:rsid w:val="0011448C"/>
    <w:rsid w:val="00114FED"/>
    <w:rsid w:val="00115A17"/>
    <w:rsid w:val="00115FD4"/>
    <w:rsid w:val="0011636A"/>
    <w:rsid w:val="0011639D"/>
    <w:rsid w:val="0011667E"/>
    <w:rsid w:val="001170A5"/>
    <w:rsid w:val="001179E3"/>
    <w:rsid w:val="0012056F"/>
    <w:rsid w:val="0012084A"/>
    <w:rsid w:val="00120BAB"/>
    <w:rsid w:val="00120EF6"/>
    <w:rsid w:val="00121323"/>
    <w:rsid w:val="001214B2"/>
    <w:rsid w:val="001215D4"/>
    <w:rsid w:val="00121A07"/>
    <w:rsid w:val="00122485"/>
    <w:rsid w:val="001228D4"/>
    <w:rsid w:val="00123815"/>
    <w:rsid w:val="00123A5B"/>
    <w:rsid w:val="00124D39"/>
    <w:rsid w:val="00126151"/>
    <w:rsid w:val="001261E7"/>
    <w:rsid w:val="001262B3"/>
    <w:rsid w:val="0012670D"/>
    <w:rsid w:val="00126BB6"/>
    <w:rsid w:val="00126DED"/>
    <w:rsid w:val="00127993"/>
    <w:rsid w:val="001279AB"/>
    <w:rsid w:val="00127D26"/>
    <w:rsid w:val="001303EA"/>
    <w:rsid w:val="00130B44"/>
    <w:rsid w:val="00130DD5"/>
    <w:rsid w:val="00131B97"/>
    <w:rsid w:val="00131BA1"/>
    <w:rsid w:val="00132068"/>
    <w:rsid w:val="00132DF4"/>
    <w:rsid w:val="00133D62"/>
    <w:rsid w:val="0013469F"/>
    <w:rsid w:val="00135D6B"/>
    <w:rsid w:val="00136137"/>
    <w:rsid w:val="001375F9"/>
    <w:rsid w:val="00137C83"/>
    <w:rsid w:val="00137E23"/>
    <w:rsid w:val="00137F73"/>
    <w:rsid w:val="00140166"/>
    <w:rsid w:val="0014055C"/>
    <w:rsid w:val="001410EB"/>
    <w:rsid w:val="00141755"/>
    <w:rsid w:val="001423E9"/>
    <w:rsid w:val="00142542"/>
    <w:rsid w:val="001427D7"/>
    <w:rsid w:val="00142850"/>
    <w:rsid w:val="001436B0"/>
    <w:rsid w:val="00143EEF"/>
    <w:rsid w:val="0014456D"/>
    <w:rsid w:val="00144BC1"/>
    <w:rsid w:val="00144E1A"/>
    <w:rsid w:val="00144E31"/>
    <w:rsid w:val="0014511D"/>
    <w:rsid w:val="001457EA"/>
    <w:rsid w:val="00145A21"/>
    <w:rsid w:val="00147835"/>
    <w:rsid w:val="001478CF"/>
    <w:rsid w:val="00150193"/>
    <w:rsid w:val="00150D05"/>
    <w:rsid w:val="0015137D"/>
    <w:rsid w:val="00151563"/>
    <w:rsid w:val="00151D74"/>
    <w:rsid w:val="001521FA"/>
    <w:rsid w:val="0015257B"/>
    <w:rsid w:val="00152718"/>
    <w:rsid w:val="00152FBD"/>
    <w:rsid w:val="001532F3"/>
    <w:rsid w:val="00153395"/>
    <w:rsid w:val="0015414E"/>
    <w:rsid w:val="001542F1"/>
    <w:rsid w:val="001549E0"/>
    <w:rsid w:val="00154BB1"/>
    <w:rsid w:val="0015541E"/>
    <w:rsid w:val="00155EBB"/>
    <w:rsid w:val="00156195"/>
    <w:rsid w:val="00156DF2"/>
    <w:rsid w:val="00156F5B"/>
    <w:rsid w:val="00157767"/>
    <w:rsid w:val="00157A97"/>
    <w:rsid w:val="00160340"/>
    <w:rsid w:val="00160D2D"/>
    <w:rsid w:val="00160D86"/>
    <w:rsid w:val="0016119F"/>
    <w:rsid w:val="001616A3"/>
    <w:rsid w:val="00161B7C"/>
    <w:rsid w:val="00161CF1"/>
    <w:rsid w:val="001622AC"/>
    <w:rsid w:val="00162389"/>
    <w:rsid w:val="001627B6"/>
    <w:rsid w:val="00162B54"/>
    <w:rsid w:val="00163342"/>
    <w:rsid w:val="001633A4"/>
    <w:rsid w:val="001635E1"/>
    <w:rsid w:val="001637BF"/>
    <w:rsid w:val="001640E5"/>
    <w:rsid w:val="001644E8"/>
    <w:rsid w:val="00164773"/>
    <w:rsid w:val="001647CC"/>
    <w:rsid w:val="00164B4D"/>
    <w:rsid w:val="00165792"/>
    <w:rsid w:val="00167165"/>
    <w:rsid w:val="00167BCD"/>
    <w:rsid w:val="00170347"/>
    <w:rsid w:val="001705B2"/>
    <w:rsid w:val="00170B7B"/>
    <w:rsid w:val="00170BE7"/>
    <w:rsid w:val="00171A92"/>
    <w:rsid w:val="00171C66"/>
    <w:rsid w:val="001729EB"/>
    <w:rsid w:val="001737D8"/>
    <w:rsid w:val="0017498A"/>
    <w:rsid w:val="00175428"/>
    <w:rsid w:val="00175464"/>
    <w:rsid w:val="00175A11"/>
    <w:rsid w:val="00176343"/>
    <w:rsid w:val="00176DD7"/>
    <w:rsid w:val="0017738D"/>
    <w:rsid w:val="0017790C"/>
    <w:rsid w:val="00177AA7"/>
    <w:rsid w:val="00177F98"/>
    <w:rsid w:val="00180F0F"/>
    <w:rsid w:val="00180FDB"/>
    <w:rsid w:val="001818ED"/>
    <w:rsid w:val="0018193E"/>
    <w:rsid w:val="00181C5A"/>
    <w:rsid w:val="00183B0F"/>
    <w:rsid w:val="00183F2F"/>
    <w:rsid w:val="001840E8"/>
    <w:rsid w:val="00184748"/>
    <w:rsid w:val="001847DD"/>
    <w:rsid w:val="00184CC5"/>
    <w:rsid w:val="00185C6D"/>
    <w:rsid w:val="00185F6B"/>
    <w:rsid w:val="00187E21"/>
    <w:rsid w:val="00190155"/>
    <w:rsid w:val="0019052C"/>
    <w:rsid w:val="00190B42"/>
    <w:rsid w:val="00191809"/>
    <w:rsid w:val="00192104"/>
    <w:rsid w:val="00192397"/>
    <w:rsid w:val="0019315A"/>
    <w:rsid w:val="001931AA"/>
    <w:rsid w:val="0019328B"/>
    <w:rsid w:val="001949D1"/>
    <w:rsid w:val="0019514A"/>
    <w:rsid w:val="00195500"/>
    <w:rsid w:val="00195D3E"/>
    <w:rsid w:val="00195F7B"/>
    <w:rsid w:val="0019618E"/>
    <w:rsid w:val="001968AC"/>
    <w:rsid w:val="00197A16"/>
    <w:rsid w:val="001A03CC"/>
    <w:rsid w:val="001A09A1"/>
    <w:rsid w:val="001A0CB0"/>
    <w:rsid w:val="001A10DB"/>
    <w:rsid w:val="001A145F"/>
    <w:rsid w:val="001A1AEF"/>
    <w:rsid w:val="001A2156"/>
    <w:rsid w:val="001A2423"/>
    <w:rsid w:val="001A29A7"/>
    <w:rsid w:val="001A31C6"/>
    <w:rsid w:val="001A398E"/>
    <w:rsid w:val="001A3FB9"/>
    <w:rsid w:val="001A4088"/>
    <w:rsid w:val="001A4568"/>
    <w:rsid w:val="001A46F5"/>
    <w:rsid w:val="001A490E"/>
    <w:rsid w:val="001A58DF"/>
    <w:rsid w:val="001A5BBC"/>
    <w:rsid w:val="001A6290"/>
    <w:rsid w:val="001A6E6B"/>
    <w:rsid w:val="001A751B"/>
    <w:rsid w:val="001A7B26"/>
    <w:rsid w:val="001A7DE2"/>
    <w:rsid w:val="001B0391"/>
    <w:rsid w:val="001B091F"/>
    <w:rsid w:val="001B0DE0"/>
    <w:rsid w:val="001B1352"/>
    <w:rsid w:val="001B1513"/>
    <w:rsid w:val="001B1AD3"/>
    <w:rsid w:val="001B2B30"/>
    <w:rsid w:val="001B2EE4"/>
    <w:rsid w:val="001B2EED"/>
    <w:rsid w:val="001B2F0A"/>
    <w:rsid w:val="001B360A"/>
    <w:rsid w:val="001B400D"/>
    <w:rsid w:val="001B4031"/>
    <w:rsid w:val="001B5FF8"/>
    <w:rsid w:val="001B6575"/>
    <w:rsid w:val="001B6FA5"/>
    <w:rsid w:val="001B7B24"/>
    <w:rsid w:val="001C04E5"/>
    <w:rsid w:val="001C076A"/>
    <w:rsid w:val="001C0C20"/>
    <w:rsid w:val="001C0E47"/>
    <w:rsid w:val="001C10FD"/>
    <w:rsid w:val="001C186B"/>
    <w:rsid w:val="001C21A9"/>
    <w:rsid w:val="001C267F"/>
    <w:rsid w:val="001C437D"/>
    <w:rsid w:val="001C458D"/>
    <w:rsid w:val="001C4621"/>
    <w:rsid w:val="001C4A87"/>
    <w:rsid w:val="001C525A"/>
    <w:rsid w:val="001C5443"/>
    <w:rsid w:val="001C5786"/>
    <w:rsid w:val="001C5BE1"/>
    <w:rsid w:val="001C5DFB"/>
    <w:rsid w:val="001C6304"/>
    <w:rsid w:val="001C6BD2"/>
    <w:rsid w:val="001C6BFF"/>
    <w:rsid w:val="001C7B5B"/>
    <w:rsid w:val="001C7BB7"/>
    <w:rsid w:val="001C7F78"/>
    <w:rsid w:val="001D0226"/>
    <w:rsid w:val="001D0C17"/>
    <w:rsid w:val="001D1CA7"/>
    <w:rsid w:val="001D1E65"/>
    <w:rsid w:val="001D2155"/>
    <w:rsid w:val="001D269F"/>
    <w:rsid w:val="001D3A35"/>
    <w:rsid w:val="001D3EDE"/>
    <w:rsid w:val="001D3F51"/>
    <w:rsid w:val="001D476F"/>
    <w:rsid w:val="001D5829"/>
    <w:rsid w:val="001D5B15"/>
    <w:rsid w:val="001E01BC"/>
    <w:rsid w:val="001E0219"/>
    <w:rsid w:val="001E0D30"/>
    <w:rsid w:val="001E11B3"/>
    <w:rsid w:val="001E13A3"/>
    <w:rsid w:val="001E1944"/>
    <w:rsid w:val="001E1A7B"/>
    <w:rsid w:val="001E1EB6"/>
    <w:rsid w:val="001E1F8A"/>
    <w:rsid w:val="001E2211"/>
    <w:rsid w:val="001E2751"/>
    <w:rsid w:val="001E2B01"/>
    <w:rsid w:val="001E2BC9"/>
    <w:rsid w:val="001E32CA"/>
    <w:rsid w:val="001E41B0"/>
    <w:rsid w:val="001E4D69"/>
    <w:rsid w:val="001E5239"/>
    <w:rsid w:val="001E5309"/>
    <w:rsid w:val="001E5EA1"/>
    <w:rsid w:val="001E6577"/>
    <w:rsid w:val="001E6A24"/>
    <w:rsid w:val="001E70C7"/>
    <w:rsid w:val="001E7684"/>
    <w:rsid w:val="001E77B6"/>
    <w:rsid w:val="001F07B4"/>
    <w:rsid w:val="001F0829"/>
    <w:rsid w:val="001F096A"/>
    <w:rsid w:val="001F0E82"/>
    <w:rsid w:val="001F1A0D"/>
    <w:rsid w:val="001F1EB0"/>
    <w:rsid w:val="001F2391"/>
    <w:rsid w:val="001F242B"/>
    <w:rsid w:val="001F27E5"/>
    <w:rsid w:val="001F2990"/>
    <w:rsid w:val="001F35A2"/>
    <w:rsid w:val="001F3AEF"/>
    <w:rsid w:val="001F405F"/>
    <w:rsid w:val="001F4335"/>
    <w:rsid w:val="001F4769"/>
    <w:rsid w:val="001F4A35"/>
    <w:rsid w:val="001F4E0D"/>
    <w:rsid w:val="001F4E4B"/>
    <w:rsid w:val="001F54B8"/>
    <w:rsid w:val="001F58E5"/>
    <w:rsid w:val="001F59B4"/>
    <w:rsid w:val="001F60BC"/>
    <w:rsid w:val="001F6890"/>
    <w:rsid w:val="001F68BC"/>
    <w:rsid w:val="001F6AC8"/>
    <w:rsid w:val="001F7B56"/>
    <w:rsid w:val="001F7F3A"/>
    <w:rsid w:val="0020000E"/>
    <w:rsid w:val="00200C09"/>
    <w:rsid w:val="0020125F"/>
    <w:rsid w:val="00201DAE"/>
    <w:rsid w:val="00202114"/>
    <w:rsid w:val="002028E4"/>
    <w:rsid w:val="00202BFE"/>
    <w:rsid w:val="002034C2"/>
    <w:rsid w:val="00203524"/>
    <w:rsid w:val="00203B9A"/>
    <w:rsid w:val="00203E6F"/>
    <w:rsid w:val="002052A1"/>
    <w:rsid w:val="00205E56"/>
    <w:rsid w:val="002063EE"/>
    <w:rsid w:val="0020682B"/>
    <w:rsid w:val="0020692C"/>
    <w:rsid w:val="00206BE0"/>
    <w:rsid w:val="00206EB7"/>
    <w:rsid w:val="00207482"/>
    <w:rsid w:val="002078DF"/>
    <w:rsid w:val="00207CF3"/>
    <w:rsid w:val="00210463"/>
    <w:rsid w:val="00210B1C"/>
    <w:rsid w:val="00210D12"/>
    <w:rsid w:val="0021267B"/>
    <w:rsid w:val="00212D58"/>
    <w:rsid w:val="002131A4"/>
    <w:rsid w:val="0021341B"/>
    <w:rsid w:val="00213A3B"/>
    <w:rsid w:val="00213A8A"/>
    <w:rsid w:val="002147BD"/>
    <w:rsid w:val="00214CFB"/>
    <w:rsid w:val="00214F9F"/>
    <w:rsid w:val="00215286"/>
    <w:rsid w:val="002159CE"/>
    <w:rsid w:val="00215BCB"/>
    <w:rsid w:val="00216582"/>
    <w:rsid w:val="00216AD0"/>
    <w:rsid w:val="00216AFF"/>
    <w:rsid w:val="00216D83"/>
    <w:rsid w:val="002176E7"/>
    <w:rsid w:val="002215A6"/>
    <w:rsid w:val="00221A2E"/>
    <w:rsid w:val="00222B1F"/>
    <w:rsid w:val="00223729"/>
    <w:rsid w:val="00223BE5"/>
    <w:rsid w:val="00224F54"/>
    <w:rsid w:val="00224FF8"/>
    <w:rsid w:val="00225428"/>
    <w:rsid w:val="00225C35"/>
    <w:rsid w:val="0022617E"/>
    <w:rsid w:val="00226F3D"/>
    <w:rsid w:val="00227241"/>
    <w:rsid w:val="0022776C"/>
    <w:rsid w:val="00230093"/>
    <w:rsid w:val="0023012C"/>
    <w:rsid w:val="00230357"/>
    <w:rsid w:val="002308E0"/>
    <w:rsid w:val="00232A0D"/>
    <w:rsid w:val="00233258"/>
    <w:rsid w:val="0023345C"/>
    <w:rsid w:val="00233513"/>
    <w:rsid w:val="0023358A"/>
    <w:rsid w:val="0023486D"/>
    <w:rsid w:val="0023562B"/>
    <w:rsid w:val="002367C5"/>
    <w:rsid w:val="002371CB"/>
    <w:rsid w:val="00237EDE"/>
    <w:rsid w:val="002400E2"/>
    <w:rsid w:val="00240F9D"/>
    <w:rsid w:val="00241228"/>
    <w:rsid w:val="00241657"/>
    <w:rsid w:val="0024184D"/>
    <w:rsid w:val="00241D35"/>
    <w:rsid w:val="00242034"/>
    <w:rsid w:val="002421D3"/>
    <w:rsid w:val="002422D7"/>
    <w:rsid w:val="002441DE"/>
    <w:rsid w:val="002445FB"/>
    <w:rsid w:val="00244948"/>
    <w:rsid w:val="002449A5"/>
    <w:rsid w:val="00245DCF"/>
    <w:rsid w:val="0024655C"/>
    <w:rsid w:val="00246AB8"/>
    <w:rsid w:val="002509AF"/>
    <w:rsid w:val="00250B77"/>
    <w:rsid w:val="00250CA1"/>
    <w:rsid w:val="00250D5B"/>
    <w:rsid w:val="0025113B"/>
    <w:rsid w:val="00251176"/>
    <w:rsid w:val="00251597"/>
    <w:rsid w:val="00252201"/>
    <w:rsid w:val="00252AB5"/>
    <w:rsid w:val="00252AF9"/>
    <w:rsid w:val="00252D76"/>
    <w:rsid w:val="00252F9C"/>
    <w:rsid w:val="002532E5"/>
    <w:rsid w:val="002543DD"/>
    <w:rsid w:val="0025556C"/>
    <w:rsid w:val="00255667"/>
    <w:rsid w:val="00256EFF"/>
    <w:rsid w:val="00257056"/>
    <w:rsid w:val="00257193"/>
    <w:rsid w:val="00257FBE"/>
    <w:rsid w:val="002602F0"/>
    <w:rsid w:val="00260BC3"/>
    <w:rsid w:val="0026130C"/>
    <w:rsid w:val="00262E16"/>
    <w:rsid w:val="00263095"/>
    <w:rsid w:val="00263635"/>
    <w:rsid w:val="00263CC4"/>
    <w:rsid w:val="002645E7"/>
    <w:rsid w:val="00264711"/>
    <w:rsid w:val="002651E6"/>
    <w:rsid w:val="002660F8"/>
    <w:rsid w:val="00266BBB"/>
    <w:rsid w:val="00266C36"/>
    <w:rsid w:val="0026708F"/>
    <w:rsid w:val="002670A9"/>
    <w:rsid w:val="00267368"/>
    <w:rsid w:val="00267997"/>
    <w:rsid w:val="00267D9B"/>
    <w:rsid w:val="00271904"/>
    <w:rsid w:val="0027286F"/>
    <w:rsid w:val="0027295C"/>
    <w:rsid w:val="0027337C"/>
    <w:rsid w:val="00273BC7"/>
    <w:rsid w:val="00273EF1"/>
    <w:rsid w:val="002740F5"/>
    <w:rsid w:val="00274794"/>
    <w:rsid w:val="00274920"/>
    <w:rsid w:val="0027555C"/>
    <w:rsid w:val="00275B6F"/>
    <w:rsid w:val="002760EE"/>
    <w:rsid w:val="00276347"/>
    <w:rsid w:val="0027664C"/>
    <w:rsid w:val="0027702C"/>
    <w:rsid w:val="00277285"/>
    <w:rsid w:val="00277397"/>
    <w:rsid w:val="00280494"/>
    <w:rsid w:val="0028053D"/>
    <w:rsid w:val="00280787"/>
    <w:rsid w:val="00280BE3"/>
    <w:rsid w:val="002812FA"/>
    <w:rsid w:val="00281492"/>
    <w:rsid w:val="00282A71"/>
    <w:rsid w:val="00282E42"/>
    <w:rsid w:val="00283D40"/>
    <w:rsid w:val="00284120"/>
    <w:rsid w:val="00284372"/>
    <w:rsid w:val="0028470C"/>
    <w:rsid w:val="00284B16"/>
    <w:rsid w:val="00285167"/>
    <w:rsid w:val="002851AC"/>
    <w:rsid w:val="002856BC"/>
    <w:rsid w:val="00286555"/>
    <w:rsid w:val="00287C0A"/>
    <w:rsid w:val="00290263"/>
    <w:rsid w:val="002903C9"/>
    <w:rsid w:val="0029094C"/>
    <w:rsid w:val="00290C1E"/>
    <w:rsid w:val="00290F5C"/>
    <w:rsid w:val="002910CD"/>
    <w:rsid w:val="00291DB1"/>
    <w:rsid w:val="00291FDA"/>
    <w:rsid w:val="0029234C"/>
    <w:rsid w:val="00292462"/>
    <w:rsid w:val="002925FA"/>
    <w:rsid w:val="0029295E"/>
    <w:rsid w:val="0029301C"/>
    <w:rsid w:val="002936E3"/>
    <w:rsid w:val="002937B7"/>
    <w:rsid w:val="00294857"/>
    <w:rsid w:val="00295586"/>
    <w:rsid w:val="00296337"/>
    <w:rsid w:val="0029677C"/>
    <w:rsid w:val="00296A00"/>
    <w:rsid w:val="00296D70"/>
    <w:rsid w:val="00296E9C"/>
    <w:rsid w:val="00297045"/>
    <w:rsid w:val="00297048"/>
    <w:rsid w:val="00297BF7"/>
    <w:rsid w:val="002A0B48"/>
    <w:rsid w:val="002A0FBC"/>
    <w:rsid w:val="002A0FDD"/>
    <w:rsid w:val="002A2042"/>
    <w:rsid w:val="002A2323"/>
    <w:rsid w:val="002A27F4"/>
    <w:rsid w:val="002A515E"/>
    <w:rsid w:val="002A5271"/>
    <w:rsid w:val="002A572E"/>
    <w:rsid w:val="002A57D6"/>
    <w:rsid w:val="002A58B2"/>
    <w:rsid w:val="002A6649"/>
    <w:rsid w:val="002A7139"/>
    <w:rsid w:val="002A7F95"/>
    <w:rsid w:val="002B04DE"/>
    <w:rsid w:val="002B0864"/>
    <w:rsid w:val="002B0A1D"/>
    <w:rsid w:val="002B0D25"/>
    <w:rsid w:val="002B1882"/>
    <w:rsid w:val="002B1C2F"/>
    <w:rsid w:val="002B1E09"/>
    <w:rsid w:val="002B1E47"/>
    <w:rsid w:val="002B2779"/>
    <w:rsid w:val="002B2931"/>
    <w:rsid w:val="002B2F4F"/>
    <w:rsid w:val="002B368D"/>
    <w:rsid w:val="002B3B76"/>
    <w:rsid w:val="002B3B98"/>
    <w:rsid w:val="002B3FA3"/>
    <w:rsid w:val="002B4324"/>
    <w:rsid w:val="002B435A"/>
    <w:rsid w:val="002B4570"/>
    <w:rsid w:val="002B4663"/>
    <w:rsid w:val="002B482C"/>
    <w:rsid w:val="002B5013"/>
    <w:rsid w:val="002B5F30"/>
    <w:rsid w:val="002B6068"/>
    <w:rsid w:val="002B60BC"/>
    <w:rsid w:val="002B66FB"/>
    <w:rsid w:val="002B6C9F"/>
    <w:rsid w:val="002B6FC1"/>
    <w:rsid w:val="002B76E5"/>
    <w:rsid w:val="002B7D6A"/>
    <w:rsid w:val="002C0AD0"/>
    <w:rsid w:val="002C0B11"/>
    <w:rsid w:val="002C0D11"/>
    <w:rsid w:val="002C10A9"/>
    <w:rsid w:val="002C1C46"/>
    <w:rsid w:val="002C3A21"/>
    <w:rsid w:val="002C3C90"/>
    <w:rsid w:val="002C3E0A"/>
    <w:rsid w:val="002C4A3E"/>
    <w:rsid w:val="002C6F3C"/>
    <w:rsid w:val="002C79D9"/>
    <w:rsid w:val="002C7BAF"/>
    <w:rsid w:val="002C7BF5"/>
    <w:rsid w:val="002C7FEB"/>
    <w:rsid w:val="002D0446"/>
    <w:rsid w:val="002D17C0"/>
    <w:rsid w:val="002D24F9"/>
    <w:rsid w:val="002D25D2"/>
    <w:rsid w:val="002D304B"/>
    <w:rsid w:val="002D462B"/>
    <w:rsid w:val="002D462D"/>
    <w:rsid w:val="002D4C5E"/>
    <w:rsid w:val="002D5A13"/>
    <w:rsid w:val="002D764C"/>
    <w:rsid w:val="002E0FD1"/>
    <w:rsid w:val="002E1477"/>
    <w:rsid w:val="002E177A"/>
    <w:rsid w:val="002E17A1"/>
    <w:rsid w:val="002E1A21"/>
    <w:rsid w:val="002E1A8F"/>
    <w:rsid w:val="002E1ED9"/>
    <w:rsid w:val="002E28FC"/>
    <w:rsid w:val="002E2EB6"/>
    <w:rsid w:val="002E308D"/>
    <w:rsid w:val="002E39FA"/>
    <w:rsid w:val="002E46BE"/>
    <w:rsid w:val="002E4926"/>
    <w:rsid w:val="002E59AD"/>
    <w:rsid w:val="002E5CA4"/>
    <w:rsid w:val="002E5D3B"/>
    <w:rsid w:val="002E6031"/>
    <w:rsid w:val="002E6F31"/>
    <w:rsid w:val="002E7150"/>
    <w:rsid w:val="002E7388"/>
    <w:rsid w:val="002F06BD"/>
    <w:rsid w:val="002F0707"/>
    <w:rsid w:val="002F0726"/>
    <w:rsid w:val="002F08DC"/>
    <w:rsid w:val="002F0E55"/>
    <w:rsid w:val="002F131C"/>
    <w:rsid w:val="002F13BB"/>
    <w:rsid w:val="002F1507"/>
    <w:rsid w:val="002F1572"/>
    <w:rsid w:val="002F1F0E"/>
    <w:rsid w:val="002F21CA"/>
    <w:rsid w:val="002F2333"/>
    <w:rsid w:val="002F24A8"/>
    <w:rsid w:val="002F2A2D"/>
    <w:rsid w:val="002F36FD"/>
    <w:rsid w:val="002F3B34"/>
    <w:rsid w:val="002F3D64"/>
    <w:rsid w:val="002F3E9C"/>
    <w:rsid w:val="002F4199"/>
    <w:rsid w:val="002F566E"/>
    <w:rsid w:val="002F5894"/>
    <w:rsid w:val="002F6B1D"/>
    <w:rsid w:val="002F6C16"/>
    <w:rsid w:val="002F6ED9"/>
    <w:rsid w:val="002F7190"/>
    <w:rsid w:val="002F757F"/>
    <w:rsid w:val="002F7C66"/>
    <w:rsid w:val="00300007"/>
    <w:rsid w:val="0030054B"/>
    <w:rsid w:val="003014DB"/>
    <w:rsid w:val="0030157A"/>
    <w:rsid w:val="003022D3"/>
    <w:rsid w:val="003035F7"/>
    <w:rsid w:val="00303884"/>
    <w:rsid w:val="003038EA"/>
    <w:rsid w:val="00304417"/>
    <w:rsid w:val="00304941"/>
    <w:rsid w:val="0030549D"/>
    <w:rsid w:val="00305D78"/>
    <w:rsid w:val="00305F6B"/>
    <w:rsid w:val="003064C6"/>
    <w:rsid w:val="00306814"/>
    <w:rsid w:val="00306FF6"/>
    <w:rsid w:val="0030747A"/>
    <w:rsid w:val="003074E3"/>
    <w:rsid w:val="003124EC"/>
    <w:rsid w:val="00312912"/>
    <w:rsid w:val="00312CCC"/>
    <w:rsid w:val="003139BF"/>
    <w:rsid w:val="00314276"/>
    <w:rsid w:val="00315633"/>
    <w:rsid w:val="00315EE8"/>
    <w:rsid w:val="00315FBD"/>
    <w:rsid w:val="00316A2C"/>
    <w:rsid w:val="00317653"/>
    <w:rsid w:val="00317D0B"/>
    <w:rsid w:val="00317DE0"/>
    <w:rsid w:val="00320495"/>
    <w:rsid w:val="0032096D"/>
    <w:rsid w:val="00320D64"/>
    <w:rsid w:val="00321242"/>
    <w:rsid w:val="0032196C"/>
    <w:rsid w:val="0032198E"/>
    <w:rsid w:val="003224C6"/>
    <w:rsid w:val="003239D1"/>
    <w:rsid w:val="00323C3C"/>
    <w:rsid w:val="00323CB0"/>
    <w:rsid w:val="003243FD"/>
    <w:rsid w:val="00324D15"/>
    <w:rsid w:val="00326231"/>
    <w:rsid w:val="0032645C"/>
    <w:rsid w:val="00326687"/>
    <w:rsid w:val="00327104"/>
    <w:rsid w:val="00327A64"/>
    <w:rsid w:val="00327DB0"/>
    <w:rsid w:val="00330FB1"/>
    <w:rsid w:val="00331927"/>
    <w:rsid w:val="00331983"/>
    <w:rsid w:val="003319EB"/>
    <w:rsid w:val="00331C20"/>
    <w:rsid w:val="00331E66"/>
    <w:rsid w:val="003320A1"/>
    <w:rsid w:val="003321D6"/>
    <w:rsid w:val="0033266A"/>
    <w:rsid w:val="00332AB7"/>
    <w:rsid w:val="003333AB"/>
    <w:rsid w:val="003333AF"/>
    <w:rsid w:val="0033359B"/>
    <w:rsid w:val="00333ABE"/>
    <w:rsid w:val="00333B22"/>
    <w:rsid w:val="00334C0F"/>
    <w:rsid w:val="00334E24"/>
    <w:rsid w:val="00334E79"/>
    <w:rsid w:val="00334FAD"/>
    <w:rsid w:val="003352D3"/>
    <w:rsid w:val="0033532C"/>
    <w:rsid w:val="00335590"/>
    <w:rsid w:val="00335F62"/>
    <w:rsid w:val="003360A5"/>
    <w:rsid w:val="00336C2C"/>
    <w:rsid w:val="00336D32"/>
    <w:rsid w:val="00337139"/>
    <w:rsid w:val="003377F9"/>
    <w:rsid w:val="00341118"/>
    <w:rsid w:val="00341297"/>
    <w:rsid w:val="003420C7"/>
    <w:rsid w:val="00342EEA"/>
    <w:rsid w:val="003436E8"/>
    <w:rsid w:val="003448DF"/>
    <w:rsid w:val="003455D8"/>
    <w:rsid w:val="00345833"/>
    <w:rsid w:val="00346BEE"/>
    <w:rsid w:val="00347610"/>
    <w:rsid w:val="00347E20"/>
    <w:rsid w:val="00347F13"/>
    <w:rsid w:val="00350267"/>
    <w:rsid w:val="00350321"/>
    <w:rsid w:val="00350D66"/>
    <w:rsid w:val="00350F88"/>
    <w:rsid w:val="00351062"/>
    <w:rsid w:val="00351A7E"/>
    <w:rsid w:val="00351AF2"/>
    <w:rsid w:val="00351E15"/>
    <w:rsid w:val="003523FB"/>
    <w:rsid w:val="003535C6"/>
    <w:rsid w:val="0035394A"/>
    <w:rsid w:val="0035428A"/>
    <w:rsid w:val="003546F4"/>
    <w:rsid w:val="0035473D"/>
    <w:rsid w:val="00354DEA"/>
    <w:rsid w:val="00356447"/>
    <w:rsid w:val="003576A7"/>
    <w:rsid w:val="00360006"/>
    <w:rsid w:val="00360288"/>
    <w:rsid w:val="00360A57"/>
    <w:rsid w:val="00360BAE"/>
    <w:rsid w:val="00361A91"/>
    <w:rsid w:val="00361AAE"/>
    <w:rsid w:val="00361D84"/>
    <w:rsid w:val="00362756"/>
    <w:rsid w:val="00362ACC"/>
    <w:rsid w:val="003642C3"/>
    <w:rsid w:val="003644EA"/>
    <w:rsid w:val="0036461C"/>
    <w:rsid w:val="00364A66"/>
    <w:rsid w:val="00364B8F"/>
    <w:rsid w:val="00365000"/>
    <w:rsid w:val="0036726F"/>
    <w:rsid w:val="00367A93"/>
    <w:rsid w:val="00367BDD"/>
    <w:rsid w:val="00370A24"/>
    <w:rsid w:val="00370B43"/>
    <w:rsid w:val="00371983"/>
    <w:rsid w:val="003719E8"/>
    <w:rsid w:val="003728D0"/>
    <w:rsid w:val="003739B9"/>
    <w:rsid w:val="00373E6B"/>
    <w:rsid w:val="00374619"/>
    <w:rsid w:val="00374A01"/>
    <w:rsid w:val="00375A12"/>
    <w:rsid w:val="00375C98"/>
    <w:rsid w:val="00376FCB"/>
    <w:rsid w:val="0037705D"/>
    <w:rsid w:val="003778E4"/>
    <w:rsid w:val="00377CD2"/>
    <w:rsid w:val="00377D3D"/>
    <w:rsid w:val="0038030D"/>
    <w:rsid w:val="0038077D"/>
    <w:rsid w:val="00381158"/>
    <w:rsid w:val="00381A5B"/>
    <w:rsid w:val="0038206B"/>
    <w:rsid w:val="00382368"/>
    <w:rsid w:val="003826C8"/>
    <w:rsid w:val="00382798"/>
    <w:rsid w:val="00382B8D"/>
    <w:rsid w:val="00383269"/>
    <w:rsid w:val="0038342D"/>
    <w:rsid w:val="00383741"/>
    <w:rsid w:val="00383E0B"/>
    <w:rsid w:val="00384599"/>
    <w:rsid w:val="00385BF7"/>
    <w:rsid w:val="00385D23"/>
    <w:rsid w:val="00385E26"/>
    <w:rsid w:val="003862E2"/>
    <w:rsid w:val="003864EA"/>
    <w:rsid w:val="00387E9F"/>
    <w:rsid w:val="003904EC"/>
    <w:rsid w:val="003905B1"/>
    <w:rsid w:val="003910AD"/>
    <w:rsid w:val="0039167B"/>
    <w:rsid w:val="003916CC"/>
    <w:rsid w:val="003919AC"/>
    <w:rsid w:val="00391A97"/>
    <w:rsid w:val="00391E3B"/>
    <w:rsid w:val="00392A12"/>
    <w:rsid w:val="003932B4"/>
    <w:rsid w:val="00393C5B"/>
    <w:rsid w:val="0039403B"/>
    <w:rsid w:val="00394411"/>
    <w:rsid w:val="00394997"/>
    <w:rsid w:val="00395B9E"/>
    <w:rsid w:val="00395E3A"/>
    <w:rsid w:val="003967E0"/>
    <w:rsid w:val="003968EE"/>
    <w:rsid w:val="003975A3"/>
    <w:rsid w:val="003A010D"/>
    <w:rsid w:val="003A088A"/>
    <w:rsid w:val="003A0A82"/>
    <w:rsid w:val="003A0FBE"/>
    <w:rsid w:val="003A1A61"/>
    <w:rsid w:val="003A2B6E"/>
    <w:rsid w:val="003A3151"/>
    <w:rsid w:val="003A3E50"/>
    <w:rsid w:val="003A4807"/>
    <w:rsid w:val="003A4903"/>
    <w:rsid w:val="003A49ED"/>
    <w:rsid w:val="003A4A4E"/>
    <w:rsid w:val="003A5543"/>
    <w:rsid w:val="003A557E"/>
    <w:rsid w:val="003A67FF"/>
    <w:rsid w:val="003A69AF"/>
    <w:rsid w:val="003A7154"/>
    <w:rsid w:val="003A768B"/>
    <w:rsid w:val="003A7BD4"/>
    <w:rsid w:val="003B0194"/>
    <w:rsid w:val="003B0DF0"/>
    <w:rsid w:val="003B0EAC"/>
    <w:rsid w:val="003B113D"/>
    <w:rsid w:val="003B117B"/>
    <w:rsid w:val="003B1BAE"/>
    <w:rsid w:val="003B1C05"/>
    <w:rsid w:val="003B26AB"/>
    <w:rsid w:val="003B28AD"/>
    <w:rsid w:val="003B30B4"/>
    <w:rsid w:val="003B365C"/>
    <w:rsid w:val="003B3E75"/>
    <w:rsid w:val="003B3F01"/>
    <w:rsid w:val="003B4545"/>
    <w:rsid w:val="003B48B6"/>
    <w:rsid w:val="003B4B07"/>
    <w:rsid w:val="003B5DD4"/>
    <w:rsid w:val="003B639B"/>
    <w:rsid w:val="003B6732"/>
    <w:rsid w:val="003B686F"/>
    <w:rsid w:val="003B6974"/>
    <w:rsid w:val="003B6D07"/>
    <w:rsid w:val="003B6D23"/>
    <w:rsid w:val="003B76D7"/>
    <w:rsid w:val="003C04B5"/>
    <w:rsid w:val="003C056B"/>
    <w:rsid w:val="003C0B68"/>
    <w:rsid w:val="003C1BBF"/>
    <w:rsid w:val="003C230F"/>
    <w:rsid w:val="003C2475"/>
    <w:rsid w:val="003C2AFF"/>
    <w:rsid w:val="003C4003"/>
    <w:rsid w:val="003C4861"/>
    <w:rsid w:val="003C51E7"/>
    <w:rsid w:val="003C728E"/>
    <w:rsid w:val="003C77B5"/>
    <w:rsid w:val="003C7809"/>
    <w:rsid w:val="003D0115"/>
    <w:rsid w:val="003D0898"/>
    <w:rsid w:val="003D0A86"/>
    <w:rsid w:val="003D0CF0"/>
    <w:rsid w:val="003D13D6"/>
    <w:rsid w:val="003D1430"/>
    <w:rsid w:val="003D1530"/>
    <w:rsid w:val="003D1745"/>
    <w:rsid w:val="003D1774"/>
    <w:rsid w:val="003D1905"/>
    <w:rsid w:val="003D1C68"/>
    <w:rsid w:val="003D2EB3"/>
    <w:rsid w:val="003D344A"/>
    <w:rsid w:val="003D3ADD"/>
    <w:rsid w:val="003D44AB"/>
    <w:rsid w:val="003D49CF"/>
    <w:rsid w:val="003D53A3"/>
    <w:rsid w:val="003D6BD1"/>
    <w:rsid w:val="003D79EE"/>
    <w:rsid w:val="003D7EDB"/>
    <w:rsid w:val="003E0627"/>
    <w:rsid w:val="003E08A7"/>
    <w:rsid w:val="003E0D67"/>
    <w:rsid w:val="003E199F"/>
    <w:rsid w:val="003E3D42"/>
    <w:rsid w:val="003E447F"/>
    <w:rsid w:val="003E4E31"/>
    <w:rsid w:val="003E55E6"/>
    <w:rsid w:val="003E66C5"/>
    <w:rsid w:val="003E7116"/>
    <w:rsid w:val="003E7BDA"/>
    <w:rsid w:val="003E7E12"/>
    <w:rsid w:val="003F02CC"/>
    <w:rsid w:val="003F0361"/>
    <w:rsid w:val="003F065F"/>
    <w:rsid w:val="003F0A0C"/>
    <w:rsid w:val="003F0D56"/>
    <w:rsid w:val="003F11FF"/>
    <w:rsid w:val="003F1617"/>
    <w:rsid w:val="003F1672"/>
    <w:rsid w:val="003F1BC5"/>
    <w:rsid w:val="003F1E41"/>
    <w:rsid w:val="003F20D3"/>
    <w:rsid w:val="003F3821"/>
    <w:rsid w:val="003F4945"/>
    <w:rsid w:val="003F4A21"/>
    <w:rsid w:val="003F4D95"/>
    <w:rsid w:val="003F5055"/>
    <w:rsid w:val="003F5126"/>
    <w:rsid w:val="003F52DB"/>
    <w:rsid w:val="003F5322"/>
    <w:rsid w:val="003F693D"/>
    <w:rsid w:val="003F7B7C"/>
    <w:rsid w:val="0040016C"/>
    <w:rsid w:val="00400311"/>
    <w:rsid w:val="0040098C"/>
    <w:rsid w:val="00400C12"/>
    <w:rsid w:val="00401285"/>
    <w:rsid w:val="00402550"/>
    <w:rsid w:val="00402E49"/>
    <w:rsid w:val="004033E4"/>
    <w:rsid w:val="00403F0E"/>
    <w:rsid w:val="0040408A"/>
    <w:rsid w:val="00404801"/>
    <w:rsid w:val="00404AFC"/>
    <w:rsid w:val="00404C6B"/>
    <w:rsid w:val="00404D37"/>
    <w:rsid w:val="00405C9C"/>
    <w:rsid w:val="004068B0"/>
    <w:rsid w:val="00407024"/>
    <w:rsid w:val="00407064"/>
    <w:rsid w:val="00407985"/>
    <w:rsid w:val="004109FD"/>
    <w:rsid w:val="00410B71"/>
    <w:rsid w:val="00411C13"/>
    <w:rsid w:val="00411D2F"/>
    <w:rsid w:val="00412480"/>
    <w:rsid w:val="00412B8D"/>
    <w:rsid w:val="00412C61"/>
    <w:rsid w:val="00413860"/>
    <w:rsid w:val="00413A90"/>
    <w:rsid w:val="00413D56"/>
    <w:rsid w:val="00414514"/>
    <w:rsid w:val="00414E86"/>
    <w:rsid w:val="0041506D"/>
    <w:rsid w:val="0041512A"/>
    <w:rsid w:val="004152E9"/>
    <w:rsid w:val="004156FC"/>
    <w:rsid w:val="00415952"/>
    <w:rsid w:val="00415BFE"/>
    <w:rsid w:val="00416389"/>
    <w:rsid w:val="00416812"/>
    <w:rsid w:val="004179D5"/>
    <w:rsid w:val="00417AFE"/>
    <w:rsid w:val="004206B6"/>
    <w:rsid w:val="00420A55"/>
    <w:rsid w:val="00421757"/>
    <w:rsid w:val="0042187B"/>
    <w:rsid w:val="00422380"/>
    <w:rsid w:val="004226CA"/>
    <w:rsid w:val="00423266"/>
    <w:rsid w:val="00423BEC"/>
    <w:rsid w:val="004250D7"/>
    <w:rsid w:val="00425175"/>
    <w:rsid w:val="00425824"/>
    <w:rsid w:val="00426303"/>
    <w:rsid w:val="00426804"/>
    <w:rsid w:val="00426CAB"/>
    <w:rsid w:val="00427516"/>
    <w:rsid w:val="00427ECF"/>
    <w:rsid w:val="004309E0"/>
    <w:rsid w:val="00430C3A"/>
    <w:rsid w:val="00430D60"/>
    <w:rsid w:val="00430F86"/>
    <w:rsid w:val="00431FD6"/>
    <w:rsid w:val="004320DC"/>
    <w:rsid w:val="00432854"/>
    <w:rsid w:val="00432C40"/>
    <w:rsid w:val="00433270"/>
    <w:rsid w:val="004335E5"/>
    <w:rsid w:val="00433995"/>
    <w:rsid w:val="004348F4"/>
    <w:rsid w:val="004359E0"/>
    <w:rsid w:val="00435A3A"/>
    <w:rsid w:val="00435ABD"/>
    <w:rsid w:val="00435ECF"/>
    <w:rsid w:val="00436410"/>
    <w:rsid w:val="00436B1F"/>
    <w:rsid w:val="00437ABF"/>
    <w:rsid w:val="00440C3E"/>
    <w:rsid w:val="00440D51"/>
    <w:rsid w:val="00441A0B"/>
    <w:rsid w:val="0044304B"/>
    <w:rsid w:val="00443251"/>
    <w:rsid w:val="00443631"/>
    <w:rsid w:val="00443ED4"/>
    <w:rsid w:val="00444A8F"/>
    <w:rsid w:val="004469AC"/>
    <w:rsid w:val="00446ADF"/>
    <w:rsid w:val="00446EC6"/>
    <w:rsid w:val="004476F1"/>
    <w:rsid w:val="00447B63"/>
    <w:rsid w:val="00447C76"/>
    <w:rsid w:val="004501E1"/>
    <w:rsid w:val="004503E4"/>
    <w:rsid w:val="00451F11"/>
    <w:rsid w:val="004520D5"/>
    <w:rsid w:val="004528BA"/>
    <w:rsid w:val="00452F5A"/>
    <w:rsid w:val="0045314B"/>
    <w:rsid w:val="00453183"/>
    <w:rsid w:val="00453378"/>
    <w:rsid w:val="00453D67"/>
    <w:rsid w:val="00453DAD"/>
    <w:rsid w:val="00454FC3"/>
    <w:rsid w:val="00455024"/>
    <w:rsid w:val="00456224"/>
    <w:rsid w:val="004562DC"/>
    <w:rsid w:val="00456544"/>
    <w:rsid w:val="00457A87"/>
    <w:rsid w:val="00457C69"/>
    <w:rsid w:val="00457D59"/>
    <w:rsid w:val="00460E1B"/>
    <w:rsid w:val="0046121D"/>
    <w:rsid w:val="00461E52"/>
    <w:rsid w:val="0046290C"/>
    <w:rsid w:val="00463149"/>
    <w:rsid w:val="00463359"/>
    <w:rsid w:val="00463403"/>
    <w:rsid w:val="004634FB"/>
    <w:rsid w:val="0046388B"/>
    <w:rsid w:val="00464DA7"/>
    <w:rsid w:val="00465270"/>
    <w:rsid w:val="00465AEA"/>
    <w:rsid w:val="00466139"/>
    <w:rsid w:val="0046796D"/>
    <w:rsid w:val="0047064D"/>
    <w:rsid w:val="0047084C"/>
    <w:rsid w:val="00470870"/>
    <w:rsid w:val="00470A45"/>
    <w:rsid w:val="004711BF"/>
    <w:rsid w:val="00471350"/>
    <w:rsid w:val="00471AB2"/>
    <w:rsid w:val="00472B12"/>
    <w:rsid w:val="00472BED"/>
    <w:rsid w:val="00473BC7"/>
    <w:rsid w:val="00473ED3"/>
    <w:rsid w:val="00474C71"/>
    <w:rsid w:val="00475128"/>
    <w:rsid w:val="0047515B"/>
    <w:rsid w:val="00475AFD"/>
    <w:rsid w:val="00475E84"/>
    <w:rsid w:val="00476135"/>
    <w:rsid w:val="0047639A"/>
    <w:rsid w:val="004766E5"/>
    <w:rsid w:val="00476D63"/>
    <w:rsid w:val="00476DE6"/>
    <w:rsid w:val="00477B10"/>
    <w:rsid w:val="0048020E"/>
    <w:rsid w:val="004802A3"/>
    <w:rsid w:val="00480509"/>
    <w:rsid w:val="00480592"/>
    <w:rsid w:val="00480633"/>
    <w:rsid w:val="004806F6"/>
    <w:rsid w:val="004807FE"/>
    <w:rsid w:val="00480E3F"/>
    <w:rsid w:val="0048171B"/>
    <w:rsid w:val="004818E6"/>
    <w:rsid w:val="00481DE5"/>
    <w:rsid w:val="004822D0"/>
    <w:rsid w:val="00482D96"/>
    <w:rsid w:val="004837C0"/>
    <w:rsid w:val="00483908"/>
    <w:rsid w:val="0048454C"/>
    <w:rsid w:val="00484724"/>
    <w:rsid w:val="00484C92"/>
    <w:rsid w:val="00485163"/>
    <w:rsid w:val="004858F3"/>
    <w:rsid w:val="004858F7"/>
    <w:rsid w:val="004872C4"/>
    <w:rsid w:val="00491019"/>
    <w:rsid w:val="00491269"/>
    <w:rsid w:val="004914AA"/>
    <w:rsid w:val="00491534"/>
    <w:rsid w:val="004917E0"/>
    <w:rsid w:val="004920BD"/>
    <w:rsid w:val="00492BF7"/>
    <w:rsid w:val="00494034"/>
    <w:rsid w:val="004940A3"/>
    <w:rsid w:val="00494292"/>
    <w:rsid w:val="00494295"/>
    <w:rsid w:val="00494452"/>
    <w:rsid w:val="00494754"/>
    <w:rsid w:val="00494F43"/>
    <w:rsid w:val="00494F87"/>
    <w:rsid w:val="00495C19"/>
    <w:rsid w:val="00496E59"/>
    <w:rsid w:val="004972A4"/>
    <w:rsid w:val="00497573"/>
    <w:rsid w:val="00497C58"/>
    <w:rsid w:val="004A00C9"/>
    <w:rsid w:val="004A030D"/>
    <w:rsid w:val="004A031D"/>
    <w:rsid w:val="004A087D"/>
    <w:rsid w:val="004A08A3"/>
    <w:rsid w:val="004A0D82"/>
    <w:rsid w:val="004A1F71"/>
    <w:rsid w:val="004A235E"/>
    <w:rsid w:val="004A4319"/>
    <w:rsid w:val="004A559B"/>
    <w:rsid w:val="004A601A"/>
    <w:rsid w:val="004A6B01"/>
    <w:rsid w:val="004A6B0F"/>
    <w:rsid w:val="004A747A"/>
    <w:rsid w:val="004A75E8"/>
    <w:rsid w:val="004A7D94"/>
    <w:rsid w:val="004B0F42"/>
    <w:rsid w:val="004B1B99"/>
    <w:rsid w:val="004B1DBB"/>
    <w:rsid w:val="004B2151"/>
    <w:rsid w:val="004B2AB9"/>
    <w:rsid w:val="004B2EC7"/>
    <w:rsid w:val="004B45A3"/>
    <w:rsid w:val="004B488D"/>
    <w:rsid w:val="004B62BA"/>
    <w:rsid w:val="004B63AD"/>
    <w:rsid w:val="004B63D7"/>
    <w:rsid w:val="004B7E87"/>
    <w:rsid w:val="004B7FD8"/>
    <w:rsid w:val="004C0123"/>
    <w:rsid w:val="004C221A"/>
    <w:rsid w:val="004C3002"/>
    <w:rsid w:val="004C3185"/>
    <w:rsid w:val="004C3DD5"/>
    <w:rsid w:val="004C46DD"/>
    <w:rsid w:val="004C4C9D"/>
    <w:rsid w:val="004C4D90"/>
    <w:rsid w:val="004C5432"/>
    <w:rsid w:val="004C54C6"/>
    <w:rsid w:val="004C5C11"/>
    <w:rsid w:val="004C5DDE"/>
    <w:rsid w:val="004C5DEC"/>
    <w:rsid w:val="004C5F94"/>
    <w:rsid w:val="004C7606"/>
    <w:rsid w:val="004C78CC"/>
    <w:rsid w:val="004C7BB8"/>
    <w:rsid w:val="004C7BEC"/>
    <w:rsid w:val="004D0704"/>
    <w:rsid w:val="004D0EFE"/>
    <w:rsid w:val="004D11A1"/>
    <w:rsid w:val="004D127F"/>
    <w:rsid w:val="004D1969"/>
    <w:rsid w:val="004D1B0F"/>
    <w:rsid w:val="004D1DFE"/>
    <w:rsid w:val="004D28E4"/>
    <w:rsid w:val="004D2D33"/>
    <w:rsid w:val="004D3353"/>
    <w:rsid w:val="004D420C"/>
    <w:rsid w:val="004D4EF9"/>
    <w:rsid w:val="004D5AB8"/>
    <w:rsid w:val="004D5C56"/>
    <w:rsid w:val="004D5CD1"/>
    <w:rsid w:val="004D5D65"/>
    <w:rsid w:val="004D666E"/>
    <w:rsid w:val="004D6A86"/>
    <w:rsid w:val="004D6B37"/>
    <w:rsid w:val="004D7BB1"/>
    <w:rsid w:val="004D7DF2"/>
    <w:rsid w:val="004E1433"/>
    <w:rsid w:val="004E1D2C"/>
    <w:rsid w:val="004E1DC2"/>
    <w:rsid w:val="004E22EA"/>
    <w:rsid w:val="004E29EC"/>
    <w:rsid w:val="004E2D9B"/>
    <w:rsid w:val="004E2F2D"/>
    <w:rsid w:val="004E2FFD"/>
    <w:rsid w:val="004E4046"/>
    <w:rsid w:val="004E54BF"/>
    <w:rsid w:val="004E57D3"/>
    <w:rsid w:val="004E5AE0"/>
    <w:rsid w:val="004E66EF"/>
    <w:rsid w:val="004E6A1E"/>
    <w:rsid w:val="004E7682"/>
    <w:rsid w:val="004E76EC"/>
    <w:rsid w:val="004E79DA"/>
    <w:rsid w:val="004F01D4"/>
    <w:rsid w:val="004F149B"/>
    <w:rsid w:val="004F188B"/>
    <w:rsid w:val="004F19C4"/>
    <w:rsid w:val="004F1A8D"/>
    <w:rsid w:val="004F1B33"/>
    <w:rsid w:val="004F2DB0"/>
    <w:rsid w:val="004F41BD"/>
    <w:rsid w:val="004F4B48"/>
    <w:rsid w:val="004F4E4D"/>
    <w:rsid w:val="004F4FA0"/>
    <w:rsid w:val="004F564B"/>
    <w:rsid w:val="004F570B"/>
    <w:rsid w:val="004F58B8"/>
    <w:rsid w:val="004F5D05"/>
    <w:rsid w:val="004F5D76"/>
    <w:rsid w:val="004F5DA4"/>
    <w:rsid w:val="004F66FF"/>
    <w:rsid w:val="004F7544"/>
    <w:rsid w:val="004F7BE1"/>
    <w:rsid w:val="005014FE"/>
    <w:rsid w:val="00501A3B"/>
    <w:rsid w:val="00501B5C"/>
    <w:rsid w:val="0050295A"/>
    <w:rsid w:val="0050336C"/>
    <w:rsid w:val="00503AB6"/>
    <w:rsid w:val="00503F57"/>
    <w:rsid w:val="00503F5E"/>
    <w:rsid w:val="00503F67"/>
    <w:rsid w:val="0050471E"/>
    <w:rsid w:val="00505202"/>
    <w:rsid w:val="00505B9D"/>
    <w:rsid w:val="00505BAE"/>
    <w:rsid w:val="00505C1D"/>
    <w:rsid w:val="0050616F"/>
    <w:rsid w:val="00506254"/>
    <w:rsid w:val="00506661"/>
    <w:rsid w:val="00506831"/>
    <w:rsid w:val="00506E13"/>
    <w:rsid w:val="00506E85"/>
    <w:rsid w:val="0050714C"/>
    <w:rsid w:val="00507229"/>
    <w:rsid w:val="0050729C"/>
    <w:rsid w:val="005100EB"/>
    <w:rsid w:val="00510B61"/>
    <w:rsid w:val="0051119A"/>
    <w:rsid w:val="00511B17"/>
    <w:rsid w:val="00511CBA"/>
    <w:rsid w:val="005124F9"/>
    <w:rsid w:val="00512620"/>
    <w:rsid w:val="00512699"/>
    <w:rsid w:val="00512D19"/>
    <w:rsid w:val="00512E39"/>
    <w:rsid w:val="005132A6"/>
    <w:rsid w:val="00513898"/>
    <w:rsid w:val="005144E2"/>
    <w:rsid w:val="005147E8"/>
    <w:rsid w:val="00514BC7"/>
    <w:rsid w:val="00514FC2"/>
    <w:rsid w:val="005150D3"/>
    <w:rsid w:val="00515429"/>
    <w:rsid w:val="00515543"/>
    <w:rsid w:val="00515B4E"/>
    <w:rsid w:val="00516C64"/>
    <w:rsid w:val="00516FA6"/>
    <w:rsid w:val="005173E7"/>
    <w:rsid w:val="00517AC1"/>
    <w:rsid w:val="00520112"/>
    <w:rsid w:val="00520807"/>
    <w:rsid w:val="00520AAB"/>
    <w:rsid w:val="00522046"/>
    <w:rsid w:val="00522425"/>
    <w:rsid w:val="005224AB"/>
    <w:rsid w:val="00522708"/>
    <w:rsid w:val="00522968"/>
    <w:rsid w:val="0052299E"/>
    <w:rsid w:val="0052346A"/>
    <w:rsid w:val="0052364F"/>
    <w:rsid w:val="00523B11"/>
    <w:rsid w:val="00523F35"/>
    <w:rsid w:val="0052417E"/>
    <w:rsid w:val="005243BC"/>
    <w:rsid w:val="0052493D"/>
    <w:rsid w:val="00524BA3"/>
    <w:rsid w:val="005257D2"/>
    <w:rsid w:val="00526752"/>
    <w:rsid w:val="00526F93"/>
    <w:rsid w:val="0052761B"/>
    <w:rsid w:val="00527BC7"/>
    <w:rsid w:val="00531124"/>
    <w:rsid w:val="005313A2"/>
    <w:rsid w:val="00531A13"/>
    <w:rsid w:val="005323C4"/>
    <w:rsid w:val="005326E6"/>
    <w:rsid w:val="0053284E"/>
    <w:rsid w:val="0053294F"/>
    <w:rsid w:val="005329AE"/>
    <w:rsid w:val="00534684"/>
    <w:rsid w:val="00534F31"/>
    <w:rsid w:val="00535CA2"/>
    <w:rsid w:val="00535D0E"/>
    <w:rsid w:val="00535F99"/>
    <w:rsid w:val="00535FBC"/>
    <w:rsid w:val="005372CD"/>
    <w:rsid w:val="00537344"/>
    <w:rsid w:val="005373EA"/>
    <w:rsid w:val="0054067A"/>
    <w:rsid w:val="005407C2"/>
    <w:rsid w:val="00540AE2"/>
    <w:rsid w:val="00540C50"/>
    <w:rsid w:val="00540EDF"/>
    <w:rsid w:val="005414C3"/>
    <w:rsid w:val="0054150F"/>
    <w:rsid w:val="00541F81"/>
    <w:rsid w:val="00542271"/>
    <w:rsid w:val="005435A8"/>
    <w:rsid w:val="0054369F"/>
    <w:rsid w:val="005436F7"/>
    <w:rsid w:val="00543B13"/>
    <w:rsid w:val="00544423"/>
    <w:rsid w:val="005453FF"/>
    <w:rsid w:val="005460F4"/>
    <w:rsid w:val="005468F6"/>
    <w:rsid w:val="00547011"/>
    <w:rsid w:val="005475BF"/>
    <w:rsid w:val="0054760B"/>
    <w:rsid w:val="00547E57"/>
    <w:rsid w:val="005502B4"/>
    <w:rsid w:val="0055084F"/>
    <w:rsid w:val="005518F1"/>
    <w:rsid w:val="005519E9"/>
    <w:rsid w:val="00551F9F"/>
    <w:rsid w:val="005525C8"/>
    <w:rsid w:val="00552830"/>
    <w:rsid w:val="00552993"/>
    <w:rsid w:val="005533ED"/>
    <w:rsid w:val="005542B0"/>
    <w:rsid w:val="005547D0"/>
    <w:rsid w:val="00554C5D"/>
    <w:rsid w:val="00554EC5"/>
    <w:rsid w:val="005555D5"/>
    <w:rsid w:val="005555D8"/>
    <w:rsid w:val="00555AFB"/>
    <w:rsid w:val="00555BA5"/>
    <w:rsid w:val="00556C3F"/>
    <w:rsid w:val="00556EC5"/>
    <w:rsid w:val="005576FD"/>
    <w:rsid w:val="00557941"/>
    <w:rsid w:val="005579D4"/>
    <w:rsid w:val="00557A55"/>
    <w:rsid w:val="00560592"/>
    <w:rsid w:val="00561166"/>
    <w:rsid w:val="00561212"/>
    <w:rsid w:val="00561798"/>
    <w:rsid w:val="00561D5C"/>
    <w:rsid w:val="0056222E"/>
    <w:rsid w:val="00562E49"/>
    <w:rsid w:val="005630C3"/>
    <w:rsid w:val="00563C57"/>
    <w:rsid w:val="00563C58"/>
    <w:rsid w:val="0056459A"/>
    <w:rsid w:val="005645FE"/>
    <w:rsid w:val="00564ADC"/>
    <w:rsid w:val="00564AFF"/>
    <w:rsid w:val="00565ED7"/>
    <w:rsid w:val="00566241"/>
    <w:rsid w:val="0056667B"/>
    <w:rsid w:val="005667D7"/>
    <w:rsid w:val="00566DC1"/>
    <w:rsid w:val="00566F1A"/>
    <w:rsid w:val="00567547"/>
    <w:rsid w:val="00567612"/>
    <w:rsid w:val="0056764C"/>
    <w:rsid w:val="00567A92"/>
    <w:rsid w:val="00570B2F"/>
    <w:rsid w:val="00570E13"/>
    <w:rsid w:val="00570FDF"/>
    <w:rsid w:val="00571312"/>
    <w:rsid w:val="00571798"/>
    <w:rsid w:val="00571CA8"/>
    <w:rsid w:val="00572527"/>
    <w:rsid w:val="00572679"/>
    <w:rsid w:val="00572906"/>
    <w:rsid w:val="00572913"/>
    <w:rsid w:val="00573B50"/>
    <w:rsid w:val="00573DA7"/>
    <w:rsid w:val="00574702"/>
    <w:rsid w:val="005751EE"/>
    <w:rsid w:val="005761EA"/>
    <w:rsid w:val="00576472"/>
    <w:rsid w:val="00576504"/>
    <w:rsid w:val="00576749"/>
    <w:rsid w:val="00576866"/>
    <w:rsid w:val="005775F1"/>
    <w:rsid w:val="0058000E"/>
    <w:rsid w:val="00581821"/>
    <w:rsid w:val="00581C75"/>
    <w:rsid w:val="005833DB"/>
    <w:rsid w:val="005836EA"/>
    <w:rsid w:val="005848E0"/>
    <w:rsid w:val="00584CD5"/>
    <w:rsid w:val="0058509A"/>
    <w:rsid w:val="00585163"/>
    <w:rsid w:val="005855A9"/>
    <w:rsid w:val="005856EE"/>
    <w:rsid w:val="005866B4"/>
    <w:rsid w:val="0058701F"/>
    <w:rsid w:val="00587364"/>
    <w:rsid w:val="0058770A"/>
    <w:rsid w:val="005903B4"/>
    <w:rsid w:val="005903C3"/>
    <w:rsid w:val="00591F9E"/>
    <w:rsid w:val="005922C4"/>
    <w:rsid w:val="00592718"/>
    <w:rsid w:val="00592836"/>
    <w:rsid w:val="00592E41"/>
    <w:rsid w:val="0059328F"/>
    <w:rsid w:val="005932A3"/>
    <w:rsid w:val="0059344E"/>
    <w:rsid w:val="0059374E"/>
    <w:rsid w:val="005944C5"/>
    <w:rsid w:val="00594601"/>
    <w:rsid w:val="005949CC"/>
    <w:rsid w:val="00594B24"/>
    <w:rsid w:val="00594D25"/>
    <w:rsid w:val="005971B7"/>
    <w:rsid w:val="0059740C"/>
    <w:rsid w:val="00597EF1"/>
    <w:rsid w:val="005A034C"/>
    <w:rsid w:val="005A04FD"/>
    <w:rsid w:val="005A22E1"/>
    <w:rsid w:val="005A2749"/>
    <w:rsid w:val="005A2878"/>
    <w:rsid w:val="005A2CE0"/>
    <w:rsid w:val="005A2D9D"/>
    <w:rsid w:val="005A3B36"/>
    <w:rsid w:val="005A3BE4"/>
    <w:rsid w:val="005A3D45"/>
    <w:rsid w:val="005A4ADF"/>
    <w:rsid w:val="005A50BD"/>
    <w:rsid w:val="005A5A79"/>
    <w:rsid w:val="005A5BC6"/>
    <w:rsid w:val="005A693E"/>
    <w:rsid w:val="005A7296"/>
    <w:rsid w:val="005B0150"/>
    <w:rsid w:val="005B01EE"/>
    <w:rsid w:val="005B02BE"/>
    <w:rsid w:val="005B02F3"/>
    <w:rsid w:val="005B2079"/>
    <w:rsid w:val="005B2E38"/>
    <w:rsid w:val="005B3713"/>
    <w:rsid w:val="005B4779"/>
    <w:rsid w:val="005B5735"/>
    <w:rsid w:val="005B5E46"/>
    <w:rsid w:val="005B6541"/>
    <w:rsid w:val="005B67E6"/>
    <w:rsid w:val="005B78BB"/>
    <w:rsid w:val="005B7AA7"/>
    <w:rsid w:val="005C005F"/>
    <w:rsid w:val="005C0918"/>
    <w:rsid w:val="005C093E"/>
    <w:rsid w:val="005C0A25"/>
    <w:rsid w:val="005C1491"/>
    <w:rsid w:val="005C221D"/>
    <w:rsid w:val="005C266A"/>
    <w:rsid w:val="005C2808"/>
    <w:rsid w:val="005C2957"/>
    <w:rsid w:val="005C2B56"/>
    <w:rsid w:val="005C3679"/>
    <w:rsid w:val="005C3695"/>
    <w:rsid w:val="005C3A00"/>
    <w:rsid w:val="005C42B5"/>
    <w:rsid w:val="005C4454"/>
    <w:rsid w:val="005C4897"/>
    <w:rsid w:val="005C4AF6"/>
    <w:rsid w:val="005C5309"/>
    <w:rsid w:val="005C55F1"/>
    <w:rsid w:val="005C56AB"/>
    <w:rsid w:val="005C6632"/>
    <w:rsid w:val="005C6CB6"/>
    <w:rsid w:val="005C6D5D"/>
    <w:rsid w:val="005C6FE0"/>
    <w:rsid w:val="005C70FB"/>
    <w:rsid w:val="005C72A7"/>
    <w:rsid w:val="005C72E4"/>
    <w:rsid w:val="005C730A"/>
    <w:rsid w:val="005C7913"/>
    <w:rsid w:val="005C7CBA"/>
    <w:rsid w:val="005D0301"/>
    <w:rsid w:val="005D0D69"/>
    <w:rsid w:val="005D0DF8"/>
    <w:rsid w:val="005D1240"/>
    <w:rsid w:val="005D162B"/>
    <w:rsid w:val="005D1D0A"/>
    <w:rsid w:val="005D2391"/>
    <w:rsid w:val="005D385D"/>
    <w:rsid w:val="005D3B25"/>
    <w:rsid w:val="005D4337"/>
    <w:rsid w:val="005D5A41"/>
    <w:rsid w:val="005D7342"/>
    <w:rsid w:val="005D7529"/>
    <w:rsid w:val="005D77DE"/>
    <w:rsid w:val="005D7836"/>
    <w:rsid w:val="005D7C5C"/>
    <w:rsid w:val="005E03C5"/>
    <w:rsid w:val="005E0688"/>
    <w:rsid w:val="005E0855"/>
    <w:rsid w:val="005E0B51"/>
    <w:rsid w:val="005E168E"/>
    <w:rsid w:val="005E23A8"/>
    <w:rsid w:val="005E2E01"/>
    <w:rsid w:val="005E364C"/>
    <w:rsid w:val="005E38BD"/>
    <w:rsid w:val="005E3C86"/>
    <w:rsid w:val="005E3FC5"/>
    <w:rsid w:val="005E43B9"/>
    <w:rsid w:val="005E4501"/>
    <w:rsid w:val="005E4608"/>
    <w:rsid w:val="005E4770"/>
    <w:rsid w:val="005E4E94"/>
    <w:rsid w:val="005E5238"/>
    <w:rsid w:val="005E57D8"/>
    <w:rsid w:val="005E5D13"/>
    <w:rsid w:val="005E5E84"/>
    <w:rsid w:val="005E5F7D"/>
    <w:rsid w:val="005E5FAA"/>
    <w:rsid w:val="005E615D"/>
    <w:rsid w:val="005E6AAF"/>
    <w:rsid w:val="005E6CC1"/>
    <w:rsid w:val="005E6EB8"/>
    <w:rsid w:val="005E7028"/>
    <w:rsid w:val="005E7049"/>
    <w:rsid w:val="005E72B0"/>
    <w:rsid w:val="005E784C"/>
    <w:rsid w:val="005E78B4"/>
    <w:rsid w:val="005F1292"/>
    <w:rsid w:val="005F129D"/>
    <w:rsid w:val="005F1ACE"/>
    <w:rsid w:val="005F1C79"/>
    <w:rsid w:val="005F1D44"/>
    <w:rsid w:val="005F2BB9"/>
    <w:rsid w:val="005F3119"/>
    <w:rsid w:val="005F3487"/>
    <w:rsid w:val="005F3585"/>
    <w:rsid w:val="005F3777"/>
    <w:rsid w:val="005F45E8"/>
    <w:rsid w:val="005F4C25"/>
    <w:rsid w:val="005F514B"/>
    <w:rsid w:val="005F55DA"/>
    <w:rsid w:val="005F6AE2"/>
    <w:rsid w:val="00600621"/>
    <w:rsid w:val="006010F4"/>
    <w:rsid w:val="006013E6"/>
    <w:rsid w:val="0060142A"/>
    <w:rsid w:val="006015E8"/>
    <w:rsid w:val="006028CB"/>
    <w:rsid w:val="00603824"/>
    <w:rsid w:val="00605857"/>
    <w:rsid w:val="00605D2F"/>
    <w:rsid w:val="00605F73"/>
    <w:rsid w:val="00606ADB"/>
    <w:rsid w:val="00606C84"/>
    <w:rsid w:val="00606D4B"/>
    <w:rsid w:val="006078B4"/>
    <w:rsid w:val="00607C59"/>
    <w:rsid w:val="00607D89"/>
    <w:rsid w:val="00607F19"/>
    <w:rsid w:val="00607FA2"/>
    <w:rsid w:val="00610124"/>
    <w:rsid w:val="0061073C"/>
    <w:rsid w:val="00610BF9"/>
    <w:rsid w:val="00610DB7"/>
    <w:rsid w:val="006113E1"/>
    <w:rsid w:val="00611EF4"/>
    <w:rsid w:val="00612401"/>
    <w:rsid w:val="00613473"/>
    <w:rsid w:val="00613717"/>
    <w:rsid w:val="00613828"/>
    <w:rsid w:val="0061452D"/>
    <w:rsid w:val="006148E3"/>
    <w:rsid w:val="00615614"/>
    <w:rsid w:val="006156ED"/>
    <w:rsid w:val="006158BB"/>
    <w:rsid w:val="00616171"/>
    <w:rsid w:val="00616561"/>
    <w:rsid w:val="0061785B"/>
    <w:rsid w:val="00617EB2"/>
    <w:rsid w:val="00617F51"/>
    <w:rsid w:val="00617FD9"/>
    <w:rsid w:val="00620D69"/>
    <w:rsid w:val="00620F13"/>
    <w:rsid w:val="006210D4"/>
    <w:rsid w:val="00621180"/>
    <w:rsid w:val="0062150D"/>
    <w:rsid w:val="006215AB"/>
    <w:rsid w:val="00621A24"/>
    <w:rsid w:val="00621F72"/>
    <w:rsid w:val="00622061"/>
    <w:rsid w:val="00622E60"/>
    <w:rsid w:val="00623030"/>
    <w:rsid w:val="00623335"/>
    <w:rsid w:val="006238C0"/>
    <w:rsid w:val="0062392B"/>
    <w:rsid w:val="006255B4"/>
    <w:rsid w:val="006256E7"/>
    <w:rsid w:val="00625945"/>
    <w:rsid w:val="0062623C"/>
    <w:rsid w:val="00626F7F"/>
    <w:rsid w:val="00630170"/>
    <w:rsid w:val="006305F8"/>
    <w:rsid w:val="00630717"/>
    <w:rsid w:val="00630E22"/>
    <w:rsid w:val="00631159"/>
    <w:rsid w:val="0063196F"/>
    <w:rsid w:val="006325CA"/>
    <w:rsid w:val="00633827"/>
    <w:rsid w:val="00635123"/>
    <w:rsid w:val="00635A36"/>
    <w:rsid w:val="00636013"/>
    <w:rsid w:val="00636FC8"/>
    <w:rsid w:val="006376D6"/>
    <w:rsid w:val="0063772E"/>
    <w:rsid w:val="00637754"/>
    <w:rsid w:val="00637C81"/>
    <w:rsid w:val="00637EC2"/>
    <w:rsid w:val="00640B90"/>
    <w:rsid w:val="00640CFF"/>
    <w:rsid w:val="00641C40"/>
    <w:rsid w:val="0064305E"/>
    <w:rsid w:val="00643419"/>
    <w:rsid w:val="006449A0"/>
    <w:rsid w:val="00645689"/>
    <w:rsid w:val="00645D68"/>
    <w:rsid w:val="00645FC4"/>
    <w:rsid w:val="0064713A"/>
    <w:rsid w:val="00647ABF"/>
    <w:rsid w:val="00647C6B"/>
    <w:rsid w:val="00651369"/>
    <w:rsid w:val="00651508"/>
    <w:rsid w:val="00651673"/>
    <w:rsid w:val="00651A66"/>
    <w:rsid w:val="00652537"/>
    <w:rsid w:val="006528B8"/>
    <w:rsid w:val="00652A2F"/>
    <w:rsid w:val="00653198"/>
    <w:rsid w:val="00653414"/>
    <w:rsid w:val="006542A3"/>
    <w:rsid w:val="006545BC"/>
    <w:rsid w:val="006547F1"/>
    <w:rsid w:val="00655727"/>
    <w:rsid w:val="006566C8"/>
    <w:rsid w:val="00656F6C"/>
    <w:rsid w:val="00657285"/>
    <w:rsid w:val="006600AD"/>
    <w:rsid w:val="006605AF"/>
    <w:rsid w:val="006608D2"/>
    <w:rsid w:val="00661A5B"/>
    <w:rsid w:val="00662048"/>
    <w:rsid w:val="0066267C"/>
    <w:rsid w:val="00662767"/>
    <w:rsid w:val="006628AF"/>
    <w:rsid w:val="006628EB"/>
    <w:rsid w:val="00662CEB"/>
    <w:rsid w:val="0066300D"/>
    <w:rsid w:val="0066303D"/>
    <w:rsid w:val="00663DAD"/>
    <w:rsid w:val="006641A4"/>
    <w:rsid w:val="006641F2"/>
    <w:rsid w:val="00664B26"/>
    <w:rsid w:val="006657B4"/>
    <w:rsid w:val="006657DF"/>
    <w:rsid w:val="00666830"/>
    <w:rsid w:val="006669EF"/>
    <w:rsid w:val="00666BDB"/>
    <w:rsid w:val="00666CFA"/>
    <w:rsid w:val="00667D9F"/>
    <w:rsid w:val="00670CAA"/>
    <w:rsid w:val="00672108"/>
    <w:rsid w:val="00672E99"/>
    <w:rsid w:val="00673113"/>
    <w:rsid w:val="00673847"/>
    <w:rsid w:val="00673DB9"/>
    <w:rsid w:val="00676A92"/>
    <w:rsid w:val="0067744C"/>
    <w:rsid w:val="0067751B"/>
    <w:rsid w:val="0067780F"/>
    <w:rsid w:val="00677A1B"/>
    <w:rsid w:val="00677E29"/>
    <w:rsid w:val="0068023F"/>
    <w:rsid w:val="006805D9"/>
    <w:rsid w:val="00680FBC"/>
    <w:rsid w:val="00681246"/>
    <w:rsid w:val="006816E0"/>
    <w:rsid w:val="00681B58"/>
    <w:rsid w:val="00681CA8"/>
    <w:rsid w:val="0068311A"/>
    <w:rsid w:val="006832EC"/>
    <w:rsid w:val="0068386D"/>
    <w:rsid w:val="00683F7A"/>
    <w:rsid w:val="006843E8"/>
    <w:rsid w:val="0068453C"/>
    <w:rsid w:val="00684C18"/>
    <w:rsid w:val="006857F3"/>
    <w:rsid w:val="006865DF"/>
    <w:rsid w:val="006879E7"/>
    <w:rsid w:val="00687A67"/>
    <w:rsid w:val="00687E3A"/>
    <w:rsid w:val="00690801"/>
    <w:rsid w:val="00690C3B"/>
    <w:rsid w:val="00690C4E"/>
    <w:rsid w:val="00690DE3"/>
    <w:rsid w:val="00690E84"/>
    <w:rsid w:val="00690EE4"/>
    <w:rsid w:val="0069108A"/>
    <w:rsid w:val="00691187"/>
    <w:rsid w:val="00692124"/>
    <w:rsid w:val="006922B7"/>
    <w:rsid w:val="006924A0"/>
    <w:rsid w:val="00692B2A"/>
    <w:rsid w:val="00692D42"/>
    <w:rsid w:val="00692FED"/>
    <w:rsid w:val="00693303"/>
    <w:rsid w:val="00693337"/>
    <w:rsid w:val="0069339F"/>
    <w:rsid w:val="006934F0"/>
    <w:rsid w:val="006935C5"/>
    <w:rsid w:val="00693B52"/>
    <w:rsid w:val="00694030"/>
    <w:rsid w:val="00694085"/>
    <w:rsid w:val="00694264"/>
    <w:rsid w:val="00694996"/>
    <w:rsid w:val="0069522D"/>
    <w:rsid w:val="0069573D"/>
    <w:rsid w:val="006965E9"/>
    <w:rsid w:val="006967CA"/>
    <w:rsid w:val="00697331"/>
    <w:rsid w:val="00697D1F"/>
    <w:rsid w:val="006A05AD"/>
    <w:rsid w:val="006A0834"/>
    <w:rsid w:val="006A0C4F"/>
    <w:rsid w:val="006A1C92"/>
    <w:rsid w:val="006A1F5C"/>
    <w:rsid w:val="006A24A5"/>
    <w:rsid w:val="006A2BE2"/>
    <w:rsid w:val="006A2DD7"/>
    <w:rsid w:val="006A32D1"/>
    <w:rsid w:val="006A32FB"/>
    <w:rsid w:val="006A3468"/>
    <w:rsid w:val="006A3691"/>
    <w:rsid w:val="006A3C43"/>
    <w:rsid w:val="006A3DD0"/>
    <w:rsid w:val="006A3E33"/>
    <w:rsid w:val="006A3E99"/>
    <w:rsid w:val="006A570B"/>
    <w:rsid w:val="006A58CA"/>
    <w:rsid w:val="006A6141"/>
    <w:rsid w:val="006A62E7"/>
    <w:rsid w:val="006A64FA"/>
    <w:rsid w:val="006A7037"/>
    <w:rsid w:val="006A71C1"/>
    <w:rsid w:val="006A735C"/>
    <w:rsid w:val="006A744C"/>
    <w:rsid w:val="006A7B24"/>
    <w:rsid w:val="006B0109"/>
    <w:rsid w:val="006B0A83"/>
    <w:rsid w:val="006B1016"/>
    <w:rsid w:val="006B10A2"/>
    <w:rsid w:val="006B12D8"/>
    <w:rsid w:val="006B2780"/>
    <w:rsid w:val="006B2BC6"/>
    <w:rsid w:val="006B339E"/>
    <w:rsid w:val="006B4233"/>
    <w:rsid w:val="006B4AC3"/>
    <w:rsid w:val="006B4BD1"/>
    <w:rsid w:val="006B4F7E"/>
    <w:rsid w:val="006B50E8"/>
    <w:rsid w:val="006B52CC"/>
    <w:rsid w:val="006B626C"/>
    <w:rsid w:val="006B62D6"/>
    <w:rsid w:val="006B7007"/>
    <w:rsid w:val="006B706B"/>
    <w:rsid w:val="006B75BB"/>
    <w:rsid w:val="006C01C1"/>
    <w:rsid w:val="006C097A"/>
    <w:rsid w:val="006C1F54"/>
    <w:rsid w:val="006C2872"/>
    <w:rsid w:val="006C29D3"/>
    <w:rsid w:val="006C29DC"/>
    <w:rsid w:val="006C2BBD"/>
    <w:rsid w:val="006C356E"/>
    <w:rsid w:val="006C378F"/>
    <w:rsid w:val="006C3ADE"/>
    <w:rsid w:val="006C44B7"/>
    <w:rsid w:val="006C4BE3"/>
    <w:rsid w:val="006C4EC9"/>
    <w:rsid w:val="006C5142"/>
    <w:rsid w:val="006C53CF"/>
    <w:rsid w:val="006C5790"/>
    <w:rsid w:val="006C5C35"/>
    <w:rsid w:val="006C6383"/>
    <w:rsid w:val="006C656F"/>
    <w:rsid w:val="006C6D01"/>
    <w:rsid w:val="006C710A"/>
    <w:rsid w:val="006D03C6"/>
    <w:rsid w:val="006D0CE6"/>
    <w:rsid w:val="006D2429"/>
    <w:rsid w:val="006D296C"/>
    <w:rsid w:val="006D31C3"/>
    <w:rsid w:val="006D3682"/>
    <w:rsid w:val="006D3ADE"/>
    <w:rsid w:val="006D4562"/>
    <w:rsid w:val="006D4C14"/>
    <w:rsid w:val="006D4DE7"/>
    <w:rsid w:val="006D4FA4"/>
    <w:rsid w:val="006D599C"/>
    <w:rsid w:val="006D5F5C"/>
    <w:rsid w:val="006D6829"/>
    <w:rsid w:val="006D6ABF"/>
    <w:rsid w:val="006D739A"/>
    <w:rsid w:val="006D7A56"/>
    <w:rsid w:val="006E02CF"/>
    <w:rsid w:val="006E0623"/>
    <w:rsid w:val="006E1183"/>
    <w:rsid w:val="006E122D"/>
    <w:rsid w:val="006E18F7"/>
    <w:rsid w:val="006E1AB4"/>
    <w:rsid w:val="006E1C2A"/>
    <w:rsid w:val="006E1F8F"/>
    <w:rsid w:val="006E26D0"/>
    <w:rsid w:val="006E28E3"/>
    <w:rsid w:val="006E33B3"/>
    <w:rsid w:val="006E4261"/>
    <w:rsid w:val="006E4467"/>
    <w:rsid w:val="006E4971"/>
    <w:rsid w:val="006E4BA1"/>
    <w:rsid w:val="006E550E"/>
    <w:rsid w:val="006E5D34"/>
    <w:rsid w:val="006E5DCC"/>
    <w:rsid w:val="006E6181"/>
    <w:rsid w:val="006E70C4"/>
    <w:rsid w:val="006E74F6"/>
    <w:rsid w:val="006E7D7D"/>
    <w:rsid w:val="006F09D2"/>
    <w:rsid w:val="006F0D0A"/>
    <w:rsid w:val="006F1F10"/>
    <w:rsid w:val="006F2FBF"/>
    <w:rsid w:val="006F36E4"/>
    <w:rsid w:val="006F3D0B"/>
    <w:rsid w:val="006F4227"/>
    <w:rsid w:val="006F46F1"/>
    <w:rsid w:val="006F49F2"/>
    <w:rsid w:val="006F5319"/>
    <w:rsid w:val="006F62C4"/>
    <w:rsid w:val="006F7955"/>
    <w:rsid w:val="006F7D22"/>
    <w:rsid w:val="006F7F7C"/>
    <w:rsid w:val="007007F0"/>
    <w:rsid w:val="00703401"/>
    <w:rsid w:val="007035DD"/>
    <w:rsid w:val="00703F61"/>
    <w:rsid w:val="0070445A"/>
    <w:rsid w:val="007045FC"/>
    <w:rsid w:val="007047F5"/>
    <w:rsid w:val="00705451"/>
    <w:rsid w:val="007059C4"/>
    <w:rsid w:val="00705B1E"/>
    <w:rsid w:val="00705E05"/>
    <w:rsid w:val="007060D9"/>
    <w:rsid w:val="007061DF"/>
    <w:rsid w:val="0070624D"/>
    <w:rsid w:val="007067D2"/>
    <w:rsid w:val="0070738F"/>
    <w:rsid w:val="007074F6"/>
    <w:rsid w:val="0070791D"/>
    <w:rsid w:val="00707A94"/>
    <w:rsid w:val="00707C1E"/>
    <w:rsid w:val="00710D8A"/>
    <w:rsid w:val="00710ECE"/>
    <w:rsid w:val="00710F79"/>
    <w:rsid w:val="00710FAB"/>
    <w:rsid w:val="00711173"/>
    <w:rsid w:val="007118CF"/>
    <w:rsid w:val="00712826"/>
    <w:rsid w:val="00714357"/>
    <w:rsid w:val="007144B9"/>
    <w:rsid w:val="0071456F"/>
    <w:rsid w:val="00714A4B"/>
    <w:rsid w:val="00715AF3"/>
    <w:rsid w:val="0071664B"/>
    <w:rsid w:val="007168ED"/>
    <w:rsid w:val="00716A08"/>
    <w:rsid w:val="00716C8C"/>
    <w:rsid w:val="0071785D"/>
    <w:rsid w:val="00717C43"/>
    <w:rsid w:val="00720537"/>
    <w:rsid w:val="00720B11"/>
    <w:rsid w:val="00721F83"/>
    <w:rsid w:val="007220B2"/>
    <w:rsid w:val="00722478"/>
    <w:rsid w:val="00722D24"/>
    <w:rsid w:val="0072320E"/>
    <w:rsid w:val="00723799"/>
    <w:rsid w:val="00724149"/>
    <w:rsid w:val="007241CD"/>
    <w:rsid w:val="00725069"/>
    <w:rsid w:val="007250D9"/>
    <w:rsid w:val="00725F95"/>
    <w:rsid w:val="007260C2"/>
    <w:rsid w:val="00726583"/>
    <w:rsid w:val="00726DB1"/>
    <w:rsid w:val="00727C98"/>
    <w:rsid w:val="007301C7"/>
    <w:rsid w:val="00730FFA"/>
    <w:rsid w:val="00732696"/>
    <w:rsid w:val="00732A94"/>
    <w:rsid w:val="00732FCE"/>
    <w:rsid w:val="0073314A"/>
    <w:rsid w:val="007337C2"/>
    <w:rsid w:val="007338CE"/>
    <w:rsid w:val="00734501"/>
    <w:rsid w:val="0073474E"/>
    <w:rsid w:val="00734953"/>
    <w:rsid w:val="00735346"/>
    <w:rsid w:val="007357D9"/>
    <w:rsid w:val="00735A3C"/>
    <w:rsid w:val="007366A1"/>
    <w:rsid w:val="0073678C"/>
    <w:rsid w:val="00736BD5"/>
    <w:rsid w:val="00736C1B"/>
    <w:rsid w:val="00740302"/>
    <w:rsid w:val="00740C41"/>
    <w:rsid w:val="00740EF2"/>
    <w:rsid w:val="00741BDE"/>
    <w:rsid w:val="00742479"/>
    <w:rsid w:val="007433FF"/>
    <w:rsid w:val="00743673"/>
    <w:rsid w:val="007436B6"/>
    <w:rsid w:val="007436CE"/>
    <w:rsid w:val="00743742"/>
    <w:rsid w:val="0074397A"/>
    <w:rsid w:val="00743D43"/>
    <w:rsid w:val="00743F05"/>
    <w:rsid w:val="007444B6"/>
    <w:rsid w:val="00744658"/>
    <w:rsid w:val="00744C36"/>
    <w:rsid w:val="00745839"/>
    <w:rsid w:val="00745F32"/>
    <w:rsid w:val="00746CB8"/>
    <w:rsid w:val="007470DE"/>
    <w:rsid w:val="00747682"/>
    <w:rsid w:val="00747D68"/>
    <w:rsid w:val="00750424"/>
    <w:rsid w:val="00750542"/>
    <w:rsid w:val="00750BF7"/>
    <w:rsid w:val="00750DA4"/>
    <w:rsid w:val="00751000"/>
    <w:rsid w:val="007513BF"/>
    <w:rsid w:val="007515E0"/>
    <w:rsid w:val="00751948"/>
    <w:rsid w:val="0075229F"/>
    <w:rsid w:val="00752589"/>
    <w:rsid w:val="007527B7"/>
    <w:rsid w:val="00752B12"/>
    <w:rsid w:val="0075336D"/>
    <w:rsid w:val="00753AB2"/>
    <w:rsid w:val="00754C98"/>
    <w:rsid w:val="00755E5D"/>
    <w:rsid w:val="0075603B"/>
    <w:rsid w:val="0075654B"/>
    <w:rsid w:val="0076073F"/>
    <w:rsid w:val="00760937"/>
    <w:rsid w:val="0076096B"/>
    <w:rsid w:val="00760A3D"/>
    <w:rsid w:val="007617B4"/>
    <w:rsid w:val="007628DC"/>
    <w:rsid w:val="007630C1"/>
    <w:rsid w:val="0076377D"/>
    <w:rsid w:val="00763DE7"/>
    <w:rsid w:val="007640D9"/>
    <w:rsid w:val="007643B4"/>
    <w:rsid w:val="00765295"/>
    <w:rsid w:val="00765FA9"/>
    <w:rsid w:val="007667DB"/>
    <w:rsid w:val="0076734B"/>
    <w:rsid w:val="0076761C"/>
    <w:rsid w:val="00770616"/>
    <w:rsid w:val="00770C08"/>
    <w:rsid w:val="007710B6"/>
    <w:rsid w:val="007717D0"/>
    <w:rsid w:val="007717E7"/>
    <w:rsid w:val="0077218A"/>
    <w:rsid w:val="00772551"/>
    <w:rsid w:val="007728F2"/>
    <w:rsid w:val="0077335C"/>
    <w:rsid w:val="007733D5"/>
    <w:rsid w:val="00773A72"/>
    <w:rsid w:val="00774984"/>
    <w:rsid w:val="00774A2D"/>
    <w:rsid w:val="00774DB9"/>
    <w:rsid w:val="00775806"/>
    <w:rsid w:val="00775D61"/>
    <w:rsid w:val="00776478"/>
    <w:rsid w:val="00776E96"/>
    <w:rsid w:val="00776F27"/>
    <w:rsid w:val="00777B27"/>
    <w:rsid w:val="00777B94"/>
    <w:rsid w:val="007822DB"/>
    <w:rsid w:val="0078236D"/>
    <w:rsid w:val="007827B0"/>
    <w:rsid w:val="00783FB0"/>
    <w:rsid w:val="007854D7"/>
    <w:rsid w:val="00785524"/>
    <w:rsid w:val="00785765"/>
    <w:rsid w:val="007862D6"/>
    <w:rsid w:val="0078630C"/>
    <w:rsid w:val="00786312"/>
    <w:rsid w:val="007870C4"/>
    <w:rsid w:val="007876BA"/>
    <w:rsid w:val="00787C9D"/>
    <w:rsid w:val="00787DD3"/>
    <w:rsid w:val="007901A4"/>
    <w:rsid w:val="007904E7"/>
    <w:rsid w:val="007905D2"/>
    <w:rsid w:val="0079098A"/>
    <w:rsid w:val="0079376C"/>
    <w:rsid w:val="00793A8B"/>
    <w:rsid w:val="007940DA"/>
    <w:rsid w:val="00794F3B"/>
    <w:rsid w:val="0079516C"/>
    <w:rsid w:val="007951D3"/>
    <w:rsid w:val="00795D04"/>
    <w:rsid w:val="00796A5C"/>
    <w:rsid w:val="00796CD2"/>
    <w:rsid w:val="00797DFF"/>
    <w:rsid w:val="00797F7E"/>
    <w:rsid w:val="007A11C8"/>
    <w:rsid w:val="007A19CD"/>
    <w:rsid w:val="007A23CC"/>
    <w:rsid w:val="007A2E5C"/>
    <w:rsid w:val="007A4DA7"/>
    <w:rsid w:val="007A533B"/>
    <w:rsid w:val="007A55B5"/>
    <w:rsid w:val="007A59E2"/>
    <w:rsid w:val="007A5A58"/>
    <w:rsid w:val="007A5BD8"/>
    <w:rsid w:val="007A62C4"/>
    <w:rsid w:val="007A6787"/>
    <w:rsid w:val="007A6A25"/>
    <w:rsid w:val="007A77C9"/>
    <w:rsid w:val="007A78E5"/>
    <w:rsid w:val="007A79A6"/>
    <w:rsid w:val="007A7FD3"/>
    <w:rsid w:val="007B05F1"/>
    <w:rsid w:val="007B0C53"/>
    <w:rsid w:val="007B1F33"/>
    <w:rsid w:val="007B2983"/>
    <w:rsid w:val="007B2E3F"/>
    <w:rsid w:val="007B318F"/>
    <w:rsid w:val="007B357E"/>
    <w:rsid w:val="007B38A7"/>
    <w:rsid w:val="007B3A64"/>
    <w:rsid w:val="007B3B00"/>
    <w:rsid w:val="007B3BA0"/>
    <w:rsid w:val="007B3BAD"/>
    <w:rsid w:val="007B3FAB"/>
    <w:rsid w:val="007B4392"/>
    <w:rsid w:val="007B4409"/>
    <w:rsid w:val="007B450A"/>
    <w:rsid w:val="007B4B60"/>
    <w:rsid w:val="007B58E0"/>
    <w:rsid w:val="007B74B0"/>
    <w:rsid w:val="007B7C85"/>
    <w:rsid w:val="007C09CD"/>
    <w:rsid w:val="007C338C"/>
    <w:rsid w:val="007C37EA"/>
    <w:rsid w:val="007C49ED"/>
    <w:rsid w:val="007C4BBF"/>
    <w:rsid w:val="007C4D9A"/>
    <w:rsid w:val="007C6789"/>
    <w:rsid w:val="007C6C22"/>
    <w:rsid w:val="007C70B5"/>
    <w:rsid w:val="007C70E1"/>
    <w:rsid w:val="007C7992"/>
    <w:rsid w:val="007C7BF2"/>
    <w:rsid w:val="007C7DEE"/>
    <w:rsid w:val="007D0A9F"/>
    <w:rsid w:val="007D16B9"/>
    <w:rsid w:val="007D3C11"/>
    <w:rsid w:val="007D4ACD"/>
    <w:rsid w:val="007D4D2A"/>
    <w:rsid w:val="007D61EA"/>
    <w:rsid w:val="007D65E4"/>
    <w:rsid w:val="007D7855"/>
    <w:rsid w:val="007D7949"/>
    <w:rsid w:val="007D7987"/>
    <w:rsid w:val="007D7B04"/>
    <w:rsid w:val="007D7D02"/>
    <w:rsid w:val="007E0B9B"/>
    <w:rsid w:val="007E0CA6"/>
    <w:rsid w:val="007E0CAB"/>
    <w:rsid w:val="007E0DA8"/>
    <w:rsid w:val="007E0E73"/>
    <w:rsid w:val="007E2A0B"/>
    <w:rsid w:val="007E2B1A"/>
    <w:rsid w:val="007E3277"/>
    <w:rsid w:val="007E35B2"/>
    <w:rsid w:val="007E36AC"/>
    <w:rsid w:val="007E412A"/>
    <w:rsid w:val="007E502F"/>
    <w:rsid w:val="007E53D3"/>
    <w:rsid w:val="007E5954"/>
    <w:rsid w:val="007E5D88"/>
    <w:rsid w:val="007E5F41"/>
    <w:rsid w:val="007E5F87"/>
    <w:rsid w:val="007E733A"/>
    <w:rsid w:val="007E7B92"/>
    <w:rsid w:val="007F0036"/>
    <w:rsid w:val="007F1341"/>
    <w:rsid w:val="007F1A03"/>
    <w:rsid w:val="007F2DD4"/>
    <w:rsid w:val="007F35A6"/>
    <w:rsid w:val="007F3889"/>
    <w:rsid w:val="007F3DFA"/>
    <w:rsid w:val="007F3F5A"/>
    <w:rsid w:val="007F4495"/>
    <w:rsid w:val="007F4A58"/>
    <w:rsid w:val="007F4B4C"/>
    <w:rsid w:val="007F4DCD"/>
    <w:rsid w:val="007F516D"/>
    <w:rsid w:val="007F53CA"/>
    <w:rsid w:val="007F553D"/>
    <w:rsid w:val="007F59C2"/>
    <w:rsid w:val="007F68DB"/>
    <w:rsid w:val="007F6AC4"/>
    <w:rsid w:val="007F6CB5"/>
    <w:rsid w:val="008003D4"/>
    <w:rsid w:val="008019F4"/>
    <w:rsid w:val="00801EED"/>
    <w:rsid w:val="00801F1D"/>
    <w:rsid w:val="00802178"/>
    <w:rsid w:val="0080233A"/>
    <w:rsid w:val="00802517"/>
    <w:rsid w:val="0080274A"/>
    <w:rsid w:val="008035E5"/>
    <w:rsid w:val="0080362E"/>
    <w:rsid w:val="00803770"/>
    <w:rsid w:val="00805EF1"/>
    <w:rsid w:val="008063F3"/>
    <w:rsid w:val="00807497"/>
    <w:rsid w:val="0081004B"/>
    <w:rsid w:val="008101D3"/>
    <w:rsid w:val="008101EC"/>
    <w:rsid w:val="00810F3E"/>
    <w:rsid w:val="00811D29"/>
    <w:rsid w:val="00811F89"/>
    <w:rsid w:val="008125A0"/>
    <w:rsid w:val="00812865"/>
    <w:rsid w:val="00814946"/>
    <w:rsid w:val="00815345"/>
    <w:rsid w:val="0081647B"/>
    <w:rsid w:val="008169A2"/>
    <w:rsid w:val="00816BAD"/>
    <w:rsid w:val="0081777B"/>
    <w:rsid w:val="008179B5"/>
    <w:rsid w:val="008218FA"/>
    <w:rsid w:val="00821927"/>
    <w:rsid w:val="00821B46"/>
    <w:rsid w:val="00821BD4"/>
    <w:rsid w:val="00821C26"/>
    <w:rsid w:val="00822684"/>
    <w:rsid w:val="008227A7"/>
    <w:rsid w:val="008244D3"/>
    <w:rsid w:val="00824905"/>
    <w:rsid w:val="00824AD9"/>
    <w:rsid w:val="00825A62"/>
    <w:rsid w:val="0082624B"/>
    <w:rsid w:val="00826BE1"/>
    <w:rsid w:val="008271EE"/>
    <w:rsid w:val="00827D31"/>
    <w:rsid w:val="00827E85"/>
    <w:rsid w:val="00827EFA"/>
    <w:rsid w:val="00830145"/>
    <w:rsid w:val="0083138F"/>
    <w:rsid w:val="00832233"/>
    <w:rsid w:val="00832759"/>
    <w:rsid w:val="00832CB9"/>
    <w:rsid w:val="00832F1A"/>
    <w:rsid w:val="008333BA"/>
    <w:rsid w:val="00835AC6"/>
    <w:rsid w:val="00836A9E"/>
    <w:rsid w:val="00836C5C"/>
    <w:rsid w:val="00840123"/>
    <w:rsid w:val="00840CCA"/>
    <w:rsid w:val="00841142"/>
    <w:rsid w:val="00841B13"/>
    <w:rsid w:val="00842BC0"/>
    <w:rsid w:val="00843713"/>
    <w:rsid w:val="00843C62"/>
    <w:rsid w:val="00843C6B"/>
    <w:rsid w:val="0084458B"/>
    <w:rsid w:val="00844779"/>
    <w:rsid w:val="00845EE2"/>
    <w:rsid w:val="008461E4"/>
    <w:rsid w:val="0084675F"/>
    <w:rsid w:val="0084706C"/>
    <w:rsid w:val="00847218"/>
    <w:rsid w:val="008474E9"/>
    <w:rsid w:val="008479A2"/>
    <w:rsid w:val="008479DC"/>
    <w:rsid w:val="008503B4"/>
    <w:rsid w:val="00850604"/>
    <w:rsid w:val="00850EB9"/>
    <w:rsid w:val="00851085"/>
    <w:rsid w:val="00851447"/>
    <w:rsid w:val="00851D61"/>
    <w:rsid w:val="0085208A"/>
    <w:rsid w:val="00852337"/>
    <w:rsid w:val="00852D66"/>
    <w:rsid w:val="00852FEC"/>
    <w:rsid w:val="008532FA"/>
    <w:rsid w:val="00853BCA"/>
    <w:rsid w:val="00853DE5"/>
    <w:rsid w:val="00854399"/>
    <w:rsid w:val="00855B64"/>
    <w:rsid w:val="00856346"/>
    <w:rsid w:val="00856401"/>
    <w:rsid w:val="00857F2F"/>
    <w:rsid w:val="00860139"/>
    <w:rsid w:val="00860266"/>
    <w:rsid w:val="00860722"/>
    <w:rsid w:val="00860723"/>
    <w:rsid w:val="00861461"/>
    <w:rsid w:val="00861BEC"/>
    <w:rsid w:val="00862640"/>
    <w:rsid w:val="008632C2"/>
    <w:rsid w:val="00863344"/>
    <w:rsid w:val="00863491"/>
    <w:rsid w:val="00863593"/>
    <w:rsid w:val="008642CF"/>
    <w:rsid w:val="0086564C"/>
    <w:rsid w:val="00865E87"/>
    <w:rsid w:val="008673BD"/>
    <w:rsid w:val="00867759"/>
    <w:rsid w:val="00871F5B"/>
    <w:rsid w:val="008726AD"/>
    <w:rsid w:val="00872BC4"/>
    <w:rsid w:val="00872CA1"/>
    <w:rsid w:val="008734B9"/>
    <w:rsid w:val="0087364A"/>
    <w:rsid w:val="00873C71"/>
    <w:rsid w:val="00873D35"/>
    <w:rsid w:val="00873D95"/>
    <w:rsid w:val="00874706"/>
    <w:rsid w:val="00874B17"/>
    <w:rsid w:val="00875998"/>
    <w:rsid w:val="00875F2D"/>
    <w:rsid w:val="00875F9E"/>
    <w:rsid w:val="0087616E"/>
    <w:rsid w:val="00876FFB"/>
    <w:rsid w:val="00877091"/>
    <w:rsid w:val="008771BE"/>
    <w:rsid w:val="00877242"/>
    <w:rsid w:val="00877587"/>
    <w:rsid w:val="00881B8E"/>
    <w:rsid w:val="008825E9"/>
    <w:rsid w:val="008829DC"/>
    <w:rsid w:val="008838E0"/>
    <w:rsid w:val="00883BC7"/>
    <w:rsid w:val="008845B3"/>
    <w:rsid w:val="00884F61"/>
    <w:rsid w:val="00885779"/>
    <w:rsid w:val="00885B88"/>
    <w:rsid w:val="008866EE"/>
    <w:rsid w:val="0088716B"/>
    <w:rsid w:val="008871E6"/>
    <w:rsid w:val="00891746"/>
    <w:rsid w:val="00891786"/>
    <w:rsid w:val="00891CF6"/>
    <w:rsid w:val="008921E3"/>
    <w:rsid w:val="008922D9"/>
    <w:rsid w:val="00893DD6"/>
    <w:rsid w:val="00893DEA"/>
    <w:rsid w:val="00894915"/>
    <w:rsid w:val="008959D7"/>
    <w:rsid w:val="0089611A"/>
    <w:rsid w:val="00896396"/>
    <w:rsid w:val="0089709F"/>
    <w:rsid w:val="008A0771"/>
    <w:rsid w:val="008A0E14"/>
    <w:rsid w:val="008A19FB"/>
    <w:rsid w:val="008A1CBD"/>
    <w:rsid w:val="008A1D38"/>
    <w:rsid w:val="008A1F7F"/>
    <w:rsid w:val="008A2393"/>
    <w:rsid w:val="008A29E7"/>
    <w:rsid w:val="008A2A70"/>
    <w:rsid w:val="008A2FD0"/>
    <w:rsid w:val="008A33E3"/>
    <w:rsid w:val="008A3425"/>
    <w:rsid w:val="008A383E"/>
    <w:rsid w:val="008A3908"/>
    <w:rsid w:val="008A397B"/>
    <w:rsid w:val="008A3E32"/>
    <w:rsid w:val="008A3E52"/>
    <w:rsid w:val="008A41F0"/>
    <w:rsid w:val="008A4A62"/>
    <w:rsid w:val="008A52AB"/>
    <w:rsid w:val="008A59BF"/>
    <w:rsid w:val="008A5AA9"/>
    <w:rsid w:val="008A61BF"/>
    <w:rsid w:val="008A6668"/>
    <w:rsid w:val="008A78FF"/>
    <w:rsid w:val="008A7C3C"/>
    <w:rsid w:val="008A7D8D"/>
    <w:rsid w:val="008A7EB7"/>
    <w:rsid w:val="008A7FBC"/>
    <w:rsid w:val="008B005F"/>
    <w:rsid w:val="008B02E6"/>
    <w:rsid w:val="008B09C8"/>
    <w:rsid w:val="008B0B3C"/>
    <w:rsid w:val="008B0F64"/>
    <w:rsid w:val="008B135B"/>
    <w:rsid w:val="008B16FD"/>
    <w:rsid w:val="008B174E"/>
    <w:rsid w:val="008B3434"/>
    <w:rsid w:val="008B3F7E"/>
    <w:rsid w:val="008B447F"/>
    <w:rsid w:val="008B4D10"/>
    <w:rsid w:val="008B4EED"/>
    <w:rsid w:val="008B53DC"/>
    <w:rsid w:val="008B61BA"/>
    <w:rsid w:val="008B6679"/>
    <w:rsid w:val="008B6B8F"/>
    <w:rsid w:val="008B737A"/>
    <w:rsid w:val="008B7B4C"/>
    <w:rsid w:val="008B7BB3"/>
    <w:rsid w:val="008C0F29"/>
    <w:rsid w:val="008C1315"/>
    <w:rsid w:val="008C14D5"/>
    <w:rsid w:val="008C1955"/>
    <w:rsid w:val="008C1CB6"/>
    <w:rsid w:val="008C2071"/>
    <w:rsid w:val="008C30D5"/>
    <w:rsid w:val="008C354B"/>
    <w:rsid w:val="008C36DE"/>
    <w:rsid w:val="008C4DC8"/>
    <w:rsid w:val="008C53D4"/>
    <w:rsid w:val="008C5D41"/>
    <w:rsid w:val="008C5D48"/>
    <w:rsid w:val="008C5DEC"/>
    <w:rsid w:val="008C695E"/>
    <w:rsid w:val="008C71E2"/>
    <w:rsid w:val="008C759B"/>
    <w:rsid w:val="008C78F1"/>
    <w:rsid w:val="008D0088"/>
    <w:rsid w:val="008D143C"/>
    <w:rsid w:val="008D2088"/>
    <w:rsid w:val="008D2269"/>
    <w:rsid w:val="008D408E"/>
    <w:rsid w:val="008D4937"/>
    <w:rsid w:val="008D4DBF"/>
    <w:rsid w:val="008D52CF"/>
    <w:rsid w:val="008D53E1"/>
    <w:rsid w:val="008D5E88"/>
    <w:rsid w:val="008D62FD"/>
    <w:rsid w:val="008D73BF"/>
    <w:rsid w:val="008D7BA8"/>
    <w:rsid w:val="008D7E0D"/>
    <w:rsid w:val="008E1DBA"/>
    <w:rsid w:val="008E221B"/>
    <w:rsid w:val="008E2FE4"/>
    <w:rsid w:val="008E31DD"/>
    <w:rsid w:val="008E3975"/>
    <w:rsid w:val="008E4408"/>
    <w:rsid w:val="008E4B15"/>
    <w:rsid w:val="008E510F"/>
    <w:rsid w:val="008E56E4"/>
    <w:rsid w:val="008E5A01"/>
    <w:rsid w:val="008E5C31"/>
    <w:rsid w:val="008E66DC"/>
    <w:rsid w:val="008E73DF"/>
    <w:rsid w:val="008E7730"/>
    <w:rsid w:val="008F02D2"/>
    <w:rsid w:val="008F166B"/>
    <w:rsid w:val="008F1782"/>
    <w:rsid w:val="008F19DD"/>
    <w:rsid w:val="008F1ADE"/>
    <w:rsid w:val="008F1CDB"/>
    <w:rsid w:val="008F210E"/>
    <w:rsid w:val="008F2DE0"/>
    <w:rsid w:val="008F415C"/>
    <w:rsid w:val="008F4E90"/>
    <w:rsid w:val="008F4EE9"/>
    <w:rsid w:val="008F53EF"/>
    <w:rsid w:val="008F5698"/>
    <w:rsid w:val="008F6EBA"/>
    <w:rsid w:val="008F7AAB"/>
    <w:rsid w:val="00900E91"/>
    <w:rsid w:val="00901059"/>
    <w:rsid w:val="009010EF"/>
    <w:rsid w:val="00901D1D"/>
    <w:rsid w:val="0090288A"/>
    <w:rsid w:val="009036A3"/>
    <w:rsid w:val="00903AEE"/>
    <w:rsid w:val="0090412A"/>
    <w:rsid w:val="00904396"/>
    <w:rsid w:val="009077E4"/>
    <w:rsid w:val="00910158"/>
    <w:rsid w:val="009101E9"/>
    <w:rsid w:val="009104B2"/>
    <w:rsid w:val="00910DF3"/>
    <w:rsid w:val="00911004"/>
    <w:rsid w:val="009115D5"/>
    <w:rsid w:val="009120DD"/>
    <w:rsid w:val="009130E8"/>
    <w:rsid w:val="00913255"/>
    <w:rsid w:val="00913834"/>
    <w:rsid w:val="00914127"/>
    <w:rsid w:val="00914C73"/>
    <w:rsid w:val="009156B7"/>
    <w:rsid w:val="00915B38"/>
    <w:rsid w:val="00915CD8"/>
    <w:rsid w:val="00916ACE"/>
    <w:rsid w:val="0091746C"/>
    <w:rsid w:val="0091751C"/>
    <w:rsid w:val="00917701"/>
    <w:rsid w:val="00921255"/>
    <w:rsid w:val="009214A9"/>
    <w:rsid w:val="00921A62"/>
    <w:rsid w:val="00921B4D"/>
    <w:rsid w:val="00922434"/>
    <w:rsid w:val="009227CE"/>
    <w:rsid w:val="009227E1"/>
    <w:rsid w:val="00922C78"/>
    <w:rsid w:val="009234F5"/>
    <w:rsid w:val="00923671"/>
    <w:rsid w:val="009238AC"/>
    <w:rsid w:val="0092416D"/>
    <w:rsid w:val="00924807"/>
    <w:rsid w:val="009252DB"/>
    <w:rsid w:val="00925791"/>
    <w:rsid w:val="009258ED"/>
    <w:rsid w:val="0092613D"/>
    <w:rsid w:val="00926B0B"/>
    <w:rsid w:val="00926B76"/>
    <w:rsid w:val="00927B36"/>
    <w:rsid w:val="00927E0D"/>
    <w:rsid w:val="00930286"/>
    <w:rsid w:val="009303CC"/>
    <w:rsid w:val="00930597"/>
    <w:rsid w:val="009306E2"/>
    <w:rsid w:val="00930D58"/>
    <w:rsid w:val="00930F1A"/>
    <w:rsid w:val="00931013"/>
    <w:rsid w:val="00931214"/>
    <w:rsid w:val="009318E1"/>
    <w:rsid w:val="00932367"/>
    <w:rsid w:val="00933116"/>
    <w:rsid w:val="009332B9"/>
    <w:rsid w:val="00933519"/>
    <w:rsid w:val="00933CBE"/>
    <w:rsid w:val="00933E7F"/>
    <w:rsid w:val="00933FEB"/>
    <w:rsid w:val="009342C2"/>
    <w:rsid w:val="00934587"/>
    <w:rsid w:val="00934CD5"/>
    <w:rsid w:val="00935362"/>
    <w:rsid w:val="00935495"/>
    <w:rsid w:val="009356E8"/>
    <w:rsid w:val="00936461"/>
    <w:rsid w:val="0093659E"/>
    <w:rsid w:val="00937234"/>
    <w:rsid w:val="0093787F"/>
    <w:rsid w:val="00940241"/>
    <w:rsid w:val="009403C9"/>
    <w:rsid w:val="00940A78"/>
    <w:rsid w:val="00940C84"/>
    <w:rsid w:val="00940D74"/>
    <w:rsid w:val="00941031"/>
    <w:rsid w:val="00941BD6"/>
    <w:rsid w:val="00941FD4"/>
    <w:rsid w:val="0094301B"/>
    <w:rsid w:val="009441B7"/>
    <w:rsid w:val="009447A9"/>
    <w:rsid w:val="00944B3E"/>
    <w:rsid w:val="00944C3C"/>
    <w:rsid w:val="00945779"/>
    <w:rsid w:val="00945ECF"/>
    <w:rsid w:val="00945FB4"/>
    <w:rsid w:val="009462FD"/>
    <w:rsid w:val="009470FC"/>
    <w:rsid w:val="00947889"/>
    <w:rsid w:val="00947C81"/>
    <w:rsid w:val="00950052"/>
    <w:rsid w:val="0095048E"/>
    <w:rsid w:val="00950D38"/>
    <w:rsid w:val="009514EF"/>
    <w:rsid w:val="009516F2"/>
    <w:rsid w:val="009518EB"/>
    <w:rsid w:val="009527CC"/>
    <w:rsid w:val="00953033"/>
    <w:rsid w:val="009538EA"/>
    <w:rsid w:val="00953C0E"/>
    <w:rsid w:val="00953EA3"/>
    <w:rsid w:val="009545BC"/>
    <w:rsid w:val="00954823"/>
    <w:rsid w:val="009549D4"/>
    <w:rsid w:val="00954DFC"/>
    <w:rsid w:val="00955561"/>
    <w:rsid w:val="009557C5"/>
    <w:rsid w:val="00955C2B"/>
    <w:rsid w:val="009568DD"/>
    <w:rsid w:val="00956BA1"/>
    <w:rsid w:val="00956BC9"/>
    <w:rsid w:val="00956CC9"/>
    <w:rsid w:val="00956E2E"/>
    <w:rsid w:val="009573F5"/>
    <w:rsid w:val="00957E9D"/>
    <w:rsid w:val="0096036C"/>
    <w:rsid w:val="00961D12"/>
    <w:rsid w:val="00962008"/>
    <w:rsid w:val="00962096"/>
    <w:rsid w:val="009626CB"/>
    <w:rsid w:val="009627F7"/>
    <w:rsid w:val="00962D37"/>
    <w:rsid w:val="00963BB7"/>
    <w:rsid w:val="00963D6A"/>
    <w:rsid w:val="00963FDF"/>
    <w:rsid w:val="00964346"/>
    <w:rsid w:val="00964C69"/>
    <w:rsid w:val="00964DF4"/>
    <w:rsid w:val="00964E31"/>
    <w:rsid w:val="00964E52"/>
    <w:rsid w:val="0096556F"/>
    <w:rsid w:val="00965758"/>
    <w:rsid w:val="0096613E"/>
    <w:rsid w:val="0096675B"/>
    <w:rsid w:val="009670D3"/>
    <w:rsid w:val="00970832"/>
    <w:rsid w:val="00970A20"/>
    <w:rsid w:val="00971197"/>
    <w:rsid w:val="009712B6"/>
    <w:rsid w:val="00971549"/>
    <w:rsid w:val="0097181D"/>
    <w:rsid w:val="009718F8"/>
    <w:rsid w:val="00971CED"/>
    <w:rsid w:val="009720B9"/>
    <w:rsid w:val="009721FA"/>
    <w:rsid w:val="00973D16"/>
    <w:rsid w:val="00974024"/>
    <w:rsid w:val="0097482B"/>
    <w:rsid w:val="00974B25"/>
    <w:rsid w:val="00974FCF"/>
    <w:rsid w:val="009755D0"/>
    <w:rsid w:val="00975676"/>
    <w:rsid w:val="0097774E"/>
    <w:rsid w:val="00977FF2"/>
    <w:rsid w:val="009801BB"/>
    <w:rsid w:val="009803C3"/>
    <w:rsid w:val="009803FC"/>
    <w:rsid w:val="00980554"/>
    <w:rsid w:val="00980CB6"/>
    <w:rsid w:val="00980D87"/>
    <w:rsid w:val="00981904"/>
    <w:rsid w:val="00981A83"/>
    <w:rsid w:val="00981F1B"/>
    <w:rsid w:val="00982752"/>
    <w:rsid w:val="00982843"/>
    <w:rsid w:val="009829C2"/>
    <w:rsid w:val="00983FD9"/>
    <w:rsid w:val="00984BD6"/>
    <w:rsid w:val="00984F8F"/>
    <w:rsid w:val="00984FF4"/>
    <w:rsid w:val="00985236"/>
    <w:rsid w:val="00985CDF"/>
    <w:rsid w:val="009862AC"/>
    <w:rsid w:val="0099081E"/>
    <w:rsid w:val="009916CF"/>
    <w:rsid w:val="00991BC7"/>
    <w:rsid w:val="009921AA"/>
    <w:rsid w:val="009925A5"/>
    <w:rsid w:val="00992E10"/>
    <w:rsid w:val="0099303B"/>
    <w:rsid w:val="00993D55"/>
    <w:rsid w:val="00994576"/>
    <w:rsid w:val="009945CE"/>
    <w:rsid w:val="00994718"/>
    <w:rsid w:val="00994918"/>
    <w:rsid w:val="009950D1"/>
    <w:rsid w:val="00995265"/>
    <w:rsid w:val="00995478"/>
    <w:rsid w:val="00996E0A"/>
    <w:rsid w:val="009974BC"/>
    <w:rsid w:val="009A0386"/>
    <w:rsid w:val="009A1427"/>
    <w:rsid w:val="009A2046"/>
    <w:rsid w:val="009A24C7"/>
    <w:rsid w:val="009A2BEE"/>
    <w:rsid w:val="009A329F"/>
    <w:rsid w:val="009A4E6F"/>
    <w:rsid w:val="009A4F50"/>
    <w:rsid w:val="009A5A96"/>
    <w:rsid w:val="009A5CEF"/>
    <w:rsid w:val="009A7264"/>
    <w:rsid w:val="009A73EC"/>
    <w:rsid w:val="009A79E1"/>
    <w:rsid w:val="009A7DFA"/>
    <w:rsid w:val="009B0276"/>
    <w:rsid w:val="009B0B70"/>
    <w:rsid w:val="009B0E8A"/>
    <w:rsid w:val="009B1060"/>
    <w:rsid w:val="009B1074"/>
    <w:rsid w:val="009B1170"/>
    <w:rsid w:val="009B28E7"/>
    <w:rsid w:val="009B31B2"/>
    <w:rsid w:val="009B369C"/>
    <w:rsid w:val="009B3FEA"/>
    <w:rsid w:val="009B474B"/>
    <w:rsid w:val="009B4C07"/>
    <w:rsid w:val="009B541B"/>
    <w:rsid w:val="009B594E"/>
    <w:rsid w:val="009B63DE"/>
    <w:rsid w:val="009B732D"/>
    <w:rsid w:val="009C0384"/>
    <w:rsid w:val="009C11E3"/>
    <w:rsid w:val="009C1DD9"/>
    <w:rsid w:val="009C1F2B"/>
    <w:rsid w:val="009C2375"/>
    <w:rsid w:val="009C243A"/>
    <w:rsid w:val="009C2BEB"/>
    <w:rsid w:val="009C4080"/>
    <w:rsid w:val="009C548B"/>
    <w:rsid w:val="009C5536"/>
    <w:rsid w:val="009C60A0"/>
    <w:rsid w:val="009C66BA"/>
    <w:rsid w:val="009C6A36"/>
    <w:rsid w:val="009C75D0"/>
    <w:rsid w:val="009D0481"/>
    <w:rsid w:val="009D0C8C"/>
    <w:rsid w:val="009D0E69"/>
    <w:rsid w:val="009D0F6B"/>
    <w:rsid w:val="009D17DE"/>
    <w:rsid w:val="009D1E1F"/>
    <w:rsid w:val="009D21DD"/>
    <w:rsid w:val="009D2476"/>
    <w:rsid w:val="009D311B"/>
    <w:rsid w:val="009D3E47"/>
    <w:rsid w:val="009D3F11"/>
    <w:rsid w:val="009D452D"/>
    <w:rsid w:val="009D4AD6"/>
    <w:rsid w:val="009D516D"/>
    <w:rsid w:val="009D5377"/>
    <w:rsid w:val="009D62D6"/>
    <w:rsid w:val="009D72E9"/>
    <w:rsid w:val="009D756C"/>
    <w:rsid w:val="009D7C6B"/>
    <w:rsid w:val="009E0720"/>
    <w:rsid w:val="009E0924"/>
    <w:rsid w:val="009E0F45"/>
    <w:rsid w:val="009E0F68"/>
    <w:rsid w:val="009E1005"/>
    <w:rsid w:val="009E1419"/>
    <w:rsid w:val="009E14F9"/>
    <w:rsid w:val="009E1639"/>
    <w:rsid w:val="009E16A7"/>
    <w:rsid w:val="009E1B4C"/>
    <w:rsid w:val="009E2CE0"/>
    <w:rsid w:val="009E2EAC"/>
    <w:rsid w:val="009E35C7"/>
    <w:rsid w:val="009E3C60"/>
    <w:rsid w:val="009E3FDD"/>
    <w:rsid w:val="009E460C"/>
    <w:rsid w:val="009E4A65"/>
    <w:rsid w:val="009E4B9D"/>
    <w:rsid w:val="009E549A"/>
    <w:rsid w:val="009E5710"/>
    <w:rsid w:val="009E58BB"/>
    <w:rsid w:val="009E620E"/>
    <w:rsid w:val="009E712D"/>
    <w:rsid w:val="009E75C2"/>
    <w:rsid w:val="009E7DA3"/>
    <w:rsid w:val="009E7EED"/>
    <w:rsid w:val="009F04B2"/>
    <w:rsid w:val="009F04FB"/>
    <w:rsid w:val="009F10E6"/>
    <w:rsid w:val="009F118B"/>
    <w:rsid w:val="009F1551"/>
    <w:rsid w:val="009F192E"/>
    <w:rsid w:val="009F1D1B"/>
    <w:rsid w:val="009F1FCA"/>
    <w:rsid w:val="009F2449"/>
    <w:rsid w:val="009F270D"/>
    <w:rsid w:val="009F29DC"/>
    <w:rsid w:val="009F33FC"/>
    <w:rsid w:val="009F4520"/>
    <w:rsid w:val="009F4637"/>
    <w:rsid w:val="009F5286"/>
    <w:rsid w:val="009F59A0"/>
    <w:rsid w:val="009F5DB1"/>
    <w:rsid w:val="009F5F69"/>
    <w:rsid w:val="009F66E7"/>
    <w:rsid w:val="009F76D6"/>
    <w:rsid w:val="009F77A9"/>
    <w:rsid w:val="009F7DD6"/>
    <w:rsid w:val="00A00066"/>
    <w:rsid w:val="00A00BBA"/>
    <w:rsid w:val="00A00C0F"/>
    <w:rsid w:val="00A00CA3"/>
    <w:rsid w:val="00A01903"/>
    <w:rsid w:val="00A01B74"/>
    <w:rsid w:val="00A021EE"/>
    <w:rsid w:val="00A02499"/>
    <w:rsid w:val="00A024D8"/>
    <w:rsid w:val="00A0283F"/>
    <w:rsid w:val="00A0296C"/>
    <w:rsid w:val="00A03DC3"/>
    <w:rsid w:val="00A04642"/>
    <w:rsid w:val="00A04C1C"/>
    <w:rsid w:val="00A0600F"/>
    <w:rsid w:val="00A063EE"/>
    <w:rsid w:val="00A066FC"/>
    <w:rsid w:val="00A06D28"/>
    <w:rsid w:val="00A06D5D"/>
    <w:rsid w:val="00A07295"/>
    <w:rsid w:val="00A073CF"/>
    <w:rsid w:val="00A104CC"/>
    <w:rsid w:val="00A105EE"/>
    <w:rsid w:val="00A1065C"/>
    <w:rsid w:val="00A10844"/>
    <w:rsid w:val="00A10AB9"/>
    <w:rsid w:val="00A10AD6"/>
    <w:rsid w:val="00A113BF"/>
    <w:rsid w:val="00A113CC"/>
    <w:rsid w:val="00A12784"/>
    <w:rsid w:val="00A12E42"/>
    <w:rsid w:val="00A130E3"/>
    <w:rsid w:val="00A140F0"/>
    <w:rsid w:val="00A14364"/>
    <w:rsid w:val="00A14EF6"/>
    <w:rsid w:val="00A1543B"/>
    <w:rsid w:val="00A157EE"/>
    <w:rsid w:val="00A16456"/>
    <w:rsid w:val="00A165C6"/>
    <w:rsid w:val="00A16C85"/>
    <w:rsid w:val="00A16CA1"/>
    <w:rsid w:val="00A16F01"/>
    <w:rsid w:val="00A17696"/>
    <w:rsid w:val="00A200DB"/>
    <w:rsid w:val="00A20181"/>
    <w:rsid w:val="00A201EE"/>
    <w:rsid w:val="00A20E87"/>
    <w:rsid w:val="00A22732"/>
    <w:rsid w:val="00A23497"/>
    <w:rsid w:val="00A24D43"/>
    <w:rsid w:val="00A24E76"/>
    <w:rsid w:val="00A25571"/>
    <w:rsid w:val="00A258CC"/>
    <w:rsid w:val="00A267C3"/>
    <w:rsid w:val="00A27335"/>
    <w:rsid w:val="00A276EE"/>
    <w:rsid w:val="00A30941"/>
    <w:rsid w:val="00A30A5D"/>
    <w:rsid w:val="00A3136F"/>
    <w:rsid w:val="00A31472"/>
    <w:rsid w:val="00A3155A"/>
    <w:rsid w:val="00A32534"/>
    <w:rsid w:val="00A32590"/>
    <w:rsid w:val="00A325CC"/>
    <w:rsid w:val="00A329BF"/>
    <w:rsid w:val="00A32F52"/>
    <w:rsid w:val="00A33079"/>
    <w:rsid w:val="00A33161"/>
    <w:rsid w:val="00A342C9"/>
    <w:rsid w:val="00A34339"/>
    <w:rsid w:val="00A358DF"/>
    <w:rsid w:val="00A366FC"/>
    <w:rsid w:val="00A36AA7"/>
    <w:rsid w:val="00A3744E"/>
    <w:rsid w:val="00A37C93"/>
    <w:rsid w:val="00A37FB6"/>
    <w:rsid w:val="00A40297"/>
    <w:rsid w:val="00A40640"/>
    <w:rsid w:val="00A4095E"/>
    <w:rsid w:val="00A41388"/>
    <w:rsid w:val="00A41583"/>
    <w:rsid w:val="00A41751"/>
    <w:rsid w:val="00A41E54"/>
    <w:rsid w:val="00A42057"/>
    <w:rsid w:val="00A43389"/>
    <w:rsid w:val="00A43A26"/>
    <w:rsid w:val="00A43D44"/>
    <w:rsid w:val="00A43DDB"/>
    <w:rsid w:val="00A43F10"/>
    <w:rsid w:val="00A440BE"/>
    <w:rsid w:val="00A4431B"/>
    <w:rsid w:val="00A44560"/>
    <w:rsid w:val="00A445B5"/>
    <w:rsid w:val="00A4464E"/>
    <w:rsid w:val="00A44671"/>
    <w:rsid w:val="00A4496C"/>
    <w:rsid w:val="00A44E3B"/>
    <w:rsid w:val="00A4567E"/>
    <w:rsid w:val="00A45996"/>
    <w:rsid w:val="00A46035"/>
    <w:rsid w:val="00A46B7B"/>
    <w:rsid w:val="00A5039C"/>
    <w:rsid w:val="00A50CF1"/>
    <w:rsid w:val="00A50DDD"/>
    <w:rsid w:val="00A51245"/>
    <w:rsid w:val="00A52656"/>
    <w:rsid w:val="00A52D01"/>
    <w:rsid w:val="00A52D69"/>
    <w:rsid w:val="00A532B0"/>
    <w:rsid w:val="00A539F6"/>
    <w:rsid w:val="00A53EF4"/>
    <w:rsid w:val="00A543A9"/>
    <w:rsid w:val="00A54A6A"/>
    <w:rsid w:val="00A54EBB"/>
    <w:rsid w:val="00A55009"/>
    <w:rsid w:val="00A55AF4"/>
    <w:rsid w:val="00A560A5"/>
    <w:rsid w:val="00A5627D"/>
    <w:rsid w:val="00A566A0"/>
    <w:rsid w:val="00A57BF6"/>
    <w:rsid w:val="00A57C78"/>
    <w:rsid w:val="00A60067"/>
    <w:rsid w:val="00A603F1"/>
    <w:rsid w:val="00A61BF2"/>
    <w:rsid w:val="00A61C61"/>
    <w:rsid w:val="00A62458"/>
    <w:rsid w:val="00A62D79"/>
    <w:rsid w:val="00A63566"/>
    <w:rsid w:val="00A637D3"/>
    <w:rsid w:val="00A64A0C"/>
    <w:rsid w:val="00A64C55"/>
    <w:rsid w:val="00A662B8"/>
    <w:rsid w:val="00A6688E"/>
    <w:rsid w:val="00A6715C"/>
    <w:rsid w:val="00A67C72"/>
    <w:rsid w:val="00A70C44"/>
    <w:rsid w:val="00A7132A"/>
    <w:rsid w:val="00A71457"/>
    <w:rsid w:val="00A718C9"/>
    <w:rsid w:val="00A71921"/>
    <w:rsid w:val="00A7210D"/>
    <w:rsid w:val="00A725AE"/>
    <w:rsid w:val="00A7263A"/>
    <w:rsid w:val="00A72B86"/>
    <w:rsid w:val="00A73401"/>
    <w:rsid w:val="00A738B7"/>
    <w:rsid w:val="00A73FBF"/>
    <w:rsid w:val="00A7465C"/>
    <w:rsid w:val="00A74753"/>
    <w:rsid w:val="00A7566C"/>
    <w:rsid w:val="00A760B4"/>
    <w:rsid w:val="00A766A8"/>
    <w:rsid w:val="00A76EB4"/>
    <w:rsid w:val="00A777B2"/>
    <w:rsid w:val="00A77A43"/>
    <w:rsid w:val="00A77C50"/>
    <w:rsid w:val="00A77D3C"/>
    <w:rsid w:val="00A77D70"/>
    <w:rsid w:val="00A80038"/>
    <w:rsid w:val="00A804CB"/>
    <w:rsid w:val="00A817CA"/>
    <w:rsid w:val="00A81DE3"/>
    <w:rsid w:val="00A821AA"/>
    <w:rsid w:val="00A822FB"/>
    <w:rsid w:val="00A83B61"/>
    <w:rsid w:val="00A83BFD"/>
    <w:rsid w:val="00A83C33"/>
    <w:rsid w:val="00A84212"/>
    <w:rsid w:val="00A84EA4"/>
    <w:rsid w:val="00A85056"/>
    <w:rsid w:val="00A85F1D"/>
    <w:rsid w:val="00A879AA"/>
    <w:rsid w:val="00A9119C"/>
    <w:rsid w:val="00A9178C"/>
    <w:rsid w:val="00A91DEC"/>
    <w:rsid w:val="00A92922"/>
    <w:rsid w:val="00A9346A"/>
    <w:rsid w:val="00A93D14"/>
    <w:rsid w:val="00A93DA7"/>
    <w:rsid w:val="00A941AE"/>
    <w:rsid w:val="00A9420F"/>
    <w:rsid w:val="00A94F2F"/>
    <w:rsid w:val="00A953A1"/>
    <w:rsid w:val="00A95DA6"/>
    <w:rsid w:val="00A96497"/>
    <w:rsid w:val="00A967CB"/>
    <w:rsid w:val="00A96924"/>
    <w:rsid w:val="00A96ACD"/>
    <w:rsid w:val="00A9703B"/>
    <w:rsid w:val="00AA0508"/>
    <w:rsid w:val="00AA176F"/>
    <w:rsid w:val="00AA2697"/>
    <w:rsid w:val="00AA2931"/>
    <w:rsid w:val="00AA2C16"/>
    <w:rsid w:val="00AA3B9B"/>
    <w:rsid w:val="00AA4403"/>
    <w:rsid w:val="00AA445C"/>
    <w:rsid w:val="00AA464F"/>
    <w:rsid w:val="00AA49CE"/>
    <w:rsid w:val="00AA6C14"/>
    <w:rsid w:val="00AA6E7D"/>
    <w:rsid w:val="00AA7203"/>
    <w:rsid w:val="00AA7853"/>
    <w:rsid w:val="00AB044C"/>
    <w:rsid w:val="00AB06AB"/>
    <w:rsid w:val="00AB11F6"/>
    <w:rsid w:val="00AB1EB2"/>
    <w:rsid w:val="00AB1EED"/>
    <w:rsid w:val="00AB267F"/>
    <w:rsid w:val="00AB391D"/>
    <w:rsid w:val="00AB4312"/>
    <w:rsid w:val="00AB438B"/>
    <w:rsid w:val="00AB43B3"/>
    <w:rsid w:val="00AB5208"/>
    <w:rsid w:val="00AB5238"/>
    <w:rsid w:val="00AB5772"/>
    <w:rsid w:val="00AB69FD"/>
    <w:rsid w:val="00AB6B92"/>
    <w:rsid w:val="00AB6DC0"/>
    <w:rsid w:val="00AB7664"/>
    <w:rsid w:val="00AB775F"/>
    <w:rsid w:val="00AB787E"/>
    <w:rsid w:val="00AB7A6D"/>
    <w:rsid w:val="00AB7E89"/>
    <w:rsid w:val="00AC0A2D"/>
    <w:rsid w:val="00AC180B"/>
    <w:rsid w:val="00AC1DC0"/>
    <w:rsid w:val="00AC1F0D"/>
    <w:rsid w:val="00AC1F74"/>
    <w:rsid w:val="00AC206E"/>
    <w:rsid w:val="00AC29A5"/>
    <w:rsid w:val="00AC367E"/>
    <w:rsid w:val="00AC394D"/>
    <w:rsid w:val="00AC3ABC"/>
    <w:rsid w:val="00AC3F4D"/>
    <w:rsid w:val="00AC4396"/>
    <w:rsid w:val="00AC447A"/>
    <w:rsid w:val="00AC57F9"/>
    <w:rsid w:val="00AC6324"/>
    <w:rsid w:val="00AC647D"/>
    <w:rsid w:val="00AC65C1"/>
    <w:rsid w:val="00AC6632"/>
    <w:rsid w:val="00AC7142"/>
    <w:rsid w:val="00AD0646"/>
    <w:rsid w:val="00AD070F"/>
    <w:rsid w:val="00AD08C7"/>
    <w:rsid w:val="00AD0AB7"/>
    <w:rsid w:val="00AD108A"/>
    <w:rsid w:val="00AD1969"/>
    <w:rsid w:val="00AD279C"/>
    <w:rsid w:val="00AD2A30"/>
    <w:rsid w:val="00AD3589"/>
    <w:rsid w:val="00AD3A86"/>
    <w:rsid w:val="00AD407D"/>
    <w:rsid w:val="00AD46A1"/>
    <w:rsid w:val="00AD476E"/>
    <w:rsid w:val="00AD5568"/>
    <w:rsid w:val="00AD5A26"/>
    <w:rsid w:val="00AD5CC7"/>
    <w:rsid w:val="00AD5D6E"/>
    <w:rsid w:val="00AD6699"/>
    <w:rsid w:val="00AD69B7"/>
    <w:rsid w:val="00AD73BF"/>
    <w:rsid w:val="00AD741C"/>
    <w:rsid w:val="00AD7471"/>
    <w:rsid w:val="00AD7520"/>
    <w:rsid w:val="00AD7D7F"/>
    <w:rsid w:val="00AD7F51"/>
    <w:rsid w:val="00AE04CF"/>
    <w:rsid w:val="00AE09CA"/>
    <w:rsid w:val="00AE0AD8"/>
    <w:rsid w:val="00AE11C1"/>
    <w:rsid w:val="00AE1353"/>
    <w:rsid w:val="00AE1424"/>
    <w:rsid w:val="00AE1A2A"/>
    <w:rsid w:val="00AE1BB4"/>
    <w:rsid w:val="00AE1BB6"/>
    <w:rsid w:val="00AE1CFE"/>
    <w:rsid w:val="00AE2300"/>
    <w:rsid w:val="00AE299B"/>
    <w:rsid w:val="00AE2DF0"/>
    <w:rsid w:val="00AE3AC9"/>
    <w:rsid w:val="00AE3D3F"/>
    <w:rsid w:val="00AE4990"/>
    <w:rsid w:val="00AE4C23"/>
    <w:rsid w:val="00AE4E6F"/>
    <w:rsid w:val="00AE556B"/>
    <w:rsid w:val="00AE59A0"/>
    <w:rsid w:val="00AE5CDF"/>
    <w:rsid w:val="00AE5ED4"/>
    <w:rsid w:val="00AE5F32"/>
    <w:rsid w:val="00AE7014"/>
    <w:rsid w:val="00AE7403"/>
    <w:rsid w:val="00AE7E86"/>
    <w:rsid w:val="00AF057D"/>
    <w:rsid w:val="00AF066F"/>
    <w:rsid w:val="00AF06E5"/>
    <w:rsid w:val="00AF2159"/>
    <w:rsid w:val="00AF2273"/>
    <w:rsid w:val="00AF2B82"/>
    <w:rsid w:val="00AF348F"/>
    <w:rsid w:val="00AF3934"/>
    <w:rsid w:val="00AF4DBC"/>
    <w:rsid w:val="00AF50A1"/>
    <w:rsid w:val="00AF63FA"/>
    <w:rsid w:val="00AF6B78"/>
    <w:rsid w:val="00AF6BBC"/>
    <w:rsid w:val="00AF7423"/>
    <w:rsid w:val="00AF76E2"/>
    <w:rsid w:val="00B00138"/>
    <w:rsid w:val="00B01125"/>
    <w:rsid w:val="00B0128F"/>
    <w:rsid w:val="00B01445"/>
    <w:rsid w:val="00B01D06"/>
    <w:rsid w:val="00B01E2D"/>
    <w:rsid w:val="00B01FEA"/>
    <w:rsid w:val="00B02815"/>
    <w:rsid w:val="00B02B03"/>
    <w:rsid w:val="00B035FB"/>
    <w:rsid w:val="00B0367B"/>
    <w:rsid w:val="00B04319"/>
    <w:rsid w:val="00B047A3"/>
    <w:rsid w:val="00B048C3"/>
    <w:rsid w:val="00B05385"/>
    <w:rsid w:val="00B05B06"/>
    <w:rsid w:val="00B06280"/>
    <w:rsid w:val="00B06694"/>
    <w:rsid w:val="00B06E77"/>
    <w:rsid w:val="00B07242"/>
    <w:rsid w:val="00B072C6"/>
    <w:rsid w:val="00B07B96"/>
    <w:rsid w:val="00B07C96"/>
    <w:rsid w:val="00B10064"/>
    <w:rsid w:val="00B10D3D"/>
    <w:rsid w:val="00B10FA2"/>
    <w:rsid w:val="00B11915"/>
    <w:rsid w:val="00B122E9"/>
    <w:rsid w:val="00B1275C"/>
    <w:rsid w:val="00B12A9C"/>
    <w:rsid w:val="00B130BE"/>
    <w:rsid w:val="00B131BB"/>
    <w:rsid w:val="00B132DB"/>
    <w:rsid w:val="00B137A1"/>
    <w:rsid w:val="00B13BA6"/>
    <w:rsid w:val="00B146B1"/>
    <w:rsid w:val="00B14C69"/>
    <w:rsid w:val="00B151F7"/>
    <w:rsid w:val="00B15332"/>
    <w:rsid w:val="00B15991"/>
    <w:rsid w:val="00B15F10"/>
    <w:rsid w:val="00B1604B"/>
    <w:rsid w:val="00B176F3"/>
    <w:rsid w:val="00B17AD2"/>
    <w:rsid w:val="00B17C6C"/>
    <w:rsid w:val="00B204CF"/>
    <w:rsid w:val="00B21C4E"/>
    <w:rsid w:val="00B21F9C"/>
    <w:rsid w:val="00B22566"/>
    <w:rsid w:val="00B225E2"/>
    <w:rsid w:val="00B2286E"/>
    <w:rsid w:val="00B22FF4"/>
    <w:rsid w:val="00B23E25"/>
    <w:rsid w:val="00B24889"/>
    <w:rsid w:val="00B24EAB"/>
    <w:rsid w:val="00B24F67"/>
    <w:rsid w:val="00B25481"/>
    <w:rsid w:val="00B25510"/>
    <w:rsid w:val="00B25637"/>
    <w:rsid w:val="00B264B0"/>
    <w:rsid w:val="00B26C42"/>
    <w:rsid w:val="00B27662"/>
    <w:rsid w:val="00B30670"/>
    <w:rsid w:val="00B31530"/>
    <w:rsid w:val="00B3160D"/>
    <w:rsid w:val="00B316DA"/>
    <w:rsid w:val="00B31E3F"/>
    <w:rsid w:val="00B32686"/>
    <w:rsid w:val="00B33945"/>
    <w:rsid w:val="00B341C8"/>
    <w:rsid w:val="00B351D7"/>
    <w:rsid w:val="00B366C7"/>
    <w:rsid w:val="00B376B7"/>
    <w:rsid w:val="00B37D27"/>
    <w:rsid w:val="00B37FF7"/>
    <w:rsid w:val="00B407F4"/>
    <w:rsid w:val="00B415B0"/>
    <w:rsid w:val="00B41C54"/>
    <w:rsid w:val="00B41DF2"/>
    <w:rsid w:val="00B4382C"/>
    <w:rsid w:val="00B43D37"/>
    <w:rsid w:val="00B44878"/>
    <w:rsid w:val="00B4518F"/>
    <w:rsid w:val="00B45461"/>
    <w:rsid w:val="00B4583E"/>
    <w:rsid w:val="00B45C5D"/>
    <w:rsid w:val="00B45CED"/>
    <w:rsid w:val="00B46540"/>
    <w:rsid w:val="00B46836"/>
    <w:rsid w:val="00B46A0E"/>
    <w:rsid w:val="00B46E02"/>
    <w:rsid w:val="00B47330"/>
    <w:rsid w:val="00B47CCC"/>
    <w:rsid w:val="00B47F01"/>
    <w:rsid w:val="00B500A0"/>
    <w:rsid w:val="00B50478"/>
    <w:rsid w:val="00B51654"/>
    <w:rsid w:val="00B518E7"/>
    <w:rsid w:val="00B51E24"/>
    <w:rsid w:val="00B51F1E"/>
    <w:rsid w:val="00B52C10"/>
    <w:rsid w:val="00B52EAC"/>
    <w:rsid w:val="00B534DA"/>
    <w:rsid w:val="00B538C0"/>
    <w:rsid w:val="00B53A21"/>
    <w:rsid w:val="00B53C36"/>
    <w:rsid w:val="00B53E29"/>
    <w:rsid w:val="00B53F13"/>
    <w:rsid w:val="00B54057"/>
    <w:rsid w:val="00B54509"/>
    <w:rsid w:val="00B54A23"/>
    <w:rsid w:val="00B55419"/>
    <w:rsid w:val="00B55718"/>
    <w:rsid w:val="00B55A71"/>
    <w:rsid w:val="00B55DA4"/>
    <w:rsid w:val="00B56152"/>
    <w:rsid w:val="00B5666E"/>
    <w:rsid w:val="00B57761"/>
    <w:rsid w:val="00B57E40"/>
    <w:rsid w:val="00B60F76"/>
    <w:rsid w:val="00B61810"/>
    <w:rsid w:val="00B61F7C"/>
    <w:rsid w:val="00B63062"/>
    <w:rsid w:val="00B6322E"/>
    <w:rsid w:val="00B63678"/>
    <w:rsid w:val="00B6395C"/>
    <w:rsid w:val="00B64145"/>
    <w:rsid w:val="00B64B2B"/>
    <w:rsid w:val="00B64F36"/>
    <w:rsid w:val="00B654EA"/>
    <w:rsid w:val="00B67339"/>
    <w:rsid w:val="00B67356"/>
    <w:rsid w:val="00B67465"/>
    <w:rsid w:val="00B674AC"/>
    <w:rsid w:val="00B708AB"/>
    <w:rsid w:val="00B708F6"/>
    <w:rsid w:val="00B7094B"/>
    <w:rsid w:val="00B70BA5"/>
    <w:rsid w:val="00B70DE2"/>
    <w:rsid w:val="00B71814"/>
    <w:rsid w:val="00B71B34"/>
    <w:rsid w:val="00B71BD1"/>
    <w:rsid w:val="00B720B0"/>
    <w:rsid w:val="00B72213"/>
    <w:rsid w:val="00B732A3"/>
    <w:rsid w:val="00B73348"/>
    <w:rsid w:val="00B73442"/>
    <w:rsid w:val="00B73783"/>
    <w:rsid w:val="00B75974"/>
    <w:rsid w:val="00B75E09"/>
    <w:rsid w:val="00B75F16"/>
    <w:rsid w:val="00B7649F"/>
    <w:rsid w:val="00B7675D"/>
    <w:rsid w:val="00B76E37"/>
    <w:rsid w:val="00B76FF1"/>
    <w:rsid w:val="00B771B0"/>
    <w:rsid w:val="00B77423"/>
    <w:rsid w:val="00B775AF"/>
    <w:rsid w:val="00B775B3"/>
    <w:rsid w:val="00B779CE"/>
    <w:rsid w:val="00B80BB7"/>
    <w:rsid w:val="00B81CB9"/>
    <w:rsid w:val="00B81D30"/>
    <w:rsid w:val="00B8229C"/>
    <w:rsid w:val="00B845C4"/>
    <w:rsid w:val="00B853AA"/>
    <w:rsid w:val="00B85CCD"/>
    <w:rsid w:val="00B86319"/>
    <w:rsid w:val="00B86C7E"/>
    <w:rsid w:val="00B87B14"/>
    <w:rsid w:val="00B87D0B"/>
    <w:rsid w:val="00B91167"/>
    <w:rsid w:val="00B91D3D"/>
    <w:rsid w:val="00B92228"/>
    <w:rsid w:val="00B9318E"/>
    <w:rsid w:val="00B932F8"/>
    <w:rsid w:val="00B93D37"/>
    <w:rsid w:val="00B93F32"/>
    <w:rsid w:val="00B94943"/>
    <w:rsid w:val="00B94C6C"/>
    <w:rsid w:val="00B94CAF"/>
    <w:rsid w:val="00B95034"/>
    <w:rsid w:val="00B951FB"/>
    <w:rsid w:val="00B95506"/>
    <w:rsid w:val="00B95C5D"/>
    <w:rsid w:val="00B9653A"/>
    <w:rsid w:val="00B96583"/>
    <w:rsid w:val="00B969FA"/>
    <w:rsid w:val="00BA060A"/>
    <w:rsid w:val="00BA0A43"/>
    <w:rsid w:val="00BA12D8"/>
    <w:rsid w:val="00BA1C19"/>
    <w:rsid w:val="00BA2280"/>
    <w:rsid w:val="00BA38A4"/>
    <w:rsid w:val="00BA38AF"/>
    <w:rsid w:val="00BA3F05"/>
    <w:rsid w:val="00BA4900"/>
    <w:rsid w:val="00BA51B6"/>
    <w:rsid w:val="00BA53DB"/>
    <w:rsid w:val="00BA5F92"/>
    <w:rsid w:val="00BA63E9"/>
    <w:rsid w:val="00BA6445"/>
    <w:rsid w:val="00BA6C65"/>
    <w:rsid w:val="00BA7D0B"/>
    <w:rsid w:val="00BB025D"/>
    <w:rsid w:val="00BB0902"/>
    <w:rsid w:val="00BB0A88"/>
    <w:rsid w:val="00BB0ED4"/>
    <w:rsid w:val="00BB1444"/>
    <w:rsid w:val="00BB1AB9"/>
    <w:rsid w:val="00BB29EE"/>
    <w:rsid w:val="00BB2A80"/>
    <w:rsid w:val="00BB3168"/>
    <w:rsid w:val="00BB3223"/>
    <w:rsid w:val="00BB393B"/>
    <w:rsid w:val="00BB46C1"/>
    <w:rsid w:val="00BB4C9E"/>
    <w:rsid w:val="00BB50E4"/>
    <w:rsid w:val="00BB53C5"/>
    <w:rsid w:val="00BB5970"/>
    <w:rsid w:val="00BB62D1"/>
    <w:rsid w:val="00BB6FFE"/>
    <w:rsid w:val="00BC0583"/>
    <w:rsid w:val="00BC22F4"/>
    <w:rsid w:val="00BC25A7"/>
    <w:rsid w:val="00BC2708"/>
    <w:rsid w:val="00BC29D0"/>
    <w:rsid w:val="00BC2A7C"/>
    <w:rsid w:val="00BC2D3A"/>
    <w:rsid w:val="00BC2EC4"/>
    <w:rsid w:val="00BC38EC"/>
    <w:rsid w:val="00BC3B8B"/>
    <w:rsid w:val="00BC3E9F"/>
    <w:rsid w:val="00BC45BE"/>
    <w:rsid w:val="00BC461D"/>
    <w:rsid w:val="00BC496D"/>
    <w:rsid w:val="00BC4F57"/>
    <w:rsid w:val="00BC5CF7"/>
    <w:rsid w:val="00BC6106"/>
    <w:rsid w:val="00BC6FC0"/>
    <w:rsid w:val="00BC7049"/>
    <w:rsid w:val="00BC7D50"/>
    <w:rsid w:val="00BD0611"/>
    <w:rsid w:val="00BD1519"/>
    <w:rsid w:val="00BD1F2A"/>
    <w:rsid w:val="00BD41CC"/>
    <w:rsid w:val="00BD42C6"/>
    <w:rsid w:val="00BD436C"/>
    <w:rsid w:val="00BD4473"/>
    <w:rsid w:val="00BD4763"/>
    <w:rsid w:val="00BD48C4"/>
    <w:rsid w:val="00BD4DB8"/>
    <w:rsid w:val="00BD564B"/>
    <w:rsid w:val="00BD5A74"/>
    <w:rsid w:val="00BD6427"/>
    <w:rsid w:val="00BD65EE"/>
    <w:rsid w:val="00BD6760"/>
    <w:rsid w:val="00BD7BA9"/>
    <w:rsid w:val="00BE06FB"/>
    <w:rsid w:val="00BE0830"/>
    <w:rsid w:val="00BE0D54"/>
    <w:rsid w:val="00BE0DAF"/>
    <w:rsid w:val="00BE0F9A"/>
    <w:rsid w:val="00BE1820"/>
    <w:rsid w:val="00BE24B9"/>
    <w:rsid w:val="00BE293B"/>
    <w:rsid w:val="00BE2B43"/>
    <w:rsid w:val="00BE2C4D"/>
    <w:rsid w:val="00BE3322"/>
    <w:rsid w:val="00BE3635"/>
    <w:rsid w:val="00BE48D5"/>
    <w:rsid w:val="00BE4CA7"/>
    <w:rsid w:val="00BE74C8"/>
    <w:rsid w:val="00BE76CC"/>
    <w:rsid w:val="00BE7BA7"/>
    <w:rsid w:val="00BF26E5"/>
    <w:rsid w:val="00BF3CAA"/>
    <w:rsid w:val="00BF3E79"/>
    <w:rsid w:val="00BF46EF"/>
    <w:rsid w:val="00BF4BFB"/>
    <w:rsid w:val="00BF5A66"/>
    <w:rsid w:val="00BF6102"/>
    <w:rsid w:val="00BF65C0"/>
    <w:rsid w:val="00BF6754"/>
    <w:rsid w:val="00BF688D"/>
    <w:rsid w:val="00BF73A7"/>
    <w:rsid w:val="00BF77CE"/>
    <w:rsid w:val="00C0026F"/>
    <w:rsid w:val="00C00566"/>
    <w:rsid w:val="00C016FC"/>
    <w:rsid w:val="00C01A20"/>
    <w:rsid w:val="00C01D88"/>
    <w:rsid w:val="00C02A7A"/>
    <w:rsid w:val="00C0333D"/>
    <w:rsid w:val="00C0385C"/>
    <w:rsid w:val="00C03955"/>
    <w:rsid w:val="00C039B9"/>
    <w:rsid w:val="00C03F51"/>
    <w:rsid w:val="00C04063"/>
    <w:rsid w:val="00C047FE"/>
    <w:rsid w:val="00C04EB3"/>
    <w:rsid w:val="00C05F18"/>
    <w:rsid w:val="00C05FD6"/>
    <w:rsid w:val="00C075BA"/>
    <w:rsid w:val="00C07BB3"/>
    <w:rsid w:val="00C100C1"/>
    <w:rsid w:val="00C10536"/>
    <w:rsid w:val="00C10A32"/>
    <w:rsid w:val="00C112EE"/>
    <w:rsid w:val="00C11978"/>
    <w:rsid w:val="00C11D14"/>
    <w:rsid w:val="00C12580"/>
    <w:rsid w:val="00C1289C"/>
    <w:rsid w:val="00C12FDA"/>
    <w:rsid w:val="00C1336A"/>
    <w:rsid w:val="00C14ACF"/>
    <w:rsid w:val="00C14B2F"/>
    <w:rsid w:val="00C14F2A"/>
    <w:rsid w:val="00C1570C"/>
    <w:rsid w:val="00C15EF9"/>
    <w:rsid w:val="00C163AB"/>
    <w:rsid w:val="00C165A2"/>
    <w:rsid w:val="00C17E30"/>
    <w:rsid w:val="00C17E42"/>
    <w:rsid w:val="00C17E6E"/>
    <w:rsid w:val="00C2069E"/>
    <w:rsid w:val="00C20FFF"/>
    <w:rsid w:val="00C210E8"/>
    <w:rsid w:val="00C21923"/>
    <w:rsid w:val="00C22275"/>
    <w:rsid w:val="00C22881"/>
    <w:rsid w:val="00C23509"/>
    <w:rsid w:val="00C23CD1"/>
    <w:rsid w:val="00C242FD"/>
    <w:rsid w:val="00C244C5"/>
    <w:rsid w:val="00C24CCA"/>
    <w:rsid w:val="00C24D53"/>
    <w:rsid w:val="00C254A4"/>
    <w:rsid w:val="00C258CB"/>
    <w:rsid w:val="00C259E6"/>
    <w:rsid w:val="00C261F3"/>
    <w:rsid w:val="00C2688D"/>
    <w:rsid w:val="00C2742D"/>
    <w:rsid w:val="00C277D4"/>
    <w:rsid w:val="00C27ECC"/>
    <w:rsid w:val="00C303B9"/>
    <w:rsid w:val="00C30A56"/>
    <w:rsid w:val="00C31199"/>
    <w:rsid w:val="00C313D5"/>
    <w:rsid w:val="00C3177D"/>
    <w:rsid w:val="00C31C95"/>
    <w:rsid w:val="00C323BA"/>
    <w:rsid w:val="00C32749"/>
    <w:rsid w:val="00C332EE"/>
    <w:rsid w:val="00C35882"/>
    <w:rsid w:val="00C35A5F"/>
    <w:rsid w:val="00C35AC6"/>
    <w:rsid w:val="00C35E33"/>
    <w:rsid w:val="00C36109"/>
    <w:rsid w:val="00C36185"/>
    <w:rsid w:val="00C3637D"/>
    <w:rsid w:val="00C366F2"/>
    <w:rsid w:val="00C36CA7"/>
    <w:rsid w:val="00C3724C"/>
    <w:rsid w:val="00C40079"/>
    <w:rsid w:val="00C402F6"/>
    <w:rsid w:val="00C406DE"/>
    <w:rsid w:val="00C41234"/>
    <w:rsid w:val="00C41503"/>
    <w:rsid w:val="00C42657"/>
    <w:rsid w:val="00C426DC"/>
    <w:rsid w:val="00C43017"/>
    <w:rsid w:val="00C43B27"/>
    <w:rsid w:val="00C44F7A"/>
    <w:rsid w:val="00C4548E"/>
    <w:rsid w:val="00C46A33"/>
    <w:rsid w:val="00C475E0"/>
    <w:rsid w:val="00C477BC"/>
    <w:rsid w:val="00C47985"/>
    <w:rsid w:val="00C47B80"/>
    <w:rsid w:val="00C50E31"/>
    <w:rsid w:val="00C5142D"/>
    <w:rsid w:val="00C51936"/>
    <w:rsid w:val="00C519CA"/>
    <w:rsid w:val="00C52A01"/>
    <w:rsid w:val="00C53851"/>
    <w:rsid w:val="00C53B27"/>
    <w:rsid w:val="00C53B86"/>
    <w:rsid w:val="00C53E8B"/>
    <w:rsid w:val="00C54396"/>
    <w:rsid w:val="00C54686"/>
    <w:rsid w:val="00C54D88"/>
    <w:rsid w:val="00C553F1"/>
    <w:rsid w:val="00C55C88"/>
    <w:rsid w:val="00C55F74"/>
    <w:rsid w:val="00C567FD"/>
    <w:rsid w:val="00C56861"/>
    <w:rsid w:val="00C56F55"/>
    <w:rsid w:val="00C6061C"/>
    <w:rsid w:val="00C60839"/>
    <w:rsid w:val="00C61338"/>
    <w:rsid w:val="00C61F23"/>
    <w:rsid w:val="00C62F4A"/>
    <w:rsid w:val="00C63849"/>
    <w:rsid w:val="00C64612"/>
    <w:rsid w:val="00C65099"/>
    <w:rsid w:val="00C66BAA"/>
    <w:rsid w:val="00C67589"/>
    <w:rsid w:val="00C71594"/>
    <w:rsid w:val="00C71BA0"/>
    <w:rsid w:val="00C71CE1"/>
    <w:rsid w:val="00C71D36"/>
    <w:rsid w:val="00C72268"/>
    <w:rsid w:val="00C734E5"/>
    <w:rsid w:val="00C73674"/>
    <w:rsid w:val="00C74040"/>
    <w:rsid w:val="00C745D6"/>
    <w:rsid w:val="00C7581B"/>
    <w:rsid w:val="00C75E98"/>
    <w:rsid w:val="00C7685F"/>
    <w:rsid w:val="00C802A4"/>
    <w:rsid w:val="00C80B8D"/>
    <w:rsid w:val="00C80C13"/>
    <w:rsid w:val="00C80E3A"/>
    <w:rsid w:val="00C81655"/>
    <w:rsid w:val="00C8166E"/>
    <w:rsid w:val="00C8186C"/>
    <w:rsid w:val="00C81C12"/>
    <w:rsid w:val="00C82288"/>
    <w:rsid w:val="00C82348"/>
    <w:rsid w:val="00C828B9"/>
    <w:rsid w:val="00C829E4"/>
    <w:rsid w:val="00C82AF7"/>
    <w:rsid w:val="00C82D71"/>
    <w:rsid w:val="00C82EFA"/>
    <w:rsid w:val="00C83190"/>
    <w:rsid w:val="00C83C5C"/>
    <w:rsid w:val="00C844C9"/>
    <w:rsid w:val="00C84519"/>
    <w:rsid w:val="00C867D9"/>
    <w:rsid w:val="00C86F56"/>
    <w:rsid w:val="00C87787"/>
    <w:rsid w:val="00C87C3E"/>
    <w:rsid w:val="00C87EAE"/>
    <w:rsid w:val="00C9198E"/>
    <w:rsid w:val="00C92633"/>
    <w:rsid w:val="00C927FE"/>
    <w:rsid w:val="00C9296B"/>
    <w:rsid w:val="00C92AED"/>
    <w:rsid w:val="00C92F22"/>
    <w:rsid w:val="00C932C6"/>
    <w:rsid w:val="00C93ABE"/>
    <w:rsid w:val="00C944E2"/>
    <w:rsid w:val="00C945DC"/>
    <w:rsid w:val="00C94B39"/>
    <w:rsid w:val="00C951E7"/>
    <w:rsid w:val="00C9554F"/>
    <w:rsid w:val="00C95F5A"/>
    <w:rsid w:val="00C96645"/>
    <w:rsid w:val="00C96DDC"/>
    <w:rsid w:val="00C96F54"/>
    <w:rsid w:val="00C972DE"/>
    <w:rsid w:val="00C974D1"/>
    <w:rsid w:val="00C97AE6"/>
    <w:rsid w:val="00CA06BD"/>
    <w:rsid w:val="00CA0B61"/>
    <w:rsid w:val="00CA0D7D"/>
    <w:rsid w:val="00CA1E39"/>
    <w:rsid w:val="00CA1E58"/>
    <w:rsid w:val="00CA27DA"/>
    <w:rsid w:val="00CA3158"/>
    <w:rsid w:val="00CA32C0"/>
    <w:rsid w:val="00CA33EE"/>
    <w:rsid w:val="00CA3849"/>
    <w:rsid w:val="00CA3A90"/>
    <w:rsid w:val="00CA47DE"/>
    <w:rsid w:val="00CA4942"/>
    <w:rsid w:val="00CA4E0C"/>
    <w:rsid w:val="00CA5ECF"/>
    <w:rsid w:val="00CA5F97"/>
    <w:rsid w:val="00CA60C5"/>
    <w:rsid w:val="00CA6B56"/>
    <w:rsid w:val="00CA6ED4"/>
    <w:rsid w:val="00CA7B06"/>
    <w:rsid w:val="00CB040A"/>
    <w:rsid w:val="00CB07C1"/>
    <w:rsid w:val="00CB0D07"/>
    <w:rsid w:val="00CB15DB"/>
    <w:rsid w:val="00CB1AEA"/>
    <w:rsid w:val="00CB22C0"/>
    <w:rsid w:val="00CB37F1"/>
    <w:rsid w:val="00CB4083"/>
    <w:rsid w:val="00CB426C"/>
    <w:rsid w:val="00CB5096"/>
    <w:rsid w:val="00CB5755"/>
    <w:rsid w:val="00CB6140"/>
    <w:rsid w:val="00CB6E25"/>
    <w:rsid w:val="00CB7049"/>
    <w:rsid w:val="00CB710C"/>
    <w:rsid w:val="00CB71D1"/>
    <w:rsid w:val="00CB7B06"/>
    <w:rsid w:val="00CC0900"/>
    <w:rsid w:val="00CC13C8"/>
    <w:rsid w:val="00CC1CA8"/>
    <w:rsid w:val="00CC1D7A"/>
    <w:rsid w:val="00CC1F7A"/>
    <w:rsid w:val="00CC2252"/>
    <w:rsid w:val="00CC424D"/>
    <w:rsid w:val="00CC4689"/>
    <w:rsid w:val="00CC4947"/>
    <w:rsid w:val="00CC4A10"/>
    <w:rsid w:val="00CC4F42"/>
    <w:rsid w:val="00CC5D20"/>
    <w:rsid w:val="00CC699C"/>
    <w:rsid w:val="00CC6BD2"/>
    <w:rsid w:val="00CC6D2D"/>
    <w:rsid w:val="00CC6E59"/>
    <w:rsid w:val="00CC6EE5"/>
    <w:rsid w:val="00CC70D3"/>
    <w:rsid w:val="00CD049D"/>
    <w:rsid w:val="00CD0872"/>
    <w:rsid w:val="00CD08A5"/>
    <w:rsid w:val="00CD0938"/>
    <w:rsid w:val="00CD0B96"/>
    <w:rsid w:val="00CD0E57"/>
    <w:rsid w:val="00CD1107"/>
    <w:rsid w:val="00CD1485"/>
    <w:rsid w:val="00CD161F"/>
    <w:rsid w:val="00CD21E2"/>
    <w:rsid w:val="00CD2A7B"/>
    <w:rsid w:val="00CD422E"/>
    <w:rsid w:val="00CD4322"/>
    <w:rsid w:val="00CD4B34"/>
    <w:rsid w:val="00CD4C36"/>
    <w:rsid w:val="00CD538B"/>
    <w:rsid w:val="00CD5CE4"/>
    <w:rsid w:val="00CD5D4E"/>
    <w:rsid w:val="00CD626B"/>
    <w:rsid w:val="00CD653B"/>
    <w:rsid w:val="00CD6B4B"/>
    <w:rsid w:val="00CD6C42"/>
    <w:rsid w:val="00CD77C1"/>
    <w:rsid w:val="00CD7F12"/>
    <w:rsid w:val="00CD7F56"/>
    <w:rsid w:val="00CE0D74"/>
    <w:rsid w:val="00CE14C2"/>
    <w:rsid w:val="00CE1A62"/>
    <w:rsid w:val="00CE1CFD"/>
    <w:rsid w:val="00CE1E9D"/>
    <w:rsid w:val="00CE254C"/>
    <w:rsid w:val="00CE2F5C"/>
    <w:rsid w:val="00CE34C7"/>
    <w:rsid w:val="00CE39FA"/>
    <w:rsid w:val="00CE48BB"/>
    <w:rsid w:val="00CE4DE1"/>
    <w:rsid w:val="00CE538D"/>
    <w:rsid w:val="00CE56B1"/>
    <w:rsid w:val="00CE5899"/>
    <w:rsid w:val="00CE5D07"/>
    <w:rsid w:val="00CE64FD"/>
    <w:rsid w:val="00CE6661"/>
    <w:rsid w:val="00CE6E02"/>
    <w:rsid w:val="00CE70F5"/>
    <w:rsid w:val="00CE7261"/>
    <w:rsid w:val="00CF05BE"/>
    <w:rsid w:val="00CF062B"/>
    <w:rsid w:val="00CF0C2A"/>
    <w:rsid w:val="00CF10B7"/>
    <w:rsid w:val="00CF1D4B"/>
    <w:rsid w:val="00CF233A"/>
    <w:rsid w:val="00CF2B2F"/>
    <w:rsid w:val="00CF2CCC"/>
    <w:rsid w:val="00CF2E61"/>
    <w:rsid w:val="00CF31F5"/>
    <w:rsid w:val="00CF39AC"/>
    <w:rsid w:val="00CF3E71"/>
    <w:rsid w:val="00CF3F20"/>
    <w:rsid w:val="00CF5000"/>
    <w:rsid w:val="00CF51E7"/>
    <w:rsid w:val="00CF5A5A"/>
    <w:rsid w:val="00CF5EB1"/>
    <w:rsid w:val="00CF6952"/>
    <w:rsid w:val="00CF69FC"/>
    <w:rsid w:val="00CF6BC6"/>
    <w:rsid w:val="00CF7657"/>
    <w:rsid w:val="00CF79C0"/>
    <w:rsid w:val="00D02362"/>
    <w:rsid w:val="00D03012"/>
    <w:rsid w:val="00D03884"/>
    <w:rsid w:val="00D039CD"/>
    <w:rsid w:val="00D03C8E"/>
    <w:rsid w:val="00D057A2"/>
    <w:rsid w:val="00D05840"/>
    <w:rsid w:val="00D05AA9"/>
    <w:rsid w:val="00D05E8A"/>
    <w:rsid w:val="00D06164"/>
    <w:rsid w:val="00D069E4"/>
    <w:rsid w:val="00D076A4"/>
    <w:rsid w:val="00D07A0E"/>
    <w:rsid w:val="00D10351"/>
    <w:rsid w:val="00D10893"/>
    <w:rsid w:val="00D10D58"/>
    <w:rsid w:val="00D118DE"/>
    <w:rsid w:val="00D12477"/>
    <w:rsid w:val="00D12D8C"/>
    <w:rsid w:val="00D130C8"/>
    <w:rsid w:val="00D144E2"/>
    <w:rsid w:val="00D1532A"/>
    <w:rsid w:val="00D15C3F"/>
    <w:rsid w:val="00D1707C"/>
    <w:rsid w:val="00D17629"/>
    <w:rsid w:val="00D17F0E"/>
    <w:rsid w:val="00D205D7"/>
    <w:rsid w:val="00D20962"/>
    <w:rsid w:val="00D20C15"/>
    <w:rsid w:val="00D20E37"/>
    <w:rsid w:val="00D214DD"/>
    <w:rsid w:val="00D21607"/>
    <w:rsid w:val="00D21932"/>
    <w:rsid w:val="00D22355"/>
    <w:rsid w:val="00D22F35"/>
    <w:rsid w:val="00D235FD"/>
    <w:rsid w:val="00D23A03"/>
    <w:rsid w:val="00D25661"/>
    <w:rsid w:val="00D2568E"/>
    <w:rsid w:val="00D264B0"/>
    <w:rsid w:val="00D266F8"/>
    <w:rsid w:val="00D27AC5"/>
    <w:rsid w:val="00D30195"/>
    <w:rsid w:val="00D30DFB"/>
    <w:rsid w:val="00D31243"/>
    <w:rsid w:val="00D31426"/>
    <w:rsid w:val="00D31BF4"/>
    <w:rsid w:val="00D3230F"/>
    <w:rsid w:val="00D3265B"/>
    <w:rsid w:val="00D32C2D"/>
    <w:rsid w:val="00D337CE"/>
    <w:rsid w:val="00D33CF0"/>
    <w:rsid w:val="00D33EEC"/>
    <w:rsid w:val="00D34681"/>
    <w:rsid w:val="00D3488E"/>
    <w:rsid w:val="00D348F1"/>
    <w:rsid w:val="00D34C22"/>
    <w:rsid w:val="00D34E4E"/>
    <w:rsid w:val="00D34F68"/>
    <w:rsid w:val="00D35286"/>
    <w:rsid w:val="00D352E2"/>
    <w:rsid w:val="00D352EF"/>
    <w:rsid w:val="00D35DB3"/>
    <w:rsid w:val="00D3602D"/>
    <w:rsid w:val="00D36945"/>
    <w:rsid w:val="00D36AB9"/>
    <w:rsid w:val="00D37155"/>
    <w:rsid w:val="00D3775F"/>
    <w:rsid w:val="00D37CD3"/>
    <w:rsid w:val="00D37F37"/>
    <w:rsid w:val="00D40028"/>
    <w:rsid w:val="00D40999"/>
    <w:rsid w:val="00D40B80"/>
    <w:rsid w:val="00D40FDB"/>
    <w:rsid w:val="00D415B1"/>
    <w:rsid w:val="00D416CA"/>
    <w:rsid w:val="00D41761"/>
    <w:rsid w:val="00D42075"/>
    <w:rsid w:val="00D42096"/>
    <w:rsid w:val="00D428F5"/>
    <w:rsid w:val="00D42F4F"/>
    <w:rsid w:val="00D43A9D"/>
    <w:rsid w:val="00D44441"/>
    <w:rsid w:val="00D44D8F"/>
    <w:rsid w:val="00D44E65"/>
    <w:rsid w:val="00D4535B"/>
    <w:rsid w:val="00D458C2"/>
    <w:rsid w:val="00D458FC"/>
    <w:rsid w:val="00D45B60"/>
    <w:rsid w:val="00D46400"/>
    <w:rsid w:val="00D47B89"/>
    <w:rsid w:val="00D50D45"/>
    <w:rsid w:val="00D51412"/>
    <w:rsid w:val="00D52350"/>
    <w:rsid w:val="00D52A7A"/>
    <w:rsid w:val="00D52FBE"/>
    <w:rsid w:val="00D532CA"/>
    <w:rsid w:val="00D546D8"/>
    <w:rsid w:val="00D54A19"/>
    <w:rsid w:val="00D54D52"/>
    <w:rsid w:val="00D54ED3"/>
    <w:rsid w:val="00D550C9"/>
    <w:rsid w:val="00D553D0"/>
    <w:rsid w:val="00D56676"/>
    <w:rsid w:val="00D56B52"/>
    <w:rsid w:val="00D56C78"/>
    <w:rsid w:val="00D56F3B"/>
    <w:rsid w:val="00D576F8"/>
    <w:rsid w:val="00D57777"/>
    <w:rsid w:val="00D579A1"/>
    <w:rsid w:val="00D57D92"/>
    <w:rsid w:val="00D60D92"/>
    <w:rsid w:val="00D612AF"/>
    <w:rsid w:val="00D61BCF"/>
    <w:rsid w:val="00D61C85"/>
    <w:rsid w:val="00D62147"/>
    <w:rsid w:val="00D6222A"/>
    <w:rsid w:val="00D62B35"/>
    <w:rsid w:val="00D62CC8"/>
    <w:rsid w:val="00D62CF8"/>
    <w:rsid w:val="00D62D9D"/>
    <w:rsid w:val="00D62DFC"/>
    <w:rsid w:val="00D63B3E"/>
    <w:rsid w:val="00D63DFD"/>
    <w:rsid w:val="00D65509"/>
    <w:rsid w:val="00D6619E"/>
    <w:rsid w:val="00D66288"/>
    <w:rsid w:val="00D67B72"/>
    <w:rsid w:val="00D67BF7"/>
    <w:rsid w:val="00D70045"/>
    <w:rsid w:val="00D700B5"/>
    <w:rsid w:val="00D70D07"/>
    <w:rsid w:val="00D70F3F"/>
    <w:rsid w:val="00D71305"/>
    <w:rsid w:val="00D715D9"/>
    <w:rsid w:val="00D725F7"/>
    <w:rsid w:val="00D72F36"/>
    <w:rsid w:val="00D72FEC"/>
    <w:rsid w:val="00D7305A"/>
    <w:rsid w:val="00D739FD"/>
    <w:rsid w:val="00D744B2"/>
    <w:rsid w:val="00D74548"/>
    <w:rsid w:val="00D75CE1"/>
    <w:rsid w:val="00D75E53"/>
    <w:rsid w:val="00D7629E"/>
    <w:rsid w:val="00D7635E"/>
    <w:rsid w:val="00D763D0"/>
    <w:rsid w:val="00D76673"/>
    <w:rsid w:val="00D7683C"/>
    <w:rsid w:val="00D76B30"/>
    <w:rsid w:val="00D77FAA"/>
    <w:rsid w:val="00D8122D"/>
    <w:rsid w:val="00D81563"/>
    <w:rsid w:val="00D824B5"/>
    <w:rsid w:val="00D833FA"/>
    <w:rsid w:val="00D8397A"/>
    <w:rsid w:val="00D83F27"/>
    <w:rsid w:val="00D841BE"/>
    <w:rsid w:val="00D84E10"/>
    <w:rsid w:val="00D84EA9"/>
    <w:rsid w:val="00D84EC1"/>
    <w:rsid w:val="00D8561E"/>
    <w:rsid w:val="00D8587D"/>
    <w:rsid w:val="00D86289"/>
    <w:rsid w:val="00D86F8A"/>
    <w:rsid w:val="00D90F2E"/>
    <w:rsid w:val="00D91499"/>
    <w:rsid w:val="00D922EC"/>
    <w:rsid w:val="00D9270E"/>
    <w:rsid w:val="00D92A4A"/>
    <w:rsid w:val="00D93C29"/>
    <w:rsid w:val="00D9515B"/>
    <w:rsid w:val="00D97F6A"/>
    <w:rsid w:val="00DA084F"/>
    <w:rsid w:val="00DA1249"/>
    <w:rsid w:val="00DA1C6F"/>
    <w:rsid w:val="00DA1DD9"/>
    <w:rsid w:val="00DA2EAB"/>
    <w:rsid w:val="00DA3377"/>
    <w:rsid w:val="00DA3735"/>
    <w:rsid w:val="00DA37FC"/>
    <w:rsid w:val="00DA43F0"/>
    <w:rsid w:val="00DA4586"/>
    <w:rsid w:val="00DA5007"/>
    <w:rsid w:val="00DA71F3"/>
    <w:rsid w:val="00DA798B"/>
    <w:rsid w:val="00DA7B83"/>
    <w:rsid w:val="00DA7CFB"/>
    <w:rsid w:val="00DA7F66"/>
    <w:rsid w:val="00DB0610"/>
    <w:rsid w:val="00DB0670"/>
    <w:rsid w:val="00DB09BF"/>
    <w:rsid w:val="00DB1213"/>
    <w:rsid w:val="00DB1B35"/>
    <w:rsid w:val="00DB1ED7"/>
    <w:rsid w:val="00DB2677"/>
    <w:rsid w:val="00DB274D"/>
    <w:rsid w:val="00DB2F31"/>
    <w:rsid w:val="00DB340B"/>
    <w:rsid w:val="00DB3865"/>
    <w:rsid w:val="00DB39FF"/>
    <w:rsid w:val="00DB44C4"/>
    <w:rsid w:val="00DB4ECE"/>
    <w:rsid w:val="00DB502E"/>
    <w:rsid w:val="00DB5D05"/>
    <w:rsid w:val="00DB5EB3"/>
    <w:rsid w:val="00DB61B8"/>
    <w:rsid w:val="00DB66C8"/>
    <w:rsid w:val="00DB6B45"/>
    <w:rsid w:val="00DB6F74"/>
    <w:rsid w:val="00DB7075"/>
    <w:rsid w:val="00DB7ED7"/>
    <w:rsid w:val="00DC0114"/>
    <w:rsid w:val="00DC0260"/>
    <w:rsid w:val="00DC0517"/>
    <w:rsid w:val="00DC0796"/>
    <w:rsid w:val="00DC0CFF"/>
    <w:rsid w:val="00DC1226"/>
    <w:rsid w:val="00DC147E"/>
    <w:rsid w:val="00DC211B"/>
    <w:rsid w:val="00DC244E"/>
    <w:rsid w:val="00DC25E3"/>
    <w:rsid w:val="00DC30AC"/>
    <w:rsid w:val="00DC3894"/>
    <w:rsid w:val="00DC3E87"/>
    <w:rsid w:val="00DC3FAD"/>
    <w:rsid w:val="00DC4011"/>
    <w:rsid w:val="00DC47CA"/>
    <w:rsid w:val="00DC55C0"/>
    <w:rsid w:val="00DC574C"/>
    <w:rsid w:val="00DC598C"/>
    <w:rsid w:val="00DC642B"/>
    <w:rsid w:val="00DC670C"/>
    <w:rsid w:val="00DC6FE5"/>
    <w:rsid w:val="00DC775A"/>
    <w:rsid w:val="00DD07D4"/>
    <w:rsid w:val="00DD09D6"/>
    <w:rsid w:val="00DD0A86"/>
    <w:rsid w:val="00DD0F32"/>
    <w:rsid w:val="00DD18F0"/>
    <w:rsid w:val="00DD1A0F"/>
    <w:rsid w:val="00DD1B26"/>
    <w:rsid w:val="00DD1BB9"/>
    <w:rsid w:val="00DD2E7C"/>
    <w:rsid w:val="00DD33A0"/>
    <w:rsid w:val="00DD386B"/>
    <w:rsid w:val="00DD3B66"/>
    <w:rsid w:val="00DD3BCC"/>
    <w:rsid w:val="00DD472A"/>
    <w:rsid w:val="00DD5192"/>
    <w:rsid w:val="00DD5610"/>
    <w:rsid w:val="00DD5A1E"/>
    <w:rsid w:val="00DD5C40"/>
    <w:rsid w:val="00DD702F"/>
    <w:rsid w:val="00DD70EE"/>
    <w:rsid w:val="00DD7244"/>
    <w:rsid w:val="00DE03C1"/>
    <w:rsid w:val="00DE0883"/>
    <w:rsid w:val="00DE1100"/>
    <w:rsid w:val="00DE1672"/>
    <w:rsid w:val="00DE18FB"/>
    <w:rsid w:val="00DE26B9"/>
    <w:rsid w:val="00DE2D0E"/>
    <w:rsid w:val="00DE31F7"/>
    <w:rsid w:val="00DE458F"/>
    <w:rsid w:val="00DE4B55"/>
    <w:rsid w:val="00DE4D27"/>
    <w:rsid w:val="00DE4FFF"/>
    <w:rsid w:val="00DE5449"/>
    <w:rsid w:val="00DE5AD5"/>
    <w:rsid w:val="00DE6725"/>
    <w:rsid w:val="00DE68B7"/>
    <w:rsid w:val="00DE69F2"/>
    <w:rsid w:val="00DE722F"/>
    <w:rsid w:val="00DE75C0"/>
    <w:rsid w:val="00DF05DB"/>
    <w:rsid w:val="00DF1B4B"/>
    <w:rsid w:val="00DF32FA"/>
    <w:rsid w:val="00DF38DC"/>
    <w:rsid w:val="00DF39F0"/>
    <w:rsid w:val="00DF3AD8"/>
    <w:rsid w:val="00DF3B51"/>
    <w:rsid w:val="00DF4B67"/>
    <w:rsid w:val="00DF4CC7"/>
    <w:rsid w:val="00DF50E2"/>
    <w:rsid w:val="00DF60EA"/>
    <w:rsid w:val="00DF641D"/>
    <w:rsid w:val="00DF6878"/>
    <w:rsid w:val="00DF6F68"/>
    <w:rsid w:val="00DF72D6"/>
    <w:rsid w:val="00DF7392"/>
    <w:rsid w:val="00DF758D"/>
    <w:rsid w:val="00DF77EB"/>
    <w:rsid w:val="00DF7902"/>
    <w:rsid w:val="00DF7C66"/>
    <w:rsid w:val="00DF7C84"/>
    <w:rsid w:val="00E00EDC"/>
    <w:rsid w:val="00E011E7"/>
    <w:rsid w:val="00E016BE"/>
    <w:rsid w:val="00E0249C"/>
    <w:rsid w:val="00E0261C"/>
    <w:rsid w:val="00E02D12"/>
    <w:rsid w:val="00E02D38"/>
    <w:rsid w:val="00E02EEA"/>
    <w:rsid w:val="00E037D2"/>
    <w:rsid w:val="00E03B2C"/>
    <w:rsid w:val="00E03C04"/>
    <w:rsid w:val="00E03D9C"/>
    <w:rsid w:val="00E03DD0"/>
    <w:rsid w:val="00E03FFE"/>
    <w:rsid w:val="00E045EE"/>
    <w:rsid w:val="00E04FAE"/>
    <w:rsid w:val="00E051DB"/>
    <w:rsid w:val="00E057C3"/>
    <w:rsid w:val="00E068F2"/>
    <w:rsid w:val="00E10001"/>
    <w:rsid w:val="00E1052E"/>
    <w:rsid w:val="00E10BC1"/>
    <w:rsid w:val="00E10C20"/>
    <w:rsid w:val="00E10FC6"/>
    <w:rsid w:val="00E11DA2"/>
    <w:rsid w:val="00E11F4C"/>
    <w:rsid w:val="00E120F1"/>
    <w:rsid w:val="00E133CA"/>
    <w:rsid w:val="00E1343F"/>
    <w:rsid w:val="00E136D0"/>
    <w:rsid w:val="00E13923"/>
    <w:rsid w:val="00E13975"/>
    <w:rsid w:val="00E14616"/>
    <w:rsid w:val="00E147CE"/>
    <w:rsid w:val="00E151DD"/>
    <w:rsid w:val="00E15ADB"/>
    <w:rsid w:val="00E15F84"/>
    <w:rsid w:val="00E16469"/>
    <w:rsid w:val="00E16905"/>
    <w:rsid w:val="00E174D0"/>
    <w:rsid w:val="00E20282"/>
    <w:rsid w:val="00E21A5C"/>
    <w:rsid w:val="00E21BC8"/>
    <w:rsid w:val="00E21F5A"/>
    <w:rsid w:val="00E22001"/>
    <w:rsid w:val="00E224FC"/>
    <w:rsid w:val="00E23592"/>
    <w:rsid w:val="00E2369C"/>
    <w:rsid w:val="00E2409C"/>
    <w:rsid w:val="00E24706"/>
    <w:rsid w:val="00E250D7"/>
    <w:rsid w:val="00E25916"/>
    <w:rsid w:val="00E2620B"/>
    <w:rsid w:val="00E26477"/>
    <w:rsid w:val="00E26B31"/>
    <w:rsid w:val="00E30387"/>
    <w:rsid w:val="00E30897"/>
    <w:rsid w:val="00E30903"/>
    <w:rsid w:val="00E311BC"/>
    <w:rsid w:val="00E31D5C"/>
    <w:rsid w:val="00E329D5"/>
    <w:rsid w:val="00E334AB"/>
    <w:rsid w:val="00E340C6"/>
    <w:rsid w:val="00E34422"/>
    <w:rsid w:val="00E348C9"/>
    <w:rsid w:val="00E34908"/>
    <w:rsid w:val="00E35A87"/>
    <w:rsid w:val="00E35BCA"/>
    <w:rsid w:val="00E35D21"/>
    <w:rsid w:val="00E369F1"/>
    <w:rsid w:val="00E36FDC"/>
    <w:rsid w:val="00E37475"/>
    <w:rsid w:val="00E37DD2"/>
    <w:rsid w:val="00E4007D"/>
    <w:rsid w:val="00E40131"/>
    <w:rsid w:val="00E40569"/>
    <w:rsid w:val="00E40AC6"/>
    <w:rsid w:val="00E40F22"/>
    <w:rsid w:val="00E413D5"/>
    <w:rsid w:val="00E41770"/>
    <w:rsid w:val="00E4177C"/>
    <w:rsid w:val="00E441C6"/>
    <w:rsid w:val="00E44691"/>
    <w:rsid w:val="00E44A70"/>
    <w:rsid w:val="00E45618"/>
    <w:rsid w:val="00E4625D"/>
    <w:rsid w:val="00E465B3"/>
    <w:rsid w:val="00E466EA"/>
    <w:rsid w:val="00E46CFB"/>
    <w:rsid w:val="00E46E99"/>
    <w:rsid w:val="00E47434"/>
    <w:rsid w:val="00E4792A"/>
    <w:rsid w:val="00E47AFB"/>
    <w:rsid w:val="00E504D5"/>
    <w:rsid w:val="00E50C82"/>
    <w:rsid w:val="00E523D9"/>
    <w:rsid w:val="00E524E4"/>
    <w:rsid w:val="00E52928"/>
    <w:rsid w:val="00E52BFC"/>
    <w:rsid w:val="00E549DD"/>
    <w:rsid w:val="00E54D73"/>
    <w:rsid w:val="00E55255"/>
    <w:rsid w:val="00E55AC7"/>
    <w:rsid w:val="00E56FE0"/>
    <w:rsid w:val="00E57561"/>
    <w:rsid w:val="00E576A6"/>
    <w:rsid w:val="00E57851"/>
    <w:rsid w:val="00E6004D"/>
    <w:rsid w:val="00E60232"/>
    <w:rsid w:val="00E60F9C"/>
    <w:rsid w:val="00E612B1"/>
    <w:rsid w:val="00E61699"/>
    <w:rsid w:val="00E61E56"/>
    <w:rsid w:val="00E6221B"/>
    <w:rsid w:val="00E62F1D"/>
    <w:rsid w:val="00E6412E"/>
    <w:rsid w:val="00E642C3"/>
    <w:rsid w:val="00E6473F"/>
    <w:rsid w:val="00E64B7F"/>
    <w:rsid w:val="00E64FBF"/>
    <w:rsid w:val="00E654CE"/>
    <w:rsid w:val="00E6557C"/>
    <w:rsid w:val="00E65980"/>
    <w:rsid w:val="00E65C5A"/>
    <w:rsid w:val="00E65FB9"/>
    <w:rsid w:val="00E664EA"/>
    <w:rsid w:val="00E6700B"/>
    <w:rsid w:val="00E67137"/>
    <w:rsid w:val="00E70233"/>
    <w:rsid w:val="00E7085F"/>
    <w:rsid w:val="00E7120C"/>
    <w:rsid w:val="00E714E2"/>
    <w:rsid w:val="00E72387"/>
    <w:rsid w:val="00E733D5"/>
    <w:rsid w:val="00E73C49"/>
    <w:rsid w:val="00E74002"/>
    <w:rsid w:val="00E7437D"/>
    <w:rsid w:val="00E74574"/>
    <w:rsid w:val="00E74F63"/>
    <w:rsid w:val="00E751EF"/>
    <w:rsid w:val="00E75454"/>
    <w:rsid w:val="00E75F85"/>
    <w:rsid w:val="00E77079"/>
    <w:rsid w:val="00E77F3A"/>
    <w:rsid w:val="00E8036C"/>
    <w:rsid w:val="00E80845"/>
    <w:rsid w:val="00E8103A"/>
    <w:rsid w:val="00E810FA"/>
    <w:rsid w:val="00E815E3"/>
    <w:rsid w:val="00E81732"/>
    <w:rsid w:val="00E81ADC"/>
    <w:rsid w:val="00E81D5D"/>
    <w:rsid w:val="00E81E52"/>
    <w:rsid w:val="00E82D07"/>
    <w:rsid w:val="00E84074"/>
    <w:rsid w:val="00E84F4E"/>
    <w:rsid w:val="00E855B8"/>
    <w:rsid w:val="00E858D9"/>
    <w:rsid w:val="00E86212"/>
    <w:rsid w:val="00E86369"/>
    <w:rsid w:val="00E86A52"/>
    <w:rsid w:val="00E86B94"/>
    <w:rsid w:val="00E876CA"/>
    <w:rsid w:val="00E8795E"/>
    <w:rsid w:val="00E90849"/>
    <w:rsid w:val="00E90B30"/>
    <w:rsid w:val="00E90C45"/>
    <w:rsid w:val="00E91D7C"/>
    <w:rsid w:val="00E930A5"/>
    <w:rsid w:val="00E9337D"/>
    <w:rsid w:val="00E93C1B"/>
    <w:rsid w:val="00E93F92"/>
    <w:rsid w:val="00E94439"/>
    <w:rsid w:val="00E95588"/>
    <w:rsid w:val="00E971BE"/>
    <w:rsid w:val="00EA004C"/>
    <w:rsid w:val="00EA01DB"/>
    <w:rsid w:val="00EA0759"/>
    <w:rsid w:val="00EA0B78"/>
    <w:rsid w:val="00EA0C8A"/>
    <w:rsid w:val="00EA14C1"/>
    <w:rsid w:val="00EA1688"/>
    <w:rsid w:val="00EA17BB"/>
    <w:rsid w:val="00EA1DC5"/>
    <w:rsid w:val="00EA1F7D"/>
    <w:rsid w:val="00EA1FCE"/>
    <w:rsid w:val="00EA34E8"/>
    <w:rsid w:val="00EA4361"/>
    <w:rsid w:val="00EA4750"/>
    <w:rsid w:val="00EA4F0E"/>
    <w:rsid w:val="00EA5AAA"/>
    <w:rsid w:val="00EA5CB8"/>
    <w:rsid w:val="00EA5D2A"/>
    <w:rsid w:val="00EA5D2C"/>
    <w:rsid w:val="00EA60BC"/>
    <w:rsid w:val="00EA657A"/>
    <w:rsid w:val="00EA7AB1"/>
    <w:rsid w:val="00EB01EF"/>
    <w:rsid w:val="00EB0341"/>
    <w:rsid w:val="00EB0380"/>
    <w:rsid w:val="00EB0AC0"/>
    <w:rsid w:val="00EB0C13"/>
    <w:rsid w:val="00EB176F"/>
    <w:rsid w:val="00EB1B39"/>
    <w:rsid w:val="00EB1D47"/>
    <w:rsid w:val="00EB21CE"/>
    <w:rsid w:val="00EB2B80"/>
    <w:rsid w:val="00EB2D76"/>
    <w:rsid w:val="00EB304B"/>
    <w:rsid w:val="00EB45BC"/>
    <w:rsid w:val="00EB46E0"/>
    <w:rsid w:val="00EB5C95"/>
    <w:rsid w:val="00EB5E50"/>
    <w:rsid w:val="00EB60FB"/>
    <w:rsid w:val="00EB64C3"/>
    <w:rsid w:val="00EB6A26"/>
    <w:rsid w:val="00EB6A50"/>
    <w:rsid w:val="00EB7075"/>
    <w:rsid w:val="00EB739D"/>
    <w:rsid w:val="00EB73F1"/>
    <w:rsid w:val="00EB7E9F"/>
    <w:rsid w:val="00EC1089"/>
    <w:rsid w:val="00EC14D7"/>
    <w:rsid w:val="00EC14E9"/>
    <w:rsid w:val="00EC154E"/>
    <w:rsid w:val="00EC15D9"/>
    <w:rsid w:val="00EC16FA"/>
    <w:rsid w:val="00EC181D"/>
    <w:rsid w:val="00EC31CC"/>
    <w:rsid w:val="00EC3B42"/>
    <w:rsid w:val="00EC3D80"/>
    <w:rsid w:val="00EC4386"/>
    <w:rsid w:val="00EC4616"/>
    <w:rsid w:val="00EC4D10"/>
    <w:rsid w:val="00EC5288"/>
    <w:rsid w:val="00EC5E00"/>
    <w:rsid w:val="00EC5F2B"/>
    <w:rsid w:val="00EC6408"/>
    <w:rsid w:val="00EC65EE"/>
    <w:rsid w:val="00EC6E97"/>
    <w:rsid w:val="00EC6FA4"/>
    <w:rsid w:val="00EC7398"/>
    <w:rsid w:val="00EC798B"/>
    <w:rsid w:val="00ED0994"/>
    <w:rsid w:val="00ED0998"/>
    <w:rsid w:val="00ED1A6D"/>
    <w:rsid w:val="00ED1BE7"/>
    <w:rsid w:val="00ED1C11"/>
    <w:rsid w:val="00ED24FD"/>
    <w:rsid w:val="00ED2E18"/>
    <w:rsid w:val="00ED2F76"/>
    <w:rsid w:val="00ED3429"/>
    <w:rsid w:val="00ED3DA3"/>
    <w:rsid w:val="00ED434E"/>
    <w:rsid w:val="00ED53A1"/>
    <w:rsid w:val="00ED5C94"/>
    <w:rsid w:val="00ED5E39"/>
    <w:rsid w:val="00ED5ECF"/>
    <w:rsid w:val="00ED5EFE"/>
    <w:rsid w:val="00ED669A"/>
    <w:rsid w:val="00ED6A75"/>
    <w:rsid w:val="00ED6AAA"/>
    <w:rsid w:val="00ED7561"/>
    <w:rsid w:val="00ED7A11"/>
    <w:rsid w:val="00ED7CBE"/>
    <w:rsid w:val="00EE02CE"/>
    <w:rsid w:val="00EE0794"/>
    <w:rsid w:val="00EE0E20"/>
    <w:rsid w:val="00EE122A"/>
    <w:rsid w:val="00EE210E"/>
    <w:rsid w:val="00EE2AA0"/>
    <w:rsid w:val="00EE2E88"/>
    <w:rsid w:val="00EE2F89"/>
    <w:rsid w:val="00EE30B8"/>
    <w:rsid w:val="00EE328B"/>
    <w:rsid w:val="00EE39F5"/>
    <w:rsid w:val="00EE4828"/>
    <w:rsid w:val="00EE4FAE"/>
    <w:rsid w:val="00EE5019"/>
    <w:rsid w:val="00EE50AA"/>
    <w:rsid w:val="00EE5F7B"/>
    <w:rsid w:val="00EE6834"/>
    <w:rsid w:val="00EE6A28"/>
    <w:rsid w:val="00EE6CF1"/>
    <w:rsid w:val="00EE6E2F"/>
    <w:rsid w:val="00EE72BE"/>
    <w:rsid w:val="00EE7503"/>
    <w:rsid w:val="00EE7A56"/>
    <w:rsid w:val="00EE7F76"/>
    <w:rsid w:val="00EF0343"/>
    <w:rsid w:val="00EF0688"/>
    <w:rsid w:val="00EF185B"/>
    <w:rsid w:val="00EF3E79"/>
    <w:rsid w:val="00EF448E"/>
    <w:rsid w:val="00EF44DB"/>
    <w:rsid w:val="00EF4A6C"/>
    <w:rsid w:val="00EF583E"/>
    <w:rsid w:val="00EF6405"/>
    <w:rsid w:val="00EF6F7B"/>
    <w:rsid w:val="00EF71E7"/>
    <w:rsid w:val="00EF7421"/>
    <w:rsid w:val="00EF78CD"/>
    <w:rsid w:val="00F00506"/>
    <w:rsid w:val="00F007E5"/>
    <w:rsid w:val="00F021EC"/>
    <w:rsid w:val="00F027A1"/>
    <w:rsid w:val="00F02963"/>
    <w:rsid w:val="00F02A59"/>
    <w:rsid w:val="00F03792"/>
    <w:rsid w:val="00F03D28"/>
    <w:rsid w:val="00F04038"/>
    <w:rsid w:val="00F04395"/>
    <w:rsid w:val="00F0450B"/>
    <w:rsid w:val="00F047EC"/>
    <w:rsid w:val="00F052BA"/>
    <w:rsid w:val="00F05303"/>
    <w:rsid w:val="00F055A2"/>
    <w:rsid w:val="00F05609"/>
    <w:rsid w:val="00F061AB"/>
    <w:rsid w:val="00F07957"/>
    <w:rsid w:val="00F106EC"/>
    <w:rsid w:val="00F1116E"/>
    <w:rsid w:val="00F1206E"/>
    <w:rsid w:val="00F127FD"/>
    <w:rsid w:val="00F1291B"/>
    <w:rsid w:val="00F12948"/>
    <w:rsid w:val="00F129AF"/>
    <w:rsid w:val="00F13860"/>
    <w:rsid w:val="00F1412C"/>
    <w:rsid w:val="00F14E96"/>
    <w:rsid w:val="00F14F44"/>
    <w:rsid w:val="00F15649"/>
    <w:rsid w:val="00F1655C"/>
    <w:rsid w:val="00F16AFB"/>
    <w:rsid w:val="00F17B10"/>
    <w:rsid w:val="00F17F05"/>
    <w:rsid w:val="00F17F7D"/>
    <w:rsid w:val="00F17FB6"/>
    <w:rsid w:val="00F200C9"/>
    <w:rsid w:val="00F200D0"/>
    <w:rsid w:val="00F20AC9"/>
    <w:rsid w:val="00F213F3"/>
    <w:rsid w:val="00F21B81"/>
    <w:rsid w:val="00F22C8E"/>
    <w:rsid w:val="00F23345"/>
    <w:rsid w:val="00F236A9"/>
    <w:rsid w:val="00F23D89"/>
    <w:rsid w:val="00F23E1D"/>
    <w:rsid w:val="00F23F4A"/>
    <w:rsid w:val="00F243D0"/>
    <w:rsid w:val="00F24A44"/>
    <w:rsid w:val="00F2512B"/>
    <w:rsid w:val="00F25A3B"/>
    <w:rsid w:val="00F25BBE"/>
    <w:rsid w:val="00F2630F"/>
    <w:rsid w:val="00F26F69"/>
    <w:rsid w:val="00F27931"/>
    <w:rsid w:val="00F306B8"/>
    <w:rsid w:val="00F310C3"/>
    <w:rsid w:val="00F31F1A"/>
    <w:rsid w:val="00F320A3"/>
    <w:rsid w:val="00F33DE0"/>
    <w:rsid w:val="00F349B4"/>
    <w:rsid w:val="00F3665D"/>
    <w:rsid w:val="00F36923"/>
    <w:rsid w:val="00F36B0F"/>
    <w:rsid w:val="00F406CC"/>
    <w:rsid w:val="00F40C5A"/>
    <w:rsid w:val="00F40D47"/>
    <w:rsid w:val="00F41413"/>
    <w:rsid w:val="00F41846"/>
    <w:rsid w:val="00F419BE"/>
    <w:rsid w:val="00F41A85"/>
    <w:rsid w:val="00F423C4"/>
    <w:rsid w:val="00F43453"/>
    <w:rsid w:val="00F43F4D"/>
    <w:rsid w:val="00F4419C"/>
    <w:rsid w:val="00F4420C"/>
    <w:rsid w:val="00F44373"/>
    <w:rsid w:val="00F4460D"/>
    <w:rsid w:val="00F45BCE"/>
    <w:rsid w:val="00F45EE3"/>
    <w:rsid w:val="00F45F7D"/>
    <w:rsid w:val="00F474A7"/>
    <w:rsid w:val="00F47723"/>
    <w:rsid w:val="00F47EAA"/>
    <w:rsid w:val="00F504D2"/>
    <w:rsid w:val="00F50615"/>
    <w:rsid w:val="00F50D5C"/>
    <w:rsid w:val="00F519D3"/>
    <w:rsid w:val="00F51B7C"/>
    <w:rsid w:val="00F52C51"/>
    <w:rsid w:val="00F53463"/>
    <w:rsid w:val="00F54184"/>
    <w:rsid w:val="00F545E3"/>
    <w:rsid w:val="00F54FC0"/>
    <w:rsid w:val="00F5642D"/>
    <w:rsid w:val="00F56510"/>
    <w:rsid w:val="00F5680A"/>
    <w:rsid w:val="00F56B64"/>
    <w:rsid w:val="00F57935"/>
    <w:rsid w:val="00F57D06"/>
    <w:rsid w:val="00F60996"/>
    <w:rsid w:val="00F60A88"/>
    <w:rsid w:val="00F60AFC"/>
    <w:rsid w:val="00F60DDB"/>
    <w:rsid w:val="00F61520"/>
    <w:rsid w:val="00F61884"/>
    <w:rsid w:val="00F61F45"/>
    <w:rsid w:val="00F629EF"/>
    <w:rsid w:val="00F63100"/>
    <w:rsid w:val="00F6332A"/>
    <w:rsid w:val="00F65D37"/>
    <w:rsid w:val="00F661D0"/>
    <w:rsid w:val="00F66E50"/>
    <w:rsid w:val="00F70342"/>
    <w:rsid w:val="00F7095B"/>
    <w:rsid w:val="00F709BD"/>
    <w:rsid w:val="00F71174"/>
    <w:rsid w:val="00F711FF"/>
    <w:rsid w:val="00F719D4"/>
    <w:rsid w:val="00F72BF7"/>
    <w:rsid w:val="00F72DE1"/>
    <w:rsid w:val="00F744B4"/>
    <w:rsid w:val="00F74A08"/>
    <w:rsid w:val="00F74A33"/>
    <w:rsid w:val="00F74BCF"/>
    <w:rsid w:val="00F75204"/>
    <w:rsid w:val="00F75BD2"/>
    <w:rsid w:val="00F765BA"/>
    <w:rsid w:val="00F767EC"/>
    <w:rsid w:val="00F76B01"/>
    <w:rsid w:val="00F76CA8"/>
    <w:rsid w:val="00F8001F"/>
    <w:rsid w:val="00F80C6E"/>
    <w:rsid w:val="00F81127"/>
    <w:rsid w:val="00F81AAF"/>
    <w:rsid w:val="00F81E59"/>
    <w:rsid w:val="00F81EA1"/>
    <w:rsid w:val="00F825F0"/>
    <w:rsid w:val="00F82687"/>
    <w:rsid w:val="00F841D9"/>
    <w:rsid w:val="00F849DD"/>
    <w:rsid w:val="00F84BDD"/>
    <w:rsid w:val="00F84F68"/>
    <w:rsid w:val="00F867D0"/>
    <w:rsid w:val="00F8741F"/>
    <w:rsid w:val="00F874AA"/>
    <w:rsid w:val="00F875F4"/>
    <w:rsid w:val="00F878A9"/>
    <w:rsid w:val="00F87E74"/>
    <w:rsid w:val="00F9024E"/>
    <w:rsid w:val="00F9088C"/>
    <w:rsid w:val="00F90C05"/>
    <w:rsid w:val="00F911D7"/>
    <w:rsid w:val="00F911FB"/>
    <w:rsid w:val="00F932B1"/>
    <w:rsid w:val="00F93D6E"/>
    <w:rsid w:val="00F94709"/>
    <w:rsid w:val="00F97BCD"/>
    <w:rsid w:val="00F97E6F"/>
    <w:rsid w:val="00FA017D"/>
    <w:rsid w:val="00FA01F0"/>
    <w:rsid w:val="00FA0951"/>
    <w:rsid w:val="00FA18C6"/>
    <w:rsid w:val="00FA1B31"/>
    <w:rsid w:val="00FA233C"/>
    <w:rsid w:val="00FA24FA"/>
    <w:rsid w:val="00FA4901"/>
    <w:rsid w:val="00FA56D1"/>
    <w:rsid w:val="00FA6E64"/>
    <w:rsid w:val="00FA770C"/>
    <w:rsid w:val="00FA7A64"/>
    <w:rsid w:val="00FA7CB6"/>
    <w:rsid w:val="00FA7FF3"/>
    <w:rsid w:val="00FB02CE"/>
    <w:rsid w:val="00FB040E"/>
    <w:rsid w:val="00FB0B7F"/>
    <w:rsid w:val="00FB0E54"/>
    <w:rsid w:val="00FB129E"/>
    <w:rsid w:val="00FB1C00"/>
    <w:rsid w:val="00FB1E7B"/>
    <w:rsid w:val="00FB2093"/>
    <w:rsid w:val="00FB24D0"/>
    <w:rsid w:val="00FB28DA"/>
    <w:rsid w:val="00FB2B5A"/>
    <w:rsid w:val="00FB2D95"/>
    <w:rsid w:val="00FB2E74"/>
    <w:rsid w:val="00FB33C0"/>
    <w:rsid w:val="00FB34D2"/>
    <w:rsid w:val="00FB3FA2"/>
    <w:rsid w:val="00FB43C6"/>
    <w:rsid w:val="00FB4579"/>
    <w:rsid w:val="00FB4FFD"/>
    <w:rsid w:val="00FB5ECF"/>
    <w:rsid w:val="00FB5FF2"/>
    <w:rsid w:val="00FB644C"/>
    <w:rsid w:val="00FB668E"/>
    <w:rsid w:val="00FB6B8F"/>
    <w:rsid w:val="00FB6C4F"/>
    <w:rsid w:val="00FB6F92"/>
    <w:rsid w:val="00FB74FC"/>
    <w:rsid w:val="00FB79E6"/>
    <w:rsid w:val="00FC00AF"/>
    <w:rsid w:val="00FC0127"/>
    <w:rsid w:val="00FC0817"/>
    <w:rsid w:val="00FC1040"/>
    <w:rsid w:val="00FC11C1"/>
    <w:rsid w:val="00FC121A"/>
    <w:rsid w:val="00FC1818"/>
    <w:rsid w:val="00FC18B0"/>
    <w:rsid w:val="00FC1FEC"/>
    <w:rsid w:val="00FC2C65"/>
    <w:rsid w:val="00FC2DA8"/>
    <w:rsid w:val="00FC3421"/>
    <w:rsid w:val="00FC35BE"/>
    <w:rsid w:val="00FC3A09"/>
    <w:rsid w:val="00FC488C"/>
    <w:rsid w:val="00FC511E"/>
    <w:rsid w:val="00FC5156"/>
    <w:rsid w:val="00FC5455"/>
    <w:rsid w:val="00FC640E"/>
    <w:rsid w:val="00FC677C"/>
    <w:rsid w:val="00FC6A39"/>
    <w:rsid w:val="00FC6F41"/>
    <w:rsid w:val="00FC7A3D"/>
    <w:rsid w:val="00FC7E98"/>
    <w:rsid w:val="00FD013A"/>
    <w:rsid w:val="00FD0169"/>
    <w:rsid w:val="00FD144E"/>
    <w:rsid w:val="00FD1700"/>
    <w:rsid w:val="00FD2160"/>
    <w:rsid w:val="00FD2DE9"/>
    <w:rsid w:val="00FD30F7"/>
    <w:rsid w:val="00FD3722"/>
    <w:rsid w:val="00FD3868"/>
    <w:rsid w:val="00FD3A82"/>
    <w:rsid w:val="00FD3F74"/>
    <w:rsid w:val="00FD4B43"/>
    <w:rsid w:val="00FD5384"/>
    <w:rsid w:val="00FD7411"/>
    <w:rsid w:val="00FD77D0"/>
    <w:rsid w:val="00FD7B3B"/>
    <w:rsid w:val="00FE05F6"/>
    <w:rsid w:val="00FE19ED"/>
    <w:rsid w:val="00FE1A45"/>
    <w:rsid w:val="00FE279E"/>
    <w:rsid w:val="00FE2DF2"/>
    <w:rsid w:val="00FE3879"/>
    <w:rsid w:val="00FE3B8B"/>
    <w:rsid w:val="00FE3C0A"/>
    <w:rsid w:val="00FE41A4"/>
    <w:rsid w:val="00FE4559"/>
    <w:rsid w:val="00FE49D4"/>
    <w:rsid w:val="00FE5BB6"/>
    <w:rsid w:val="00FE6606"/>
    <w:rsid w:val="00FE6A00"/>
    <w:rsid w:val="00FE79CB"/>
    <w:rsid w:val="00FF09EE"/>
    <w:rsid w:val="00FF0B90"/>
    <w:rsid w:val="00FF0C18"/>
    <w:rsid w:val="00FF0F62"/>
    <w:rsid w:val="00FF1519"/>
    <w:rsid w:val="00FF2045"/>
    <w:rsid w:val="00FF2C86"/>
    <w:rsid w:val="00FF2FB8"/>
    <w:rsid w:val="00FF2FF5"/>
    <w:rsid w:val="00FF3744"/>
    <w:rsid w:val="00FF4A80"/>
    <w:rsid w:val="00FF5149"/>
    <w:rsid w:val="00FF59B9"/>
    <w:rsid w:val="00FF5EBD"/>
    <w:rsid w:val="00FF61E3"/>
    <w:rsid w:val="00FF7C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7ABF1D"/>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EB6"/>
    <w:rPr>
      <w:sz w:val="24"/>
      <w:szCs w:val="24"/>
    </w:rPr>
  </w:style>
  <w:style w:type="paragraph" w:styleId="Heading1">
    <w:name w:val="heading 1"/>
    <w:basedOn w:val="Normal"/>
    <w:next w:val="Normal"/>
    <w:link w:val="Heading1Char"/>
    <w:uiPriority w:val="99"/>
    <w:qFormat/>
    <w:rsid w:val="007B74B0"/>
    <w:pPr>
      <w:keepNext/>
      <w:jc w:val="center"/>
      <w:outlineLvl w:val="0"/>
    </w:pPr>
    <w:rPr>
      <w:rFonts w:ascii="Arial" w:hAnsi="Arial" w:cs="Arial"/>
      <w:b/>
      <w:bCs/>
      <w:sz w:val="48"/>
    </w:rPr>
  </w:style>
  <w:style w:type="paragraph" w:styleId="Heading2">
    <w:name w:val="heading 2"/>
    <w:basedOn w:val="Normal"/>
    <w:next w:val="Normal"/>
    <w:link w:val="Heading2Char"/>
    <w:uiPriority w:val="99"/>
    <w:qFormat/>
    <w:rsid w:val="007B74B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7B74B0"/>
    <w:pPr>
      <w:keepNext/>
      <w:ind w:right="-180"/>
      <w:jc w:val="center"/>
      <w:outlineLvl w:val="2"/>
    </w:pPr>
    <w:rPr>
      <w:rFonts w:ascii="Arial" w:hAnsi="Arial" w:cs="Arial"/>
      <w:b/>
      <w:bCs/>
      <w:sz w:val="40"/>
      <w:szCs w:val="40"/>
    </w:rPr>
  </w:style>
  <w:style w:type="paragraph" w:styleId="Heading4">
    <w:name w:val="heading 4"/>
    <w:basedOn w:val="Normal"/>
    <w:next w:val="Normal"/>
    <w:link w:val="Heading4Char"/>
    <w:uiPriority w:val="99"/>
    <w:qFormat/>
    <w:rsid w:val="007B74B0"/>
    <w:pPr>
      <w:keepNext/>
      <w:spacing w:before="240" w:after="60"/>
      <w:outlineLvl w:val="3"/>
    </w:pPr>
    <w:rPr>
      <w:b/>
      <w:bCs/>
      <w:sz w:val="28"/>
      <w:szCs w:val="28"/>
    </w:rPr>
  </w:style>
  <w:style w:type="paragraph" w:styleId="Heading5">
    <w:name w:val="heading 5"/>
    <w:basedOn w:val="Normal"/>
    <w:next w:val="Normal"/>
    <w:link w:val="Heading5Char"/>
    <w:uiPriority w:val="99"/>
    <w:qFormat/>
    <w:rsid w:val="007B74B0"/>
    <w:pPr>
      <w:keepNext/>
      <w:jc w:val="center"/>
      <w:outlineLvl w:val="4"/>
    </w:pPr>
    <w:rPr>
      <w:rFonts w:ascii="Arial" w:hAnsi="Arial" w:cs="Arial"/>
      <w:b/>
      <w: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241C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241C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7241C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241C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7241CD"/>
    <w:rPr>
      <w:rFonts w:ascii="Calibri" w:hAnsi="Calibri" w:cs="Times New Roman"/>
      <w:b/>
      <w:bCs/>
      <w:i/>
      <w:iCs/>
      <w:sz w:val="26"/>
      <w:szCs w:val="26"/>
    </w:rPr>
  </w:style>
  <w:style w:type="character" w:styleId="Hyperlink">
    <w:name w:val="Hyperlink"/>
    <w:basedOn w:val="DefaultParagraphFont"/>
    <w:uiPriority w:val="99"/>
    <w:rsid w:val="007B74B0"/>
    <w:rPr>
      <w:rFonts w:cs="Times New Roman"/>
      <w:color w:val="0000FF"/>
      <w:u w:val="single"/>
    </w:rPr>
  </w:style>
  <w:style w:type="paragraph" w:styleId="Header">
    <w:name w:val="header"/>
    <w:basedOn w:val="Normal"/>
    <w:link w:val="HeaderChar"/>
    <w:uiPriority w:val="99"/>
    <w:rsid w:val="007B74B0"/>
    <w:pPr>
      <w:tabs>
        <w:tab w:val="center" w:pos="4320"/>
        <w:tab w:val="right" w:pos="8640"/>
      </w:tabs>
    </w:pPr>
  </w:style>
  <w:style w:type="character" w:customStyle="1" w:styleId="HeaderChar">
    <w:name w:val="Header Char"/>
    <w:basedOn w:val="DefaultParagraphFont"/>
    <w:link w:val="Header"/>
    <w:uiPriority w:val="99"/>
    <w:locked/>
    <w:rsid w:val="007241CD"/>
    <w:rPr>
      <w:rFonts w:cs="Times New Roman"/>
      <w:sz w:val="24"/>
      <w:szCs w:val="24"/>
    </w:rPr>
  </w:style>
  <w:style w:type="paragraph" w:styleId="Footer">
    <w:name w:val="footer"/>
    <w:basedOn w:val="Normal"/>
    <w:link w:val="FooterChar"/>
    <w:uiPriority w:val="99"/>
    <w:rsid w:val="007B74B0"/>
    <w:pPr>
      <w:tabs>
        <w:tab w:val="center" w:pos="4320"/>
        <w:tab w:val="right" w:pos="8640"/>
      </w:tabs>
    </w:pPr>
  </w:style>
  <w:style w:type="character" w:customStyle="1" w:styleId="FooterChar">
    <w:name w:val="Footer Char"/>
    <w:basedOn w:val="DefaultParagraphFont"/>
    <w:link w:val="Footer"/>
    <w:uiPriority w:val="99"/>
    <w:locked/>
    <w:rsid w:val="007241CD"/>
    <w:rPr>
      <w:rFonts w:cs="Times New Roman"/>
      <w:sz w:val="24"/>
      <w:szCs w:val="24"/>
    </w:rPr>
  </w:style>
  <w:style w:type="paragraph" w:styleId="BodyText2">
    <w:name w:val="Body Text 2"/>
    <w:basedOn w:val="Normal"/>
    <w:link w:val="BodyText2Char"/>
    <w:uiPriority w:val="99"/>
    <w:rsid w:val="007B74B0"/>
    <w:pPr>
      <w:spacing w:after="120" w:line="480" w:lineRule="auto"/>
    </w:pPr>
  </w:style>
  <w:style w:type="character" w:customStyle="1" w:styleId="BodyText2Char">
    <w:name w:val="Body Text 2 Char"/>
    <w:basedOn w:val="DefaultParagraphFont"/>
    <w:link w:val="BodyText2"/>
    <w:uiPriority w:val="99"/>
    <w:semiHidden/>
    <w:locked/>
    <w:rsid w:val="007241CD"/>
    <w:rPr>
      <w:rFonts w:cs="Times New Roman"/>
      <w:sz w:val="24"/>
      <w:szCs w:val="24"/>
    </w:rPr>
  </w:style>
  <w:style w:type="paragraph" w:customStyle="1" w:styleId="DefaultText">
    <w:name w:val="Default Text"/>
    <w:basedOn w:val="Normal"/>
    <w:uiPriority w:val="99"/>
    <w:rsid w:val="007B74B0"/>
    <w:pPr>
      <w:overflowPunct w:val="0"/>
      <w:autoSpaceDE w:val="0"/>
      <w:autoSpaceDN w:val="0"/>
      <w:adjustRightInd w:val="0"/>
      <w:textAlignment w:val="baseline"/>
    </w:pPr>
    <w:rPr>
      <w:szCs w:val="20"/>
    </w:rPr>
  </w:style>
  <w:style w:type="paragraph" w:styleId="BodyText">
    <w:name w:val="Body Text"/>
    <w:basedOn w:val="Normal"/>
    <w:link w:val="BodyTextChar"/>
    <w:uiPriority w:val="99"/>
    <w:rsid w:val="007B74B0"/>
    <w:pPr>
      <w:spacing w:after="120"/>
    </w:pPr>
  </w:style>
  <w:style w:type="character" w:customStyle="1" w:styleId="BodyTextChar">
    <w:name w:val="Body Text Char"/>
    <w:basedOn w:val="DefaultParagraphFont"/>
    <w:link w:val="BodyText"/>
    <w:uiPriority w:val="99"/>
    <w:semiHidden/>
    <w:locked/>
    <w:rsid w:val="007241CD"/>
    <w:rPr>
      <w:rFonts w:cs="Times New Roman"/>
      <w:sz w:val="24"/>
      <w:szCs w:val="24"/>
    </w:rPr>
  </w:style>
  <w:style w:type="paragraph" w:styleId="BodyText3">
    <w:name w:val="Body Text 3"/>
    <w:basedOn w:val="Normal"/>
    <w:link w:val="BodyText3Char"/>
    <w:uiPriority w:val="99"/>
    <w:rsid w:val="007B74B0"/>
    <w:pPr>
      <w:jc w:val="center"/>
    </w:pPr>
    <w:rPr>
      <w:rFonts w:ascii="Arial" w:hAnsi="Arial" w:cs="Arial"/>
      <w:color w:val="000000"/>
    </w:rPr>
  </w:style>
  <w:style w:type="character" w:customStyle="1" w:styleId="BodyText3Char">
    <w:name w:val="Body Text 3 Char"/>
    <w:basedOn w:val="DefaultParagraphFont"/>
    <w:link w:val="BodyText3"/>
    <w:uiPriority w:val="99"/>
    <w:semiHidden/>
    <w:locked/>
    <w:rsid w:val="007241CD"/>
    <w:rPr>
      <w:rFonts w:cs="Times New Roman"/>
      <w:sz w:val="16"/>
      <w:szCs w:val="16"/>
    </w:rPr>
  </w:style>
  <w:style w:type="paragraph" w:styleId="BalloonText">
    <w:name w:val="Balloon Text"/>
    <w:basedOn w:val="Normal"/>
    <w:link w:val="BalloonTextChar"/>
    <w:uiPriority w:val="99"/>
    <w:semiHidden/>
    <w:rsid w:val="007B74B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41CD"/>
    <w:rPr>
      <w:rFonts w:cs="Times New Roman"/>
      <w:sz w:val="2"/>
    </w:rPr>
  </w:style>
  <w:style w:type="paragraph" w:styleId="BodyTextIndent">
    <w:name w:val="Body Text Indent"/>
    <w:basedOn w:val="Normal"/>
    <w:link w:val="BodyTextIndentChar"/>
    <w:uiPriority w:val="99"/>
    <w:rsid w:val="007B74B0"/>
    <w:pPr>
      <w:ind w:firstLine="720"/>
    </w:pPr>
    <w:rPr>
      <w:rFonts w:ascii="Arial" w:hAnsi="Arial" w:cs="Arial"/>
    </w:rPr>
  </w:style>
  <w:style w:type="character" w:customStyle="1" w:styleId="BodyTextIndentChar">
    <w:name w:val="Body Text Indent Char"/>
    <w:basedOn w:val="DefaultParagraphFont"/>
    <w:link w:val="BodyTextIndent"/>
    <w:uiPriority w:val="99"/>
    <w:semiHidden/>
    <w:locked/>
    <w:rsid w:val="007241CD"/>
    <w:rPr>
      <w:rFonts w:cs="Times New Roman"/>
      <w:sz w:val="24"/>
      <w:szCs w:val="24"/>
    </w:rPr>
  </w:style>
  <w:style w:type="character" w:styleId="Emphasis">
    <w:name w:val="Emphasis"/>
    <w:basedOn w:val="DefaultParagraphFont"/>
    <w:uiPriority w:val="20"/>
    <w:qFormat/>
    <w:rsid w:val="007B74B0"/>
    <w:rPr>
      <w:rFonts w:cs="Times New Roman"/>
      <w:i/>
    </w:rPr>
  </w:style>
  <w:style w:type="paragraph" w:customStyle="1" w:styleId="Style">
    <w:name w:val="Style"/>
    <w:basedOn w:val="Normal"/>
    <w:uiPriority w:val="99"/>
    <w:rsid w:val="007B74B0"/>
    <w:pPr>
      <w:spacing w:after="160" w:line="240" w:lineRule="exact"/>
    </w:pPr>
    <w:rPr>
      <w:rFonts w:ascii="Verdana" w:eastAsia="MS Mincho" w:hAnsi="Verdana" w:cs="Arial"/>
      <w:szCs w:val="20"/>
    </w:rPr>
  </w:style>
  <w:style w:type="paragraph" w:customStyle="1" w:styleId="CharChar1">
    <w:name w:val="Char Char1"/>
    <w:basedOn w:val="Normal"/>
    <w:uiPriority w:val="99"/>
    <w:rsid w:val="007B74B0"/>
    <w:pPr>
      <w:spacing w:after="160" w:line="240" w:lineRule="exact"/>
    </w:pPr>
    <w:rPr>
      <w:rFonts w:ascii="Verdana" w:eastAsia="MS Mincho" w:hAnsi="Verdana" w:cs="Arial"/>
      <w:szCs w:val="20"/>
    </w:rPr>
  </w:style>
  <w:style w:type="paragraph" w:styleId="DocumentMap">
    <w:name w:val="Document Map"/>
    <w:basedOn w:val="Normal"/>
    <w:link w:val="DocumentMapChar"/>
    <w:uiPriority w:val="99"/>
    <w:semiHidden/>
    <w:rsid w:val="007B74B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7241CD"/>
    <w:rPr>
      <w:rFonts w:cs="Times New Roman"/>
      <w:sz w:val="2"/>
    </w:rPr>
  </w:style>
  <w:style w:type="character" w:styleId="CommentReference">
    <w:name w:val="annotation reference"/>
    <w:basedOn w:val="DefaultParagraphFont"/>
    <w:uiPriority w:val="99"/>
    <w:semiHidden/>
    <w:rsid w:val="005C7CBA"/>
    <w:rPr>
      <w:rFonts w:cs="Times New Roman"/>
      <w:sz w:val="16"/>
    </w:rPr>
  </w:style>
  <w:style w:type="paragraph" w:styleId="CommentText">
    <w:name w:val="annotation text"/>
    <w:basedOn w:val="Normal"/>
    <w:link w:val="CommentTextChar"/>
    <w:uiPriority w:val="99"/>
    <w:semiHidden/>
    <w:rsid w:val="005C7CBA"/>
    <w:rPr>
      <w:sz w:val="20"/>
      <w:szCs w:val="20"/>
    </w:rPr>
  </w:style>
  <w:style w:type="character" w:customStyle="1" w:styleId="CommentTextChar">
    <w:name w:val="Comment Text Char"/>
    <w:basedOn w:val="DefaultParagraphFont"/>
    <w:link w:val="CommentText"/>
    <w:uiPriority w:val="99"/>
    <w:semiHidden/>
    <w:locked/>
    <w:rsid w:val="007241CD"/>
    <w:rPr>
      <w:rFonts w:cs="Times New Roman"/>
      <w:sz w:val="20"/>
      <w:szCs w:val="20"/>
    </w:rPr>
  </w:style>
  <w:style w:type="paragraph" w:styleId="CommentSubject">
    <w:name w:val="annotation subject"/>
    <w:basedOn w:val="CommentText"/>
    <w:next w:val="CommentText"/>
    <w:link w:val="CommentSubjectChar"/>
    <w:uiPriority w:val="99"/>
    <w:semiHidden/>
    <w:rsid w:val="005C7CBA"/>
    <w:rPr>
      <w:b/>
      <w:bCs/>
    </w:rPr>
  </w:style>
  <w:style w:type="character" w:customStyle="1" w:styleId="CommentSubjectChar">
    <w:name w:val="Comment Subject Char"/>
    <w:basedOn w:val="CommentTextChar"/>
    <w:link w:val="CommentSubject"/>
    <w:uiPriority w:val="99"/>
    <w:semiHidden/>
    <w:locked/>
    <w:rsid w:val="007241CD"/>
    <w:rPr>
      <w:rFonts w:cs="Times New Roman"/>
      <w:b/>
      <w:bCs/>
      <w:sz w:val="20"/>
      <w:szCs w:val="20"/>
    </w:rPr>
  </w:style>
  <w:style w:type="paragraph" w:styleId="NormalWeb">
    <w:name w:val="Normal (Web)"/>
    <w:basedOn w:val="Normal"/>
    <w:uiPriority w:val="99"/>
    <w:rsid w:val="00297BF7"/>
    <w:pPr>
      <w:spacing w:before="100" w:beforeAutospacing="1" w:after="100" w:afterAutospacing="1"/>
    </w:pPr>
  </w:style>
  <w:style w:type="character" w:styleId="FollowedHyperlink">
    <w:name w:val="FollowedHyperlink"/>
    <w:basedOn w:val="DefaultParagraphFont"/>
    <w:uiPriority w:val="99"/>
    <w:rsid w:val="0069522D"/>
    <w:rPr>
      <w:rFonts w:cs="Times New Roman"/>
      <w:color w:val="800080"/>
      <w:u w:val="single"/>
    </w:rPr>
  </w:style>
  <w:style w:type="paragraph" w:styleId="Date">
    <w:name w:val="Date"/>
    <w:basedOn w:val="Normal"/>
    <w:next w:val="Normal"/>
    <w:link w:val="DateChar"/>
    <w:uiPriority w:val="99"/>
    <w:rsid w:val="006D2429"/>
  </w:style>
  <w:style w:type="character" w:customStyle="1" w:styleId="DateChar">
    <w:name w:val="Date Char"/>
    <w:basedOn w:val="DefaultParagraphFont"/>
    <w:link w:val="Date"/>
    <w:uiPriority w:val="99"/>
    <w:semiHidden/>
    <w:locked/>
    <w:rsid w:val="007241CD"/>
    <w:rPr>
      <w:rFonts w:cs="Times New Roman"/>
      <w:sz w:val="24"/>
      <w:szCs w:val="24"/>
    </w:rPr>
  </w:style>
  <w:style w:type="paragraph" w:styleId="Revision">
    <w:name w:val="Revision"/>
    <w:hidden/>
    <w:uiPriority w:val="99"/>
    <w:semiHidden/>
    <w:rsid w:val="009627F7"/>
    <w:rPr>
      <w:sz w:val="24"/>
      <w:szCs w:val="24"/>
    </w:rPr>
  </w:style>
  <w:style w:type="paragraph" w:styleId="ListParagraph">
    <w:name w:val="List Paragraph"/>
    <w:aliases w:val="Bullet List,FooterText,numbered,List Paragraph1,Paragraphe de liste1,Bulletr List Paragraph,列出段落,列出段落1,List Paragraph2,List Paragraph21,Listeafsnit1,Parágrafo da Lista1,Párrafo de lista1,リスト段落1,Bullet list,List Paragraph11,פיסקת רשימה"/>
    <w:basedOn w:val="Normal"/>
    <w:link w:val="ListParagraphChar"/>
    <w:uiPriority w:val="34"/>
    <w:qFormat/>
    <w:rsid w:val="001E2211"/>
    <w:pPr>
      <w:ind w:left="720"/>
      <w:contextualSpacing/>
    </w:pPr>
  </w:style>
  <w:style w:type="table" w:styleId="TableGrid">
    <w:name w:val="Table Grid"/>
    <w:basedOn w:val="TableNormal"/>
    <w:uiPriority w:val="39"/>
    <w:locked/>
    <w:rsid w:val="00607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ID">
    <w:name w:val="DocID"/>
    <w:basedOn w:val="DefaultParagraphFont"/>
    <w:rsid w:val="00DD386B"/>
    <w:rPr>
      <w:rFonts w:ascii="Times New Roman" w:hAnsi="Times New Roman" w:cs="Times New Roman"/>
      <w:color w:val="000000"/>
      <w:sz w:val="20"/>
      <w:szCs w:val="20"/>
      <w:u w:val="none"/>
    </w:rPr>
  </w:style>
  <w:style w:type="character" w:styleId="PlaceholderText">
    <w:name w:val="Placeholder Text"/>
    <w:basedOn w:val="DefaultParagraphFont"/>
    <w:uiPriority w:val="99"/>
    <w:semiHidden/>
    <w:rsid w:val="00DD386B"/>
    <w:rPr>
      <w:rFonts w:cs="Times New Roman"/>
      <w:color w:val="808080"/>
    </w:rPr>
  </w:style>
  <w:style w:type="paragraph" w:styleId="FootnoteText">
    <w:name w:val="footnote text"/>
    <w:basedOn w:val="Normal"/>
    <w:link w:val="FootnoteTextChar"/>
    <w:uiPriority w:val="99"/>
    <w:semiHidden/>
    <w:unhideWhenUsed/>
    <w:rsid w:val="00DE18FB"/>
    <w:rPr>
      <w:sz w:val="20"/>
      <w:szCs w:val="20"/>
    </w:rPr>
  </w:style>
  <w:style w:type="character" w:customStyle="1" w:styleId="FootnoteTextChar">
    <w:name w:val="Footnote Text Char"/>
    <w:basedOn w:val="DefaultParagraphFont"/>
    <w:link w:val="FootnoteText"/>
    <w:uiPriority w:val="99"/>
    <w:semiHidden/>
    <w:locked/>
    <w:rsid w:val="00DE18FB"/>
    <w:rPr>
      <w:rFonts w:cs="Times New Roman"/>
      <w:sz w:val="20"/>
      <w:szCs w:val="20"/>
    </w:rPr>
  </w:style>
  <w:style w:type="character" w:styleId="FootnoteReference">
    <w:name w:val="footnote reference"/>
    <w:basedOn w:val="DefaultParagraphFont"/>
    <w:uiPriority w:val="99"/>
    <w:semiHidden/>
    <w:unhideWhenUsed/>
    <w:rsid w:val="00DE18FB"/>
    <w:rPr>
      <w:rFonts w:cs="Times New Roman"/>
      <w:vertAlign w:val="superscript"/>
    </w:rPr>
  </w:style>
  <w:style w:type="character" w:customStyle="1" w:styleId="UnresolvedMention1">
    <w:name w:val="Unresolved Mention1"/>
    <w:basedOn w:val="DefaultParagraphFont"/>
    <w:uiPriority w:val="99"/>
    <w:semiHidden/>
    <w:unhideWhenUsed/>
    <w:rsid w:val="009862AC"/>
    <w:rPr>
      <w:rFonts w:cs="Times New Roman"/>
      <w:color w:val="605E5C"/>
      <w:shd w:val="clear" w:color="auto" w:fill="E1DFDD"/>
    </w:rPr>
  </w:style>
  <w:style w:type="character" w:customStyle="1" w:styleId="ListParagraphChar">
    <w:name w:val="List Paragraph Char"/>
    <w:aliases w:val="Bullet List Char,FooterText Char,numbered Char,List Paragraph1 Char,Paragraphe de liste1 Char,Bulletr List Paragraph Char,列出段落 Char,列出段落1 Char,List Paragraph2 Char,List Paragraph21 Char,Listeafsnit1 Char,Parágrafo da Lista1 Char"/>
    <w:basedOn w:val="DefaultParagraphFont"/>
    <w:link w:val="ListParagraph"/>
    <w:uiPriority w:val="34"/>
    <w:locked/>
    <w:rsid w:val="00D75E53"/>
    <w:rPr>
      <w:rFonts w:cs="Times New Roman"/>
      <w:sz w:val="24"/>
      <w:szCs w:val="24"/>
    </w:rPr>
  </w:style>
  <w:style w:type="character" w:customStyle="1" w:styleId="st1">
    <w:name w:val="st1"/>
    <w:basedOn w:val="DefaultParagraphFont"/>
    <w:rsid w:val="00215BCB"/>
    <w:rPr>
      <w:rFonts w:cs="Times New Roman"/>
    </w:rPr>
  </w:style>
  <w:style w:type="paragraph" w:customStyle="1" w:styleId="QA1-Bullet-1st-Clear">
    <w:name w:val="Q&amp;A 1-Bullet-1st-Clear"/>
    <w:basedOn w:val="Normal"/>
    <w:qFormat/>
    <w:rsid w:val="00A24E76"/>
    <w:pPr>
      <w:widowControl w:val="0"/>
      <w:numPr>
        <w:numId w:val="5"/>
      </w:numPr>
      <w:shd w:val="clear" w:color="auto" w:fill="FFFFFF" w:themeFill="background1"/>
      <w:tabs>
        <w:tab w:val="clear" w:pos="360"/>
      </w:tabs>
      <w:autoSpaceDE w:val="0"/>
      <w:autoSpaceDN w:val="0"/>
      <w:adjustRightInd w:val="0"/>
      <w:ind w:left="166" w:hanging="166"/>
    </w:pPr>
    <w:rPr>
      <w:rFonts w:ascii="Arial" w:hAnsi="Arial" w:cs="Arial"/>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952432">
      <w:marLeft w:val="0"/>
      <w:marRight w:val="0"/>
      <w:marTop w:val="0"/>
      <w:marBottom w:val="0"/>
      <w:divBdr>
        <w:top w:val="none" w:sz="0" w:space="0" w:color="auto"/>
        <w:left w:val="none" w:sz="0" w:space="0" w:color="auto"/>
        <w:bottom w:val="none" w:sz="0" w:space="0" w:color="auto"/>
        <w:right w:val="none" w:sz="0" w:space="0" w:color="auto"/>
      </w:divBdr>
    </w:div>
    <w:div w:id="494952433">
      <w:marLeft w:val="0"/>
      <w:marRight w:val="0"/>
      <w:marTop w:val="0"/>
      <w:marBottom w:val="0"/>
      <w:divBdr>
        <w:top w:val="none" w:sz="0" w:space="0" w:color="auto"/>
        <w:left w:val="none" w:sz="0" w:space="0" w:color="auto"/>
        <w:bottom w:val="none" w:sz="0" w:space="0" w:color="auto"/>
        <w:right w:val="none" w:sz="0" w:space="0" w:color="auto"/>
      </w:divBdr>
    </w:div>
    <w:div w:id="494952434">
      <w:marLeft w:val="0"/>
      <w:marRight w:val="0"/>
      <w:marTop w:val="0"/>
      <w:marBottom w:val="0"/>
      <w:divBdr>
        <w:top w:val="none" w:sz="0" w:space="0" w:color="auto"/>
        <w:left w:val="none" w:sz="0" w:space="0" w:color="auto"/>
        <w:bottom w:val="none" w:sz="0" w:space="0" w:color="auto"/>
        <w:right w:val="none" w:sz="0" w:space="0" w:color="auto"/>
      </w:divBdr>
    </w:div>
    <w:div w:id="494952435">
      <w:marLeft w:val="0"/>
      <w:marRight w:val="0"/>
      <w:marTop w:val="0"/>
      <w:marBottom w:val="0"/>
      <w:divBdr>
        <w:top w:val="none" w:sz="0" w:space="0" w:color="auto"/>
        <w:left w:val="none" w:sz="0" w:space="0" w:color="auto"/>
        <w:bottom w:val="none" w:sz="0" w:space="0" w:color="auto"/>
        <w:right w:val="none" w:sz="0" w:space="0" w:color="auto"/>
      </w:divBdr>
    </w:div>
    <w:div w:id="494952436">
      <w:marLeft w:val="0"/>
      <w:marRight w:val="0"/>
      <w:marTop w:val="0"/>
      <w:marBottom w:val="0"/>
      <w:divBdr>
        <w:top w:val="none" w:sz="0" w:space="0" w:color="auto"/>
        <w:left w:val="none" w:sz="0" w:space="0" w:color="auto"/>
        <w:bottom w:val="none" w:sz="0" w:space="0" w:color="auto"/>
        <w:right w:val="none" w:sz="0" w:space="0" w:color="auto"/>
      </w:divBdr>
    </w:div>
    <w:div w:id="494952437">
      <w:marLeft w:val="0"/>
      <w:marRight w:val="0"/>
      <w:marTop w:val="0"/>
      <w:marBottom w:val="0"/>
      <w:divBdr>
        <w:top w:val="none" w:sz="0" w:space="0" w:color="auto"/>
        <w:left w:val="none" w:sz="0" w:space="0" w:color="auto"/>
        <w:bottom w:val="none" w:sz="0" w:space="0" w:color="auto"/>
        <w:right w:val="none" w:sz="0" w:space="0" w:color="auto"/>
      </w:divBdr>
    </w:div>
    <w:div w:id="494952438">
      <w:marLeft w:val="0"/>
      <w:marRight w:val="0"/>
      <w:marTop w:val="0"/>
      <w:marBottom w:val="0"/>
      <w:divBdr>
        <w:top w:val="none" w:sz="0" w:space="0" w:color="auto"/>
        <w:left w:val="none" w:sz="0" w:space="0" w:color="auto"/>
        <w:bottom w:val="none" w:sz="0" w:space="0" w:color="auto"/>
        <w:right w:val="none" w:sz="0" w:space="0" w:color="auto"/>
      </w:divBdr>
      <w:divsChild>
        <w:div w:id="494952439">
          <w:marLeft w:val="0"/>
          <w:marRight w:val="0"/>
          <w:marTop w:val="45"/>
          <w:marBottom w:val="225"/>
          <w:divBdr>
            <w:top w:val="none" w:sz="0" w:space="0" w:color="auto"/>
            <w:left w:val="none" w:sz="0" w:space="0" w:color="auto"/>
            <w:bottom w:val="none" w:sz="0" w:space="0" w:color="auto"/>
            <w:right w:val="none" w:sz="0" w:space="0" w:color="auto"/>
          </w:divBdr>
          <w:divsChild>
            <w:div w:id="494952440">
              <w:marLeft w:val="150"/>
              <w:marRight w:val="0"/>
              <w:marTop w:val="300"/>
              <w:marBottom w:val="0"/>
              <w:divBdr>
                <w:top w:val="none" w:sz="0" w:space="0" w:color="auto"/>
                <w:left w:val="none" w:sz="0" w:space="0" w:color="auto"/>
                <w:bottom w:val="none" w:sz="0" w:space="0" w:color="auto"/>
                <w:right w:val="none" w:sz="0" w:space="0" w:color="auto"/>
              </w:divBdr>
              <w:divsChild>
                <w:div w:id="49495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952443">
      <w:marLeft w:val="0"/>
      <w:marRight w:val="0"/>
      <w:marTop w:val="0"/>
      <w:marBottom w:val="0"/>
      <w:divBdr>
        <w:top w:val="none" w:sz="0" w:space="0" w:color="auto"/>
        <w:left w:val="none" w:sz="0" w:space="0" w:color="auto"/>
        <w:bottom w:val="none" w:sz="0" w:space="0" w:color="auto"/>
        <w:right w:val="none" w:sz="0" w:space="0" w:color="auto"/>
      </w:divBdr>
      <w:divsChild>
        <w:div w:id="494952441">
          <w:marLeft w:val="0"/>
          <w:marRight w:val="0"/>
          <w:marTop w:val="45"/>
          <w:marBottom w:val="225"/>
          <w:divBdr>
            <w:top w:val="none" w:sz="0" w:space="0" w:color="auto"/>
            <w:left w:val="none" w:sz="0" w:space="0" w:color="auto"/>
            <w:bottom w:val="none" w:sz="0" w:space="0" w:color="auto"/>
            <w:right w:val="none" w:sz="0" w:space="0" w:color="auto"/>
          </w:divBdr>
          <w:divsChild>
            <w:div w:id="494952445">
              <w:marLeft w:val="150"/>
              <w:marRight w:val="0"/>
              <w:marTop w:val="300"/>
              <w:marBottom w:val="0"/>
              <w:divBdr>
                <w:top w:val="none" w:sz="0" w:space="0" w:color="auto"/>
                <w:left w:val="none" w:sz="0" w:space="0" w:color="auto"/>
                <w:bottom w:val="none" w:sz="0" w:space="0" w:color="auto"/>
                <w:right w:val="none" w:sz="0" w:space="0" w:color="auto"/>
              </w:divBdr>
              <w:divsChild>
                <w:div w:id="49495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952446">
      <w:marLeft w:val="0"/>
      <w:marRight w:val="0"/>
      <w:marTop w:val="0"/>
      <w:marBottom w:val="0"/>
      <w:divBdr>
        <w:top w:val="none" w:sz="0" w:space="0" w:color="auto"/>
        <w:left w:val="none" w:sz="0" w:space="0" w:color="auto"/>
        <w:bottom w:val="none" w:sz="0" w:space="0" w:color="auto"/>
        <w:right w:val="none" w:sz="0" w:space="0" w:color="auto"/>
      </w:divBdr>
    </w:div>
    <w:div w:id="494952447">
      <w:marLeft w:val="0"/>
      <w:marRight w:val="0"/>
      <w:marTop w:val="0"/>
      <w:marBottom w:val="0"/>
      <w:divBdr>
        <w:top w:val="none" w:sz="0" w:space="0" w:color="auto"/>
        <w:left w:val="none" w:sz="0" w:space="0" w:color="auto"/>
        <w:bottom w:val="none" w:sz="0" w:space="0" w:color="auto"/>
        <w:right w:val="none" w:sz="0" w:space="0" w:color="auto"/>
      </w:divBdr>
    </w:div>
    <w:div w:id="494952448">
      <w:marLeft w:val="0"/>
      <w:marRight w:val="0"/>
      <w:marTop w:val="0"/>
      <w:marBottom w:val="0"/>
      <w:divBdr>
        <w:top w:val="none" w:sz="0" w:space="0" w:color="auto"/>
        <w:left w:val="none" w:sz="0" w:space="0" w:color="auto"/>
        <w:bottom w:val="none" w:sz="0" w:space="0" w:color="auto"/>
        <w:right w:val="none" w:sz="0" w:space="0" w:color="auto"/>
      </w:divBdr>
    </w:div>
    <w:div w:id="494952449">
      <w:marLeft w:val="0"/>
      <w:marRight w:val="0"/>
      <w:marTop w:val="0"/>
      <w:marBottom w:val="0"/>
      <w:divBdr>
        <w:top w:val="none" w:sz="0" w:space="0" w:color="auto"/>
        <w:left w:val="none" w:sz="0" w:space="0" w:color="auto"/>
        <w:bottom w:val="none" w:sz="0" w:space="0" w:color="auto"/>
        <w:right w:val="none" w:sz="0" w:space="0" w:color="auto"/>
      </w:divBdr>
    </w:div>
    <w:div w:id="494952450">
      <w:marLeft w:val="0"/>
      <w:marRight w:val="0"/>
      <w:marTop w:val="0"/>
      <w:marBottom w:val="0"/>
      <w:divBdr>
        <w:top w:val="none" w:sz="0" w:space="0" w:color="auto"/>
        <w:left w:val="none" w:sz="0" w:space="0" w:color="auto"/>
        <w:bottom w:val="none" w:sz="0" w:space="0" w:color="auto"/>
        <w:right w:val="none" w:sz="0" w:space="0" w:color="auto"/>
      </w:divBdr>
    </w:div>
    <w:div w:id="494952451">
      <w:marLeft w:val="0"/>
      <w:marRight w:val="0"/>
      <w:marTop w:val="0"/>
      <w:marBottom w:val="0"/>
      <w:divBdr>
        <w:top w:val="none" w:sz="0" w:space="0" w:color="auto"/>
        <w:left w:val="none" w:sz="0" w:space="0" w:color="auto"/>
        <w:bottom w:val="none" w:sz="0" w:space="0" w:color="auto"/>
        <w:right w:val="none" w:sz="0" w:space="0" w:color="auto"/>
      </w:divBdr>
    </w:div>
    <w:div w:id="494952452">
      <w:marLeft w:val="0"/>
      <w:marRight w:val="0"/>
      <w:marTop w:val="0"/>
      <w:marBottom w:val="0"/>
      <w:divBdr>
        <w:top w:val="none" w:sz="0" w:space="0" w:color="auto"/>
        <w:left w:val="none" w:sz="0" w:space="0" w:color="auto"/>
        <w:bottom w:val="none" w:sz="0" w:space="0" w:color="auto"/>
        <w:right w:val="none" w:sz="0" w:space="0" w:color="auto"/>
      </w:divBdr>
    </w:div>
    <w:div w:id="49495245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orbes.com/just-companies/" TargetMode="External"/><Relationship Id="rId18" Type="http://schemas.openxmlformats.org/officeDocument/2006/relationships/hyperlink" Target="https://twitter.com/UPS_New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hyperlink" Target="https://www.forbes.com/powerful-brands/list/" TargetMode="External"/><Relationship Id="rId17" Type="http://schemas.openxmlformats.org/officeDocument/2006/relationships/hyperlink" Target="https://sustainability.ups.com/resources/sustainability-newslette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longitudes.ups.com/" TargetMode="Externa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ewsweek.com/americas-best-customer-service-2019/services-transportation-trave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ressroom.ups.com/pressroom/Home.page" TargetMode="External"/><Relationship Id="rId23" Type="http://schemas.openxmlformats.org/officeDocument/2006/relationships/header" Target="header2.xml"/><Relationship Id="rId10" Type="http://schemas.openxmlformats.org/officeDocument/2006/relationships/hyperlink" Target="http://www.investors.ups.com" TargetMode="Externa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investors.ups.com" TargetMode="External"/><Relationship Id="rId14" Type="http://schemas.openxmlformats.org/officeDocument/2006/relationships/hyperlink" Target="http://www.ups.co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B128D-C3C8-486F-85C2-761DBEE9C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2450</Words>
  <Characters>15161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2019-04-25T11:17:00Z</dcterms:created>
  <dcterms:modified xsi:type="dcterms:W3CDTF">2019-04-25T11:19:00Z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-59960604</vt:i4>
  </property>
</Properties>
</file>