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B1" w:rsidRDefault="00EA4A59" w:rsidP="005C42B5">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15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5855A9">
        <w:rPr>
          <w:rFonts w:ascii="Arial" w:hAnsi="Arial" w:cs="Arial"/>
          <w:sz w:val="20"/>
          <w:szCs w:val="20"/>
        </w:rPr>
        <w:t>Contacts</w:t>
      </w:r>
      <w:r w:rsidR="005855A9" w:rsidRPr="00B85CCD">
        <w:rPr>
          <w:rFonts w:ascii="Arial" w:hAnsi="Arial" w:cs="Arial"/>
          <w:sz w:val="20"/>
          <w:szCs w:val="20"/>
        </w:rPr>
        <w:t>:</w:t>
      </w:r>
      <w:r w:rsidR="005855A9" w:rsidRPr="00B85CCD">
        <w:rPr>
          <w:rFonts w:ascii="Arial" w:hAnsi="Arial" w:cs="Arial"/>
          <w:sz w:val="16"/>
        </w:rPr>
        <w:tab/>
      </w:r>
      <w:r w:rsidR="005A04FD">
        <w:rPr>
          <w:rFonts w:ascii="Arial" w:hAnsi="Arial" w:cs="Arial"/>
          <w:sz w:val="20"/>
          <w:szCs w:val="20"/>
        </w:rPr>
        <w:t xml:space="preserve">Steve </w:t>
      </w:r>
      <w:proofErr w:type="spellStart"/>
      <w:r w:rsidR="005A04FD">
        <w:rPr>
          <w:rFonts w:ascii="Arial" w:hAnsi="Arial" w:cs="Arial"/>
          <w:sz w:val="20"/>
          <w:szCs w:val="20"/>
        </w:rPr>
        <w:t>Gaut</w:t>
      </w:r>
      <w:proofErr w:type="spellEnd"/>
      <w:r w:rsidR="005A04FD">
        <w:rPr>
          <w:rFonts w:ascii="Arial" w:hAnsi="Arial" w:cs="Arial"/>
          <w:sz w:val="20"/>
          <w:szCs w:val="20"/>
        </w:rPr>
        <w:t>,</w:t>
      </w:r>
      <w:r w:rsidR="005855A9" w:rsidRPr="00B85CCD">
        <w:rPr>
          <w:rFonts w:ascii="Arial" w:hAnsi="Arial" w:cs="Arial"/>
          <w:sz w:val="20"/>
          <w:szCs w:val="20"/>
        </w:rPr>
        <w:t xml:space="preserve"> Public Relations</w:t>
      </w:r>
    </w:p>
    <w:p w:rsidR="005855A9" w:rsidRDefault="001534A3" w:rsidP="00CF5EB1">
      <w:pPr>
        <w:ind w:left="720" w:firstLine="720"/>
        <w:rPr>
          <w:rFonts w:ascii="Arial" w:hAnsi="Arial" w:cs="Arial"/>
          <w:sz w:val="20"/>
          <w:szCs w:val="20"/>
        </w:rPr>
      </w:pPr>
      <w:r>
        <w:rPr>
          <w:rFonts w:ascii="Arial" w:hAnsi="Arial" w:cs="Arial"/>
          <w:sz w:val="20"/>
          <w:szCs w:val="20"/>
        </w:rPr>
        <w:t xml:space="preserve">+ 1 </w:t>
      </w:r>
      <w:r w:rsidR="005855A9" w:rsidRPr="00B85CCD">
        <w:rPr>
          <w:rFonts w:ascii="Arial" w:hAnsi="Arial" w:cs="Arial"/>
          <w:sz w:val="20"/>
          <w:szCs w:val="20"/>
        </w:rPr>
        <w:t>404-828-</w:t>
      </w:r>
      <w:r w:rsidR="005A04FD">
        <w:rPr>
          <w:rFonts w:ascii="Arial" w:hAnsi="Arial" w:cs="Arial"/>
          <w:sz w:val="20"/>
          <w:szCs w:val="20"/>
        </w:rPr>
        <w:t>8787</w:t>
      </w:r>
    </w:p>
    <w:p w:rsidR="00E57561" w:rsidRDefault="00E57561" w:rsidP="00EA4A59">
      <w:pPr>
        <w:pStyle w:val="Heading4"/>
        <w:spacing w:before="0" w:after="0"/>
        <w:rPr>
          <w:rFonts w:ascii="Arial" w:hAnsi="Arial" w:cs="Arial"/>
          <w:b w:val="0"/>
          <w:sz w:val="16"/>
          <w:szCs w:val="16"/>
        </w:rPr>
      </w:pPr>
    </w:p>
    <w:p w:rsidR="005855A9" w:rsidRPr="00B85CCD" w:rsidRDefault="00ED434E">
      <w:pPr>
        <w:pStyle w:val="Heading4"/>
        <w:spacing w:before="0" w:after="0"/>
        <w:ind w:left="720" w:firstLine="720"/>
        <w:rPr>
          <w:rFonts w:ascii="Arial" w:hAnsi="Arial" w:cs="Arial"/>
          <w:b w:val="0"/>
          <w:sz w:val="20"/>
          <w:szCs w:val="20"/>
        </w:rPr>
      </w:pPr>
      <w:r>
        <w:rPr>
          <w:rFonts w:ascii="Arial" w:hAnsi="Arial" w:cs="Arial"/>
          <w:b w:val="0"/>
          <w:sz w:val="20"/>
          <w:szCs w:val="20"/>
        </w:rPr>
        <w:t>Scott Childress</w:t>
      </w:r>
      <w:r w:rsidR="005855A9" w:rsidRPr="00B85CCD">
        <w:rPr>
          <w:rFonts w:ascii="Arial" w:hAnsi="Arial" w:cs="Arial"/>
          <w:b w:val="0"/>
          <w:sz w:val="20"/>
          <w:szCs w:val="20"/>
        </w:rPr>
        <w:t>, Investor Relations</w:t>
      </w:r>
    </w:p>
    <w:p w:rsidR="005855A9" w:rsidRPr="00B85CCD" w:rsidRDefault="005855A9">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r>
      <w:r w:rsidR="001534A3">
        <w:rPr>
          <w:rFonts w:ascii="Arial" w:hAnsi="Arial" w:cs="Arial"/>
          <w:sz w:val="20"/>
          <w:szCs w:val="20"/>
        </w:rPr>
        <w:t xml:space="preserve">+1 </w:t>
      </w:r>
      <w:r w:rsidRPr="00B85CCD">
        <w:rPr>
          <w:rFonts w:ascii="Arial" w:hAnsi="Arial" w:cs="Arial"/>
          <w:sz w:val="20"/>
          <w:szCs w:val="20"/>
        </w:rPr>
        <w:t>404-828-</w:t>
      </w:r>
      <w:r w:rsidR="00ED434E">
        <w:rPr>
          <w:rFonts w:ascii="Arial" w:hAnsi="Arial" w:cs="Arial"/>
          <w:sz w:val="20"/>
          <w:szCs w:val="20"/>
        </w:rPr>
        <w:t>7957</w:t>
      </w:r>
    </w:p>
    <w:p w:rsidR="00C55C88" w:rsidRPr="00EA4A59" w:rsidRDefault="00C55C88" w:rsidP="007B357E">
      <w:pPr>
        <w:rPr>
          <w:rFonts w:ascii="Arial" w:hAnsi="Arial" w:cs="Arial"/>
          <w:sz w:val="16"/>
          <w:szCs w:val="16"/>
        </w:rPr>
      </w:pPr>
    </w:p>
    <w:p w:rsidR="00EA4A59" w:rsidRDefault="00EA4A59" w:rsidP="00EA4A59">
      <w:pPr>
        <w:pStyle w:val="msonospacing0"/>
        <w:ind w:left="720" w:firstLine="720"/>
        <w:rPr>
          <w:rFonts w:ascii="Arial" w:hAnsi="Arial" w:cs="Arial"/>
          <w:sz w:val="20"/>
          <w:szCs w:val="20"/>
        </w:rPr>
      </w:pPr>
      <w:r>
        <w:rPr>
          <w:rFonts w:ascii="Arial" w:hAnsi="Arial" w:cs="Arial"/>
          <w:sz w:val="20"/>
          <w:szCs w:val="20"/>
        </w:rPr>
        <w:t xml:space="preserve">Karla </w:t>
      </w:r>
      <w:proofErr w:type="spellStart"/>
      <w:r>
        <w:rPr>
          <w:rFonts w:ascii="Arial" w:hAnsi="Arial" w:cs="Arial"/>
          <w:sz w:val="20"/>
          <w:szCs w:val="20"/>
        </w:rPr>
        <w:t>Krejci</w:t>
      </w:r>
      <w:proofErr w:type="spellEnd"/>
      <w:r>
        <w:rPr>
          <w:rFonts w:ascii="Arial" w:hAnsi="Arial" w:cs="Arial"/>
          <w:sz w:val="20"/>
          <w:szCs w:val="20"/>
        </w:rPr>
        <w:t>, Donath Business &amp; Media</w:t>
      </w:r>
    </w:p>
    <w:p w:rsidR="00EA4A59" w:rsidRDefault="00EA4A59" w:rsidP="00EA4A59">
      <w:pPr>
        <w:pStyle w:val="Heading4"/>
        <w:keepNext w:val="0"/>
        <w:spacing w:before="0" w:after="0"/>
        <w:ind w:left="1440"/>
        <w:rPr>
          <w:rFonts w:ascii="Arial" w:hAnsi="Arial" w:cs="Arial"/>
          <w:sz w:val="20"/>
          <w:szCs w:val="20"/>
        </w:rPr>
      </w:pPr>
      <w:r>
        <w:rPr>
          <w:rFonts w:ascii="Arial" w:hAnsi="Arial" w:cs="Arial"/>
          <w:b w:val="0"/>
          <w:sz w:val="20"/>
          <w:szCs w:val="20"/>
          <w:lang w:val="cs-CZ"/>
        </w:rPr>
        <w:t>+420 224 211 220</w:t>
      </w:r>
    </w:p>
    <w:p w:rsidR="00EA4A59" w:rsidRDefault="00EA4A59" w:rsidP="00EA4A59">
      <w:pPr>
        <w:ind w:left="589" w:firstLine="851"/>
        <w:rPr>
          <w:rFonts w:ascii="Arial" w:hAnsi="Arial" w:cs="Arial"/>
          <w:sz w:val="20"/>
          <w:szCs w:val="20"/>
          <w:lang w:val="cs-CZ"/>
        </w:rPr>
      </w:pPr>
      <w:hyperlink r:id="rId9" w:history="1">
        <w:r>
          <w:rPr>
            <w:rStyle w:val="Hyperlink"/>
            <w:rFonts w:ascii="Arial" w:hAnsi="Arial" w:cs="Arial"/>
            <w:sz w:val="20"/>
            <w:szCs w:val="20"/>
          </w:rPr>
          <w:t>karla.krejci@dbm.cz</w:t>
        </w:r>
      </w:hyperlink>
    </w:p>
    <w:p w:rsidR="00EA4A59" w:rsidRDefault="00EA4A59" w:rsidP="00EA4A59">
      <w:pPr>
        <w:rPr>
          <w:rFonts w:ascii="Arial" w:hAnsi="Arial" w:cs="Arial"/>
          <w:szCs w:val="20"/>
        </w:rPr>
      </w:pPr>
    </w:p>
    <w:p w:rsidR="00EA4A59" w:rsidRPr="00EF7421" w:rsidRDefault="00EA4A59" w:rsidP="00EA4A59">
      <w:pPr>
        <w:rPr>
          <w:rFonts w:ascii="Arial" w:hAnsi="Arial" w:cs="Arial"/>
          <w:szCs w:val="20"/>
        </w:rPr>
      </w:pPr>
      <w:bookmarkStart w:id="0" w:name="_GoBack"/>
      <w:bookmarkEnd w:id="0"/>
    </w:p>
    <w:p w:rsidR="0077335C" w:rsidRPr="001D3F51" w:rsidRDefault="0077335C" w:rsidP="007B357E">
      <w:pPr>
        <w:rPr>
          <w:rFonts w:ascii="Arial" w:hAnsi="Arial" w:cs="Arial"/>
          <w:sz w:val="18"/>
          <w:szCs w:val="22"/>
        </w:rPr>
      </w:pPr>
    </w:p>
    <w:p w:rsidR="003D13D6" w:rsidRDefault="003D13D6" w:rsidP="007D16B9">
      <w:pPr>
        <w:jc w:val="center"/>
        <w:rPr>
          <w:rFonts w:ascii="Arial" w:hAnsi="Arial" w:cs="Arial"/>
          <w:b/>
          <w:sz w:val="32"/>
          <w:szCs w:val="26"/>
        </w:rPr>
      </w:pPr>
      <w:r>
        <w:rPr>
          <w:rFonts w:ascii="Arial" w:hAnsi="Arial" w:cs="Arial"/>
          <w:b/>
          <w:sz w:val="32"/>
          <w:szCs w:val="26"/>
        </w:rPr>
        <w:t>UPS GROWTH ACCELERATES IN 2017</w:t>
      </w:r>
    </w:p>
    <w:p w:rsidR="007D16B9" w:rsidRPr="003D13D6" w:rsidRDefault="007B3B00" w:rsidP="007D16B9">
      <w:pPr>
        <w:jc w:val="center"/>
        <w:rPr>
          <w:rFonts w:ascii="Arial" w:hAnsi="Arial" w:cs="Arial"/>
          <w:i/>
          <w:sz w:val="32"/>
          <w:szCs w:val="26"/>
        </w:rPr>
      </w:pPr>
      <w:r>
        <w:rPr>
          <w:rFonts w:ascii="Arial" w:hAnsi="Arial" w:cs="Arial"/>
          <w:i/>
          <w:sz w:val="28"/>
          <w:szCs w:val="26"/>
        </w:rPr>
        <w:t>Announces</w:t>
      </w:r>
      <w:r w:rsidR="003D13D6">
        <w:rPr>
          <w:rFonts w:ascii="Arial" w:hAnsi="Arial" w:cs="Arial"/>
          <w:i/>
          <w:sz w:val="28"/>
          <w:szCs w:val="26"/>
        </w:rPr>
        <w:t xml:space="preserve"> </w:t>
      </w:r>
      <w:r w:rsidR="003910AD">
        <w:rPr>
          <w:rFonts w:ascii="Arial" w:hAnsi="Arial" w:cs="Arial"/>
          <w:i/>
          <w:sz w:val="28"/>
          <w:szCs w:val="26"/>
        </w:rPr>
        <w:t>Positive</w:t>
      </w:r>
      <w:r w:rsidR="00722D24">
        <w:rPr>
          <w:rFonts w:ascii="Arial" w:hAnsi="Arial" w:cs="Arial"/>
          <w:i/>
          <w:sz w:val="28"/>
          <w:szCs w:val="26"/>
        </w:rPr>
        <w:t xml:space="preserve"> 2018 Outlook</w:t>
      </w:r>
    </w:p>
    <w:p w:rsidR="00F21B81" w:rsidRPr="005645FE" w:rsidRDefault="00F21B81" w:rsidP="001D3F51">
      <w:pPr>
        <w:ind w:left="180"/>
        <w:jc w:val="center"/>
        <w:rPr>
          <w:rFonts w:ascii="Arial" w:hAnsi="Arial" w:cs="Arial"/>
          <w:b/>
          <w:sz w:val="28"/>
          <w:szCs w:val="26"/>
        </w:rPr>
      </w:pPr>
    </w:p>
    <w:p w:rsidR="007D16B9" w:rsidRDefault="004806F6" w:rsidP="007D16B9">
      <w:pPr>
        <w:pStyle w:val="ListParagraph"/>
        <w:numPr>
          <w:ilvl w:val="0"/>
          <w:numId w:val="35"/>
        </w:numPr>
        <w:ind w:left="540"/>
        <w:rPr>
          <w:rFonts w:ascii="Arial" w:hAnsi="Arial" w:cs="Arial"/>
          <w:b/>
          <w:i/>
        </w:rPr>
      </w:pPr>
      <w:r>
        <w:rPr>
          <w:rFonts w:ascii="Arial" w:hAnsi="Arial" w:cs="Arial"/>
          <w:b/>
          <w:i/>
        </w:rPr>
        <w:t>Revenue G</w:t>
      </w:r>
      <w:r w:rsidR="007D16B9">
        <w:rPr>
          <w:rFonts w:ascii="Arial" w:hAnsi="Arial" w:cs="Arial"/>
          <w:b/>
          <w:i/>
        </w:rPr>
        <w:t xml:space="preserve">rowth </w:t>
      </w:r>
      <w:r>
        <w:rPr>
          <w:rFonts w:ascii="Arial" w:hAnsi="Arial" w:cs="Arial"/>
          <w:b/>
          <w:i/>
        </w:rPr>
        <w:t>T</w:t>
      </w:r>
      <w:r w:rsidR="007D16B9">
        <w:rPr>
          <w:rFonts w:ascii="Arial" w:hAnsi="Arial" w:cs="Arial"/>
          <w:b/>
          <w:i/>
        </w:rPr>
        <w:t xml:space="preserve">ops 11% for </w:t>
      </w:r>
      <w:r>
        <w:rPr>
          <w:rFonts w:ascii="Arial" w:hAnsi="Arial" w:cs="Arial"/>
          <w:b/>
          <w:i/>
        </w:rPr>
        <w:t>4Q17</w:t>
      </w:r>
      <w:r w:rsidR="007D16B9">
        <w:rPr>
          <w:rFonts w:ascii="Arial" w:hAnsi="Arial" w:cs="Arial"/>
          <w:b/>
          <w:i/>
        </w:rPr>
        <w:t xml:space="preserve"> and 8% for </w:t>
      </w:r>
      <w:r>
        <w:rPr>
          <w:rFonts w:ascii="Arial" w:hAnsi="Arial" w:cs="Arial"/>
          <w:b/>
          <w:i/>
        </w:rPr>
        <w:t>F</w:t>
      </w:r>
      <w:r w:rsidR="007D16B9">
        <w:rPr>
          <w:rFonts w:ascii="Arial" w:hAnsi="Arial" w:cs="Arial"/>
          <w:b/>
          <w:i/>
        </w:rPr>
        <w:t>ull</w:t>
      </w:r>
      <w:r>
        <w:rPr>
          <w:rFonts w:ascii="Arial" w:hAnsi="Arial" w:cs="Arial"/>
          <w:b/>
          <w:i/>
        </w:rPr>
        <w:t>-Y</w:t>
      </w:r>
      <w:r w:rsidR="007D16B9">
        <w:rPr>
          <w:rFonts w:ascii="Arial" w:hAnsi="Arial" w:cs="Arial"/>
          <w:b/>
          <w:i/>
        </w:rPr>
        <w:t>ear 2017</w:t>
      </w:r>
    </w:p>
    <w:p w:rsidR="00722D24" w:rsidRDefault="00722D24" w:rsidP="00722D24">
      <w:pPr>
        <w:pStyle w:val="ListParagraph"/>
        <w:numPr>
          <w:ilvl w:val="0"/>
          <w:numId w:val="35"/>
        </w:numPr>
        <w:ind w:left="540"/>
        <w:rPr>
          <w:rFonts w:ascii="Arial" w:hAnsi="Arial" w:cs="Arial"/>
          <w:b/>
          <w:i/>
        </w:rPr>
      </w:pPr>
      <w:r w:rsidRPr="0068023F">
        <w:rPr>
          <w:rFonts w:ascii="Arial" w:hAnsi="Arial" w:cs="Arial"/>
          <w:b/>
          <w:i/>
        </w:rPr>
        <w:t xml:space="preserve">4Q17 EPS of $1.27; Adjusted 4Q EPS of $1.67 </w:t>
      </w:r>
    </w:p>
    <w:p w:rsidR="00C40079" w:rsidRDefault="00730FFA" w:rsidP="00C40079">
      <w:pPr>
        <w:pStyle w:val="ListParagraph"/>
        <w:numPr>
          <w:ilvl w:val="0"/>
          <w:numId w:val="35"/>
        </w:numPr>
        <w:ind w:left="540"/>
        <w:rPr>
          <w:rFonts w:ascii="Arial" w:hAnsi="Arial" w:cs="Arial"/>
          <w:b/>
          <w:i/>
        </w:rPr>
      </w:pPr>
      <w:r>
        <w:rPr>
          <w:rFonts w:ascii="Arial" w:hAnsi="Arial" w:cs="Arial"/>
          <w:b/>
          <w:i/>
        </w:rPr>
        <w:t xml:space="preserve">International Export </w:t>
      </w:r>
      <w:r w:rsidR="0068023F">
        <w:rPr>
          <w:rFonts w:ascii="Arial" w:hAnsi="Arial" w:cs="Arial"/>
          <w:b/>
          <w:i/>
        </w:rPr>
        <w:t>Shipments</w:t>
      </w:r>
      <w:r>
        <w:rPr>
          <w:rFonts w:ascii="Arial" w:hAnsi="Arial" w:cs="Arial"/>
          <w:b/>
          <w:i/>
        </w:rPr>
        <w:t xml:space="preserve"> </w:t>
      </w:r>
      <w:r w:rsidR="00F41846">
        <w:rPr>
          <w:rFonts w:ascii="Arial" w:hAnsi="Arial" w:cs="Arial"/>
          <w:b/>
          <w:i/>
        </w:rPr>
        <w:t xml:space="preserve">Rose </w:t>
      </w:r>
      <w:r>
        <w:rPr>
          <w:rFonts w:ascii="Arial" w:hAnsi="Arial" w:cs="Arial"/>
          <w:b/>
          <w:i/>
        </w:rPr>
        <w:t>16%</w:t>
      </w:r>
      <w:r w:rsidR="00F41846">
        <w:rPr>
          <w:rFonts w:ascii="Arial" w:hAnsi="Arial" w:cs="Arial"/>
          <w:b/>
          <w:i/>
        </w:rPr>
        <w:t xml:space="preserve"> </w:t>
      </w:r>
      <w:r w:rsidR="0068023F">
        <w:rPr>
          <w:rFonts w:ascii="Arial" w:hAnsi="Arial" w:cs="Arial"/>
          <w:b/>
          <w:i/>
        </w:rPr>
        <w:t>in</w:t>
      </w:r>
      <w:r>
        <w:rPr>
          <w:rFonts w:ascii="Arial" w:hAnsi="Arial" w:cs="Arial"/>
          <w:b/>
          <w:i/>
        </w:rPr>
        <w:t xml:space="preserve"> </w:t>
      </w:r>
      <w:r w:rsidR="0068023F">
        <w:rPr>
          <w:rFonts w:ascii="Arial" w:hAnsi="Arial" w:cs="Arial"/>
          <w:b/>
          <w:i/>
        </w:rPr>
        <w:t xml:space="preserve">4Q17, </w:t>
      </w:r>
      <w:r>
        <w:rPr>
          <w:rFonts w:ascii="Arial" w:hAnsi="Arial" w:cs="Arial"/>
          <w:b/>
          <w:i/>
        </w:rPr>
        <w:t>Full-</w:t>
      </w:r>
      <w:r w:rsidR="001E32CA">
        <w:rPr>
          <w:rFonts w:ascii="Arial" w:hAnsi="Arial" w:cs="Arial"/>
          <w:b/>
          <w:i/>
        </w:rPr>
        <w:t>Y</w:t>
      </w:r>
      <w:r>
        <w:rPr>
          <w:rFonts w:ascii="Arial" w:hAnsi="Arial" w:cs="Arial"/>
          <w:b/>
          <w:i/>
        </w:rPr>
        <w:t xml:space="preserve">ear </w:t>
      </w:r>
      <w:r w:rsidR="00F41846">
        <w:rPr>
          <w:rFonts w:ascii="Arial" w:hAnsi="Arial" w:cs="Arial"/>
          <w:b/>
          <w:i/>
        </w:rPr>
        <w:t>up</w:t>
      </w:r>
      <w:r>
        <w:rPr>
          <w:rFonts w:ascii="Arial" w:hAnsi="Arial" w:cs="Arial"/>
          <w:b/>
          <w:i/>
        </w:rPr>
        <w:t xml:space="preserve"> 15%</w:t>
      </w:r>
      <w:r w:rsidR="00C40079">
        <w:rPr>
          <w:rFonts w:ascii="Arial" w:hAnsi="Arial" w:cs="Arial"/>
          <w:b/>
          <w:i/>
        </w:rPr>
        <w:t xml:space="preserve"> </w:t>
      </w:r>
    </w:p>
    <w:p w:rsidR="00170B7B" w:rsidRPr="003224C6" w:rsidRDefault="00170B7B" w:rsidP="00E84F4E">
      <w:pPr>
        <w:pStyle w:val="ListParagraph"/>
        <w:numPr>
          <w:ilvl w:val="0"/>
          <w:numId w:val="35"/>
        </w:numPr>
        <w:ind w:left="540"/>
        <w:rPr>
          <w:rFonts w:ascii="Arial" w:hAnsi="Arial" w:cs="Arial"/>
          <w:b/>
          <w:i/>
        </w:rPr>
      </w:pPr>
      <w:r w:rsidRPr="003224C6">
        <w:rPr>
          <w:rFonts w:ascii="Arial" w:hAnsi="Arial" w:cs="Arial"/>
          <w:b/>
          <w:i/>
        </w:rPr>
        <w:t xml:space="preserve">Supply Chain </w:t>
      </w:r>
      <w:r w:rsidR="00B64B2B" w:rsidRPr="003224C6">
        <w:rPr>
          <w:rFonts w:ascii="Arial" w:hAnsi="Arial" w:cs="Arial"/>
          <w:b/>
          <w:i/>
        </w:rPr>
        <w:t>&amp;</w:t>
      </w:r>
      <w:r w:rsidRPr="003224C6">
        <w:rPr>
          <w:rFonts w:ascii="Arial" w:hAnsi="Arial" w:cs="Arial"/>
          <w:b/>
          <w:i/>
        </w:rPr>
        <w:t xml:space="preserve"> Freight</w:t>
      </w:r>
      <w:r w:rsidR="00B64B2B" w:rsidRPr="003224C6">
        <w:rPr>
          <w:rFonts w:ascii="Arial" w:hAnsi="Arial" w:cs="Arial"/>
          <w:b/>
          <w:i/>
        </w:rPr>
        <w:t xml:space="preserve"> </w:t>
      </w:r>
      <w:r w:rsidR="00D9270E">
        <w:rPr>
          <w:rFonts w:ascii="Arial" w:hAnsi="Arial" w:cs="Arial"/>
          <w:b/>
          <w:i/>
        </w:rPr>
        <w:t xml:space="preserve">Profit </w:t>
      </w:r>
      <w:r w:rsidR="00750424">
        <w:rPr>
          <w:rFonts w:ascii="Arial" w:hAnsi="Arial" w:cs="Arial"/>
          <w:b/>
          <w:i/>
        </w:rPr>
        <w:t>Jumps</w:t>
      </w:r>
      <w:r w:rsidR="00B130BE">
        <w:rPr>
          <w:rFonts w:ascii="Arial" w:hAnsi="Arial" w:cs="Arial"/>
          <w:b/>
          <w:i/>
        </w:rPr>
        <w:t xml:space="preserve"> </w:t>
      </w:r>
      <w:r w:rsidR="00D9270E">
        <w:rPr>
          <w:rFonts w:ascii="Arial" w:hAnsi="Arial" w:cs="Arial"/>
          <w:b/>
          <w:i/>
        </w:rPr>
        <w:t xml:space="preserve">with Strong Revenue Growth of </w:t>
      </w:r>
      <w:r w:rsidR="00750424">
        <w:rPr>
          <w:rFonts w:ascii="Arial" w:hAnsi="Arial" w:cs="Arial"/>
          <w:b/>
          <w:i/>
        </w:rPr>
        <w:t>21</w:t>
      </w:r>
      <w:r w:rsidR="00EC4616" w:rsidRPr="003224C6">
        <w:rPr>
          <w:rFonts w:ascii="Arial" w:hAnsi="Arial" w:cs="Arial"/>
          <w:b/>
          <w:i/>
        </w:rPr>
        <w:t>%</w:t>
      </w:r>
      <w:r w:rsidR="00524BA3">
        <w:rPr>
          <w:rFonts w:ascii="Arial" w:hAnsi="Arial" w:cs="Arial"/>
          <w:b/>
          <w:i/>
        </w:rPr>
        <w:t xml:space="preserve"> </w:t>
      </w:r>
    </w:p>
    <w:p w:rsidR="00722D24" w:rsidRDefault="00722D24" w:rsidP="00722D24">
      <w:pPr>
        <w:pStyle w:val="ListParagraph"/>
        <w:numPr>
          <w:ilvl w:val="0"/>
          <w:numId w:val="35"/>
        </w:numPr>
        <w:ind w:left="540"/>
        <w:rPr>
          <w:rFonts w:ascii="Arial" w:hAnsi="Arial" w:cs="Arial"/>
          <w:b/>
          <w:i/>
        </w:rPr>
      </w:pPr>
      <w:r w:rsidRPr="003224C6">
        <w:rPr>
          <w:rFonts w:ascii="Arial" w:hAnsi="Arial" w:cs="Arial"/>
          <w:b/>
          <w:i/>
        </w:rPr>
        <w:t>U.S. Domestic</w:t>
      </w:r>
      <w:r>
        <w:rPr>
          <w:rFonts w:ascii="Arial" w:hAnsi="Arial" w:cs="Arial"/>
          <w:b/>
          <w:i/>
        </w:rPr>
        <w:t xml:space="preserve"> </w:t>
      </w:r>
      <w:r w:rsidRPr="00F711FF">
        <w:rPr>
          <w:rFonts w:ascii="Arial" w:hAnsi="Arial" w:cs="Arial"/>
          <w:b/>
          <w:i/>
        </w:rPr>
        <w:t xml:space="preserve">Revenue up </w:t>
      </w:r>
      <w:r>
        <w:rPr>
          <w:rFonts w:ascii="Arial" w:hAnsi="Arial" w:cs="Arial"/>
          <w:b/>
          <w:i/>
        </w:rPr>
        <w:t>8.4</w:t>
      </w:r>
      <w:r w:rsidRPr="00F711FF">
        <w:rPr>
          <w:rFonts w:ascii="Arial" w:hAnsi="Arial" w:cs="Arial"/>
          <w:b/>
          <w:i/>
        </w:rPr>
        <w:t>%</w:t>
      </w:r>
      <w:r>
        <w:rPr>
          <w:rFonts w:ascii="Arial" w:hAnsi="Arial" w:cs="Arial"/>
          <w:b/>
          <w:i/>
        </w:rPr>
        <w:t xml:space="preserve"> on Higher Package Demand and Yields </w:t>
      </w:r>
    </w:p>
    <w:p w:rsidR="003B76D7" w:rsidRDefault="003B76D7" w:rsidP="003B76D7">
      <w:pPr>
        <w:pStyle w:val="ListParagraph"/>
        <w:numPr>
          <w:ilvl w:val="0"/>
          <w:numId w:val="35"/>
        </w:numPr>
        <w:ind w:left="540"/>
        <w:rPr>
          <w:rFonts w:ascii="Arial" w:hAnsi="Arial" w:cs="Arial"/>
          <w:b/>
          <w:i/>
        </w:rPr>
      </w:pPr>
      <w:r>
        <w:rPr>
          <w:rFonts w:ascii="Arial" w:hAnsi="Arial" w:cs="Arial"/>
          <w:b/>
          <w:i/>
        </w:rPr>
        <w:t>2017 EPS of $5.61; Adjusted 2017 EPS of $6.01</w:t>
      </w:r>
    </w:p>
    <w:p w:rsidR="009E3FDD" w:rsidRDefault="009E3FDD" w:rsidP="00750424">
      <w:pPr>
        <w:pStyle w:val="ListParagraph"/>
        <w:numPr>
          <w:ilvl w:val="0"/>
          <w:numId w:val="35"/>
        </w:numPr>
        <w:ind w:left="540"/>
        <w:rPr>
          <w:rFonts w:ascii="Arial" w:hAnsi="Arial" w:cs="Arial"/>
          <w:b/>
          <w:i/>
        </w:rPr>
      </w:pPr>
      <w:r>
        <w:rPr>
          <w:rFonts w:ascii="Arial" w:hAnsi="Arial" w:cs="Arial"/>
          <w:b/>
          <w:i/>
        </w:rPr>
        <w:t xml:space="preserve">UPS </w:t>
      </w:r>
      <w:r w:rsidR="00524BA3">
        <w:rPr>
          <w:rFonts w:ascii="Arial" w:hAnsi="Arial" w:cs="Arial"/>
          <w:b/>
          <w:i/>
        </w:rPr>
        <w:t>Increases</w:t>
      </w:r>
      <w:r>
        <w:rPr>
          <w:rFonts w:ascii="Arial" w:hAnsi="Arial" w:cs="Arial"/>
          <w:b/>
          <w:i/>
        </w:rPr>
        <w:t xml:space="preserve"> Investments </w:t>
      </w:r>
      <w:r w:rsidR="000A3AE6">
        <w:rPr>
          <w:rFonts w:ascii="Arial" w:hAnsi="Arial" w:cs="Arial"/>
          <w:b/>
          <w:i/>
        </w:rPr>
        <w:t xml:space="preserve">for Growth </w:t>
      </w:r>
      <w:r w:rsidR="007B3B00">
        <w:rPr>
          <w:rFonts w:ascii="Arial" w:hAnsi="Arial" w:cs="Arial"/>
          <w:b/>
          <w:i/>
        </w:rPr>
        <w:t>in</w:t>
      </w:r>
      <w:r>
        <w:rPr>
          <w:rFonts w:ascii="Arial" w:hAnsi="Arial" w:cs="Arial"/>
          <w:b/>
          <w:i/>
        </w:rPr>
        <w:t xml:space="preserve"> 2018 </w:t>
      </w:r>
    </w:p>
    <w:p w:rsidR="00750424" w:rsidRPr="004F5D76" w:rsidRDefault="00750424" w:rsidP="00750424">
      <w:pPr>
        <w:pStyle w:val="ListParagraph"/>
        <w:numPr>
          <w:ilvl w:val="0"/>
          <w:numId w:val="35"/>
        </w:numPr>
        <w:ind w:left="540"/>
        <w:rPr>
          <w:rFonts w:ascii="Arial" w:hAnsi="Arial" w:cs="Arial"/>
          <w:b/>
          <w:i/>
        </w:rPr>
      </w:pPr>
      <w:r w:rsidRPr="004F5D76">
        <w:rPr>
          <w:rFonts w:ascii="Arial" w:hAnsi="Arial" w:cs="Arial"/>
          <w:b/>
          <w:i/>
        </w:rPr>
        <w:t>Announces Full-Year 201</w:t>
      </w:r>
      <w:r>
        <w:rPr>
          <w:rFonts w:ascii="Arial" w:hAnsi="Arial" w:cs="Arial"/>
          <w:b/>
          <w:i/>
        </w:rPr>
        <w:t>8</w:t>
      </w:r>
      <w:r w:rsidRPr="004F5D76">
        <w:rPr>
          <w:rFonts w:ascii="Arial" w:hAnsi="Arial" w:cs="Arial"/>
          <w:b/>
          <w:i/>
        </w:rPr>
        <w:t xml:space="preserve"> </w:t>
      </w:r>
      <w:r>
        <w:rPr>
          <w:rFonts w:ascii="Arial" w:hAnsi="Arial" w:cs="Arial"/>
          <w:b/>
          <w:i/>
        </w:rPr>
        <w:t>Adjusted</w:t>
      </w:r>
      <w:r w:rsidRPr="004F5D76">
        <w:rPr>
          <w:rFonts w:ascii="Arial" w:hAnsi="Arial" w:cs="Arial"/>
          <w:b/>
          <w:i/>
        </w:rPr>
        <w:t xml:space="preserve"> EPS Guidance</w:t>
      </w:r>
      <w:r>
        <w:rPr>
          <w:rFonts w:ascii="Arial" w:hAnsi="Arial" w:cs="Arial"/>
          <w:b/>
          <w:i/>
        </w:rPr>
        <w:t xml:space="preserve"> Range of $</w:t>
      </w:r>
      <w:r w:rsidR="005D1240">
        <w:rPr>
          <w:rFonts w:ascii="Arial" w:hAnsi="Arial" w:cs="Arial"/>
          <w:b/>
          <w:i/>
        </w:rPr>
        <w:t>7.03</w:t>
      </w:r>
      <w:r>
        <w:rPr>
          <w:rFonts w:ascii="Arial" w:hAnsi="Arial" w:cs="Arial"/>
          <w:b/>
          <w:i/>
        </w:rPr>
        <w:t xml:space="preserve"> to $</w:t>
      </w:r>
      <w:r w:rsidR="005D1240">
        <w:rPr>
          <w:rFonts w:ascii="Arial" w:hAnsi="Arial" w:cs="Arial"/>
          <w:b/>
          <w:i/>
        </w:rPr>
        <w:t>7.37</w:t>
      </w:r>
    </w:p>
    <w:p w:rsidR="0077335C" w:rsidRDefault="0077335C" w:rsidP="000E624D">
      <w:pPr>
        <w:rPr>
          <w:rFonts w:ascii="Arial" w:hAnsi="Arial" w:cs="Arial"/>
          <w:b/>
          <w:szCs w:val="20"/>
        </w:rPr>
      </w:pPr>
    </w:p>
    <w:p w:rsidR="005A5BC6" w:rsidRDefault="004F5DA4" w:rsidP="001818ED">
      <w:pPr>
        <w:ind w:firstLine="720"/>
        <w:rPr>
          <w:rFonts w:ascii="Arial" w:hAnsi="Arial" w:cs="Arial"/>
          <w:sz w:val="22"/>
        </w:rPr>
      </w:pPr>
      <w:r w:rsidRPr="004F5D76">
        <w:rPr>
          <w:rFonts w:ascii="Arial" w:hAnsi="Arial" w:cs="Arial"/>
          <w:b/>
        </w:rPr>
        <w:t>A</w:t>
      </w:r>
      <w:r w:rsidR="006376D6">
        <w:rPr>
          <w:rFonts w:ascii="Arial" w:hAnsi="Arial" w:cs="Arial"/>
          <w:b/>
        </w:rPr>
        <w:t xml:space="preserve">TLANTA </w:t>
      </w:r>
      <w:r w:rsidR="00456224">
        <w:rPr>
          <w:rFonts w:ascii="Arial" w:hAnsi="Arial" w:cs="Arial"/>
          <w:b/>
        </w:rPr>
        <w:t>–</w:t>
      </w:r>
      <w:r w:rsidR="005855A9" w:rsidRPr="004F5D76">
        <w:rPr>
          <w:rFonts w:ascii="Arial" w:hAnsi="Arial" w:cs="Arial"/>
          <w:b/>
        </w:rPr>
        <w:t xml:space="preserve"> </w:t>
      </w:r>
      <w:r w:rsidR="005A5BC6">
        <w:rPr>
          <w:rFonts w:ascii="Arial" w:hAnsi="Arial" w:cs="Arial"/>
          <w:b/>
        </w:rPr>
        <w:t>February 1</w:t>
      </w:r>
      <w:r w:rsidR="005855A9" w:rsidRPr="004F5D76">
        <w:rPr>
          <w:rFonts w:ascii="Arial" w:hAnsi="Arial" w:cs="Arial"/>
          <w:b/>
        </w:rPr>
        <w:t>, 201</w:t>
      </w:r>
      <w:r w:rsidR="005A5BC6">
        <w:rPr>
          <w:rFonts w:ascii="Arial" w:hAnsi="Arial" w:cs="Arial"/>
          <w:b/>
        </w:rPr>
        <w:t>8</w:t>
      </w:r>
      <w:r w:rsidR="005855A9" w:rsidRPr="004F5D76">
        <w:rPr>
          <w:rFonts w:ascii="Arial" w:hAnsi="Arial" w:cs="Arial"/>
          <w:sz w:val="22"/>
        </w:rPr>
        <w:t xml:space="preserve"> – UPS (NYSE:UPS) today </w:t>
      </w:r>
      <w:r w:rsidR="00B47330" w:rsidRPr="004F5D76">
        <w:rPr>
          <w:rFonts w:ascii="Arial" w:hAnsi="Arial" w:cs="Arial"/>
          <w:sz w:val="22"/>
        </w:rPr>
        <w:t xml:space="preserve">announced </w:t>
      </w:r>
      <w:r w:rsidR="00C36109">
        <w:rPr>
          <w:rFonts w:ascii="Arial" w:hAnsi="Arial" w:cs="Arial"/>
          <w:sz w:val="22"/>
        </w:rPr>
        <w:t>fourth quarter</w:t>
      </w:r>
      <w:r w:rsidR="000C772F">
        <w:rPr>
          <w:rFonts w:ascii="Arial" w:hAnsi="Arial" w:cs="Arial"/>
          <w:sz w:val="22"/>
        </w:rPr>
        <w:t xml:space="preserve"> 2017</w:t>
      </w:r>
      <w:r w:rsidR="00C36109">
        <w:rPr>
          <w:rFonts w:ascii="Arial" w:hAnsi="Arial" w:cs="Arial"/>
          <w:sz w:val="22"/>
        </w:rPr>
        <w:t xml:space="preserve"> earnings</w:t>
      </w:r>
      <w:r w:rsidR="00B351D7">
        <w:rPr>
          <w:rFonts w:ascii="Arial" w:hAnsi="Arial" w:cs="Arial"/>
          <w:sz w:val="22"/>
        </w:rPr>
        <w:t xml:space="preserve">. </w:t>
      </w:r>
      <w:r w:rsidR="00947C81">
        <w:rPr>
          <w:rFonts w:ascii="Arial" w:hAnsi="Arial" w:cs="Arial"/>
          <w:sz w:val="22"/>
        </w:rPr>
        <w:t xml:space="preserve"> </w:t>
      </w:r>
      <w:r w:rsidR="00D8122D" w:rsidRPr="004F5D76">
        <w:rPr>
          <w:rFonts w:ascii="Arial" w:hAnsi="Arial" w:cs="Arial"/>
          <w:sz w:val="22"/>
          <w:szCs w:val="22"/>
        </w:rPr>
        <w:t>“</w:t>
      </w:r>
      <w:r w:rsidR="0094301B">
        <w:rPr>
          <w:rFonts w:ascii="Arial" w:hAnsi="Arial" w:cs="Arial"/>
          <w:sz w:val="22"/>
          <w:szCs w:val="22"/>
        </w:rPr>
        <w:t>We achi</w:t>
      </w:r>
      <w:r w:rsidR="00447B63">
        <w:rPr>
          <w:rFonts w:ascii="Arial" w:hAnsi="Arial" w:cs="Arial"/>
          <w:sz w:val="22"/>
          <w:szCs w:val="22"/>
        </w:rPr>
        <w:t>eved our 2017 adjusted earnings-per-</w:t>
      </w:r>
      <w:r w:rsidR="0094301B">
        <w:rPr>
          <w:rFonts w:ascii="Arial" w:hAnsi="Arial" w:cs="Arial"/>
          <w:sz w:val="22"/>
          <w:szCs w:val="22"/>
        </w:rPr>
        <w:t>share target through</w:t>
      </w:r>
      <w:r w:rsidR="00D02362" w:rsidRPr="00D02362">
        <w:rPr>
          <w:rFonts w:ascii="Arial" w:hAnsi="Arial" w:cs="Arial"/>
          <w:sz w:val="22"/>
          <w:szCs w:val="22"/>
        </w:rPr>
        <w:t xml:space="preserve"> exceptionally strong revenue </w:t>
      </w:r>
      <w:r w:rsidR="007E412A">
        <w:rPr>
          <w:rFonts w:ascii="Arial" w:hAnsi="Arial" w:cs="Arial"/>
          <w:sz w:val="22"/>
          <w:szCs w:val="22"/>
        </w:rPr>
        <w:t xml:space="preserve">and yield </w:t>
      </w:r>
      <w:r w:rsidR="00D02362" w:rsidRPr="00D02362">
        <w:rPr>
          <w:rFonts w:ascii="Arial" w:hAnsi="Arial" w:cs="Arial"/>
          <w:sz w:val="22"/>
          <w:szCs w:val="22"/>
        </w:rPr>
        <w:t>growth</w:t>
      </w:r>
      <w:r w:rsidR="00F41846">
        <w:rPr>
          <w:rFonts w:ascii="Arial" w:hAnsi="Arial" w:cs="Arial"/>
          <w:sz w:val="22"/>
          <w:szCs w:val="22"/>
        </w:rPr>
        <w:t>,</w:t>
      </w:r>
      <w:r w:rsidR="0094301B">
        <w:rPr>
          <w:rFonts w:ascii="Arial" w:hAnsi="Arial" w:cs="Arial"/>
          <w:sz w:val="22"/>
          <w:szCs w:val="22"/>
        </w:rPr>
        <w:t xml:space="preserve"> coupled with benefits from our network investments and portfolio initiatives,</w:t>
      </w:r>
      <w:r w:rsidR="00D8122D">
        <w:rPr>
          <w:rFonts w:ascii="Arial" w:hAnsi="Arial" w:cs="Arial"/>
          <w:sz w:val="22"/>
        </w:rPr>
        <w:t>”</w:t>
      </w:r>
      <w:r w:rsidR="00D8122D" w:rsidRPr="00B407F4">
        <w:rPr>
          <w:rFonts w:ascii="Arial" w:hAnsi="Arial" w:cs="Arial"/>
          <w:sz w:val="22"/>
          <w:szCs w:val="22"/>
        </w:rPr>
        <w:t xml:space="preserve"> </w:t>
      </w:r>
      <w:r w:rsidR="00D8122D" w:rsidRPr="004F5D76">
        <w:rPr>
          <w:rFonts w:ascii="Arial" w:hAnsi="Arial" w:cs="Arial"/>
          <w:sz w:val="22"/>
          <w:szCs w:val="22"/>
        </w:rPr>
        <w:t xml:space="preserve">said David Abney, UPS </w:t>
      </w:r>
      <w:r w:rsidR="00D8122D">
        <w:rPr>
          <w:rFonts w:ascii="Arial" w:hAnsi="Arial" w:cs="Arial"/>
          <w:sz w:val="22"/>
          <w:szCs w:val="22"/>
        </w:rPr>
        <w:t>chairman and CEO.  “</w:t>
      </w:r>
      <w:r w:rsidR="007E412A">
        <w:rPr>
          <w:rFonts w:ascii="Arial" w:hAnsi="Arial" w:cs="Arial"/>
          <w:sz w:val="22"/>
          <w:szCs w:val="22"/>
        </w:rPr>
        <w:t>W</w:t>
      </w:r>
      <w:r w:rsidR="00D02362" w:rsidRPr="00D02362">
        <w:rPr>
          <w:rFonts w:ascii="Arial" w:hAnsi="Arial" w:cs="Arial"/>
          <w:sz w:val="22"/>
          <w:szCs w:val="22"/>
        </w:rPr>
        <w:t>e ma</w:t>
      </w:r>
      <w:r w:rsidR="00D02362">
        <w:rPr>
          <w:rFonts w:ascii="Arial" w:hAnsi="Arial" w:cs="Arial"/>
          <w:sz w:val="22"/>
          <w:szCs w:val="22"/>
        </w:rPr>
        <w:t>de</w:t>
      </w:r>
      <w:r w:rsidR="00D02362" w:rsidRPr="00D02362">
        <w:rPr>
          <w:rFonts w:ascii="Arial" w:hAnsi="Arial" w:cs="Arial"/>
          <w:sz w:val="22"/>
          <w:szCs w:val="22"/>
        </w:rPr>
        <w:t xml:space="preserve"> significant progress on key </w:t>
      </w:r>
      <w:r w:rsidR="0094301B">
        <w:rPr>
          <w:rFonts w:ascii="Arial" w:hAnsi="Arial" w:cs="Arial"/>
          <w:sz w:val="22"/>
          <w:szCs w:val="22"/>
        </w:rPr>
        <w:t>capacity investments</w:t>
      </w:r>
      <w:r w:rsidR="00D02362" w:rsidRPr="00D02362">
        <w:rPr>
          <w:rFonts w:ascii="Arial" w:hAnsi="Arial" w:cs="Arial"/>
          <w:sz w:val="22"/>
          <w:szCs w:val="22"/>
        </w:rPr>
        <w:t xml:space="preserve"> </w:t>
      </w:r>
      <w:r w:rsidR="007E412A">
        <w:rPr>
          <w:rFonts w:ascii="Arial" w:hAnsi="Arial" w:cs="Arial"/>
          <w:sz w:val="22"/>
          <w:szCs w:val="22"/>
        </w:rPr>
        <w:t xml:space="preserve">in 2017.  </w:t>
      </w:r>
      <w:r w:rsidR="00B51F1E" w:rsidRPr="00940C84">
        <w:rPr>
          <w:rFonts w:ascii="Arial" w:hAnsi="Arial" w:cs="Arial"/>
          <w:sz w:val="22"/>
          <w:szCs w:val="22"/>
        </w:rPr>
        <w:t>Our m</w:t>
      </w:r>
      <w:r w:rsidR="007E412A" w:rsidRPr="00940C84">
        <w:rPr>
          <w:rFonts w:ascii="Arial" w:hAnsi="Arial" w:cs="Arial"/>
          <w:sz w:val="22"/>
          <w:szCs w:val="22"/>
        </w:rPr>
        <w:t>omentum</w:t>
      </w:r>
      <w:r w:rsidR="00B51F1E" w:rsidRPr="00940C84">
        <w:rPr>
          <w:rFonts w:ascii="Arial" w:hAnsi="Arial" w:cs="Arial"/>
          <w:sz w:val="22"/>
          <w:szCs w:val="22"/>
        </w:rPr>
        <w:t>,</w:t>
      </w:r>
      <w:r w:rsidR="007E412A" w:rsidRPr="00940C84">
        <w:rPr>
          <w:rFonts w:ascii="Arial" w:hAnsi="Arial" w:cs="Arial"/>
          <w:sz w:val="22"/>
          <w:szCs w:val="22"/>
        </w:rPr>
        <w:t xml:space="preserve"> </w:t>
      </w:r>
      <w:r w:rsidR="00524BA3" w:rsidRPr="00940C84">
        <w:rPr>
          <w:rFonts w:ascii="Arial" w:hAnsi="Arial" w:cs="Arial"/>
          <w:sz w:val="22"/>
          <w:szCs w:val="22"/>
        </w:rPr>
        <w:t>transformat</w:t>
      </w:r>
      <w:r w:rsidR="0069339F">
        <w:rPr>
          <w:rFonts w:ascii="Arial" w:hAnsi="Arial" w:cs="Arial"/>
          <w:sz w:val="22"/>
          <w:szCs w:val="22"/>
        </w:rPr>
        <w:t>ive</w:t>
      </w:r>
      <w:r w:rsidR="00524BA3" w:rsidRPr="00940C84">
        <w:rPr>
          <w:rFonts w:ascii="Arial" w:hAnsi="Arial" w:cs="Arial"/>
          <w:sz w:val="22"/>
          <w:szCs w:val="22"/>
        </w:rPr>
        <w:t xml:space="preserve"> </w:t>
      </w:r>
      <w:r w:rsidR="000F2933">
        <w:rPr>
          <w:rFonts w:ascii="Arial" w:hAnsi="Arial" w:cs="Arial"/>
          <w:sz w:val="22"/>
          <w:szCs w:val="22"/>
        </w:rPr>
        <w:t>actions</w:t>
      </w:r>
      <w:r w:rsidR="00524BA3" w:rsidRPr="00940C84">
        <w:rPr>
          <w:rFonts w:ascii="Arial" w:hAnsi="Arial" w:cs="Arial"/>
          <w:sz w:val="22"/>
          <w:szCs w:val="22"/>
        </w:rPr>
        <w:t xml:space="preserve"> </w:t>
      </w:r>
      <w:r w:rsidR="007E412A" w:rsidRPr="00940C84">
        <w:rPr>
          <w:rFonts w:ascii="Arial" w:hAnsi="Arial" w:cs="Arial"/>
          <w:sz w:val="22"/>
          <w:szCs w:val="22"/>
        </w:rPr>
        <w:t xml:space="preserve">and </w:t>
      </w:r>
      <w:r w:rsidR="00B51F1E" w:rsidRPr="00940C84">
        <w:rPr>
          <w:rFonts w:ascii="Arial" w:hAnsi="Arial" w:cs="Arial"/>
          <w:sz w:val="22"/>
          <w:szCs w:val="22"/>
        </w:rPr>
        <w:t>the economic catalyst</w:t>
      </w:r>
      <w:r w:rsidR="007E412A" w:rsidRPr="00940C84">
        <w:rPr>
          <w:rFonts w:ascii="Arial" w:hAnsi="Arial" w:cs="Arial"/>
          <w:sz w:val="22"/>
          <w:szCs w:val="22"/>
        </w:rPr>
        <w:t xml:space="preserve"> from the </w:t>
      </w:r>
      <w:r w:rsidR="002C0B11" w:rsidRPr="00940C84">
        <w:rPr>
          <w:rFonts w:ascii="Arial" w:hAnsi="Arial" w:cs="Arial"/>
          <w:sz w:val="22"/>
          <w:szCs w:val="22"/>
        </w:rPr>
        <w:t xml:space="preserve">Tax Cuts and </w:t>
      </w:r>
      <w:r w:rsidR="007E412A" w:rsidRPr="00940C84">
        <w:rPr>
          <w:rFonts w:ascii="Arial" w:hAnsi="Arial" w:cs="Arial"/>
          <w:sz w:val="22"/>
          <w:szCs w:val="22"/>
        </w:rPr>
        <w:t>Jobs Act</w:t>
      </w:r>
      <w:r w:rsidR="002C0B11" w:rsidRPr="00940C84">
        <w:rPr>
          <w:rFonts w:ascii="Arial" w:hAnsi="Arial" w:cs="Arial"/>
          <w:sz w:val="22"/>
          <w:szCs w:val="22"/>
        </w:rPr>
        <w:t xml:space="preserve"> (TCJA)</w:t>
      </w:r>
      <w:r w:rsidR="00B51F1E" w:rsidRPr="00940C84">
        <w:rPr>
          <w:rFonts w:ascii="Arial" w:hAnsi="Arial" w:cs="Arial"/>
          <w:sz w:val="22"/>
          <w:szCs w:val="22"/>
        </w:rPr>
        <w:t xml:space="preserve">, </w:t>
      </w:r>
      <w:r w:rsidR="00447B63">
        <w:rPr>
          <w:rFonts w:ascii="Arial" w:hAnsi="Arial" w:cs="Arial"/>
          <w:sz w:val="22"/>
          <w:szCs w:val="22"/>
        </w:rPr>
        <w:t>position</w:t>
      </w:r>
      <w:r w:rsidR="0094301B" w:rsidRPr="00940C84">
        <w:rPr>
          <w:rFonts w:ascii="Arial" w:hAnsi="Arial" w:cs="Arial"/>
          <w:sz w:val="22"/>
          <w:szCs w:val="22"/>
        </w:rPr>
        <w:t xml:space="preserve"> UPS for growth in 2018 </w:t>
      </w:r>
      <w:r w:rsidR="00524BA3" w:rsidRPr="00940C84">
        <w:rPr>
          <w:rFonts w:ascii="Arial" w:hAnsi="Arial" w:cs="Arial"/>
          <w:sz w:val="22"/>
          <w:szCs w:val="22"/>
        </w:rPr>
        <w:t>and beyond</w:t>
      </w:r>
      <w:r w:rsidR="0094301B" w:rsidRPr="00940C84">
        <w:rPr>
          <w:rFonts w:ascii="Arial" w:hAnsi="Arial" w:cs="Arial"/>
          <w:sz w:val="22"/>
          <w:szCs w:val="22"/>
        </w:rPr>
        <w:t>.</w:t>
      </w:r>
      <w:r w:rsidR="000F2933">
        <w:rPr>
          <w:rFonts w:ascii="Arial" w:hAnsi="Arial" w:cs="Arial"/>
          <w:sz w:val="22"/>
          <w:szCs w:val="22"/>
        </w:rPr>
        <w:t xml:space="preserve">  We expect to unlock significant resources</w:t>
      </w:r>
      <w:r w:rsidR="00447B63">
        <w:rPr>
          <w:rFonts w:ascii="Arial" w:hAnsi="Arial" w:cs="Arial"/>
          <w:sz w:val="22"/>
          <w:szCs w:val="22"/>
        </w:rPr>
        <w:t>,</w:t>
      </w:r>
      <w:r w:rsidR="000F2933">
        <w:rPr>
          <w:rFonts w:ascii="Arial" w:hAnsi="Arial" w:cs="Arial"/>
          <w:sz w:val="22"/>
          <w:szCs w:val="22"/>
        </w:rPr>
        <w:t xml:space="preserve"> which will be available for accelerated investments in our network </w:t>
      </w:r>
      <w:r w:rsidR="0014511D">
        <w:rPr>
          <w:rFonts w:ascii="Arial" w:hAnsi="Arial" w:cs="Arial"/>
          <w:sz w:val="22"/>
          <w:szCs w:val="22"/>
        </w:rPr>
        <w:t>and</w:t>
      </w:r>
      <w:r w:rsidR="000F2933">
        <w:rPr>
          <w:rFonts w:ascii="Arial" w:hAnsi="Arial" w:cs="Arial"/>
          <w:sz w:val="22"/>
          <w:szCs w:val="22"/>
        </w:rPr>
        <w:t xml:space="preserve"> create </w:t>
      </w:r>
      <w:r w:rsidR="0069339F">
        <w:rPr>
          <w:rFonts w:ascii="Arial" w:hAnsi="Arial" w:cs="Arial"/>
          <w:sz w:val="22"/>
          <w:szCs w:val="22"/>
        </w:rPr>
        <w:t xml:space="preserve">additional </w:t>
      </w:r>
      <w:r w:rsidR="000F2933">
        <w:rPr>
          <w:rFonts w:ascii="Arial" w:hAnsi="Arial" w:cs="Arial"/>
          <w:sz w:val="22"/>
          <w:szCs w:val="22"/>
        </w:rPr>
        <w:t xml:space="preserve">opportunities for our people.” </w:t>
      </w:r>
    </w:p>
    <w:p w:rsidR="00BA4900" w:rsidRDefault="00BA4900" w:rsidP="000E624D">
      <w:pPr>
        <w:rPr>
          <w:rFonts w:ascii="Arial" w:hAnsi="Arial" w:cs="Arial"/>
          <w:sz w:val="22"/>
        </w:rPr>
      </w:pPr>
    </w:p>
    <w:tbl>
      <w:tblPr>
        <w:tblStyle w:val="TableGrid"/>
        <w:tblW w:w="892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440"/>
        <w:gridCol w:w="1440"/>
        <w:gridCol w:w="1440"/>
        <w:gridCol w:w="1440"/>
      </w:tblGrid>
      <w:tr w:rsidR="005A5BC6" w:rsidRPr="001E1EB6" w:rsidTr="005A5BC6">
        <w:tc>
          <w:tcPr>
            <w:tcW w:w="3168" w:type="dxa"/>
          </w:tcPr>
          <w:p w:rsidR="005A5BC6" w:rsidRPr="004B2151" w:rsidRDefault="005A5BC6" w:rsidP="005A5BC6">
            <w:pPr>
              <w:rPr>
                <w:rFonts w:ascii="Arial" w:hAnsi="Arial" w:cs="Arial"/>
                <w:b/>
                <w:sz w:val="20"/>
                <w:szCs w:val="22"/>
                <w:u w:val="single"/>
              </w:rPr>
            </w:pPr>
          </w:p>
          <w:p w:rsidR="005A5BC6" w:rsidRPr="004B2151" w:rsidRDefault="005A5BC6" w:rsidP="005A5BC6">
            <w:pPr>
              <w:rPr>
                <w:rFonts w:ascii="Arial" w:hAnsi="Arial" w:cs="Arial"/>
                <w:b/>
                <w:sz w:val="20"/>
                <w:szCs w:val="22"/>
                <w:u w:val="single"/>
              </w:rPr>
            </w:pPr>
            <w:r w:rsidRPr="004B2151">
              <w:rPr>
                <w:rFonts w:ascii="Arial" w:hAnsi="Arial" w:cs="Arial"/>
                <w:b/>
                <w:sz w:val="20"/>
                <w:szCs w:val="22"/>
                <w:u w:val="single"/>
              </w:rPr>
              <w:t>Consolidated Results</w:t>
            </w: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r>
      <w:tr w:rsidR="005A5BC6" w:rsidRPr="001E1EB6" w:rsidTr="005A5BC6">
        <w:tc>
          <w:tcPr>
            <w:tcW w:w="3168" w:type="dxa"/>
          </w:tcPr>
          <w:p w:rsidR="005A5BC6" w:rsidRPr="004F5D76" w:rsidRDefault="005A5BC6" w:rsidP="005A5BC6">
            <w:pPr>
              <w:rPr>
                <w:rFonts w:ascii="Arial" w:hAnsi="Arial" w:cs="Arial"/>
                <w:sz w:val="20"/>
                <w:szCs w:val="22"/>
              </w:rPr>
            </w:pPr>
            <w:r>
              <w:rPr>
                <w:rFonts w:ascii="Arial" w:hAnsi="Arial" w:cs="Arial"/>
                <w:sz w:val="20"/>
                <w:szCs w:val="22"/>
              </w:rPr>
              <w:t>Revenue</w:t>
            </w:r>
          </w:p>
        </w:tc>
        <w:tc>
          <w:tcPr>
            <w:tcW w:w="1440" w:type="dxa"/>
          </w:tcPr>
          <w:p w:rsidR="005A5BC6" w:rsidRPr="004F5D76" w:rsidRDefault="005A5BC6" w:rsidP="005A5BC6">
            <w:pPr>
              <w:jc w:val="right"/>
              <w:rPr>
                <w:rFonts w:ascii="Arial" w:hAnsi="Arial" w:cs="Arial"/>
                <w:sz w:val="20"/>
                <w:szCs w:val="22"/>
              </w:rPr>
            </w:pPr>
            <w:r>
              <w:rPr>
                <w:rFonts w:ascii="Arial" w:hAnsi="Arial" w:cs="Arial"/>
                <w:sz w:val="20"/>
                <w:szCs w:val="22"/>
              </w:rPr>
              <w:t>$18,829 M</w:t>
            </w:r>
          </w:p>
        </w:tc>
        <w:tc>
          <w:tcPr>
            <w:tcW w:w="1440" w:type="dxa"/>
          </w:tcPr>
          <w:p w:rsidR="005A5BC6" w:rsidRPr="001E1EB6" w:rsidRDefault="005A5BC6" w:rsidP="005A5BC6">
            <w:pPr>
              <w:jc w:val="right"/>
              <w:rPr>
                <w:rFonts w:ascii="Arial" w:hAnsi="Arial" w:cs="Arial"/>
                <w:sz w:val="20"/>
                <w:szCs w:val="22"/>
              </w:rPr>
            </w:pPr>
          </w:p>
        </w:tc>
        <w:tc>
          <w:tcPr>
            <w:tcW w:w="1440" w:type="dxa"/>
          </w:tcPr>
          <w:p w:rsidR="005A5BC6" w:rsidRPr="004F5D76" w:rsidRDefault="005A5BC6" w:rsidP="005A5BC6">
            <w:pPr>
              <w:jc w:val="right"/>
              <w:rPr>
                <w:rFonts w:ascii="Arial" w:hAnsi="Arial" w:cs="Arial"/>
                <w:sz w:val="20"/>
                <w:szCs w:val="22"/>
              </w:rPr>
            </w:pPr>
            <w:r>
              <w:rPr>
                <w:rFonts w:ascii="Arial" w:hAnsi="Arial" w:cs="Arial"/>
                <w:sz w:val="20"/>
                <w:szCs w:val="22"/>
              </w:rPr>
              <w:t>$16,931 M</w:t>
            </w:r>
          </w:p>
        </w:tc>
        <w:tc>
          <w:tcPr>
            <w:tcW w:w="1440" w:type="dxa"/>
          </w:tcPr>
          <w:p w:rsidR="005A5BC6" w:rsidRPr="001E1EB6" w:rsidRDefault="005A5BC6" w:rsidP="005A5BC6">
            <w:pPr>
              <w:jc w:val="right"/>
              <w:rPr>
                <w:rFonts w:ascii="Arial" w:hAnsi="Arial" w:cs="Arial"/>
                <w:sz w:val="20"/>
                <w:szCs w:val="22"/>
              </w:rPr>
            </w:pPr>
          </w:p>
        </w:tc>
      </w:tr>
      <w:tr w:rsidR="005A5BC6" w:rsidRPr="001E1EB6" w:rsidTr="005A5BC6">
        <w:tc>
          <w:tcPr>
            <w:tcW w:w="3168" w:type="dxa"/>
          </w:tcPr>
          <w:p w:rsidR="005A5BC6" w:rsidRPr="004B2151" w:rsidRDefault="005A5BC6" w:rsidP="005A5BC6">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r>
              <w:rPr>
                <w:rFonts w:ascii="Arial" w:hAnsi="Arial" w:cs="Arial"/>
                <w:sz w:val="20"/>
                <w:szCs w:val="22"/>
              </w:rPr>
              <w:t xml:space="preserve"> (loss)</w:t>
            </w:r>
          </w:p>
        </w:tc>
        <w:tc>
          <w:tcPr>
            <w:tcW w:w="1440" w:type="dxa"/>
          </w:tcPr>
          <w:p w:rsidR="005A5BC6" w:rsidRPr="004B2151" w:rsidRDefault="005A5BC6" w:rsidP="00610124">
            <w:pPr>
              <w:jc w:val="right"/>
              <w:rPr>
                <w:rFonts w:ascii="Arial" w:hAnsi="Arial" w:cs="Arial"/>
                <w:sz w:val="20"/>
                <w:szCs w:val="22"/>
              </w:rPr>
            </w:pPr>
            <w:r w:rsidRPr="004B2151">
              <w:rPr>
                <w:rFonts w:ascii="Arial" w:hAnsi="Arial" w:cs="Arial"/>
                <w:sz w:val="20"/>
                <w:szCs w:val="22"/>
              </w:rPr>
              <w:t>$</w:t>
            </w:r>
            <w:r w:rsidR="00610124">
              <w:rPr>
                <w:rFonts w:ascii="Arial" w:hAnsi="Arial" w:cs="Arial"/>
                <w:sz w:val="20"/>
                <w:szCs w:val="22"/>
              </w:rPr>
              <w:t xml:space="preserve">1,494 </w:t>
            </w:r>
            <w:r w:rsidRPr="004B2151">
              <w:rPr>
                <w:rFonts w:ascii="Arial" w:hAnsi="Arial" w:cs="Arial"/>
                <w:sz w:val="20"/>
                <w:szCs w:val="22"/>
              </w:rPr>
              <w:t>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2,294</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(428)</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$2,</w:t>
            </w:r>
            <w:r>
              <w:rPr>
                <w:rFonts w:ascii="Arial" w:hAnsi="Arial" w:cs="Arial"/>
                <w:sz w:val="20"/>
                <w:szCs w:val="22"/>
              </w:rPr>
              <w:t>223</w:t>
            </w:r>
            <w:r w:rsidRPr="004B2151">
              <w:rPr>
                <w:rFonts w:ascii="Arial" w:hAnsi="Arial" w:cs="Arial"/>
                <w:sz w:val="20"/>
                <w:szCs w:val="22"/>
              </w:rPr>
              <w:t xml:space="preserve"> M</w:t>
            </w:r>
          </w:p>
        </w:tc>
      </w:tr>
      <w:tr w:rsidR="005A5BC6" w:rsidRPr="001E1EB6" w:rsidTr="005A5BC6">
        <w:tc>
          <w:tcPr>
            <w:tcW w:w="3168" w:type="dxa"/>
          </w:tcPr>
          <w:p w:rsidR="005A5BC6" w:rsidRPr="004B2151" w:rsidRDefault="005A5BC6" w:rsidP="005A5BC6">
            <w:pPr>
              <w:rPr>
                <w:rFonts w:ascii="Arial" w:hAnsi="Arial" w:cs="Arial"/>
                <w:sz w:val="20"/>
                <w:szCs w:val="22"/>
              </w:rPr>
            </w:pPr>
            <w:r w:rsidRPr="004B2151">
              <w:rPr>
                <w:rFonts w:ascii="Arial" w:hAnsi="Arial" w:cs="Arial"/>
                <w:sz w:val="20"/>
                <w:szCs w:val="22"/>
              </w:rPr>
              <w:t xml:space="preserve">Diluted </w:t>
            </w:r>
            <w:r>
              <w:rPr>
                <w:rFonts w:ascii="Arial" w:hAnsi="Arial" w:cs="Arial"/>
                <w:sz w:val="20"/>
                <w:szCs w:val="22"/>
              </w:rPr>
              <w:t>e</w:t>
            </w:r>
            <w:r w:rsidRPr="004B2151">
              <w:rPr>
                <w:rFonts w:ascii="Arial" w:hAnsi="Arial" w:cs="Arial"/>
                <w:sz w:val="20"/>
                <w:szCs w:val="22"/>
              </w:rPr>
              <w:t>arnings</w:t>
            </w:r>
            <w:r>
              <w:rPr>
                <w:rFonts w:ascii="Arial" w:hAnsi="Arial" w:cs="Arial"/>
                <w:sz w:val="20"/>
                <w:szCs w:val="22"/>
              </w:rPr>
              <w:t xml:space="preserve"> (loss)</w:t>
            </w:r>
            <w:r w:rsidRPr="004B2151">
              <w:rPr>
                <w:rFonts w:ascii="Arial" w:hAnsi="Arial" w:cs="Arial"/>
                <w:sz w:val="20"/>
                <w:szCs w:val="22"/>
              </w:rPr>
              <w:t xml:space="preserve"> per </w:t>
            </w:r>
            <w:r>
              <w:rPr>
                <w:rFonts w:ascii="Arial" w:hAnsi="Arial" w:cs="Arial"/>
                <w:sz w:val="20"/>
                <w:szCs w:val="22"/>
              </w:rPr>
              <w:t>s</w:t>
            </w:r>
            <w:r w:rsidRPr="004B2151">
              <w:rPr>
                <w:rFonts w:ascii="Arial" w:hAnsi="Arial" w:cs="Arial"/>
                <w:sz w:val="20"/>
                <w:szCs w:val="22"/>
              </w:rPr>
              <w:t>hare</w:t>
            </w:r>
          </w:p>
        </w:tc>
        <w:tc>
          <w:tcPr>
            <w:tcW w:w="1440" w:type="dxa"/>
          </w:tcPr>
          <w:p w:rsidR="005A5BC6" w:rsidRPr="004B2151" w:rsidRDefault="00D8122D" w:rsidP="005A5BC6">
            <w:pPr>
              <w:jc w:val="right"/>
              <w:rPr>
                <w:rFonts w:ascii="Arial" w:hAnsi="Arial" w:cs="Arial"/>
                <w:sz w:val="20"/>
                <w:szCs w:val="22"/>
              </w:rPr>
            </w:pPr>
            <w:r>
              <w:rPr>
                <w:rFonts w:ascii="Arial" w:hAnsi="Arial" w:cs="Arial"/>
                <w:sz w:val="20"/>
                <w:szCs w:val="22"/>
              </w:rPr>
              <w:t>$1.27</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$1.</w:t>
            </w:r>
            <w:r>
              <w:rPr>
                <w:rFonts w:ascii="Arial" w:hAnsi="Arial" w:cs="Arial"/>
                <w:sz w:val="20"/>
                <w:szCs w:val="22"/>
              </w:rPr>
              <w:t>67</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(0</w:t>
            </w:r>
            <w:r w:rsidRPr="004B2151">
              <w:rPr>
                <w:rFonts w:ascii="Arial" w:hAnsi="Arial" w:cs="Arial"/>
                <w:sz w:val="20"/>
                <w:szCs w:val="22"/>
              </w:rPr>
              <w:t>.</w:t>
            </w:r>
            <w:r>
              <w:rPr>
                <w:rFonts w:ascii="Arial" w:hAnsi="Arial" w:cs="Arial"/>
                <w:sz w:val="20"/>
                <w:szCs w:val="22"/>
              </w:rPr>
              <w:t>27)</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$1.</w:t>
            </w:r>
            <w:r>
              <w:rPr>
                <w:rFonts w:ascii="Arial" w:hAnsi="Arial" w:cs="Arial"/>
                <w:sz w:val="20"/>
                <w:szCs w:val="22"/>
              </w:rPr>
              <w:t>63</w:t>
            </w:r>
          </w:p>
        </w:tc>
      </w:tr>
    </w:tbl>
    <w:p w:rsidR="005645FE" w:rsidRDefault="005645FE" w:rsidP="000E624D">
      <w:pPr>
        <w:rPr>
          <w:rFonts w:ascii="Arial" w:hAnsi="Arial" w:cs="Arial"/>
          <w:sz w:val="22"/>
          <w:szCs w:val="22"/>
        </w:rPr>
      </w:pPr>
    </w:p>
    <w:p w:rsidR="005A5BC6" w:rsidRDefault="009D0F6B" w:rsidP="00BE3322">
      <w:pPr>
        <w:ind w:firstLine="720"/>
        <w:rPr>
          <w:rFonts w:ascii="Arial" w:hAnsi="Arial" w:cs="Arial"/>
          <w:sz w:val="22"/>
        </w:rPr>
      </w:pPr>
      <w:r>
        <w:rPr>
          <w:rFonts w:ascii="Arial" w:hAnsi="Arial" w:cs="Arial"/>
          <w:sz w:val="22"/>
        </w:rPr>
        <w:t>F</w:t>
      </w:r>
      <w:r w:rsidR="005A5BC6" w:rsidRPr="004F5D76">
        <w:rPr>
          <w:rFonts w:ascii="Arial" w:hAnsi="Arial" w:cs="Arial"/>
          <w:sz w:val="22"/>
        </w:rPr>
        <w:t>ourth</w:t>
      </w:r>
      <w:r w:rsidR="005A5BC6">
        <w:rPr>
          <w:rFonts w:ascii="Arial" w:hAnsi="Arial" w:cs="Arial"/>
          <w:sz w:val="22"/>
        </w:rPr>
        <w:t>-</w:t>
      </w:r>
      <w:r w:rsidR="005A5BC6" w:rsidRPr="004F5D76">
        <w:rPr>
          <w:rFonts w:ascii="Arial" w:hAnsi="Arial" w:cs="Arial"/>
          <w:sz w:val="22"/>
        </w:rPr>
        <w:t>quarter 201</w:t>
      </w:r>
      <w:r w:rsidR="005A5BC6">
        <w:rPr>
          <w:rFonts w:ascii="Arial" w:hAnsi="Arial" w:cs="Arial"/>
          <w:sz w:val="22"/>
        </w:rPr>
        <w:t xml:space="preserve">7 </w:t>
      </w:r>
      <w:r w:rsidR="000B2AE2">
        <w:rPr>
          <w:rFonts w:ascii="Arial" w:hAnsi="Arial" w:cs="Arial"/>
          <w:sz w:val="22"/>
        </w:rPr>
        <w:t xml:space="preserve">GAAP </w:t>
      </w:r>
      <w:r w:rsidR="005A5BC6">
        <w:rPr>
          <w:rFonts w:ascii="Arial" w:hAnsi="Arial" w:cs="Arial"/>
          <w:sz w:val="22"/>
        </w:rPr>
        <w:t xml:space="preserve">results include </w:t>
      </w:r>
      <w:r w:rsidR="00BE3322">
        <w:rPr>
          <w:rFonts w:ascii="Arial" w:hAnsi="Arial" w:cs="Arial"/>
          <w:sz w:val="22"/>
        </w:rPr>
        <w:t>a benefit of $0.30 per share attributable to the TCJA.  In addition, results include</w:t>
      </w:r>
      <w:r w:rsidR="005A5BC6" w:rsidRPr="004F5D76">
        <w:rPr>
          <w:rFonts w:ascii="Arial" w:hAnsi="Arial" w:cs="Arial"/>
          <w:sz w:val="22"/>
        </w:rPr>
        <w:t xml:space="preserve"> </w:t>
      </w:r>
      <w:r w:rsidR="00BE3322">
        <w:rPr>
          <w:rFonts w:ascii="Arial" w:hAnsi="Arial" w:cs="Arial"/>
          <w:sz w:val="22"/>
        </w:rPr>
        <w:t xml:space="preserve">a mark-to-market </w:t>
      </w:r>
      <w:r w:rsidR="000B2AE2">
        <w:rPr>
          <w:rFonts w:ascii="Arial" w:hAnsi="Arial" w:cs="Arial"/>
          <w:sz w:val="22"/>
        </w:rPr>
        <w:t xml:space="preserve">(MTM) </w:t>
      </w:r>
      <w:r w:rsidR="005A5BC6" w:rsidRPr="004F5D76">
        <w:rPr>
          <w:rFonts w:ascii="Arial" w:hAnsi="Arial" w:cs="Arial"/>
          <w:sz w:val="22"/>
        </w:rPr>
        <w:t>non-cash</w:t>
      </w:r>
      <w:r w:rsidR="000B2AE2">
        <w:rPr>
          <w:rFonts w:ascii="Arial" w:hAnsi="Arial" w:cs="Arial"/>
          <w:sz w:val="22"/>
        </w:rPr>
        <w:t>,</w:t>
      </w:r>
      <w:r w:rsidR="00BE3322">
        <w:rPr>
          <w:rFonts w:ascii="Arial" w:hAnsi="Arial" w:cs="Arial"/>
          <w:sz w:val="22"/>
        </w:rPr>
        <w:t xml:space="preserve"> pre-tax</w:t>
      </w:r>
      <w:r w:rsidR="000B2AE2">
        <w:rPr>
          <w:rFonts w:ascii="Arial" w:hAnsi="Arial" w:cs="Arial"/>
          <w:sz w:val="22"/>
        </w:rPr>
        <w:t xml:space="preserve"> pension</w:t>
      </w:r>
      <w:r w:rsidR="005A5BC6" w:rsidRPr="004F5D76">
        <w:rPr>
          <w:rFonts w:ascii="Arial" w:hAnsi="Arial" w:cs="Arial"/>
          <w:sz w:val="22"/>
        </w:rPr>
        <w:t xml:space="preserve"> charge of </w:t>
      </w:r>
      <w:r w:rsidR="00447B63">
        <w:rPr>
          <w:rFonts w:ascii="Arial" w:hAnsi="Arial" w:cs="Arial"/>
          <w:sz w:val="22"/>
        </w:rPr>
        <w:t>$800 million which represents</w:t>
      </w:r>
      <w:r w:rsidR="00BE3322">
        <w:rPr>
          <w:rFonts w:ascii="Arial" w:hAnsi="Arial" w:cs="Arial"/>
          <w:sz w:val="22"/>
        </w:rPr>
        <w:t xml:space="preserve"> an after-tax charge of $0.70</w:t>
      </w:r>
      <w:r w:rsidR="005A5BC6">
        <w:rPr>
          <w:rFonts w:ascii="Arial" w:hAnsi="Arial" w:cs="Arial"/>
          <w:sz w:val="22"/>
        </w:rPr>
        <w:t xml:space="preserve"> per diluted share</w:t>
      </w:r>
      <w:r w:rsidR="00BE3322">
        <w:rPr>
          <w:rFonts w:ascii="Arial" w:hAnsi="Arial" w:cs="Arial"/>
          <w:sz w:val="22"/>
        </w:rPr>
        <w:t xml:space="preserve">.  In the prior-year period, the company reported non-cash, after-tax charges of $1.90 per diluted share related </w:t>
      </w:r>
      <w:r w:rsidR="005A5BC6" w:rsidRPr="004F5D76">
        <w:rPr>
          <w:rFonts w:ascii="Arial" w:hAnsi="Arial" w:cs="Arial"/>
          <w:sz w:val="22"/>
        </w:rPr>
        <w:t>to mark-to-market</w:t>
      </w:r>
      <w:r w:rsidR="00610124">
        <w:rPr>
          <w:rFonts w:ascii="Arial" w:hAnsi="Arial" w:cs="Arial"/>
          <w:sz w:val="22"/>
        </w:rPr>
        <w:t xml:space="preserve"> </w:t>
      </w:r>
      <w:r w:rsidR="0014511D" w:rsidRPr="004F5D76">
        <w:rPr>
          <w:rFonts w:ascii="Arial" w:hAnsi="Arial" w:cs="Arial"/>
          <w:sz w:val="22"/>
        </w:rPr>
        <w:t xml:space="preserve">pension </w:t>
      </w:r>
      <w:r w:rsidR="005A5BC6" w:rsidRPr="004F5D76">
        <w:rPr>
          <w:rFonts w:ascii="Arial" w:hAnsi="Arial" w:cs="Arial"/>
          <w:sz w:val="22"/>
        </w:rPr>
        <w:t>charges</w:t>
      </w:r>
      <w:r w:rsidR="005A5BC6">
        <w:rPr>
          <w:rFonts w:ascii="Arial" w:hAnsi="Arial" w:cs="Arial"/>
          <w:sz w:val="22"/>
        </w:rPr>
        <w:t>.</w:t>
      </w:r>
      <w:r w:rsidR="005A5BC6" w:rsidRPr="004F5D76">
        <w:rPr>
          <w:rFonts w:ascii="Arial" w:hAnsi="Arial" w:cs="Arial"/>
          <w:sz w:val="22"/>
        </w:rPr>
        <w:t xml:space="preserve">  </w:t>
      </w:r>
    </w:p>
    <w:p w:rsidR="00BE3322" w:rsidRDefault="00BE3322" w:rsidP="00BE3322">
      <w:pPr>
        <w:ind w:firstLine="720"/>
        <w:rPr>
          <w:rFonts w:ascii="Arial" w:hAnsi="Arial" w:cs="Arial"/>
          <w:sz w:val="22"/>
        </w:rPr>
      </w:pPr>
    </w:p>
    <w:p w:rsidR="000E02CF" w:rsidRDefault="000E02CF" w:rsidP="000E624D">
      <w:pPr>
        <w:rPr>
          <w:rFonts w:ascii="Arial" w:hAnsi="Arial" w:cs="Arial"/>
          <w:sz w:val="22"/>
        </w:rPr>
      </w:pPr>
      <w:r>
        <w:rPr>
          <w:rFonts w:ascii="Arial" w:hAnsi="Arial" w:cs="Arial"/>
          <w:sz w:val="22"/>
        </w:rPr>
        <w:t xml:space="preserve">For the total company in </w:t>
      </w:r>
      <w:r w:rsidR="005A5BC6">
        <w:rPr>
          <w:rFonts w:ascii="Arial" w:hAnsi="Arial" w:cs="Arial"/>
          <w:sz w:val="22"/>
        </w:rPr>
        <w:t>4</w:t>
      </w:r>
      <w:r>
        <w:rPr>
          <w:rFonts w:ascii="Arial" w:hAnsi="Arial" w:cs="Arial"/>
          <w:sz w:val="22"/>
        </w:rPr>
        <w:t>Q 2017:</w:t>
      </w:r>
    </w:p>
    <w:p w:rsidR="00BE3322" w:rsidRDefault="00BE3322" w:rsidP="000E624D">
      <w:pPr>
        <w:rPr>
          <w:rFonts w:ascii="Arial" w:hAnsi="Arial" w:cs="Arial"/>
          <w:sz w:val="22"/>
        </w:rPr>
      </w:pPr>
    </w:p>
    <w:p w:rsidR="0023562B" w:rsidRDefault="003224C6" w:rsidP="00FB4FFD">
      <w:pPr>
        <w:pStyle w:val="ListParagraph"/>
        <w:numPr>
          <w:ilvl w:val="0"/>
          <w:numId w:val="37"/>
        </w:numPr>
        <w:rPr>
          <w:rFonts w:ascii="Arial" w:hAnsi="Arial" w:cs="Arial"/>
          <w:sz w:val="22"/>
        </w:rPr>
      </w:pPr>
      <w:r>
        <w:rPr>
          <w:rFonts w:ascii="Arial" w:hAnsi="Arial" w:cs="Arial"/>
          <w:sz w:val="22"/>
        </w:rPr>
        <w:t>R</w:t>
      </w:r>
      <w:r w:rsidR="0023562B">
        <w:rPr>
          <w:rFonts w:ascii="Arial" w:hAnsi="Arial" w:cs="Arial"/>
          <w:sz w:val="22"/>
        </w:rPr>
        <w:t xml:space="preserve">evenue </w:t>
      </w:r>
      <w:r w:rsidR="005D7342" w:rsidRPr="003224C6">
        <w:rPr>
          <w:rFonts w:ascii="Arial" w:hAnsi="Arial" w:cs="Arial"/>
          <w:sz w:val="22"/>
        </w:rPr>
        <w:t>increase</w:t>
      </w:r>
      <w:r w:rsidRPr="003224C6">
        <w:rPr>
          <w:rFonts w:ascii="Arial" w:hAnsi="Arial" w:cs="Arial"/>
          <w:sz w:val="22"/>
        </w:rPr>
        <w:t>d</w:t>
      </w:r>
      <w:r w:rsidR="0023562B">
        <w:rPr>
          <w:rFonts w:ascii="Arial" w:hAnsi="Arial" w:cs="Arial"/>
          <w:sz w:val="22"/>
        </w:rPr>
        <w:t xml:space="preserve"> </w:t>
      </w:r>
      <w:r w:rsidR="00750424">
        <w:rPr>
          <w:rFonts w:ascii="Arial" w:hAnsi="Arial" w:cs="Arial"/>
          <w:sz w:val="22"/>
        </w:rPr>
        <w:t>11.2</w:t>
      </w:r>
      <w:r w:rsidR="009D0F6B">
        <w:rPr>
          <w:rFonts w:ascii="Arial" w:hAnsi="Arial" w:cs="Arial"/>
          <w:sz w:val="22"/>
        </w:rPr>
        <w:t xml:space="preserve">%; </w:t>
      </w:r>
      <w:r w:rsidR="0023562B">
        <w:rPr>
          <w:rFonts w:ascii="Arial" w:hAnsi="Arial" w:cs="Arial"/>
          <w:sz w:val="22"/>
        </w:rPr>
        <w:t xml:space="preserve">currency-neutral revenue </w:t>
      </w:r>
      <w:r w:rsidR="0060142A">
        <w:rPr>
          <w:rFonts w:ascii="Arial" w:hAnsi="Arial" w:cs="Arial"/>
          <w:sz w:val="22"/>
        </w:rPr>
        <w:t>was up</w:t>
      </w:r>
      <w:r w:rsidR="0023562B">
        <w:rPr>
          <w:rFonts w:ascii="Arial" w:hAnsi="Arial" w:cs="Arial"/>
          <w:sz w:val="22"/>
        </w:rPr>
        <w:t xml:space="preserve"> </w:t>
      </w:r>
      <w:r w:rsidR="00D02362">
        <w:rPr>
          <w:rFonts w:ascii="Arial" w:hAnsi="Arial" w:cs="Arial"/>
          <w:sz w:val="22"/>
        </w:rPr>
        <w:t>10.9</w:t>
      </w:r>
      <w:r w:rsidR="0023562B">
        <w:rPr>
          <w:rFonts w:ascii="Arial" w:hAnsi="Arial" w:cs="Arial"/>
          <w:sz w:val="22"/>
        </w:rPr>
        <w:t>%.</w:t>
      </w:r>
    </w:p>
    <w:p w:rsidR="00D02362" w:rsidRDefault="00D02362" w:rsidP="00D02362">
      <w:pPr>
        <w:pStyle w:val="ListParagraph"/>
        <w:numPr>
          <w:ilvl w:val="0"/>
          <w:numId w:val="37"/>
        </w:numPr>
        <w:rPr>
          <w:rFonts w:ascii="Arial" w:hAnsi="Arial" w:cs="Arial"/>
          <w:sz w:val="22"/>
        </w:rPr>
      </w:pPr>
      <w:r>
        <w:rPr>
          <w:rFonts w:ascii="Arial" w:hAnsi="Arial" w:cs="Arial"/>
          <w:sz w:val="22"/>
        </w:rPr>
        <w:t>4Q 2017 d</w:t>
      </w:r>
      <w:r w:rsidRPr="004A0D82">
        <w:rPr>
          <w:rFonts w:ascii="Arial" w:hAnsi="Arial" w:cs="Arial"/>
          <w:sz w:val="22"/>
        </w:rPr>
        <w:t>iluted EPS of $</w:t>
      </w:r>
      <w:r>
        <w:rPr>
          <w:rFonts w:ascii="Arial" w:hAnsi="Arial" w:cs="Arial"/>
          <w:sz w:val="22"/>
        </w:rPr>
        <w:t>1</w:t>
      </w:r>
      <w:r w:rsidRPr="004A0D82">
        <w:rPr>
          <w:rFonts w:ascii="Arial" w:hAnsi="Arial" w:cs="Arial"/>
          <w:sz w:val="22"/>
        </w:rPr>
        <w:t>.27;</w:t>
      </w:r>
      <w:r>
        <w:rPr>
          <w:rFonts w:ascii="Arial" w:hAnsi="Arial" w:cs="Arial"/>
          <w:sz w:val="22"/>
        </w:rPr>
        <w:t xml:space="preserve"> a</w:t>
      </w:r>
      <w:r w:rsidRPr="004A0D82">
        <w:rPr>
          <w:rFonts w:ascii="Arial" w:hAnsi="Arial" w:cs="Arial"/>
          <w:sz w:val="22"/>
        </w:rPr>
        <w:t>djusted diluted EPS of $1.6</w:t>
      </w:r>
      <w:r>
        <w:rPr>
          <w:rFonts w:ascii="Arial" w:hAnsi="Arial" w:cs="Arial"/>
          <w:sz w:val="22"/>
        </w:rPr>
        <w:t>7</w:t>
      </w:r>
      <w:r w:rsidRPr="0079098A">
        <w:rPr>
          <w:rFonts w:ascii="Arial" w:hAnsi="Arial" w:cs="Arial"/>
          <w:sz w:val="22"/>
        </w:rPr>
        <w:t>.</w:t>
      </w:r>
    </w:p>
    <w:p w:rsidR="00D02362" w:rsidRDefault="00D02362" w:rsidP="00D02362">
      <w:pPr>
        <w:pStyle w:val="ListParagraph"/>
        <w:numPr>
          <w:ilvl w:val="0"/>
          <w:numId w:val="37"/>
        </w:numPr>
        <w:rPr>
          <w:rFonts w:ascii="Arial" w:hAnsi="Arial" w:cs="Arial"/>
          <w:sz w:val="22"/>
        </w:rPr>
      </w:pPr>
      <w:r>
        <w:rPr>
          <w:rFonts w:ascii="Arial" w:hAnsi="Arial" w:cs="Arial"/>
          <w:sz w:val="22"/>
        </w:rPr>
        <w:t>During the quarter, the company delivered 1.5 billion packages, up 5.7% over last year.</w:t>
      </w:r>
    </w:p>
    <w:p w:rsidR="00B51F1E" w:rsidRDefault="00B51F1E" w:rsidP="00D02362">
      <w:pPr>
        <w:pStyle w:val="ListParagraph"/>
        <w:numPr>
          <w:ilvl w:val="0"/>
          <w:numId w:val="37"/>
        </w:numPr>
        <w:rPr>
          <w:rFonts w:ascii="Arial" w:hAnsi="Arial" w:cs="Arial"/>
          <w:sz w:val="22"/>
        </w:rPr>
      </w:pPr>
      <w:r>
        <w:rPr>
          <w:rFonts w:ascii="Arial" w:hAnsi="Arial" w:cs="Arial"/>
          <w:sz w:val="22"/>
        </w:rPr>
        <w:t>Record deliveries for Peak Season of 762 million, materially above last year and over plan.</w:t>
      </w:r>
    </w:p>
    <w:p w:rsidR="002C0B11" w:rsidRDefault="002C0B11" w:rsidP="002C0B11">
      <w:pPr>
        <w:rPr>
          <w:rFonts w:ascii="Arial" w:hAnsi="Arial" w:cs="Arial"/>
          <w:sz w:val="22"/>
        </w:rPr>
      </w:pPr>
    </w:p>
    <w:p w:rsidR="00E81D5D" w:rsidRDefault="00E81D5D" w:rsidP="00E81D5D">
      <w:pPr>
        <w:rPr>
          <w:rFonts w:ascii="Arial" w:hAnsi="Arial" w:cs="Arial"/>
          <w:b/>
          <w:sz w:val="22"/>
          <w:vertAlign w:val="subscript"/>
        </w:rPr>
      </w:pPr>
      <w:r w:rsidRPr="005B78BB">
        <w:rPr>
          <w:rFonts w:ascii="Arial" w:hAnsi="Arial" w:cs="Arial"/>
          <w:b/>
          <w:sz w:val="22"/>
          <w:vertAlign w:val="subscript"/>
        </w:rPr>
        <w:lastRenderedPageBreak/>
        <w:t xml:space="preserve">* </w:t>
      </w:r>
      <w:r w:rsidR="006A6141">
        <w:rPr>
          <w:rFonts w:ascii="Arial" w:hAnsi="Arial" w:cs="Arial"/>
          <w:b/>
          <w:sz w:val="22"/>
          <w:vertAlign w:val="subscript"/>
        </w:rPr>
        <w:t xml:space="preserve">Information on </w:t>
      </w:r>
      <w:r w:rsidRPr="005B78BB">
        <w:rPr>
          <w:rFonts w:ascii="Arial" w:hAnsi="Arial" w:cs="Arial"/>
          <w:b/>
          <w:sz w:val="22"/>
          <w:vertAlign w:val="subscript"/>
        </w:rPr>
        <w:t xml:space="preserve">non-GAAP </w:t>
      </w:r>
      <w:r w:rsidR="006A6141">
        <w:rPr>
          <w:rFonts w:ascii="Arial" w:hAnsi="Arial" w:cs="Arial"/>
          <w:b/>
          <w:sz w:val="22"/>
          <w:vertAlign w:val="subscript"/>
        </w:rPr>
        <w:t>financial measures is attached to this press release.</w:t>
      </w:r>
    </w:p>
    <w:p w:rsidR="00D62D9D" w:rsidRDefault="00D62D9D" w:rsidP="00E81D5D">
      <w:pPr>
        <w:rPr>
          <w:rFonts w:ascii="Arial" w:hAnsi="Arial" w:cs="Arial"/>
          <w:b/>
          <w:sz w:val="22"/>
          <w:vertAlign w:val="subscript"/>
        </w:rPr>
      </w:pPr>
    </w:p>
    <w:p w:rsidR="00FE1A45" w:rsidRDefault="00FE1A45" w:rsidP="00FE1A45">
      <w:pPr>
        <w:jc w:val="center"/>
        <w:rPr>
          <w:rFonts w:ascii="Arial" w:hAnsi="Arial" w:cs="Arial"/>
          <w:sz w:val="20"/>
          <w:szCs w:val="20"/>
        </w:rPr>
      </w:pPr>
      <w:r w:rsidRPr="00152718">
        <w:rPr>
          <w:rFonts w:ascii="Arial" w:hAnsi="Arial" w:cs="Arial"/>
          <w:sz w:val="20"/>
          <w:szCs w:val="20"/>
        </w:rPr>
        <w:t>– more –</w:t>
      </w:r>
    </w:p>
    <w:p w:rsidR="00FE1A45" w:rsidRPr="00B15097" w:rsidRDefault="00FE1A45" w:rsidP="00FE1A45">
      <w:pPr>
        <w:rPr>
          <w:rFonts w:ascii="Arial" w:hAnsi="Arial" w:cs="Arial"/>
        </w:rPr>
      </w:pPr>
      <w:r w:rsidRPr="00B15097">
        <w:rPr>
          <w:rFonts w:ascii="Arial" w:hAnsi="Arial" w:cs="Arial"/>
        </w:rPr>
        <w:t>2-2-2</w:t>
      </w:r>
    </w:p>
    <w:p w:rsidR="00FE1A45" w:rsidRDefault="00FE1A45" w:rsidP="00B54509">
      <w:pPr>
        <w:rPr>
          <w:rFonts w:ascii="Arial" w:hAnsi="Arial" w:cs="Arial"/>
          <w:sz w:val="22"/>
        </w:rPr>
      </w:pPr>
    </w:p>
    <w:p w:rsidR="00B54509" w:rsidRPr="00B54509" w:rsidRDefault="00B54509" w:rsidP="00B54509">
      <w:pPr>
        <w:rPr>
          <w:rFonts w:ascii="Arial" w:hAnsi="Arial" w:cs="Arial"/>
          <w:b/>
          <w:sz w:val="22"/>
          <w:u w:val="single"/>
        </w:rPr>
      </w:pPr>
      <w:r w:rsidRPr="00B54509">
        <w:rPr>
          <w:rFonts w:ascii="Arial" w:hAnsi="Arial" w:cs="Arial"/>
          <w:b/>
          <w:sz w:val="22"/>
          <w:u w:val="single"/>
        </w:rPr>
        <w:t>U.S. Domestic Segment</w:t>
      </w:r>
    </w:p>
    <w:p w:rsidR="00451F11" w:rsidRDefault="00451F11" w:rsidP="000E624D">
      <w:pPr>
        <w:rPr>
          <w:rFonts w:ascii="Arial" w:hAnsi="Arial" w:cs="Arial"/>
          <w:sz w:val="22"/>
        </w:rPr>
      </w:pPr>
    </w:p>
    <w:p w:rsidR="00BA6C65" w:rsidRDefault="001C458D" w:rsidP="000E624D">
      <w:pPr>
        <w:rPr>
          <w:rFonts w:ascii="Arial" w:hAnsi="Arial" w:cs="Arial"/>
          <w:sz w:val="22"/>
        </w:rPr>
      </w:pPr>
      <w:r>
        <w:rPr>
          <w:rFonts w:ascii="Arial" w:hAnsi="Arial" w:cs="Arial"/>
          <w:sz w:val="22"/>
        </w:rPr>
        <w:t xml:space="preserve">The Domestic </w:t>
      </w:r>
      <w:r w:rsidR="00576472">
        <w:rPr>
          <w:rFonts w:ascii="Arial" w:hAnsi="Arial" w:cs="Arial"/>
          <w:sz w:val="22"/>
        </w:rPr>
        <w:t xml:space="preserve">segment </w:t>
      </w:r>
      <w:r w:rsidR="007E412A">
        <w:rPr>
          <w:rFonts w:ascii="Arial" w:hAnsi="Arial" w:cs="Arial"/>
          <w:sz w:val="22"/>
        </w:rPr>
        <w:t>is transforming</w:t>
      </w:r>
      <w:r w:rsidR="00B51F1E">
        <w:rPr>
          <w:rFonts w:ascii="Arial" w:hAnsi="Arial" w:cs="Arial"/>
          <w:sz w:val="22"/>
        </w:rPr>
        <w:t xml:space="preserve"> </w:t>
      </w:r>
      <w:r w:rsidR="0014511D">
        <w:rPr>
          <w:rFonts w:ascii="Arial" w:hAnsi="Arial" w:cs="Arial"/>
          <w:sz w:val="22"/>
        </w:rPr>
        <w:t xml:space="preserve">its </w:t>
      </w:r>
      <w:r w:rsidR="00B51F1E">
        <w:rPr>
          <w:rFonts w:ascii="Arial" w:hAnsi="Arial" w:cs="Arial"/>
          <w:sz w:val="22"/>
        </w:rPr>
        <w:t>network</w:t>
      </w:r>
      <w:r w:rsidR="007E412A">
        <w:rPr>
          <w:rFonts w:ascii="Arial" w:hAnsi="Arial" w:cs="Arial"/>
          <w:sz w:val="22"/>
        </w:rPr>
        <w:t xml:space="preserve"> to take fu</w:t>
      </w:r>
      <w:r w:rsidR="00055EAA">
        <w:rPr>
          <w:rFonts w:ascii="Arial" w:hAnsi="Arial" w:cs="Arial"/>
          <w:sz w:val="22"/>
        </w:rPr>
        <w:t xml:space="preserve">ll advantage of </w:t>
      </w:r>
      <w:r w:rsidR="00746CB8">
        <w:rPr>
          <w:rFonts w:ascii="Arial" w:hAnsi="Arial" w:cs="Arial"/>
          <w:sz w:val="22"/>
        </w:rPr>
        <w:t>structural changes in the direct-to-consumer market</w:t>
      </w:r>
      <w:r w:rsidR="00055EAA">
        <w:rPr>
          <w:rFonts w:ascii="Arial" w:hAnsi="Arial" w:cs="Arial"/>
          <w:sz w:val="22"/>
        </w:rPr>
        <w:t xml:space="preserve">.  Demand </w:t>
      </w:r>
      <w:r w:rsidR="002C0B11">
        <w:rPr>
          <w:rFonts w:ascii="Arial" w:hAnsi="Arial" w:cs="Arial"/>
          <w:sz w:val="22"/>
        </w:rPr>
        <w:t xml:space="preserve">for UPS Ground </w:t>
      </w:r>
      <w:r w:rsidR="0014511D">
        <w:rPr>
          <w:rFonts w:ascii="Arial" w:hAnsi="Arial" w:cs="Arial"/>
          <w:sz w:val="22"/>
        </w:rPr>
        <w:t xml:space="preserve">rose </w:t>
      </w:r>
      <w:r w:rsidR="00055EAA">
        <w:rPr>
          <w:rFonts w:ascii="Arial" w:hAnsi="Arial" w:cs="Arial"/>
          <w:sz w:val="22"/>
        </w:rPr>
        <w:t>in t</w:t>
      </w:r>
      <w:r w:rsidR="00447B63">
        <w:rPr>
          <w:rFonts w:ascii="Arial" w:hAnsi="Arial" w:cs="Arial"/>
          <w:sz w:val="22"/>
        </w:rPr>
        <w:t xml:space="preserve">he fourth quarter with </w:t>
      </w:r>
      <w:r w:rsidR="00055EAA">
        <w:rPr>
          <w:rFonts w:ascii="Arial" w:hAnsi="Arial" w:cs="Arial"/>
          <w:sz w:val="22"/>
        </w:rPr>
        <w:t>volume</w:t>
      </w:r>
      <w:r w:rsidR="00447B63">
        <w:rPr>
          <w:rFonts w:ascii="Arial" w:hAnsi="Arial" w:cs="Arial"/>
          <w:sz w:val="22"/>
        </w:rPr>
        <w:t xml:space="preserve"> growth</w:t>
      </w:r>
      <w:r w:rsidR="00055EAA">
        <w:rPr>
          <w:rFonts w:ascii="Arial" w:hAnsi="Arial" w:cs="Arial"/>
          <w:sz w:val="22"/>
        </w:rPr>
        <w:t xml:space="preserve"> </w:t>
      </w:r>
      <w:r w:rsidR="00746CB8">
        <w:rPr>
          <w:rFonts w:ascii="Arial" w:hAnsi="Arial" w:cs="Arial"/>
          <w:sz w:val="22"/>
        </w:rPr>
        <w:t>of</w:t>
      </w:r>
      <w:r w:rsidR="00055EAA">
        <w:rPr>
          <w:rFonts w:ascii="Arial" w:hAnsi="Arial" w:cs="Arial"/>
          <w:sz w:val="22"/>
        </w:rPr>
        <w:t xml:space="preserve"> 5.7% and </w:t>
      </w:r>
      <w:r w:rsidR="00746CB8">
        <w:rPr>
          <w:rFonts w:ascii="Arial" w:hAnsi="Arial" w:cs="Arial"/>
          <w:sz w:val="22"/>
        </w:rPr>
        <w:t xml:space="preserve">revenue of </w:t>
      </w:r>
      <w:r w:rsidR="00055EAA">
        <w:rPr>
          <w:rFonts w:ascii="Arial" w:hAnsi="Arial" w:cs="Arial"/>
          <w:sz w:val="22"/>
        </w:rPr>
        <w:t>9.3%</w:t>
      </w:r>
      <w:r w:rsidR="00746CB8">
        <w:rPr>
          <w:rFonts w:ascii="Arial" w:hAnsi="Arial" w:cs="Arial"/>
          <w:sz w:val="22"/>
        </w:rPr>
        <w:t xml:space="preserve">.  Premium Next Day Air </w:t>
      </w:r>
      <w:r w:rsidR="009D0F6B">
        <w:rPr>
          <w:rFonts w:ascii="Arial" w:hAnsi="Arial" w:cs="Arial"/>
          <w:sz w:val="22"/>
        </w:rPr>
        <w:t xml:space="preserve">shipment </w:t>
      </w:r>
      <w:r w:rsidR="00746CB8">
        <w:rPr>
          <w:rFonts w:ascii="Arial" w:hAnsi="Arial" w:cs="Arial"/>
          <w:sz w:val="22"/>
        </w:rPr>
        <w:t>growth</w:t>
      </w:r>
      <w:r w:rsidR="00E30903">
        <w:rPr>
          <w:rFonts w:ascii="Arial" w:hAnsi="Arial" w:cs="Arial"/>
          <w:sz w:val="22"/>
        </w:rPr>
        <w:t xml:space="preserve"> </w:t>
      </w:r>
      <w:r w:rsidR="000B3C08">
        <w:rPr>
          <w:rFonts w:ascii="Arial" w:hAnsi="Arial" w:cs="Arial"/>
          <w:sz w:val="22"/>
        </w:rPr>
        <w:t>continue</w:t>
      </w:r>
      <w:r w:rsidR="00E30903">
        <w:rPr>
          <w:rFonts w:ascii="Arial" w:hAnsi="Arial" w:cs="Arial"/>
          <w:sz w:val="22"/>
        </w:rPr>
        <w:t>d</w:t>
      </w:r>
      <w:r w:rsidR="00746CB8">
        <w:rPr>
          <w:rFonts w:ascii="Arial" w:hAnsi="Arial" w:cs="Arial"/>
          <w:sz w:val="22"/>
        </w:rPr>
        <w:t xml:space="preserve"> to be strong</w:t>
      </w:r>
      <w:r w:rsidR="00E30903">
        <w:rPr>
          <w:rFonts w:ascii="Arial" w:hAnsi="Arial" w:cs="Arial"/>
          <w:sz w:val="22"/>
        </w:rPr>
        <w:t xml:space="preserve"> </w:t>
      </w:r>
      <w:r w:rsidR="00746CB8">
        <w:rPr>
          <w:rFonts w:ascii="Arial" w:hAnsi="Arial" w:cs="Arial"/>
          <w:sz w:val="22"/>
        </w:rPr>
        <w:t xml:space="preserve">at 4.9% </w:t>
      </w:r>
      <w:r w:rsidR="00E30903">
        <w:rPr>
          <w:rFonts w:ascii="Arial" w:hAnsi="Arial" w:cs="Arial"/>
          <w:sz w:val="22"/>
        </w:rPr>
        <w:t xml:space="preserve">as customers selected faster delivery options. </w:t>
      </w:r>
      <w:r w:rsidR="00746CB8">
        <w:rPr>
          <w:rFonts w:ascii="Arial" w:hAnsi="Arial" w:cs="Arial"/>
          <w:sz w:val="22"/>
        </w:rPr>
        <w:t xml:space="preserve"> However, b</w:t>
      </w:r>
      <w:r w:rsidR="00BA6C65">
        <w:rPr>
          <w:rFonts w:ascii="Arial" w:hAnsi="Arial" w:cs="Arial"/>
          <w:sz w:val="22"/>
        </w:rPr>
        <w:t xml:space="preserve">ottom line results were muted by </w:t>
      </w:r>
      <w:r w:rsidR="00746CB8">
        <w:rPr>
          <w:rFonts w:ascii="Arial" w:hAnsi="Arial" w:cs="Arial"/>
          <w:sz w:val="22"/>
        </w:rPr>
        <w:t xml:space="preserve">additional peak operating expenses due to </w:t>
      </w:r>
      <w:r w:rsidR="0004026C">
        <w:rPr>
          <w:rFonts w:ascii="Arial" w:hAnsi="Arial" w:cs="Arial"/>
          <w:sz w:val="22"/>
        </w:rPr>
        <w:t xml:space="preserve">cyber-period </w:t>
      </w:r>
      <w:r w:rsidR="00746CB8">
        <w:rPr>
          <w:rFonts w:ascii="Arial" w:hAnsi="Arial" w:cs="Arial"/>
          <w:sz w:val="22"/>
        </w:rPr>
        <w:t xml:space="preserve">volume surges and short-term </w:t>
      </w:r>
      <w:r w:rsidR="00610124">
        <w:rPr>
          <w:rFonts w:ascii="Arial" w:hAnsi="Arial" w:cs="Arial"/>
          <w:sz w:val="22"/>
        </w:rPr>
        <w:t>costs</w:t>
      </w:r>
      <w:r w:rsidR="00BA6C65">
        <w:rPr>
          <w:rFonts w:ascii="Arial" w:hAnsi="Arial" w:cs="Arial"/>
          <w:sz w:val="22"/>
        </w:rPr>
        <w:t xml:space="preserve"> related to capacity projects yet to come on-line.   </w:t>
      </w:r>
    </w:p>
    <w:p w:rsidR="000E624D" w:rsidRDefault="00451F11" w:rsidP="000E624D">
      <w:pPr>
        <w:rPr>
          <w:rFonts w:ascii="Arial" w:hAnsi="Arial" w:cs="Arial"/>
          <w:sz w:val="22"/>
        </w:rPr>
      </w:pPr>
      <w:r>
        <w:rPr>
          <w:rFonts w:ascii="Arial" w:hAnsi="Arial" w:cs="Arial"/>
          <w:sz w:val="22"/>
        </w:rPr>
        <w:t xml:space="preserve"> </w:t>
      </w:r>
    </w:p>
    <w:tbl>
      <w:tblPr>
        <w:tblStyle w:val="TableGrid"/>
        <w:tblW w:w="878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gridCol w:w="1440"/>
      </w:tblGrid>
      <w:tr w:rsidR="005A5BC6" w:rsidRPr="001E1EB6" w:rsidTr="005A5BC6">
        <w:tc>
          <w:tcPr>
            <w:tcW w:w="3024" w:type="dxa"/>
          </w:tcPr>
          <w:p w:rsidR="005A5BC6" w:rsidRPr="004B2151" w:rsidRDefault="005A5BC6" w:rsidP="005A5BC6">
            <w:pPr>
              <w:rPr>
                <w:rFonts w:ascii="Arial" w:hAnsi="Arial" w:cs="Arial"/>
                <w:b/>
                <w:sz w:val="20"/>
                <w:szCs w:val="22"/>
                <w:u w:val="single"/>
              </w:rPr>
            </w:pPr>
          </w:p>
          <w:p w:rsidR="005A5BC6" w:rsidRPr="004B2151" w:rsidRDefault="005A5BC6" w:rsidP="005A5BC6">
            <w:pPr>
              <w:rPr>
                <w:rFonts w:ascii="Arial" w:hAnsi="Arial" w:cs="Arial"/>
                <w:b/>
                <w:sz w:val="20"/>
                <w:szCs w:val="22"/>
                <w:u w:val="single"/>
              </w:rPr>
            </w:pP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r>
      <w:tr w:rsidR="005A5BC6" w:rsidRPr="001E1EB6" w:rsidTr="005A5BC6">
        <w:tc>
          <w:tcPr>
            <w:tcW w:w="3024" w:type="dxa"/>
          </w:tcPr>
          <w:p w:rsidR="005A5BC6" w:rsidRPr="004B2151" w:rsidRDefault="005A5BC6" w:rsidP="005A5BC6">
            <w:pPr>
              <w:rPr>
                <w:rFonts w:ascii="Arial" w:hAnsi="Arial" w:cs="Arial"/>
                <w:sz w:val="20"/>
                <w:szCs w:val="22"/>
              </w:rPr>
            </w:pPr>
            <w:r w:rsidRPr="004B2151">
              <w:rPr>
                <w:rFonts w:ascii="Arial" w:hAnsi="Arial" w:cs="Arial"/>
                <w:sz w:val="20"/>
                <w:szCs w:val="22"/>
              </w:rPr>
              <w:t>Revenue</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11</w:t>
            </w:r>
            <w:r w:rsidRPr="004B2151">
              <w:rPr>
                <w:rFonts w:ascii="Arial" w:hAnsi="Arial" w:cs="Arial"/>
                <w:sz w:val="20"/>
                <w:szCs w:val="22"/>
              </w:rPr>
              <w:t>,</w:t>
            </w:r>
            <w:r>
              <w:rPr>
                <w:rFonts w:ascii="Arial" w:hAnsi="Arial" w:cs="Arial"/>
                <w:sz w:val="20"/>
                <w:szCs w:val="22"/>
              </w:rPr>
              <w:t>835</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$10,</w:t>
            </w:r>
            <w:r>
              <w:rPr>
                <w:rFonts w:ascii="Arial" w:hAnsi="Arial" w:cs="Arial"/>
                <w:sz w:val="20"/>
                <w:szCs w:val="22"/>
              </w:rPr>
              <w:t>913</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p>
        </w:tc>
      </w:tr>
      <w:tr w:rsidR="005A5BC6" w:rsidRPr="001E1EB6" w:rsidTr="005A5BC6">
        <w:tc>
          <w:tcPr>
            <w:tcW w:w="3024" w:type="dxa"/>
          </w:tcPr>
          <w:p w:rsidR="005A5BC6" w:rsidRPr="004B2151" w:rsidRDefault="005A5BC6" w:rsidP="005A5BC6">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r>
              <w:rPr>
                <w:rFonts w:ascii="Arial" w:hAnsi="Arial" w:cs="Arial"/>
                <w:sz w:val="20"/>
                <w:szCs w:val="22"/>
              </w:rPr>
              <w:t xml:space="preserve"> (loss)</w:t>
            </w:r>
          </w:p>
        </w:tc>
        <w:tc>
          <w:tcPr>
            <w:tcW w:w="1440" w:type="dxa"/>
          </w:tcPr>
          <w:p w:rsidR="005A5BC6" w:rsidRPr="004B2151" w:rsidRDefault="005A5BC6" w:rsidP="00D8122D">
            <w:pPr>
              <w:jc w:val="right"/>
              <w:rPr>
                <w:rFonts w:ascii="Arial" w:hAnsi="Arial" w:cs="Arial"/>
                <w:sz w:val="20"/>
                <w:szCs w:val="22"/>
              </w:rPr>
            </w:pPr>
            <w:r w:rsidRPr="004B2151">
              <w:rPr>
                <w:rFonts w:ascii="Arial" w:hAnsi="Arial" w:cs="Arial"/>
                <w:sz w:val="20"/>
                <w:szCs w:val="22"/>
              </w:rPr>
              <w:t>$</w:t>
            </w:r>
            <w:r w:rsidR="00D8122D">
              <w:rPr>
                <w:rFonts w:ascii="Arial" w:hAnsi="Arial" w:cs="Arial"/>
                <w:sz w:val="20"/>
                <w:szCs w:val="22"/>
              </w:rPr>
              <w:t>627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$1,</w:t>
            </w:r>
            <w:r>
              <w:rPr>
                <w:rFonts w:ascii="Arial" w:hAnsi="Arial" w:cs="Arial"/>
                <w:sz w:val="20"/>
                <w:szCs w:val="22"/>
              </w:rPr>
              <w:t>264</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(570)</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$1,3</w:t>
            </w:r>
            <w:r>
              <w:rPr>
                <w:rFonts w:ascii="Arial" w:hAnsi="Arial" w:cs="Arial"/>
                <w:sz w:val="20"/>
                <w:szCs w:val="22"/>
              </w:rPr>
              <w:t>38</w:t>
            </w:r>
            <w:r w:rsidRPr="004B2151">
              <w:rPr>
                <w:rFonts w:ascii="Arial" w:hAnsi="Arial" w:cs="Arial"/>
                <w:sz w:val="20"/>
                <w:szCs w:val="22"/>
              </w:rPr>
              <w:t xml:space="preserve"> M</w:t>
            </w:r>
          </w:p>
        </w:tc>
      </w:tr>
    </w:tbl>
    <w:p w:rsidR="005A5BC6" w:rsidRDefault="005A5BC6" w:rsidP="000E624D">
      <w:pPr>
        <w:rPr>
          <w:rFonts w:ascii="Arial" w:hAnsi="Arial" w:cs="Arial"/>
          <w:sz w:val="22"/>
        </w:rPr>
      </w:pPr>
    </w:p>
    <w:p w:rsidR="005A5BC6" w:rsidRDefault="005A5BC6" w:rsidP="000E624D">
      <w:pPr>
        <w:rPr>
          <w:rFonts w:ascii="Arial" w:hAnsi="Arial" w:cs="Arial"/>
          <w:sz w:val="22"/>
        </w:rPr>
      </w:pPr>
    </w:p>
    <w:p w:rsidR="005A693E" w:rsidRDefault="000E624D" w:rsidP="000E624D">
      <w:pPr>
        <w:rPr>
          <w:rFonts w:ascii="Arial" w:hAnsi="Arial" w:cs="Arial"/>
          <w:sz w:val="22"/>
        </w:rPr>
      </w:pPr>
      <w:r>
        <w:rPr>
          <w:rFonts w:ascii="Arial" w:hAnsi="Arial" w:cs="Arial"/>
          <w:sz w:val="22"/>
        </w:rPr>
        <w:t xml:space="preserve">For the U.S. Domestic </w:t>
      </w:r>
      <w:r w:rsidR="00576472">
        <w:rPr>
          <w:rFonts w:ascii="Arial" w:hAnsi="Arial" w:cs="Arial"/>
          <w:sz w:val="22"/>
        </w:rPr>
        <w:t xml:space="preserve">segment </w:t>
      </w:r>
      <w:r>
        <w:rPr>
          <w:rFonts w:ascii="Arial" w:hAnsi="Arial" w:cs="Arial"/>
          <w:sz w:val="22"/>
        </w:rPr>
        <w:t xml:space="preserve">in </w:t>
      </w:r>
      <w:r w:rsidR="005A5BC6">
        <w:rPr>
          <w:rFonts w:ascii="Arial" w:hAnsi="Arial" w:cs="Arial"/>
          <w:sz w:val="22"/>
        </w:rPr>
        <w:t>4</w:t>
      </w:r>
      <w:r w:rsidR="00FE1A45">
        <w:rPr>
          <w:rFonts w:ascii="Arial" w:hAnsi="Arial" w:cs="Arial"/>
          <w:sz w:val="22"/>
        </w:rPr>
        <w:t>Q</w:t>
      </w:r>
      <w:r>
        <w:rPr>
          <w:rFonts w:ascii="Arial" w:hAnsi="Arial" w:cs="Arial"/>
          <w:sz w:val="22"/>
        </w:rPr>
        <w:t xml:space="preserve"> 2017:</w:t>
      </w:r>
    </w:p>
    <w:p w:rsidR="00746CB8" w:rsidRPr="004359E0" w:rsidRDefault="00746CB8" w:rsidP="00746CB8">
      <w:pPr>
        <w:pStyle w:val="ListParagraph"/>
        <w:numPr>
          <w:ilvl w:val="0"/>
          <w:numId w:val="37"/>
        </w:numPr>
        <w:rPr>
          <w:rFonts w:ascii="Arial" w:hAnsi="Arial" w:cs="Arial"/>
          <w:sz w:val="22"/>
        </w:rPr>
      </w:pPr>
      <w:r w:rsidRPr="004359E0">
        <w:rPr>
          <w:rFonts w:ascii="Arial" w:hAnsi="Arial" w:cs="Arial"/>
          <w:sz w:val="22"/>
        </w:rPr>
        <w:t>Revenue increased $</w:t>
      </w:r>
      <w:r>
        <w:rPr>
          <w:rFonts w:ascii="Arial" w:hAnsi="Arial" w:cs="Arial"/>
          <w:sz w:val="22"/>
        </w:rPr>
        <w:t>922</w:t>
      </w:r>
      <w:r w:rsidRPr="004359E0">
        <w:rPr>
          <w:rFonts w:ascii="Arial" w:hAnsi="Arial" w:cs="Arial"/>
          <w:sz w:val="22"/>
        </w:rPr>
        <w:t xml:space="preserve"> million or </w:t>
      </w:r>
      <w:r>
        <w:rPr>
          <w:rFonts w:ascii="Arial" w:hAnsi="Arial" w:cs="Arial"/>
          <w:sz w:val="22"/>
        </w:rPr>
        <w:t>8.4</w:t>
      </w:r>
      <w:r w:rsidRPr="004359E0">
        <w:rPr>
          <w:rFonts w:ascii="Arial" w:hAnsi="Arial" w:cs="Arial"/>
          <w:sz w:val="22"/>
        </w:rPr>
        <w:t xml:space="preserve">% over </w:t>
      </w:r>
      <w:r>
        <w:rPr>
          <w:rFonts w:ascii="Arial" w:hAnsi="Arial" w:cs="Arial"/>
          <w:sz w:val="22"/>
        </w:rPr>
        <w:t>4</w:t>
      </w:r>
      <w:r w:rsidRPr="004359E0">
        <w:rPr>
          <w:rFonts w:ascii="Arial" w:hAnsi="Arial" w:cs="Arial"/>
          <w:sz w:val="22"/>
        </w:rPr>
        <w:t xml:space="preserve">Q 2016, driven by </w:t>
      </w:r>
      <w:r>
        <w:rPr>
          <w:rFonts w:ascii="Arial" w:hAnsi="Arial" w:cs="Arial"/>
          <w:sz w:val="22"/>
        </w:rPr>
        <w:t xml:space="preserve">Deferred </w:t>
      </w:r>
      <w:r w:rsidRPr="004359E0">
        <w:rPr>
          <w:rFonts w:ascii="Arial" w:hAnsi="Arial" w:cs="Arial"/>
          <w:sz w:val="22"/>
        </w:rPr>
        <w:t xml:space="preserve">Air </w:t>
      </w:r>
      <w:r>
        <w:rPr>
          <w:rFonts w:ascii="Arial" w:hAnsi="Arial" w:cs="Arial"/>
          <w:sz w:val="22"/>
        </w:rPr>
        <w:t>and Ground</w:t>
      </w:r>
      <w:r w:rsidR="007B3B00">
        <w:rPr>
          <w:rFonts w:ascii="Arial" w:hAnsi="Arial" w:cs="Arial"/>
          <w:sz w:val="22"/>
        </w:rPr>
        <w:t>.</w:t>
      </w:r>
      <w:r w:rsidRPr="004359E0">
        <w:rPr>
          <w:rFonts w:ascii="Arial" w:hAnsi="Arial" w:cs="Arial"/>
          <w:sz w:val="22"/>
        </w:rPr>
        <w:t xml:space="preserve">  </w:t>
      </w:r>
    </w:p>
    <w:p w:rsidR="00D8122D" w:rsidRDefault="00BA6C65" w:rsidP="009E7EED">
      <w:pPr>
        <w:pStyle w:val="ListParagraph"/>
        <w:numPr>
          <w:ilvl w:val="0"/>
          <w:numId w:val="37"/>
        </w:numPr>
        <w:rPr>
          <w:rFonts w:ascii="Arial" w:hAnsi="Arial" w:cs="Arial"/>
          <w:sz w:val="22"/>
        </w:rPr>
      </w:pPr>
      <w:r w:rsidRPr="00EF4A6C">
        <w:rPr>
          <w:rFonts w:ascii="Arial" w:hAnsi="Arial" w:cs="Arial"/>
          <w:sz w:val="22"/>
        </w:rPr>
        <w:t xml:space="preserve">Revenue per piece </w:t>
      </w:r>
      <w:r>
        <w:rPr>
          <w:rFonts w:ascii="Arial" w:hAnsi="Arial" w:cs="Arial"/>
          <w:sz w:val="22"/>
        </w:rPr>
        <w:t>increased</w:t>
      </w:r>
      <w:r w:rsidRPr="00EF4A6C">
        <w:rPr>
          <w:rFonts w:ascii="Arial" w:hAnsi="Arial" w:cs="Arial"/>
          <w:sz w:val="22"/>
        </w:rPr>
        <w:t xml:space="preserve"> </w:t>
      </w:r>
      <w:r>
        <w:rPr>
          <w:rFonts w:ascii="Arial" w:hAnsi="Arial" w:cs="Arial"/>
          <w:sz w:val="22"/>
        </w:rPr>
        <w:t>2.9</w:t>
      </w:r>
      <w:r w:rsidRPr="00EF4A6C">
        <w:rPr>
          <w:rFonts w:ascii="Arial" w:hAnsi="Arial" w:cs="Arial"/>
          <w:sz w:val="22"/>
        </w:rPr>
        <w:t xml:space="preserve">%, </w:t>
      </w:r>
      <w:r w:rsidR="001D1E65">
        <w:rPr>
          <w:rFonts w:ascii="Arial" w:hAnsi="Arial" w:cs="Arial"/>
          <w:sz w:val="22"/>
        </w:rPr>
        <w:t>as</w:t>
      </w:r>
      <w:r w:rsidR="001D1E65" w:rsidRPr="00EF4A6C">
        <w:rPr>
          <w:rFonts w:ascii="Arial" w:hAnsi="Arial" w:cs="Arial"/>
          <w:sz w:val="22"/>
        </w:rPr>
        <w:t xml:space="preserve"> </w:t>
      </w:r>
      <w:r w:rsidR="007B3B00">
        <w:rPr>
          <w:rFonts w:ascii="Arial" w:hAnsi="Arial" w:cs="Arial"/>
          <w:sz w:val="22"/>
        </w:rPr>
        <w:t xml:space="preserve">higher </w:t>
      </w:r>
      <w:r w:rsidRPr="00EF4A6C">
        <w:rPr>
          <w:rFonts w:ascii="Arial" w:hAnsi="Arial" w:cs="Arial"/>
          <w:sz w:val="22"/>
        </w:rPr>
        <w:t>base</w:t>
      </w:r>
      <w:r>
        <w:rPr>
          <w:rFonts w:ascii="Arial" w:hAnsi="Arial" w:cs="Arial"/>
          <w:sz w:val="22"/>
        </w:rPr>
        <w:t>-</w:t>
      </w:r>
      <w:r w:rsidRPr="00EF4A6C">
        <w:rPr>
          <w:rFonts w:ascii="Arial" w:hAnsi="Arial" w:cs="Arial"/>
          <w:sz w:val="22"/>
        </w:rPr>
        <w:t>rate pricing</w:t>
      </w:r>
      <w:r>
        <w:rPr>
          <w:rFonts w:ascii="Arial" w:hAnsi="Arial" w:cs="Arial"/>
          <w:sz w:val="22"/>
        </w:rPr>
        <w:t xml:space="preserve"> and fuel surcharges offset</w:t>
      </w:r>
      <w:r w:rsidR="007B3B00">
        <w:rPr>
          <w:rFonts w:ascii="Arial" w:hAnsi="Arial" w:cs="Arial"/>
          <w:sz w:val="22"/>
        </w:rPr>
        <w:t xml:space="preserve"> headwinds from </w:t>
      </w:r>
      <w:r>
        <w:rPr>
          <w:rFonts w:ascii="Arial" w:hAnsi="Arial" w:cs="Arial"/>
          <w:sz w:val="22"/>
        </w:rPr>
        <w:t>customer and product mix</w:t>
      </w:r>
      <w:r w:rsidRPr="00EF4A6C">
        <w:rPr>
          <w:rFonts w:ascii="Arial" w:hAnsi="Arial" w:cs="Arial"/>
          <w:sz w:val="22"/>
        </w:rPr>
        <w:t>.</w:t>
      </w:r>
      <w:r>
        <w:rPr>
          <w:rFonts w:ascii="Arial" w:hAnsi="Arial" w:cs="Arial"/>
          <w:sz w:val="22"/>
        </w:rPr>
        <w:t xml:space="preserve"> </w:t>
      </w:r>
      <w:r w:rsidR="009E7EED">
        <w:rPr>
          <w:rFonts w:ascii="Arial" w:hAnsi="Arial" w:cs="Arial"/>
          <w:sz w:val="22"/>
        </w:rPr>
        <w:t xml:space="preserve"> </w:t>
      </w:r>
    </w:p>
    <w:p w:rsidR="0004026C" w:rsidRPr="00C87C3E" w:rsidRDefault="0004026C" w:rsidP="0004026C">
      <w:pPr>
        <w:pStyle w:val="ListParagraph"/>
        <w:numPr>
          <w:ilvl w:val="0"/>
          <w:numId w:val="37"/>
        </w:numPr>
        <w:rPr>
          <w:rFonts w:ascii="Arial" w:hAnsi="Arial" w:cs="Arial"/>
          <w:sz w:val="22"/>
        </w:rPr>
      </w:pPr>
      <w:r w:rsidRPr="00C87C3E">
        <w:rPr>
          <w:rFonts w:ascii="Arial" w:hAnsi="Arial" w:cs="Arial"/>
          <w:sz w:val="22"/>
        </w:rPr>
        <w:t>Shipments surged beyond network capacity during Cyber-</w:t>
      </w:r>
      <w:r>
        <w:rPr>
          <w:rFonts w:ascii="Arial" w:hAnsi="Arial" w:cs="Arial"/>
          <w:sz w:val="22"/>
        </w:rPr>
        <w:t>periods</w:t>
      </w:r>
      <w:r w:rsidRPr="00C87C3E">
        <w:rPr>
          <w:rFonts w:ascii="Arial" w:hAnsi="Arial" w:cs="Arial"/>
          <w:sz w:val="22"/>
        </w:rPr>
        <w:t xml:space="preserve"> driving additional operating cost of $</w:t>
      </w:r>
      <w:r w:rsidR="00CC1CA8">
        <w:rPr>
          <w:rFonts w:ascii="Arial" w:hAnsi="Arial" w:cs="Arial"/>
          <w:sz w:val="22"/>
        </w:rPr>
        <w:t>125</w:t>
      </w:r>
      <w:r w:rsidRPr="00C87C3E">
        <w:rPr>
          <w:rFonts w:ascii="Arial" w:hAnsi="Arial" w:cs="Arial"/>
          <w:sz w:val="22"/>
        </w:rPr>
        <w:t xml:space="preserve"> million. </w:t>
      </w:r>
    </w:p>
    <w:p w:rsidR="00F9088C" w:rsidRDefault="0096036C" w:rsidP="00E466EA">
      <w:pPr>
        <w:pStyle w:val="ListParagraph"/>
        <w:numPr>
          <w:ilvl w:val="0"/>
          <w:numId w:val="37"/>
        </w:numPr>
        <w:rPr>
          <w:rFonts w:ascii="Arial" w:hAnsi="Arial" w:cs="Arial"/>
          <w:sz w:val="22"/>
        </w:rPr>
      </w:pPr>
      <w:r>
        <w:rPr>
          <w:rFonts w:ascii="Arial" w:hAnsi="Arial" w:cs="Arial"/>
          <w:sz w:val="22"/>
        </w:rPr>
        <w:t xml:space="preserve">Saturday operations provided </w:t>
      </w:r>
      <w:r w:rsidR="00F9088C">
        <w:rPr>
          <w:rFonts w:ascii="Arial" w:hAnsi="Arial" w:cs="Arial"/>
          <w:sz w:val="22"/>
        </w:rPr>
        <w:t>additional</w:t>
      </w:r>
      <w:r>
        <w:rPr>
          <w:rFonts w:ascii="Arial" w:hAnsi="Arial" w:cs="Arial"/>
          <w:sz w:val="22"/>
        </w:rPr>
        <w:t xml:space="preserve"> capacity and flexibility </w:t>
      </w:r>
      <w:r w:rsidR="00F9088C">
        <w:rPr>
          <w:rFonts w:ascii="Arial" w:hAnsi="Arial" w:cs="Arial"/>
          <w:sz w:val="22"/>
        </w:rPr>
        <w:t>during the quarter</w:t>
      </w:r>
      <w:r>
        <w:rPr>
          <w:rFonts w:ascii="Arial" w:hAnsi="Arial" w:cs="Arial"/>
          <w:sz w:val="22"/>
        </w:rPr>
        <w:t>.</w:t>
      </w:r>
    </w:p>
    <w:p w:rsidR="0096036C" w:rsidRDefault="00F9088C" w:rsidP="00E466EA">
      <w:pPr>
        <w:pStyle w:val="ListParagraph"/>
        <w:numPr>
          <w:ilvl w:val="0"/>
          <w:numId w:val="37"/>
        </w:numPr>
        <w:rPr>
          <w:rFonts w:ascii="Arial" w:hAnsi="Arial" w:cs="Arial"/>
          <w:sz w:val="22"/>
        </w:rPr>
      </w:pPr>
      <w:r w:rsidRPr="00E930A5">
        <w:rPr>
          <w:rFonts w:ascii="Arial" w:hAnsi="Arial" w:cs="Arial"/>
          <w:sz w:val="22"/>
        </w:rPr>
        <w:t xml:space="preserve">Operating profit includes additional expense from </w:t>
      </w:r>
      <w:r w:rsidR="0004026C">
        <w:rPr>
          <w:rFonts w:ascii="Arial" w:hAnsi="Arial" w:cs="Arial"/>
          <w:sz w:val="22"/>
        </w:rPr>
        <w:t xml:space="preserve">investments in new technology, customer solutions and automated capacity expansion </w:t>
      </w:r>
      <w:r w:rsidRPr="00E930A5">
        <w:rPr>
          <w:rFonts w:ascii="Arial" w:hAnsi="Arial" w:cs="Arial"/>
          <w:sz w:val="22"/>
        </w:rPr>
        <w:t xml:space="preserve">of </w:t>
      </w:r>
      <w:r w:rsidR="00D9270E">
        <w:rPr>
          <w:rFonts w:ascii="Arial" w:hAnsi="Arial" w:cs="Arial"/>
          <w:sz w:val="22"/>
        </w:rPr>
        <w:t>about</w:t>
      </w:r>
      <w:r w:rsidR="006A6141">
        <w:rPr>
          <w:rFonts w:ascii="Arial" w:hAnsi="Arial" w:cs="Arial"/>
          <w:sz w:val="22"/>
        </w:rPr>
        <w:t xml:space="preserve"> </w:t>
      </w:r>
      <w:r w:rsidRPr="00E930A5">
        <w:rPr>
          <w:rFonts w:ascii="Arial" w:hAnsi="Arial" w:cs="Arial"/>
          <w:sz w:val="22"/>
        </w:rPr>
        <w:t>$</w:t>
      </w:r>
      <w:r w:rsidR="00CC1CA8">
        <w:rPr>
          <w:rFonts w:ascii="Arial" w:hAnsi="Arial" w:cs="Arial"/>
          <w:sz w:val="22"/>
        </w:rPr>
        <w:t>60</w:t>
      </w:r>
      <w:r w:rsidR="00CC1CA8" w:rsidRPr="00E930A5">
        <w:rPr>
          <w:rFonts w:ascii="Arial" w:hAnsi="Arial" w:cs="Arial"/>
          <w:sz w:val="22"/>
        </w:rPr>
        <w:t xml:space="preserve"> </w:t>
      </w:r>
      <w:r w:rsidRPr="00E930A5">
        <w:rPr>
          <w:rFonts w:ascii="Arial" w:hAnsi="Arial" w:cs="Arial"/>
          <w:sz w:val="22"/>
        </w:rPr>
        <w:t>million.</w:t>
      </w:r>
    </w:p>
    <w:p w:rsidR="0069339F" w:rsidRDefault="0069339F" w:rsidP="00E466EA">
      <w:pPr>
        <w:pStyle w:val="ListParagraph"/>
        <w:numPr>
          <w:ilvl w:val="0"/>
          <w:numId w:val="37"/>
        </w:numPr>
        <w:rPr>
          <w:rFonts w:ascii="Arial" w:hAnsi="Arial" w:cs="Arial"/>
          <w:sz w:val="22"/>
        </w:rPr>
      </w:pPr>
      <w:r>
        <w:rPr>
          <w:rFonts w:ascii="Arial" w:hAnsi="Arial" w:cs="Arial"/>
          <w:sz w:val="22"/>
        </w:rPr>
        <w:t xml:space="preserve">Adjusted operating profit excludes </w:t>
      </w:r>
      <w:r w:rsidRPr="0079098A">
        <w:rPr>
          <w:rFonts w:ascii="Arial" w:hAnsi="Arial" w:cs="Arial"/>
          <w:sz w:val="22"/>
        </w:rPr>
        <w:t xml:space="preserve">the </w:t>
      </w:r>
      <w:r>
        <w:rPr>
          <w:rFonts w:ascii="Arial" w:hAnsi="Arial" w:cs="Arial"/>
          <w:sz w:val="22"/>
        </w:rPr>
        <w:t xml:space="preserve">MTM </w:t>
      </w:r>
      <w:r w:rsidRPr="0079098A">
        <w:rPr>
          <w:rFonts w:ascii="Arial" w:hAnsi="Arial" w:cs="Arial"/>
          <w:sz w:val="22"/>
        </w:rPr>
        <w:t xml:space="preserve">pension </w:t>
      </w:r>
      <w:r>
        <w:rPr>
          <w:rFonts w:ascii="Arial" w:hAnsi="Arial" w:cs="Arial"/>
          <w:sz w:val="22"/>
        </w:rPr>
        <w:t>charge</w:t>
      </w:r>
      <w:r w:rsidRPr="0079098A">
        <w:rPr>
          <w:rFonts w:ascii="Arial" w:hAnsi="Arial" w:cs="Arial"/>
          <w:sz w:val="22"/>
        </w:rPr>
        <w:t>.</w:t>
      </w:r>
    </w:p>
    <w:p w:rsidR="0077335C" w:rsidRDefault="0077335C" w:rsidP="00C5142D">
      <w:pPr>
        <w:rPr>
          <w:rFonts w:ascii="Arial" w:hAnsi="Arial" w:cs="Arial"/>
          <w:sz w:val="22"/>
        </w:rPr>
      </w:pPr>
    </w:p>
    <w:p w:rsidR="00230093" w:rsidRPr="00C5142D" w:rsidRDefault="00230093" w:rsidP="00C5142D">
      <w:pPr>
        <w:rPr>
          <w:rFonts w:ascii="Arial" w:hAnsi="Arial" w:cs="Arial"/>
          <w:sz w:val="22"/>
        </w:rPr>
      </w:pPr>
    </w:p>
    <w:p w:rsidR="00825A62" w:rsidRPr="004914AA" w:rsidRDefault="004914AA" w:rsidP="00D12477">
      <w:pPr>
        <w:rPr>
          <w:rFonts w:ascii="Arial" w:hAnsi="Arial" w:cs="Arial"/>
          <w:b/>
          <w:sz w:val="22"/>
          <w:szCs w:val="20"/>
          <w:u w:val="single"/>
        </w:rPr>
      </w:pPr>
      <w:r w:rsidRPr="004914AA">
        <w:rPr>
          <w:rFonts w:ascii="Arial" w:hAnsi="Arial" w:cs="Arial"/>
          <w:b/>
          <w:sz w:val="22"/>
          <w:szCs w:val="20"/>
          <w:u w:val="single"/>
        </w:rPr>
        <w:t>International</w:t>
      </w:r>
      <w:r w:rsidR="00941FD4">
        <w:rPr>
          <w:rFonts w:ascii="Arial" w:hAnsi="Arial" w:cs="Arial"/>
          <w:b/>
          <w:sz w:val="22"/>
          <w:szCs w:val="20"/>
          <w:u w:val="single"/>
        </w:rPr>
        <w:t xml:space="preserve"> </w:t>
      </w:r>
      <w:r w:rsidRPr="004914AA">
        <w:rPr>
          <w:rFonts w:ascii="Arial" w:hAnsi="Arial" w:cs="Arial"/>
          <w:b/>
          <w:sz w:val="22"/>
          <w:szCs w:val="20"/>
          <w:u w:val="single"/>
        </w:rPr>
        <w:t>Segment</w:t>
      </w:r>
    </w:p>
    <w:p w:rsidR="00E524E4" w:rsidRDefault="00E524E4" w:rsidP="00D12477">
      <w:pPr>
        <w:rPr>
          <w:rFonts w:ascii="Arial" w:hAnsi="Arial" w:cs="Arial"/>
          <w:sz w:val="22"/>
          <w:szCs w:val="20"/>
        </w:rPr>
      </w:pPr>
    </w:p>
    <w:p w:rsidR="005E3FC5" w:rsidRDefault="003E0627" w:rsidP="00D12477">
      <w:pPr>
        <w:rPr>
          <w:rFonts w:ascii="Arial" w:hAnsi="Arial" w:cs="Arial"/>
          <w:sz w:val="22"/>
          <w:szCs w:val="20"/>
        </w:rPr>
      </w:pPr>
      <w:r>
        <w:rPr>
          <w:rFonts w:ascii="Arial" w:hAnsi="Arial" w:cs="Arial"/>
          <w:sz w:val="22"/>
          <w:szCs w:val="20"/>
        </w:rPr>
        <w:t>“Our</w:t>
      </w:r>
      <w:r w:rsidR="002A0FDD" w:rsidRPr="002A0FDD">
        <w:rPr>
          <w:rFonts w:ascii="Arial" w:hAnsi="Arial" w:cs="Arial"/>
          <w:sz w:val="22"/>
          <w:szCs w:val="20"/>
        </w:rPr>
        <w:t xml:space="preserve"> International segment </w:t>
      </w:r>
      <w:r w:rsidR="009E7EED">
        <w:rPr>
          <w:rFonts w:ascii="Arial" w:hAnsi="Arial" w:cs="Arial"/>
          <w:sz w:val="22"/>
          <w:szCs w:val="20"/>
        </w:rPr>
        <w:t xml:space="preserve">has generated </w:t>
      </w:r>
      <w:r w:rsidR="0014511D">
        <w:rPr>
          <w:rFonts w:ascii="Arial" w:hAnsi="Arial" w:cs="Arial"/>
          <w:sz w:val="22"/>
          <w:szCs w:val="20"/>
        </w:rPr>
        <w:t xml:space="preserve">four </w:t>
      </w:r>
      <w:r w:rsidR="009E7EED">
        <w:rPr>
          <w:rFonts w:ascii="Arial" w:hAnsi="Arial" w:cs="Arial"/>
          <w:sz w:val="22"/>
          <w:szCs w:val="20"/>
        </w:rPr>
        <w:t>consec</w:t>
      </w:r>
      <w:r w:rsidR="00447B63">
        <w:rPr>
          <w:rFonts w:ascii="Arial" w:hAnsi="Arial" w:cs="Arial"/>
          <w:sz w:val="22"/>
          <w:szCs w:val="20"/>
        </w:rPr>
        <w:t>utive quarters of double-digit e</w:t>
      </w:r>
      <w:r w:rsidR="009E7EED">
        <w:rPr>
          <w:rFonts w:ascii="Arial" w:hAnsi="Arial" w:cs="Arial"/>
          <w:sz w:val="22"/>
          <w:szCs w:val="20"/>
        </w:rPr>
        <w:t>xport growth</w:t>
      </w:r>
      <w:r w:rsidR="00D02362">
        <w:rPr>
          <w:rFonts w:ascii="Arial" w:hAnsi="Arial" w:cs="Arial"/>
          <w:sz w:val="22"/>
          <w:szCs w:val="20"/>
        </w:rPr>
        <w:t>,”</w:t>
      </w:r>
      <w:r w:rsidR="00C53B27">
        <w:rPr>
          <w:rFonts w:ascii="Arial" w:hAnsi="Arial" w:cs="Arial"/>
          <w:sz w:val="22"/>
          <w:szCs w:val="20"/>
        </w:rPr>
        <w:t xml:space="preserve"> said Abney</w:t>
      </w:r>
      <w:r w:rsidR="002A0FDD" w:rsidRPr="002A0FDD">
        <w:rPr>
          <w:rFonts w:ascii="Arial" w:hAnsi="Arial" w:cs="Arial"/>
          <w:sz w:val="22"/>
          <w:szCs w:val="20"/>
        </w:rPr>
        <w:t>.</w:t>
      </w:r>
      <w:r w:rsidR="002A0FDD">
        <w:rPr>
          <w:rFonts w:ascii="Arial" w:hAnsi="Arial" w:cs="Arial"/>
          <w:sz w:val="22"/>
          <w:szCs w:val="20"/>
        </w:rPr>
        <w:t xml:space="preserve">  </w:t>
      </w:r>
      <w:r w:rsidR="00D02362">
        <w:rPr>
          <w:rFonts w:ascii="Arial" w:hAnsi="Arial" w:cs="Arial"/>
          <w:sz w:val="22"/>
          <w:szCs w:val="20"/>
        </w:rPr>
        <w:t>“That execution, c</w:t>
      </w:r>
      <w:r w:rsidR="00D02362" w:rsidRPr="00D02362">
        <w:rPr>
          <w:rFonts w:ascii="Arial" w:hAnsi="Arial" w:cs="Arial"/>
          <w:sz w:val="22"/>
          <w:szCs w:val="20"/>
        </w:rPr>
        <w:t xml:space="preserve">ombined with </w:t>
      </w:r>
      <w:r w:rsidR="00E930A5">
        <w:rPr>
          <w:rFonts w:ascii="Arial" w:hAnsi="Arial" w:cs="Arial"/>
          <w:sz w:val="22"/>
          <w:szCs w:val="20"/>
        </w:rPr>
        <w:t xml:space="preserve">our growth strategy and </w:t>
      </w:r>
      <w:r w:rsidR="00D02362" w:rsidRPr="00D02362">
        <w:rPr>
          <w:rFonts w:ascii="Arial" w:hAnsi="Arial" w:cs="Arial"/>
          <w:sz w:val="22"/>
          <w:szCs w:val="20"/>
        </w:rPr>
        <w:t>the investments</w:t>
      </w:r>
      <w:r w:rsidR="00447B63">
        <w:rPr>
          <w:rFonts w:ascii="Arial" w:hAnsi="Arial" w:cs="Arial"/>
          <w:sz w:val="22"/>
          <w:szCs w:val="20"/>
        </w:rPr>
        <w:t xml:space="preserve"> we’ve made over the last three-and-a-</w:t>
      </w:r>
      <w:r w:rsidR="00D02362" w:rsidRPr="00D02362">
        <w:rPr>
          <w:rFonts w:ascii="Arial" w:hAnsi="Arial" w:cs="Arial"/>
          <w:sz w:val="22"/>
          <w:szCs w:val="20"/>
        </w:rPr>
        <w:t>half years</w:t>
      </w:r>
      <w:r w:rsidR="00D02362">
        <w:rPr>
          <w:rFonts w:ascii="Arial" w:hAnsi="Arial" w:cs="Arial"/>
          <w:sz w:val="22"/>
          <w:szCs w:val="20"/>
        </w:rPr>
        <w:t>, produced results that exceeded expectations</w:t>
      </w:r>
      <w:r w:rsidR="00D02362" w:rsidRPr="00D02362">
        <w:rPr>
          <w:rFonts w:ascii="Arial" w:hAnsi="Arial" w:cs="Arial"/>
          <w:sz w:val="22"/>
          <w:szCs w:val="20"/>
        </w:rPr>
        <w:t>.</w:t>
      </w:r>
      <w:r w:rsidR="00C53B27">
        <w:rPr>
          <w:rFonts w:ascii="Arial" w:hAnsi="Arial" w:cs="Arial"/>
          <w:sz w:val="22"/>
          <w:szCs w:val="20"/>
        </w:rPr>
        <w:t>”</w:t>
      </w:r>
      <w:r w:rsidR="003644EA">
        <w:rPr>
          <w:rFonts w:ascii="Arial" w:hAnsi="Arial" w:cs="Arial"/>
          <w:sz w:val="22"/>
          <w:szCs w:val="20"/>
        </w:rPr>
        <w:t xml:space="preserve">  </w:t>
      </w:r>
    </w:p>
    <w:p w:rsidR="005A5BC6" w:rsidRPr="00D12477" w:rsidRDefault="005A5BC6" w:rsidP="005A5BC6">
      <w:pPr>
        <w:rPr>
          <w:rFonts w:ascii="Arial" w:hAnsi="Arial" w:cs="Arial"/>
          <w:sz w:val="22"/>
        </w:rPr>
      </w:pPr>
    </w:p>
    <w:tbl>
      <w:tblPr>
        <w:tblStyle w:val="TableGrid"/>
        <w:tblW w:w="878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gridCol w:w="1440"/>
      </w:tblGrid>
      <w:tr w:rsidR="005A5BC6" w:rsidRPr="001E1EB6" w:rsidTr="005A5BC6">
        <w:tc>
          <w:tcPr>
            <w:tcW w:w="3024" w:type="dxa"/>
          </w:tcPr>
          <w:p w:rsidR="005A5BC6" w:rsidRPr="004B2151" w:rsidRDefault="005A5BC6" w:rsidP="005A5BC6">
            <w:pPr>
              <w:rPr>
                <w:rFonts w:ascii="Arial" w:hAnsi="Arial" w:cs="Arial"/>
                <w:b/>
                <w:sz w:val="20"/>
                <w:szCs w:val="22"/>
                <w:u w:val="single"/>
              </w:rPr>
            </w:pPr>
          </w:p>
          <w:p w:rsidR="005A5BC6" w:rsidRPr="004B2151" w:rsidRDefault="005A5BC6" w:rsidP="005A5BC6">
            <w:pPr>
              <w:rPr>
                <w:rFonts w:ascii="Arial" w:hAnsi="Arial" w:cs="Arial"/>
                <w:b/>
                <w:sz w:val="20"/>
                <w:szCs w:val="22"/>
                <w:u w:val="single"/>
              </w:rPr>
            </w:pP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r>
      <w:tr w:rsidR="005A5BC6" w:rsidRPr="001E1EB6" w:rsidTr="005A5BC6">
        <w:tc>
          <w:tcPr>
            <w:tcW w:w="3024" w:type="dxa"/>
          </w:tcPr>
          <w:p w:rsidR="005A5BC6" w:rsidRPr="004B2151" w:rsidRDefault="005A5BC6" w:rsidP="005A5BC6">
            <w:pPr>
              <w:rPr>
                <w:rFonts w:ascii="Arial" w:hAnsi="Arial" w:cs="Arial"/>
                <w:sz w:val="20"/>
                <w:szCs w:val="22"/>
              </w:rPr>
            </w:pPr>
            <w:r w:rsidRPr="004B2151">
              <w:rPr>
                <w:rFonts w:ascii="Arial" w:hAnsi="Arial" w:cs="Arial"/>
                <w:sz w:val="20"/>
                <w:szCs w:val="22"/>
              </w:rPr>
              <w:t>Revenue</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3,753</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3,335</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p>
        </w:tc>
      </w:tr>
      <w:tr w:rsidR="005A5BC6" w:rsidRPr="001E1EB6" w:rsidTr="005A5BC6">
        <w:tc>
          <w:tcPr>
            <w:tcW w:w="3024" w:type="dxa"/>
          </w:tcPr>
          <w:p w:rsidR="005A5BC6" w:rsidRPr="004B2151" w:rsidRDefault="005A5BC6" w:rsidP="005A5BC6">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rsidR="005A5BC6" w:rsidRPr="004B2151" w:rsidRDefault="005A5BC6" w:rsidP="00D8122D">
            <w:pPr>
              <w:jc w:val="right"/>
              <w:rPr>
                <w:rFonts w:ascii="Arial" w:hAnsi="Arial" w:cs="Arial"/>
                <w:sz w:val="20"/>
                <w:szCs w:val="22"/>
              </w:rPr>
            </w:pPr>
            <w:r w:rsidRPr="004B2151">
              <w:rPr>
                <w:rFonts w:ascii="Arial" w:hAnsi="Arial" w:cs="Arial"/>
                <w:sz w:val="20"/>
                <w:szCs w:val="22"/>
              </w:rPr>
              <w:t>$</w:t>
            </w:r>
            <w:r w:rsidR="00D8122D">
              <w:rPr>
                <w:rFonts w:ascii="Arial" w:hAnsi="Arial" w:cs="Arial"/>
                <w:sz w:val="20"/>
                <w:szCs w:val="22"/>
              </w:rPr>
              <w:t>725</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760</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281</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706</w:t>
            </w:r>
            <w:r w:rsidRPr="004B2151">
              <w:rPr>
                <w:rFonts w:ascii="Arial" w:hAnsi="Arial" w:cs="Arial"/>
                <w:sz w:val="20"/>
                <w:szCs w:val="22"/>
              </w:rPr>
              <w:t xml:space="preserve"> M</w:t>
            </w:r>
          </w:p>
        </w:tc>
      </w:tr>
    </w:tbl>
    <w:p w:rsidR="0062150D" w:rsidRDefault="0062150D" w:rsidP="00512620">
      <w:pPr>
        <w:ind w:left="720" w:hanging="720"/>
        <w:rPr>
          <w:rFonts w:ascii="Arial" w:hAnsi="Arial" w:cs="Arial"/>
          <w:szCs w:val="22"/>
        </w:rPr>
      </w:pPr>
    </w:p>
    <w:p w:rsidR="000E624D" w:rsidRPr="005B78BB" w:rsidRDefault="000E624D" w:rsidP="00512620">
      <w:pPr>
        <w:ind w:left="720" w:hanging="720"/>
        <w:rPr>
          <w:rFonts w:ascii="Arial" w:hAnsi="Arial" w:cs="Arial"/>
          <w:szCs w:val="22"/>
        </w:rPr>
      </w:pPr>
      <w:r w:rsidRPr="00016A51">
        <w:rPr>
          <w:rFonts w:ascii="Arial" w:hAnsi="Arial" w:cs="Arial"/>
          <w:sz w:val="22"/>
          <w:szCs w:val="22"/>
        </w:rPr>
        <w:t xml:space="preserve">For the International </w:t>
      </w:r>
      <w:r w:rsidR="00576472" w:rsidRPr="005B78BB">
        <w:rPr>
          <w:rFonts w:ascii="Arial" w:hAnsi="Arial" w:cs="Arial"/>
          <w:sz w:val="22"/>
          <w:szCs w:val="22"/>
        </w:rPr>
        <w:t xml:space="preserve">segment </w:t>
      </w:r>
      <w:r w:rsidRPr="005B78BB">
        <w:rPr>
          <w:rFonts w:ascii="Arial" w:hAnsi="Arial" w:cs="Arial"/>
          <w:sz w:val="22"/>
          <w:szCs w:val="22"/>
        </w:rPr>
        <w:t xml:space="preserve">in </w:t>
      </w:r>
      <w:r w:rsidR="005A5BC6">
        <w:rPr>
          <w:rFonts w:ascii="Arial" w:hAnsi="Arial" w:cs="Arial"/>
          <w:sz w:val="22"/>
          <w:szCs w:val="22"/>
        </w:rPr>
        <w:t>4</w:t>
      </w:r>
      <w:r w:rsidR="0011448C">
        <w:rPr>
          <w:rFonts w:ascii="Arial" w:hAnsi="Arial" w:cs="Arial"/>
          <w:sz w:val="22"/>
          <w:szCs w:val="22"/>
        </w:rPr>
        <w:t>Q</w:t>
      </w:r>
      <w:r w:rsidRPr="005B78BB">
        <w:rPr>
          <w:rFonts w:ascii="Arial" w:hAnsi="Arial" w:cs="Arial"/>
          <w:sz w:val="22"/>
          <w:szCs w:val="22"/>
        </w:rPr>
        <w:t xml:space="preserve"> 2017</w:t>
      </w:r>
      <w:r w:rsidRPr="005B78BB">
        <w:rPr>
          <w:rFonts w:ascii="Arial" w:hAnsi="Arial" w:cs="Arial"/>
          <w:szCs w:val="22"/>
        </w:rPr>
        <w:t>:</w:t>
      </w:r>
    </w:p>
    <w:p w:rsidR="00D8122D" w:rsidRDefault="00D8122D" w:rsidP="00D8122D">
      <w:pPr>
        <w:pStyle w:val="ListParagraph"/>
        <w:numPr>
          <w:ilvl w:val="0"/>
          <w:numId w:val="37"/>
        </w:numPr>
        <w:rPr>
          <w:rFonts w:ascii="Arial" w:hAnsi="Arial" w:cs="Arial"/>
          <w:sz w:val="22"/>
        </w:rPr>
      </w:pPr>
      <w:r w:rsidRPr="00436410">
        <w:rPr>
          <w:rFonts w:ascii="Arial" w:hAnsi="Arial" w:cs="Arial"/>
          <w:sz w:val="22"/>
        </w:rPr>
        <w:t xml:space="preserve">The </w:t>
      </w:r>
      <w:r>
        <w:rPr>
          <w:rFonts w:ascii="Arial" w:hAnsi="Arial" w:cs="Arial"/>
          <w:sz w:val="22"/>
        </w:rPr>
        <w:t>segment</w:t>
      </w:r>
      <w:r w:rsidRPr="00436410">
        <w:rPr>
          <w:rFonts w:ascii="Arial" w:hAnsi="Arial" w:cs="Arial"/>
          <w:sz w:val="22"/>
        </w:rPr>
        <w:t xml:space="preserve"> reported revenue </w:t>
      </w:r>
      <w:r>
        <w:rPr>
          <w:rFonts w:ascii="Arial" w:hAnsi="Arial" w:cs="Arial"/>
          <w:sz w:val="22"/>
        </w:rPr>
        <w:t>growth</w:t>
      </w:r>
      <w:r w:rsidRPr="00436410">
        <w:rPr>
          <w:rFonts w:ascii="Arial" w:hAnsi="Arial" w:cs="Arial"/>
          <w:sz w:val="22"/>
        </w:rPr>
        <w:t xml:space="preserve"> of </w:t>
      </w:r>
      <w:r w:rsidR="009D0F6B">
        <w:rPr>
          <w:rFonts w:ascii="Arial" w:hAnsi="Arial" w:cs="Arial"/>
          <w:sz w:val="22"/>
        </w:rPr>
        <w:t>13</w:t>
      </w:r>
      <w:r w:rsidRPr="00436410">
        <w:rPr>
          <w:rFonts w:ascii="Arial" w:hAnsi="Arial" w:cs="Arial"/>
          <w:sz w:val="22"/>
        </w:rPr>
        <w:t xml:space="preserve">% </w:t>
      </w:r>
      <w:r w:rsidRPr="00F711FF">
        <w:rPr>
          <w:rFonts w:ascii="Arial" w:hAnsi="Arial" w:cs="Arial"/>
          <w:sz w:val="22"/>
        </w:rPr>
        <w:t>driven by premium product</w:t>
      </w:r>
      <w:r>
        <w:rPr>
          <w:rFonts w:ascii="Arial" w:hAnsi="Arial" w:cs="Arial"/>
          <w:sz w:val="22"/>
        </w:rPr>
        <w:t>s</w:t>
      </w:r>
      <w:r w:rsidRPr="00F711FF">
        <w:rPr>
          <w:rFonts w:ascii="Arial" w:hAnsi="Arial" w:cs="Arial"/>
          <w:sz w:val="22"/>
        </w:rPr>
        <w:t>.</w:t>
      </w:r>
      <w:r w:rsidRPr="00436410">
        <w:rPr>
          <w:rFonts w:ascii="Arial" w:hAnsi="Arial" w:cs="Arial"/>
          <w:sz w:val="22"/>
        </w:rPr>
        <w:t xml:space="preserve"> </w:t>
      </w:r>
    </w:p>
    <w:p w:rsidR="00D8122D" w:rsidRPr="00D828A7" w:rsidRDefault="00D8122D" w:rsidP="00D8122D">
      <w:pPr>
        <w:pStyle w:val="ListParagraph"/>
        <w:numPr>
          <w:ilvl w:val="0"/>
          <w:numId w:val="37"/>
        </w:numPr>
        <w:rPr>
          <w:rFonts w:ascii="Arial" w:hAnsi="Arial" w:cs="Arial"/>
          <w:sz w:val="22"/>
        </w:rPr>
      </w:pPr>
      <w:r>
        <w:rPr>
          <w:rFonts w:ascii="Arial" w:hAnsi="Arial" w:cs="Arial"/>
          <w:sz w:val="22"/>
        </w:rPr>
        <w:t>E</w:t>
      </w:r>
      <w:r w:rsidRPr="00D828A7">
        <w:rPr>
          <w:rFonts w:ascii="Arial" w:hAnsi="Arial" w:cs="Arial"/>
          <w:sz w:val="22"/>
        </w:rPr>
        <w:t xml:space="preserve">xport </w:t>
      </w:r>
      <w:r>
        <w:rPr>
          <w:rFonts w:ascii="Arial" w:hAnsi="Arial" w:cs="Arial"/>
          <w:sz w:val="22"/>
        </w:rPr>
        <w:t xml:space="preserve">shipment </w:t>
      </w:r>
      <w:r w:rsidRPr="00D828A7">
        <w:rPr>
          <w:rFonts w:ascii="Arial" w:hAnsi="Arial" w:cs="Arial"/>
          <w:sz w:val="22"/>
        </w:rPr>
        <w:t xml:space="preserve">growth </w:t>
      </w:r>
      <w:r>
        <w:rPr>
          <w:rFonts w:ascii="Arial" w:hAnsi="Arial" w:cs="Arial"/>
          <w:sz w:val="22"/>
        </w:rPr>
        <w:t>surged 16% per day</w:t>
      </w:r>
      <w:r w:rsidRPr="00D828A7">
        <w:rPr>
          <w:rFonts w:ascii="Arial" w:hAnsi="Arial" w:cs="Arial"/>
          <w:sz w:val="22"/>
        </w:rPr>
        <w:t xml:space="preserve">.  </w:t>
      </w:r>
      <w:r>
        <w:rPr>
          <w:rFonts w:ascii="Arial" w:hAnsi="Arial" w:cs="Arial"/>
          <w:sz w:val="22"/>
        </w:rPr>
        <w:t>A</w:t>
      </w:r>
      <w:r w:rsidRPr="00D828A7">
        <w:rPr>
          <w:rFonts w:ascii="Arial" w:hAnsi="Arial" w:cs="Arial"/>
          <w:sz w:val="22"/>
        </w:rPr>
        <w:t>ll regions of the world</w:t>
      </w:r>
      <w:r>
        <w:rPr>
          <w:rFonts w:ascii="Arial" w:hAnsi="Arial" w:cs="Arial"/>
          <w:sz w:val="22"/>
        </w:rPr>
        <w:t xml:space="preserve"> contributed to the expansion</w:t>
      </w:r>
      <w:r w:rsidRPr="00D828A7">
        <w:rPr>
          <w:rFonts w:ascii="Arial" w:hAnsi="Arial" w:cs="Arial"/>
          <w:sz w:val="22"/>
        </w:rPr>
        <w:t xml:space="preserve">. </w:t>
      </w:r>
    </w:p>
    <w:p w:rsidR="00057381" w:rsidRPr="000D66BE" w:rsidRDefault="001E32CA" w:rsidP="00E466EA">
      <w:pPr>
        <w:pStyle w:val="ListParagraph"/>
        <w:numPr>
          <w:ilvl w:val="0"/>
          <w:numId w:val="37"/>
        </w:numPr>
        <w:rPr>
          <w:rFonts w:ascii="Arial" w:hAnsi="Arial" w:cs="Arial"/>
          <w:sz w:val="22"/>
        </w:rPr>
      </w:pPr>
      <w:r w:rsidRPr="00E466EA">
        <w:rPr>
          <w:rFonts w:ascii="Arial" w:hAnsi="Arial" w:cs="Arial"/>
          <w:sz w:val="22"/>
        </w:rPr>
        <w:t>4Q 2017 operating profit was $725 million</w:t>
      </w:r>
      <w:r w:rsidR="00447B63">
        <w:rPr>
          <w:rFonts w:ascii="Arial" w:hAnsi="Arial" w:cs="Arial"/>
          <w:sz w:val="22"/>
        </w:rPr>
        <w:t>;</w:t>
      </w:r>
      <w:r w:rsidR="00057381" w:rsidRPr="00E466EA">
        <w:rPr>
          <w:rFonts w:ascii="Arial" w:hAnsi="Arial" w:cs="Arial"/>
          <w:sz w:val="22"/>
        </w:rPr>
        <w:t xml:space="preserve"> </w:t>
      </w:r>
      <w:r w:rsidR="00CD4B34" w:rsidRPr="00E466EA">
        <w:rPr>
          <w:rFonts w:ascii="Arial" w:hAnsi="Arial" w:cs="Arial"/>
          <w:sz w:val="22"/>
        </w:rPr>
        <w:t>4</w:t>
      </w:r>
      <w:r w:rsidR="00057381" w:rsidRPr="00E466EA">
        <w:rPr>
          <w:rFonts w:ascii="Arial" w:hAnsi="Arial" w:cs="Arial"/>
          <w:sz w:val="22"/>
        </w:rPr>
        <w:t xml:space="preserve">Q </w:t>
      </w:r>
      <w:r w:rsidRPr="00E466EA">
        <w:rPr>
          <w:rFonts w:ascii="Arial" w:hAnsi="Arial" w:cs="Arial"/>
          <w:sz w:val="22"/>
        </w:rPr>
        <w:t xml:space="preserve">adjusted </w:t>
      </w:r>
      <w:r w:rsidR="00057381" w:rsidRPr="00E466EA">
        <w:rPr>
          <w:rFonts w:ascii="Arial" w:hAnsi="Arial" w:cs="Arial"/>
          <w:sz w:val="22"/>
        </w:rPr>
        <w:t>o</w:t>
      </w:r>
      <w:r w:rsidR="00B407F4" w:rsidRPr="00E466EA">
        <w:rPr>
          <w:rFonts w:ascii="Arial" w:hAnsi="Arial" w:cs="Arial"/>
          <w:sz w:val="22"/>
        </w:rPr>
        <w:t xml:space="preserve">perating profit </w:t>
      </w:r>
      <w:r w:rsidR="0004026C">
        <w:rPr>
          <w:rFonts w:ascii="Arial" w:hAnsi="Arial" w:cs="Arial"/>
          <w:sz w:val="22"/>
        </w:rPr>
        <w:t>increased 7.6% to</w:t>
      </w:r>
      <w:r w:rsidR="00127993" w:rsidRPr="00E466EA">
        <w:rPr>
          <w:rFonts w:ascii="Arial" w:hAnsi="Arial" w:cs="Arial"/>
          <w:sz w:val="22"/>
        </w:rPr>
        <w:t xml:space="preserve"> </w:t>
      </w:r>
      <w:r w:rsidR="00C96DDC" w:rsidRPr="00E466EA">
        <w:rPr>
          <w:rFonts w:ascii="Arial" w:hAnsi="Arial" w:cs="Arial"/>
          <w:sz w:val="22"/>
        </w:rPr>
        <w:t>$</w:t>
      </w:r>
      <w:r w:rsidR="00CD4B34" w:rsidRPr="00E466EA">
        <w:rPr>
          <w:rFonts w:ascii="Arial" w:hAnsi="Arial" w:cs="Arial"/>
          <w:sz w:val="22"/>
        </w:rPr>
        <w:t>760</w:t>
      </w:r>
      <w:r w:rsidR="00C96DDC" w:rsidRPr="00E466EA">
        <w:rPr>
          <w:rFonts w:ascii="Arial" w:hAnsi="Arial" w:cs="Arial"/>
          <w:sz w:val="22"/>
        </w:rPr>
        <w:t xml:space="preserve"> million</w:t>
      </w:r>
      <w:r w:rsidR="00F21B81" w:rsidRPr="00E466EA">
        <w:rPr>
          <w:rFonts w:ascii="Arial" w:hAnsi="Arial" w:cs="Arial"/>
          <w:sz w:val="22"/>
        </w:rPr>
        <w:t>,</w:t>
      </w:r>
      <w:r w:rsidR="00127993" w:rsidRPr="00E466EA">
        <w:rPr>
          <w:rFonts w:ascii="Arial" w:hAnsi="Arial" w:cs="Arial"/>
          <w:sz w:val="22"/>
        </w:rPr>
        <w:t xml:space="preserve"> </w:t>
      </w:r>
      <w:r w:rsidR="00A55AF4" w:rsidRPr="00E466EA">
        <w:rPr>
          <w:rFonts w:ascii="Arial" w:hAnsi="Arial" w:cs="Arial"/>
          <w:sz w:val="22"/>
        </w:rPr>
        <w:t>the result of broad, accelerated growth combined with expanded yields.</w:t>
      </w:r>
      <w:r w:rsidR="00C92633" w:rsidRPr="00E466EA">
        <w:rPr>
          <w:rFonts w:ascii="Arial" w:hAnsi="Arial" w:cs="Arial"/>
          <w:sz w:val="22"/>
        </w:rPr>
        <w:t xml:space="preserve"> </w:t>
      </w:r>
    </w:p>
    <w:p w:rsidR="00D8122D" w:rsidRPr="0079098A" w:rsidRDefault="00D8122D" w:rsidP="00D8122D">
      <w:pPr>
        <w:pStyle w:val="ListParagraph"/>
        <w:numPr>
          <w:ilvl w:val="0"/>
          <w:numId w:val="37"/>
        </w:numPr>
        <w:rPr>
          <w:rFonts w:ascii="Arial" w:hAnsi="Arial" w:cs="Arial"/>
          <w:sz w:val="22"/>
        </w:rPr>
      </w:pPr>
      <w:r>
        <w:rPr>
          <w:rFonts w:ascii="Arial" w:hAnsi="Arial" w:cs="Arial"/>
          <w:sz w:val="22"/>
        </w:rPr>
        <w:t xml:space="preserve">Adjusted operating profit excludes </w:t>
      </w:r>
      <w:r w:rsidRPr="0079098A">
        <w:rPr>
          <w:rFonts w:ascii="Arial" w:hAnsi="Arial" w:cs="Arial"/>
          <w:sz w:val="22"/>
        </w:rPr>
        <w:t xml:space="preserve">the </w:t>
      </w:r>
      <w:r w:rsidR="001818ED">
        <w:rPr>
          <w:rFonts w:ascii="Arial" w:hAnsi="Arial" w:cs="Arial"/>
          <w:sz w:val="22"/>
        </w:rPr>
        <w:t>MTM</w:t>
      </w:r>
      <w:r w:rsidR="00323CB0">
        <w:rPr>
          <w:rFonts w:ascii="Arial" w:hAnsi="Arial" w:cs="Arial"/>
          <w:sz w:val="22"/>
        </w:rPr>
        <w:t xml:space="preserve"> </w:t>
      </w:r>
      <w:r w:rsidRPr="0079098A">
        <w:rPr>
          <w:rFonts w:ascii="Arial" w:hAnsi="Arial" w:cs="Arial"/>
          <w:sz w:val="22"/>
        </w:rPr>
        <w:t xml:space="preserve">pension </w:t>
      </w:r>
      <w:r>
        <w:rPr>
          <w:rFonts w:ascii="Arial" w:hAnsi="Arial" w:cs="Arial"/>
          <w:sz w:val="22"/>
        </w:rPr>
        <w:t>charge</w:t>
      </w:r>
      <w:r w:rsidRPr="0079098A">
        <w:rPr>
          <w:rFonts w:ascii="Arial" w:hAnsi="Arial" w:cs="Arial"/>
          <w:sz w:val="22"/>
        </w:rPr>
        <w:t xml:space="preserve">. </w:t>
      </w:r>
    </w:p>
    <w:p w:rsidR="000A1A16" w:rsidRPr="00F60DDB" w:rsidRDefault="00D8122D" w:rsidP="0029677C">
      <w:pPr>
        <w:pStyle w:val="ListParagraph"/>
        <w:numPr>
          <w:ilvl w:val="0"/>
          <w:numId w:val="37"/>
        </w:numPr>
        <w:rPr>
          <w:rFonts w:ascii="Arial" w:hAnsi="Arial" w:cs="Arial"/>
          <w:sz w:val="22"/>
        </w:rPr>
      </w:pPr>
      <w:r>
        <w:rPr>
          <w:rFonts w:ascii="Arial" w:hAnsi="Arial" w:cs="Arial"/>
          <w:sz w:val="22"/>
        </w:rPr>
        <w:t>C</w:t>
      </w:r>
      <w:r w:rsidR="00C92633" w:rsidRPr="00F60DDB">
        <w:rPr>
          <w:rFonts w:ascii="Arial" w:hAnsi="Arial" w:cs="Arial"/>
          <w:sz w:val="22"/>
        </w:rPr>
        <w:t>urrency</w:t>
      </w:r>
      <w:r w:rsidR="00C92633">
        <w:rPr>
          <w:rFonts w:ascii="Arial" w:hAnsi="Arial" w:cs="Arial"/>
          <w:sz w:val="22"/>
        </w:rPr>
        <w:t>-</w:t>
      </w:r>
      <w:r w:rsidR="00C92633" w:rsidRPr="00F60DDB">
        <w:rPr>
          <w:rFonts w:ascii="Arial" w:hAnsi="Arial" w:cs="Arial"/>
          <w:sz w:val="22"/>
        </w:rPr>
        <w:t xml:space="preserve">neutral </w:t>
      </w:r>
      <w:r w:rsidR="00C92633">
        <w:rPr>
          <w:rFonts w:ascii="Arial" w:hAnsi="Arial" w:cs="Arial"/>
          <w:sz w:val="22"/>
        </w:rPr>
        <w:t>o</w:t>
      </w:r>
      <w:r w:rsidR="00C92633" w:rsidRPr="00F60DDB">
        <w:rPr>
          <w:rFonts w:ascii="Arial" w:hAnsi="Arial" w:cs="Arial"/>
          <w:sz w:val="22"/>
        </w:rPr>
        <w:t xml:space="preserve">perating </w:t>
      </w:r>
      <w:r w:rsidR="00C92633">
        <w:rPr>
          <w:rFonts w:ascii="Arial" w:hAnsi="Arial" w:cs="Arial"/>
          <w:sz w:val="22"/>
        </w:rPr>
        <w:t>p</w:t>
      </w:r>
      <w:r w:rsidR="00C92633" w:rsidRPr="00F60DDB">
        <w:rPr>
          <w:rFonts w:ascii="Arial" w:hAnsi="Arial" w:cs="Arial"/>
          <w:sz w:val="22"/>
        </w:rPr>
        <w:t>rofit</w:t>
      </w:r>
      <w:r w:rsidR="00C92633">
        <w:rPr>
          <w:rFonts w:ascii="Arial" w:hAnsi="Arial" w:cs="Arial"/>
          <w:sz w:val="22"/>
        </w:rPr>
        <w:t xml:space="preserve"> increased</w:t>
      </w:r>
      <w:r w:rsidR="00C92633" w:rsidRPr="00F60DDB">
        <w:rPr>
          <w:rFonts w:ascii="Arial" w:hAnsi="Arial" w:cs="Arial"/>
          <w:sz w:val="22"/>
        </w:rPr>
        <w:t xml:space="preserve"> </w:t>
      </w:r>
      <w:r w:rsidRPr="00E930A5">
        <w:rPr>
          <w:rFonts w:ascii="Arial" w:hAnsi="Arial" w:cs="Arial"/>
          <w:sz w:val="22"/>
        </w:rPr>
        <w:t>19</w:t>
      </w:r>
      <w:r w:rsidR="00C92633" w:rsidRPr="00E930A5">
        <w:rPr>
          <w:rFonts w:ascii="Arial" w:hAnsi="Arial" w:cs="Arial"/>
          <w:sz w:val="22"/>
        </w:rPr>
        <w:t>%</w:t>
      </w:r>
      <w:r>
        <w:rPr>
          <w:rFonts w:ascii="Arial" w:hAnsi="Arial" w:cs="Arial"/>
          <w:sz w:val="22"/>
        </w:rPr>
        <w:t xml:space="preserve"> on an adjusted basis</w:t>
      </w:r>
      <w:r w:rsidR="00213A3B" w:rsidRPr="00F60DDB">
        <w:rPr>
          <w:rFonts w:ascii="Arial" w:hAnsi="Arial" w:cs="Arial"/>
          <w:sz w:val="22"/>
        </w:rPr>
        <w:t xml:space="preserve">. </w:t>
      </w:r>
    </w:p>
    <w:p w:rsidR="00CD4B34" w:rsidRDefault="00CD4B34" w:rsidP="00E81D5D">
      <w:pPr>
        <w:rPr>
          <w:rFonts w:ascii="Arial" w:hAnsi="Arial" w:cs="Arial"/>
          <w:b/>
          <w:sz w:val="22"/>
          <w:vertAlign w:val="subscript"/>
        </w:rPr>
      </w:pPr>
    </w:p>
    <w:p w:rsidR="0004026C" w:rsidRDefault="0004026C" w:rsidP="00E81D5D">
      <w:pPr>
        <w:rPr>
          <w:rFonts w:ascii="Arial" w:hAnsi="Arial" w:cs="Arial"/>
          <w:b/>
          <w:sz w:val="22"/>
          <w:vertAlign w:val="subscript"/>
        </w:rPr>
      </w:pPr>
    </w:p>
    <w:p w:rsidR="006A6141" w:rsidRDefault="006A6141" w:rsidP="006A6141">
      <w:pPr>
        <w:rPr>
          <w:rFonts w:ascii="Arial" w:hAnsi="Arial" w:cs="Arial"/>
          <w:b/>
          <w:sz w:val="22"/>
          <w:vertAlign w:val="subscript"/>
        </w:rPr>
      </w:pPr>
      <w:r w:rsidRPr="005B78BB">
        <w:rPr>
          <w:rFonts w:ascii="Arial" w:hAnsi="Arial" w:cs="Arial"/>
          <w:b/>
          <w:sz w:val="22"/>
          <w:vertAlign w:val="subscript"/>
        </w:rPr>
        <w:lastRenderedPageBreak/>
        <w:t xml:space="preserve">* </w:t>
      </w:r>
      <w:r>
        <w:rPr>
          <w:rFonts w:ascii="Arial" w:hAnsi="Arial" w:cs="Arial"/>
          <w:b/>
          <w:sz w:val="22"/>
          <w:vertAlign w:val="subscript"/>
        </w:rPr>
        <w:t xml:space="preserve">Information on </w:t>
      </w:r>
      <w:r w:rsidRPr="005B78BB">
        <w:rPr>
          <w:rFonts w:ascii="Arial" w:hAnsi="Arial" w:cs="Arial"/>
          <w:b/>
          <w:sz w:val="22"/>
          <w:vertAlign w:val="subscript"/>
        </w:rPr>
        <w:t xml:space="preserve">non-GAAP </w:t>
      </w:r>
      <w:r>
        <w:rPr>
          <w:rFonts w:ascii="Arial" w:hAnsi="Arial" w:cs="Arial"/>
          <w:b/>
          <w:sz w:val="22"/>
          <w:vertAlign w:val="subscript"/>
        </w:rPr>
        <w:t>financial measures is attached to this press release.</w:t>
      </w:r>
    </w:p>
    <w:p w:rsidR="008D408E" w:rsidRDefault="008D408E" w:rsidP="005645FE">
      <w:pPr>
        <w:jc w:val="center"/>
        <w:rPr>
          <w:rFonts w:ascii="Arial" w:hAnsi="Arial" w:cs="Arial"/>
          <w:sz w:val="22"/>
          <w:szCs w:val="20"/>
        </w:rPr>
      </w:pPr>
    </w:p>
    <w:p w:rsidR="005645FE" w:rsidRPr="005645FE" w:rsidRDefault="005645FE" w:rsidP="005645FE">
      <w:pPr>
        <w:jc w:val="center"/>
        <w:rPr>
          <w:rFonts w:ascii="Arial" w:hAnsi="Arial" w:cs="Arial"/>
          <w:sz w:val="22"/>
          <w:szCs w:val="20"/>
        </w:rPr>
      </w:pPr>
      <w:r w:rsidRPr="005645FE">
        <w:rPr>
          <w:rFonts w:ascii="Arial" w:hAnsi="Arial" w:cs="Arial"/>
          <w:sz w:val="22"/>
          <w:szCs w:val="20"/>
        </w:rPr>
        <w:t>– more –</w:t>
      </w:r>
    </w:p>
    <w:p w:rsidR="005645FE" w:rsidRPr="00576472" w:rsidRDefault="005645FE" w:rsidP="005645FE">
      <w:pPr>
        <w:rPr>
          <w:rFonts w:ascii="Arial" w:hAnsi="Arial" w:cs="Arial"/>
        </w:rPr>
      </w:pPr>
      <w:r w:rsidRPr="00576472">
        <w:rPr>
          <w:rFonts w:ascii="Arial" w:hAnsi="Arial" w:cs="Arial"/>
        </w:rPr>
        <w:t>3-3-3</w:t>
      </w:r>
    </w:p>
    <w:p w:rsidR="002A0FDD" w:rsidRDefault="002A0FDD" w:rsidP="0011448C">
      <w:pPr>
        <w:rPr>
          <w:rFonts w:ascii="Arial" w:hAnsi="Arial" w:cs="Arial"/>
          <w:b/>
          <w:sz w:val="22"/>
          <w:vertAlign w:val="subscript"/>
        </w:rPr>
      </w:pPr>
    </w:p>
    <w:p w:rsidR="000E624D" w:rsidRDefault="000E624D" w:rsidP="004914AA">
      <w:pPr>
        <w:rPr>
          <w:rFonts w:ascii="Arial" w:hAnsi="Arial" w:cs="Arial"/>
          <w:b/>
          <w:sz w:val="22"/>
          <w:u w:val="single"/>
        </w:rPr>
      </w:pPr>
      <w:r w:rsidRPr="000E624D">
        <w:rPr>
          <w:rFonts w:ascii="Arial" w:hAnsi="Arial" w:cs="Arial"/>
          <w:b/>
          <w:sz w:val="22"/>
          <w:u w:val="single"/>
        </w:rPr>
        <w:t>Supply Chain and Freight Segment</w:t>
      </w:r>
    </w:p>
    <w:p w:rsidR="000E624D" w:rsidRPr="000E624D" w:rsidRDefault="000E624D" w:rsidP="004914AA">
      <w:pPr>
        <w:rPr>
          <w:rFonts w:ascii="Arial" w:hAnsi="Arial" w:cs="Arial"/>
          <w:b/>
          <w:sz w:val="22"/>
          <w:u w:val="single"/>
        </w:rPr>
      </w:pPr>
    </w:p>
    <w:p w:rsidR="00B47CCC" w:rsidRDefault="00C53B27" w:rsidP="002C0AD0">
      <w:pPr>
        <w:rPr>
          <w:rFonts w:ascii="Arial" w:hAnsi="Arial" w:cs="Arial"/>
          <w:szCs w:val="22"/>
        </w:rPr>
      </w:pPr>
      <w:r>
        <w:rPr>
          <w:rFonts w:ascii="Arial" w:hAnsi="Arial" w:cs="Arial"/>
          <w:sz w:val="22"/>
        </w:rPr>
        <w:t xml:space="preserve">The </w:t>
      </w:r>
      <w:r w:rsidR="0097774E" w:rsidRPr="00C945DC">
        <w:rPr>
          <w:rFonts w:ascii="Arial" w:hAnsi="Arial" w:cs="Arial"/>
          <w:sz w:val="22"/>
        </w:rPr>
        <w:t xml:space="preserve">Supply Chain and Freight </w:t>
      </w:r>
      <w:r>
        <w:rPr>
          <w:rFonts w:ascii="Arial" w:hAnsi="Arial" w:cs="Arial"/>
          <w:sz w:val="22"/>
        </w:rPr>
        <w:t xml:space="preserve">segment </w:t>
      </w:r>
      <w:r w:rsidR="0097774E">
        <w:rPr>
          <w:rFonts w:ascii="Arial" w:hAnsi="Arial" w:cs="Arial"/>
          <w:sz w:val="22"/>
        </w:rPr>
        <w:t xml:space="preserve">produced </w:t>
      </w:r>
      <w:r w:rsidR="00CE56B1">
        <w:rPr>
          <w:rFonts w:ascii="Arial" w:hAnsi="Arial" w:cs="Arial"/>
          <w:sz w:val="22"/>
        </w:rPr>
        <w:t xml:space="preserve">record </w:t>
      </w:r>
      <w:r w:rsidR="00D02362">
        <w:rPr>
          <w:rFonts w:ascii="Arial" w:hAnsi="Arial" w:cs="Arial"/>
          <w:sz w:val="22"/>
        </w:rPr>
        <w:t>full-year and fourth-</w:t>
      </w:r>
      <w:r w:rsidR="00CE56B1">
        <w:rPr>
          <w:rFonts w:ascii="Arial" w:hAnsi="Arial" w:cs="Arial"/>
          <w:sz w:val="22"/>
        </w:rPr>
        <w:t xml:space="preserve">quarter results with </w:t>
      </w:r>
      <w:r w:rsidR="0097774E">
        <w:rPr>
          <w:rFonts w:ascii="Arial" w:hAnsi="Arial" w:cs="Arial"/>
          <w:sz w:val="22"/>
        </w:rPr>
        <w:t>double-digit</w:t>
      </w:r>
      <w:r w:rsidR="0096036C">
        <w:rPr>
          <w:rFonts w:ascii="Arial" w:hAnsi="Arial" w:cs="Arial"/>
          <w:sz w:val="22"/>
        </w:rPr>
        <w:t xml:space="preserve"> expansion in both</w:t>
      </w:r>
      <w:r w:rsidR="0097774E">
        <w:rPr>
          <w:rFonts w:ascii="Arial" w:hAnsi="Arial" w:cs="Arial"/>
          <w:sz w:val="22"/>
        </w:rPr>
        <w:t xml:space="preserve"> revenue</w:t>
      </w:r>
      <w:r w:rsidR="00A55AF4">
        <w:rPr>
          <w:rFonts w:ascii="Arial" w:hAnsi="Arial" w:cs="Arial"/>
          <w:sz w:val="22"/>
        </w:rPr>
        <w:t xml:space="preserve"> </w:t>
      </w:r>
      <w:r w:rsidR="0097774E">
        <w:rPr>
          <w:rFonts w:ascii="Arial" w:hAnsi="Arial" w:cs="Arial"/>
          <w:sz w:val="22"/>
        </w:rPr>
        <w:t xml:space="preserve">and </w:t>
      </w:r>
      <w:r w:rsidR="0014511D">
        <w:rPr>
          <w:rFonts w:ascii="Arial" w:hAnsi="Arial" w:cs="Arial"/>
          <w:sz w:val="22"/>
        </w:rPr>
        <w:t xml:space="preserve">adjusted </w:t>
      </w:r>
      <w:r w:rsidR="0097774E">
        <w:rPr>
          <w:rFonts w:ascii="Arial" w:hAnsi="Arial" w:cs="Arial"/>
          <w:sz w:val="22"/>
        </w:rPr>
        <w:t>operating profit</w:t>
      </w:r>
      <w:r w:rsidR="00CE56B1">
        <w:rPr>
          <w:rFonts w:ascii="Arial" w:hAnsi="Arial" w:cs="Arial"/>
          <w:sz w:val="22"/>
        </w:rPr>
        <w:t xml:space="preserve">.  </w:t>
      </w:r>
      <w:r w:rsidR="00D02362">
        <w:rPr>
          <w:rFonts w:ascii="Arial" w:hAnsi="Arial" w:cs="Arial"/>
          <w:sz w:val="22"/>
        </w:rPr>
        <w:t>Improved market conditions combined with</w:t>
      </w:r>
      <w:r w:rsidR="0097774E">
        <w:rPr>
          <w:rFonts w:ascii="Arial" w:hAnsi="Arial" w:cs="Arial"/>
          <w:sz w:val="22"/>
        </w:rPr>
        <w:t xml:space="preserve"> revenue-quality improvements </w:t>
      </w:r>
      <w:r w:rsidR="00D02362">
        <w:rPr>
          <w:rFonts w:ascii="Arial" w:hAnsi="Arial" w:cs="Arial"/>
          <w:sz w:val="22"/>
        </w:rPr>
        <w:t>and</w:t>
      </w:r>
      <w:r w:rsidR="0097774E">
        <w:rPr>
          <w:rFonts w:ascii="Arial" w:hAnsi="Arial" w:cs="Arial"/>
          <w:sz w:val="22"/>
        </w:rPr>
        <w:t xml:space="preserve"> structural cost-reduction programs</w:t>
      </w:r>
      <w:r w:rsidR="00D02362">
        <w:rPr>
          <w:rFonts w:ascii="Arial" w:hAnsi="Arial" w:cs="Arial"/>
          <w:sz w:val="22"/>
        </w:rPr>
        <w:t xml:space="preserve"> produced strong results</w:t>
      </w:r>
      <w:r>
        <w:rPr>
          <w:rFonts w:ascii="Arial" w:hAnsi="Arial" w:cs="Arial"/>
          <w:sz w:val="22"/>
        </w:rPr>
        <w:t>.</w:t>
      </w:r>
      <w:r w:rsidR="0097774E" w:rsidRPr="00C945DC">
        <w:rPr>
          <w:rFonts w:ascii="Arial" w:hAnsi="Arial" w:cs="Arial"/>
          <w:sz w:val="22"/>
        </w:rPr>
        <w:t xml:space="preserve"> </w:t>
      </w:r>
    </w:p>
    <w:tbl>
      <w:tblPr>
        <w:tblStyle w:val="TableGrid"/>
        <w:tblW w:w="878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gridCol w:w="1440"/>
      </w:tblGrid>
      <w:tr w:rsidR="005A5BC6" w:rsidRPr="001E1EB6" w:rsidTr="005A5BC6">
        <w:tc>
          <w:tcPr>
            <w:tcW w:w="3024" w:type="dxa"/>
          </w:tcPr>
          <w:p w:rsidR="005A5BC6" w:rsidRPr="004B2151" w:rsidRDefault="005A5BC6" w:rsidP="005A5BC6">
            <w:pPr>
              <w:rPr>
                <w:rFonts w:ascii="Arial" w:hAnsi="Arial" w:cs="Arial"/>
                <w:b/>
                <w:sz w:val="20"/>
                <w:szCs w:val="22"/>
                <w:u w:val="single"/>
              </w:rPr>
            </w:pPr>
          </w:p>
          <w:p w:rsidR="005A5BC6" w:rsidRPr="004B2151" w:rsidRDefault="005A5BC6" w:rsidP="005A5BC6">
            <w:pPr>
              <w:rPr>
                <w:rFonts w:ascii="Arial" w:hAnsi="Arial" w:cs="Arial"/>
                <w:b/>
                <w:sz w:val="20"/>
                <w:szCs w:val="22"/>
                <w:u w:val="single"/>
              </w:rPr>
            </w:pP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7</w:t>
            </w:r>
          </w:p>
        </w:tc>
        <w:tc>
          <w:tcPr>
            <w:tcW w:w="1440" w:type="dxa"/>
          </w:tcPr>
          <w:p w:rsidR="005A5BC6" w:rsidRPr="004B2151" w:rsidRDefault="005A5BC6" w:rsidP="005A5BC6">
            <w:pPr>
              <w:jc w:val="right"/>
              <w:rPr>
                <w:rFonts w:ascii="Arial" w:hAnsi="Arial" w:cs="Arial"/>
                <w:b/>
                <w:sz w:val="20"/>
                <w:szCs w:val="22"/>
                <w:u w:val="single"/>
              </w:rPr>
            </w:pP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c>
          <w:tcPr>
            <w:tcW w:w="1440" w:type="dxa"/>
          </w:tcPr>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Adjusted</w:t>
            </w:r>
          </w:p>
          <w:p w:rsidR="005A5BC6" w:rsidRPr="004B2151" w:rsidRDefault="005A5BC6" w:rsidP="005A5BC6">
            <w:pPr>
              <w:jc w:val="right"/>
              <w:rPr>
                <w:rFonts w:ascii="Arial" w:hAnsi="Arial" w:cs="Arial"/>
                <w:b/>
                <w:sz w:val="20"/>
                <w:szCs w:val="22"/>
                <w:u w:val="single"/>
              </w:rPr>
            </w:pPr>
            <w:r w:rsidRPr="004B2151">
              <w:rPr>
                <w:rFonts w:ascii="Arial" w:hAnsi="Arial" w:cs="Arial"/>
                <w:b/>
                <w:sz w:val="20"/>
                <w:szCs w:val="22"/>
                <w:u w:val="single"/>
              </w:rPr>
              <w:t>4Q 201</w:t>
            </w:r>
            <w:r>
              <w:rPr>
                <w:rFonts w:ascii="Arial" w:hAnsi="Arial" w:cs="Arial"/>
                <w:b/>
                <w:sz w:val="20"/>
                <w:szCs w:val="22"/>
                <w:u w:val="single"/>
              </w:rPr>
              <w:t>6</w:t>
            </w:r>
          </w:p>
        </w:tc>
      </w:tr>
      <w:tr w:rsidR="005A5BC6" w:rsidRPr="001E1EB6" w:rsidTr="005A5BC6">
        <w:tc>
          <w:tcPr>
            <w:tcW w:w="3024" w:type="dxa"/>
          </w:tcPr>
          <w:p w:rsidR="005A5BC6" w:rsidRPr="004B2151" w:rsidRDefault="005A5BC6" w:rsidP="005A5BC6">
            <w:pPr>
              <w:rPr>
                <w:rFonts w:ascii="Arial" w:hAnsi="Arial" w:cs="Arial"/>
                <w:sz w:val="20"/>
                <w:szCs w:val="22"/>
              </w:rPr>
            </w:pPr>
            <w:r w:rsidRPr="004B2151">
              <w:rPr>
                <w:rFonts w:ascii="Arial" w:hAnsi="Arial" w:cs="Arial"/>
                <w:sz w:val="20"/>
                <w:szCs w:val="22"/>
              </w:rPr>
              <w:t>Revenue</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3,241</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2,683</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p>
        </w:tc>
      </w:tr>
      <w:tr w:rsidR="005A5BC6" w:rsidRPr="001E1EB6" w:rsidTr="005A5BC6">
        <w:tc>
          <w:tcPr>
            <w:tcW w:w="3024" w:type="dxa"/>
          </w:tcPr>
          <w:p w:rsidR="005A5BC6" w:rsidRPr="004B2151" w:rsidRDefault="005A5BC6" w:rsidP="005A5BC6">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r>
              <w:rPr>
                <w:rFonts w:ascii="Arial" w:hAnsi="Arial" w:cs="Arial"/>
                <w:sz w:val="20"/>
                <w:szCs w:val="22"/>
              </w:rPr>
              <w:t xml:space="preserve"> (loss)</w:t>
            </w:r>
          </w:p>
        </w:tc>
        <w:tc>
          <w:tcPr>
            <w:tcW w:w="1440" w:type="dxa"/>
          </w:tcPr>
          <w:p w:rsidR="005A5BC6" w:rsidRPr="004B2151" w:rsidRDefault="005A5BC6" w:rsidP="00D8122D">
            <w:pPr>
              <w:jc w:val="right"/>
              <w:rPr>
                <w:rFonts w:ascii="Arial" w:hAnsi="Arial" w:cs="Arial"/>
                <w:sz w:val="20"/>
                <w:szCs w:val="22"/>
              </w:rPr>
            </w:pPr>
            <w:r w:rsidRPr="004B2151">
              <w:rPr>
                <w:rFonts w:ascii="Arial" w:hAnsi="Arial" w:cs="Arial"/>
                <w:sz w:val="20"/>
                <w:szCs w:val="22"/>
              </w:rPr>
              <w:t>$</w:t>
            </w:r>
            <w:r w:rsidR="00D8122D">
              <w:rPr>
                <w:rFonts w:ascii="Arial" w:hAnsi="Arial" w:cs="Arial"/>
                <w:sz w:val="20"/>
                <w:szCs w:val="22"/>
              </w:rPr>
              <w:t>142</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 xml:space="preserve">270 </w:t>
            </w:r>
            <w:r w:rsidRPr="004B2151">
              <w:rPr>
                <w:rFonts w:ascii="Arial" w:hAnsi="Arial" w:cs="Arial"/>
                <w:sz w:val="20"/>
                <w:szCs w:val="22"/>
              </w:rPr>
              <w:t>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w:t>
            </w:r>
            <w:r w:rsidRPr="004B2151">
              <w:rPr>
                <w:rFonts w:ascii="Arial" w:hAnsi="Arial" w:cs="Arial"/>
                <w:sz w:val="20"/>
                <w:szCs w:val="22"/>
              </w:rPr>
              <w:t>1</w:t>
            </w:r>
            <w:r>
              <w:rPr>
                <w:rFonts w:ascii="Arial" w:hAnsi="Arial" w:cs="Arial"/>
                <w:sz w:val="20"/>
                <w:szCs w:val="22"/>
              </w:rPr>
              <w:t>39)</w:t>
            </w:r>
            <w:r w:rsidRPr="004B2151">
              <w:rPr>
                <w:rFonts w:ascii="Arial" w:hAnsi="Arial" w:cs="Arial"/>
                <w:sz w:val="20"/>
                <w:szCs w:val="22"/>
              </w:rPr>
              <w:t xml:space="preserve"> M</w:t>
            </w:r>
          </w:p>
        </w:tc>
        <w:tc>
          <w:tcPr>
            <w:tcW w:w="1440" w:type="dxa"/>
          </w:tcPr>
          <w:p w:rsidR="005A5BC6" w:rsidRPr="004B2151" w:rsidRDefault="005A5BC6" w:rsidP="005A5BC6">
            <w:pPr>
              <w:jc w:val="right"/>
              <w:rPr>
                <w:rFonts w:ascii="Arial" w:hAnsi="Arial" w:cs="Arial"/>
                <w:sz w:val="20"/>
                <w:szCs w:val="22"/>
              </w:rPr>
            </w:pPr>
            <w:r w:rsidRPr="004B2151">
              <w:rPr>
                <w:rFonts w:ascii="Arial" w:hAnsi="Arial" w:cs="Arial"/>
                <w:sz w:val="20"/>
                <w:szCs w:val="22"/>
              </w:rPr>
              <w:t>$1</w:t>
            </w:r>
            <w:r>
              <w:rPr>
                <w:rFonts w:ascii="Arial" w:hAnsi="Arial" w:cs="Arial"/>
                <w:sz w:val="20"/>
                <w:szCs w:val="22"/>
              </w:rPr>
              <w:t xml:space="preserve">79 </w:t>
            </w:r>
            <w:r w:rsidRPr="004B2151">
              <w:rPr>
                <w:rFonts w:ascii="Arial" w:hAnsi="Arial" w:cs="Arial"/>
                <w:sz w:val="20"/>
                <w:szCs w:val="22"/>
              </w:rPr>
              <w:t>M</w:t>
            </w:r>
          </w:p>
        </w:tc>
      </w:tr>
    </w:tbl>
    <w:p w:rsidR="005A5BC6" w:rsidRDefault="005A5BC6" w:rsidP="00B47CCC">
      <w:pPr>
        <w:ind w:left="720" w:hanging="720"/>
        <w:rPr>
          <w:rFonts w:ascii="Arial" w:hAnsi="Arial" w:cs="Arial"/>
          <w:szCs w:val="22"/>
        </w:rPr>
      </w:pPr>
    </w:p>
    <w:p w:rsidR="00B47CCC" w:rsidRPr="005B78BB" w:rsidRDefault="00B47CCC" w:rsidP="00B47CCC">
      <w:pPr>
        <w:ind w:left="720" w:hanging="720"/>
        <w:rPr>
          <w:rFonts w:ascii="Arial" w:hAnsi="Arial" w:cs="Arial"/>
          <w:szCs w:val="22"/>
        </w:rPr>
      </w:pPr>
      <w:r w:rsidRPr="00016A51">
        <w:rPr>
          <w:rFonts w:ascii="Arial" w:hAnsi="Arial" w:cs="Arial"/>
          <w:sz w:val="22"/>
          <w:szCs w:val="22"/>
        </w:rPr>
        <w:t xml:space="preserve">For the </w:t>
      </w:r>
      <w:r>
        <w:rPr>
          <w:rFonts w:ascii="Arial" w:hAnsi="Arial" w:cs="Arial"/>
          <w:sz w:val="22"/>
          <w:szCs w:val="22"/>
        </w:rPr>
        <w:t xml:space="preserve">Supply Chain and Freight </w:t>
      </w:r>
      <w:r w:rsidRPr="005B78BB">
        <w:rPr>
          <w:rFonts w:ascii="Arial" w:hAnsi="Arial" w:cs="Arial"/>
          <w:sz w:val="22"/>
          <w:szCs w:val="22"/>
        </w:rPr>
        <w:t xml:space="preserve">segment in </w:t>
      </w:r>
      <w:r w:rsidR="005A5BC6">
        <w:rPr>
          <w:rFonts w:ascii="Arial" w:hAnsi="Arial" w:cs="Arial"/>
          <w:sz w:val="22"/>
          <w:szCs w:val="22"/>
        </w:rPr>
        <w:t>4</w:t>
      </w:r>
      <w:r>
        <w:rPr>
          <w:rFonts w:ascii="Arial" w:hAnsi="Arial" w:cs="Arial"/>
          <w:sz w:val="22"/>
          <w:szCs w:val="22"/>
        </w:rPr>
        <w:t>Q</w:t>
      </w:r>
      <w:r w:rsidRPr="005B78BB">
        <w:rPr>
          <w:rFonts w:ascii="Arial" w:hAnsi="Arial" w:cs="Arial"/>
          <w:sz w:val="22"/>
          <w:szCs w:val="22"/>
        </w:rPr>
        <w:t xml:space="preserve"> 2017</w:t>
      </w:r>
      <w:r w:rsidRPr="005B78BB">
        <w:rPr>
          <w:rFonts w:ascii="Arial" w:hAnsi="Arial" w:cs="Arial"/>
          <w:szCs w:val="22"/>
        </w:rPr>
        <w:t>:</w:t>
      </w:r>
    </w:p>
    <w:p w:rsidR="00690801" w:rsidRPr="004F5D76" w:rsidRDefault="00690801" w:rsidP="00690801">
      <w:pPr>
        <w:pStyle w:val="ListParagraph"/>
        <w:numPr>
          <w:ilvl w:val="0"/>
          <w:numId w:val="37"/>
        </w:numPr>
        <w:rPr>
          <w:rFonts w:ascii="Arial" w:hAnsi="Arial" w:cs="Arial"/>
          <w:sz w:val="22"/>
        </w:rPr>
      </w:pPr>
      <w:r w:rsidRPr="00666CFA">
        <w:rPr>
          <w:rFonts w:ascii="Arial" w:hAnsi="Arial" w:cs="Arial"/>
          <w:sz w:val="22"/>
        </w:rPr>
        <w:t xml:space="preserve">Revenue increased </w:t>
      </w:r>
      <w:r w:rsidR="00CD4B34">
        <w:rPr>
          <w:rFonts w:ascii="Arial" w:hAnsi="Arial" w:cs="Arial"/>
          <w:sz w:val="22"/>
        </w:rPr>
        <w:t>21</w:t>
      </w:r>
      <w:r w:rsidRPr="00666CFA">
        <w:rPr>
          <w:rFonts w:ascii="Arial" w:hAnsi="Arial" w:cs="Arial"/>
          <w:sz w:val="22"/>
        </w:rPr>
        <w:t xml:space="preserve">% over </w:t>
      </w:r>
      <w:r w:rsidR="00CD4B34">
        <w:rPr>
          <w:rFonts w:ascii="Arial" w:hAnsi="Arial" w:cs="Arial"/>
          <w:sz w:val="22"/>
        </w:rPr>
        <w:t>4</w:t>
      </w:r>
      <w:r>
        <w:rPr>
          <w:rFonts w:ascii="Arial" w:hAnsi="Arial" w:cs="Arial"/>
          <w:sz w:val="22"/>
        </w:rPr>
        <w:t>Q 2016, the result of deeper alignment with preferred customers, strengthened revenue management initiatives and improved market conditions</w:t>
      </w:r>
      <w:r w:rsidRPr="00666CFA">
        <w:rPr>
          <w:rFonts w:ascii="Arial" w:hAnsi="Arial" w:cs="Arial"/>
          <w:sz w:val="22"/>
        </w:rPr>
        <w:t>.</w:t>
      </w:r>
    </w:p>
    <w:p w:rsidR="00D70F3F" w:rsidRDefault="00F47EAA" w:rsidP="007D7949">
      <w:pPr>
        <w:pStyle w:val="ListParagraph"/>
        <w:numPr>
          <w:ilvl w:val="0"/>
          <w:numId w:val="37"/>
        </w:numPr>
        <w:rPr>
          <w:rFonts w:ascii="Arial" w:hAnsi="Arial" w:cs="Arial"/>
          <w:sz w:val="22"/>
        </w:rPr>
      </w:pPr>
      <w:r>
        <w:rPr>
          <w:rFonts w:ascii="Arial" w:hAnsi="Arial" w:cs="Arial"/>
          <w:sz w:val="22"/>
        </w:rPr>
        <w:t xml:space="preserve">Tonnage </w:t>
      </w:r>
      <w:r w:rsidR="007D7B04">
        <w:rPr>
          <w:rFonts w:ascii="Arial" w:hAnsi="Arial" w:cs="Arial"/>
          <w:sz w:val="22"/>
        </w:rPr>
        <w:t>gains</w:t>
      </w:r>
      <w:r>
        <w:rPr>
          <w:rFonts w:ascii="Arial" w:hAnsi="Arial" w:cs="Arial"/>
          <w:sz w:val="22"/>
        </w:rPr>
        <w:t xml:space="preserve"> in</w:t>
      </w:r>
      <w:r w:rsidR="00571312">
        <w:rPr>
          <w:rFonts w:ascii="Arial" w:hAnsi="Arial" w:cs="Arial"/>
          <w:sz w:val="22"/>
        </w:rPr>
        <w:t xml:space="preserve"> Freight </w:t>
      </w:r>
      <w:r w:rsidR="00225C35">
        <w:rPr>
          <w:rFonts w:ascii="Arial" w:hAnsi="Arial" w:cs="Arial"/>
          <w:sz w:val="22"/>
        </w:rPr>
        <w:t>Forwarding</w:t>
      </w:r>
      <w:r w:rsidR="00086F86">
        <w:rPr>
          <w:rFonts w:ascii="Arial" w:hAnsi="Arial" w:cs="Arial"/>
          <w:sz w:val="22"/>
        </w:rPr>
        <w:t>,</w:t>
      </w:r>
      <w:r w:rsidR="00225C35">
        <w:rPr>
          <w:rFonts w:ascii="Arial" w:hAnsi="Arial" w:cs="Arial"/>
          <w:sz w:val="22"/>
        </w:rPr>
        <w:t xml:space="preserve"> UPS Freight </w:t>
      </w:r>
      <w:r w:rsidR="00086F86">
        <w:rPr>
          <w:rFonts w:ascii="Arial" w:hAnsi="Arial" w:cs="Arial"/>
          <w:sz w:val="22"/>
        </w:rPr>
        <w:t xml:space="preserve">and Coyote Logistics </w:t>
      </w:r>
      <w:r w:rsidR="000D78F7">
        <w:rPr>
          <w:rFonts w:ascii="Arial" w:hAnsi="Arial" w:cs="Arial"/>
          <w:sz w:val="22"/>
        </w:rPr>
        <w:t xml:space="preserve">contributed to </w:t>
      </w:r>
      <w:r w:rsidR="00860266">
        <w:rPr>
          <w:rFonts w:ascii="Arial" w:hAnsi="Arial" w:cs="Arial"/>
          <w:sz w:val="22"/>
        </w:rPr>
        <w:t>improved</w:t>
      </w:r>
      <w:r w:rsidR="000D78F7">
        <w:rPr>
          <w:rFonts w:ascii="Arial" w:hAnsi="Arial" w:cs="Arial"/>
          <w:sz w:val="22"/>
        </w:rPr>
        <w:t xml:space="preserve"> top-line results</w:t>
      </w:r>
      <w:r w:rsidR="00571312">
        <w:rPr>
          <w:rFonts w:ascii="Arial" w:hAnsi="Arial" w:cs="Arial"/>
          <w:sz w:val="22"/>
        </w:rPr>
        <w:t>.</w:t>
      </w:r>
    </w:p>
    <w:p w:rsidR="00D8122D" w:rsidRPr="007D7949" w:rsidRDefault="00D8122D" w:rsidP="00D8122D">
      <w:pPr>
        <w:pStyle w:val="ListParagraph"/>
        <w:numPr>
          <w:ilvl w:val="0"/>
          <w:numId w:val="37"/>
        </w:numPr>
        <w:rPr>
          <w:rFonts w:ascii="Arial" w:hAnsi="Arial" w:cs="Arial"/>
          <w:sz w:val="22"/>
        </w:rPr>
      </w:pPr>
      <w:r>
        <w:rPr>
          <w:rFonts w:ascii="Arial" w:hAnsi="Arial" w:cs="Arial"/>
          <w:sz w:val="22"/>
        </w:rPr>
        <w:t>4Q 2017 operating</w:t>
      </w:r>
      <w:r w:rsidRPr="00666CFA">
        <w:rPr>
          <w:rFonts w:ascii="Arial" w:hAnsi="Arial" w:cs="Arial"/>
          <w:sz w:val="22"/>
        </w:rPr>
        <w:t xml:space="preserve"> </w:t>
      </w:r>
      <w:r>
        <w:rPr>
          <w:rFonts w:ascii="Arial" w:hAnsi="Arial" w:cs="Arial"/>
          <w:sz w:val="22"/>
        </w:rPr>
        <w:t>profit</w:t>
      </w:r>
      <w:r w:rsidRPr="00666CFA">
        <w:rPr>
          <w:rFonts w:ascii="Arial" w:hAnsi="Arial" w:cs="Arial"/>
          <w:sz w:val="22"/>
        </w:rPr>
        <w:t xml:space="preserve"> of $1</w:t>
      </w:r>
      <w:r>
        <w:rPr>
          <w:rFonts w:ascii="Arial" w:hAnsi="Arial" w:cs="Arial"/>
          <w:sz w:val="22"/>
        </w:rPr>
        <w:t>42</w:t>
      </w:r>
      <w:r w:rsidRPr="00666CFA">
        <w:rPr>
          <w:rFonts w:ascii="Arial" w:hAnsi="Arial" w:cs="Arial"/>
          <w:sz w:val="22"/>
        </w:rPr>
        <w:t xml:space="preserve"> million</w:t>
      </w:r>
      <w:r>
        <w:rPr>
          <w:rFonts w:ascii="Arial" w:hAnsi="Arial" w:cs="Arial"/>
          <w:sz w:val="22"/>
        </w:rPr>
        <w:t>;</w:t>
      </w:r>
      <w:r w:rsidRPr="00666CFA">
        <w:rPr>
          <w:rFonts w:ascii="Arial" w:hAnsi="Arial" w:cs="Arial"/>
          <w:sz w:val="22"/>
        </w:rPr>
        <w:t xml:space="preserve"> </w:t>
      </w:r>
      <w:r>
        <w:rPr>
          <w:rFonts w:ascii="Arial" w:hAnsi="Arial" w:cs="Arial"/>
          <w:sz w:val="22"/>
        </w:rPr>
        <w:t>a</w:t>
      </w:r>
      <w:r w:rsidRPr="007D7949">
        <w:rPr>
          <w:rFonts w:ascii="Arial" w:hAnsi="Arial" w:cs="Arial"/>
          <w:sz w:val="22"/>
        </w:rPr>
        <w:t>djusted operating profit was $</w:t>
      </w:r>
      <w:r>
        <w:rPr>
          <w:rFonts w:ascii="Arial" w:hAnsi="Arial" w:cs="Arial"/>
          <w:sz w:val="22"/>
        </w:rPr>
        <w:t>270</w:t>
      </w:r>
      <w:r w:rsidRPr="007D7949">
        <w:rPr>
          <w:rFonts w:ascii="Arial" w:hAnsi="Arial" w:cs="Arial"/>
          <w:sz w:val="22"/>
        </w:rPr>
        <w:t xml:space="preserve"> million.</w:t>
      </w:r>
    </w:p>
    <w:p w:rsidR="00D8122D" w:rsidRPr="00F8001F" w:rsidRDefault="00D8122D" w:rsidP="00D8122D">
      <w:pPr>
        <w:pStyle w:val="ListParagraph"/>
        <w:numPr>
          <w:ilvl w:val="0"/>
          <w:numId w:val="37"/>
        </w:numPr>
        <w:rPr>
          <w:rFonts w:ascii="Arial" w:hAnsi="Arial" w:cs="Arial"/>
          <w:sz w:val="22"/>
        </w:rPr>
      </w:pPr>
      <w:r w:rsidRPr="00666CFA">
        <w:rPr>
          <w:rFonts w:ascii="Arial" w:hAnsi="Arial" w:cs="Arial"/>
          <w:sz w:val="22"/>
        </w:rPr>
        <w:t xml:space="preserve">Adjusted operating profit excludes the </w:t>
      </w:r>
      <w:r w:rsidR="001818ED">
        <w:rPr>
          <w:rFonts w:ascii="Arial" w:hAnsi="Arial" w:cs="Arial"/>
          <w:sz w:val="22"/>
        </w:rPr>
        <w:t>MTM</w:t>
      </w:r>
      <w:r w:rsidRPr="00666CFA">
        <w:rPr>
          <w:rFonts w:ascii="Arial" w:hAnsi="Arial" w:cs="Arial"/>
          <w:sz w:val="22"/>
        </w:rPr>
        <w:t xml:space="preserve"> pension </w:t>
      </w:r>
      <w:r>
        <w:rPr>
          <w:rFonts w:ascii="Arial" w:hAnsi="Arial" w:cs="Arial"/>
          <w:sz w:val="22"/>
        </w:rPr>
        <w:t>charge</w:t>
      </w:r>
      <w:r w:rsidRPr="00666CFA">
        <w:rPr>
          <w:rFonts w:ascii="Arial" w:hAnsi="Arial" w:cs="Arial"/>
          <w:sz w:val="22"/>
        </w:rPr>
        <w:t xml:space="preserve">. </w:t>
      </w:r>
    </w:p>
    <w:p w:rsidR="005A5BC6" w:rsidRDefault="005A5BC6" w:rsidP="00FB040E">
      <w:pPr>
        <w:ind w:firstLine="720"/>
        <w:rPr>
          <w:rFonts w:ascii="Arial" w:hAnsi="Arial" w:cs="Arial"/>
          <w:sz w:val="22"/>
          <w:szCs w:val="22"/>
        </w:rPr>
      </w:pPr>
    </w:p>
    <w:p w:rsidR="005A5BC6" w:rsidRPr="00DD386B" w:rsidRDefault="005A5BC6" w:rsidP="005A5BC6">
      <w:pPr>
        <w:rPr>
          <w:rFonts w:ascii="Arial" w:hAnsi="Arial" w:cs="Arial"/>
          <w:b/>
          <w:sz w:val="22"/>
          <w:u w:val="single"/>
        </w:rPr>
      </w:pPr>
      <w:r>
        <w:rPr>
          <w:rFonts w:ascii="Arial" w:hAnsi="Arial" w:cs="Arial"/>
          <w:b/>
          <w:sz w:val="22"/>
          <w:u w:val="single"/>
        </w:rPr>
        <w:t>Full-year</w:t>
      </w:r>
      <w:r w:rsidRPr="00DD386B">
        <w:rPr>
          <w:rFonts w:ascii="Arial" w:hAnsi="Arial" w:cs="Arial"/>
          <w:b/>
          <w:sz w:val="22"/>
          <w:u w:val="single"/>
        </w:rPr>
        <w:t xml:space="preserve"> 201</w:t>
      </w:r>
      <w:r>
        <w:rPr>
          <w:rFonts w:ascii="Arial" w:hAnsi="Arial" w:cs="Arial"/>
          <w:b/>
          <w:sz w:val="22"/>
          <w:u w:val="single"/>
        </w:rPr>
        <w:t>7</w:t>
      </w:r>
      <w:r w:rsidRPr="00DD386B">
        <w:rPr>
          <w:rFonts w:ascii="Arial" w:hAnsi="Arial" w:cs="Arial"/>
          <w:b/>
          <w:sz w:val="22"/>
          <w:u w:val="single"/>
        </w:rPr>
        <w:t xml:space="preserve"> </w:t>
      </w:r>
      <w:r>
        <w:rPr>
          <w:rFonts w:ascii="Arial" w:hAnsi="Arial" w:cs="Arial"/>
          <w:b/>
          <w:sz w:val="22"/>
          <w:u w:val="single"/>
        </w:rPr>
        <w:t xml:space="preserve">Consolidated </w:t>
      </w:r>
      <w:r w:rsidRPr="00DD386B">
        <w:rPr>
          <w:rFonts w:ascii="Arial" w:hAnsi="Arial" w:cs="Arial"/>
          <w:b/>
          <w:sz w:val="22"/>
          <w:u w:val="single"/>
        </w:rPr>
        <w:t>Results</w:t>
      </w:r>
    </w:p>
    <w:p w:rsidR="005A5BC6" w:rsidRPr="00CC424D" w:rsidRDefault="005A5BC6" w:rsidP="005A5BC6">
      <w:pPr>
        <w:rPr>
          <w:rFonts w:ascii="Arial" w:hAnsi="Arial" w:cs="Arial"/>
          <w:sz w:val="22"/>
        </w:rPr>
      </w:pPr>
    </w:p>
    <w:p w:rsidR="0068023F" w:rsidRDefault="005E2E01" w:rsidP="00E466EA">
      <w:pPr>
        <w:pStyle w:val="ListParagraph"/>
        <w:numPr>
          <w:ilvl w:val="0"/>
          <w:numId w:val="37"/>
        </w:numPr>
        <w:rPr>
          <w:rFonts w:ascii="Arial" w:hAnsi="Arial" w:cs="Arial"/>
          <w:sz w:val="22"/>
        </w:rPr>
      </w:pPr>
      <w:r w:rsidRPr="0068023F">
        <w:rPr>
          <w:rFonts w:ascii="Arial" w:hAnsi="Arial" w:cs="Arial"/>
          <w:sz w:val="22"/>
        </w:rPr>
        <w:t>Tot</w:t>
      </w:r>
      <w:r w:rsidR="0068023F" w:rsidRPr="0068023F">
        <w:rPr>
          <w:rFonts w:ascii="Arial" w:hAnsi="Arial" w:cs="Arial"/>
          <w:sz w:val="22"/>
        </w:rPr>
        <w:t>al revenue increased 8.2% to $65.9 billion</w:t>
      </w:r>
      <w:r w:rsidR="0068023F">
        <w:rPr>
          <w:rFonts w:ascii="Arial" w:hAnsi="Arial" w:cs="Arial"/>
          <w:sz w:val="22"/>
        </w:rPr>
        <w:t xml:space="preserve"> on shipment growth and yield expansion</w:t>
      </w:r>
      <w:r w:rsidR="0068023F" w:rsidRPr="0068023F">
        <w:rPr>
          <w:rFonts w:ascii="Arial" w:hAnsi="Arial" w:cs="Arial"/>
          <w:sz w:val="22"/>
        </w:rPr>
        <w:t>.</w:t>
      </w:r>
    </w:p>
    <w:p w:rsidR="005A5BC6" w:rsidRPr="0068023F" w:rsidRDefault="005A5BC6" w:rsidP="00E466EA">
      <w:pPr>
        <w:pStyle w:val="ListParagraph"/>
        <w:numPr>
          <w:ilvl w:val="0"/>
          <w:numId w:val="37"/>
        </w:numPr>
        <w:rPr>
          <w:rFonts w:ascii="Arial" w:hAnsi="Arial" w:cs="Arial"/>
          <w:sz w:val="22"/>
        </w:rPr>
      </w:pPr>
      <w:r w:rsidRPr="0068023F">
        <w:rPr>
          <w:rFonts w:ascii="Arial" w:hAnsi="Arial" w:cs="Arial"/>
          <w:sz w:val="22"/>
        </w:rPr>
        <w:t>Full-year 2017 diluted EPS of $</w:t>
      </w:r>
      <w:r w:rsidR="00D8122D" w:rsidRPr="0068023F">
        <w:rPr>
          <w:rFonts w:ascii="Arial" w:hAnsi="Arial" w:cs="Arial"/>
          <w:sz w:val="22"/>
        </w:rPr>
        <w:t>5.61</w:t>
      </w:r>
      <w:r w:rsidRPr="0068023F">
        <w:rPr>
          <w:rFonts w:ascii="Arial" w:hAnsi="Arial" w:cs="Arial"/>
          <w:sz w:val="22"/>
        </w:rPr>
        <w:t>; adjusted diluted EPS was $6.01.</w:t>
      </w:r>
    </w:p>
    <w:p w:rsidR="005A5BC6" w:rsidRPr="0079098A" w:rsidRDefault="005A5BC6" w:rsidP="005A5BC6">
      <w:pPr>
        <w:pStyle w:val="ListParagraph"/>
        <w:numPr>
          <w:ilvl w:val="0"/>
          <w:numId w:val="37"/>
        </w:numPr>
        <w:rPr>
          <w:rFonts w:ascii="Arial" w:hAnsi="Arial" w:cs="Arial"/>
          <w:sz w:val="22"/>
        </w:rPr>
      </w:pPr>
      <w:r w:rsidRPr="00666CFA">
        <w:rPr>
          <w:rFonts w:ascii="Arial" w:hAnsi="Arial" w:cs="Arial"/>
          <w:sz w:val="22"/>
        </w:rPr>
        <w:t xml:space="preserve">Adjusted diluted EPS excludes the impact of </w:t>
      </w:r>
      <w:r w:rsidR="00610124">
        <w:rPr>
          <w:rFonts w:ascii="Arial" w:hAnsi="Arial" w:cs="Arial"/>
          <w:sz w:val="22"/>
        </w:rPr>
        <w:t xml:space="preserve">both </w:t>
      </w:r>
      <w:r w:rsidR="001818ED">
        <w:rPr>
          <w:rFonts w:ascii="Arial" w:hAnsi="Arial" w:cs="Arial"/>
          <w:sz w:val="22"/>
        </w:rPr>
        <w:t>MTM</w:t>
      </w:r>
      <w:r w:rsidRPr="00666CFA">
        <w:rPr>
          <w:rFonts w:ascii="Arial" w:hAnsi="Arial" w:cs="Arial"/>
          <w:sz w:val="22"/>
        </w:rPr>
        <w:t xml:space="preserve"> pension</w:t>
      </w:r>
      <w:r w:rsidR="00610124">
        <w:rPr>
          <w:rFonts w:ascii="Arial" w:hAnsi="Arial" w:cs="Arial"/>
          <w:sz w:val="22"/>
        </w:rPr>
        <w:t xml:space="preserve"> charge and TCJA </w:t>
      </w:r>
      <w:r w:rsidR="009D0F6B">
        <w:rPr>
          <w:rFonts w:ascii="Arial" w:hAnsi="Arial" w:cs="Arial"/>
          <w:sz w:val="22"/>
        </w:rPr>
        <w:t>income tax benefit</w:t>
      </w:r>
      <w:r w:rsidRPr="00666CFA">
        <w:rPr>
          <w:rFonts w:ascii="Arial" w:hAnsi="Arial" w:cs="Arial"/>
          <w:sz w:val="22"/>
        </w:rPr>
        <w:t>.</w:t>
      </w:r>
    </w:p>
    <w:p w:rsidR="005A5BC6" w:rsidRDefault="005A5BC6" w:rsidP="005A5BC6">
      <w:pPr>
        <w:pStyle w:val="ListParagraph"/>
        <w:numPr>
          <w:ilvl w:val="0"/>
          <w:numId w:val="37"/>
        </w:numPr>
        <w:rPr>
          <w:rFonts w:ascii="Arial" w:hAnsi="Arial" w:cs="Arial"/>
          <w:sz w:val="22"/>
        </w:rPr>
      </w:pPr>
      <w:r>
        <w:rPr>
          <w:rFonts w:ascii="Arial" w:hAnsi="Arial" w:cs="Arial"/>
          <w:sz w:val="22"/>
        </w:rPr>
        <w:t>Company made capital expenditures of $</w:t>
      </w:r>
      <w:r w:rsidR="00763DE7">
        <w:rPr>
          <w:rFonts w:ascii="Arial" w:hAnsi="Arial" w:cs="Arial"/>
          <w:sz w:val="22"/>
        </w:rPr>
        <w:t>5.2</w:t>
      </w:r>
      <w:r>
        <w:rPr>
          <w:rFonts w:ascii="Arial" w:hAnsi="Arial" w:cs="Arial"/>
          <w:sz w:val="22"/>
        </w:rPr>
        <w:t xml:space="preserve"> billion during the year.</w:t>
      </w:r>
    </w:p>
    <w:p w:rsidR="005A5BC6" w:rsidRPr="004F5D76" w:rsidRDefault="005A5BC6" w:rsidP="005A5BC6">
      <w:pPr>
        <w:pStyle w:val="ListParagraph"/>
        <w:numPr>
          <w:ilvl w:val="0"/>
          <w:numId w:val="37"/>
        </w:numPr>
        <w:rPr>
          <w:rFonts w:ascii="Arial" w:hAnsi="Arial" w:cs="Arial"/>
          <w:sz w:val="22"/>
        </w:rPr>
      </w:pPr>
      <w:r w:rsidRPr="004F5D76">
        <w:rPr>
          <w:rFonts w:ascii="Arial" w:hAnsi="Arial" w:cs="Arial"/>
          <w:sz w:val="22"/>
        </w:rPr>
        <w:t>Paid dividends of $</w:t>
      </w:r>
      <w:r w:rsidR="00763DE7">
        <w:rPr>
          <w:rFonts w:ascii="Arial" w:hAnsi="Arial" w:cs="Arial"/>
          <w:sz w:val="22"/>
        </w:rPr>
        <w:t>2.</w:t>
      </w:r>
      <w:r w:rsidR="000A3AE6">
        <w:rPr>
          <w:rFonts w:ascii="Arial" w:hAnsi="Arial" w:cs="Arial"/>
          <w:sz w:val="22"/>
        </w:rPr>
        <w:t>9</w:t>
      </w:r>
      <w:r w:rsidR="000A3AE6" w:rsidRPr="004F5D76">
        <w:rPr>
          <w:rFonts w:ascii="Arial" w:hAnsi="Arial" w:cs="Arial"/>
          <w:sz w:val="22"/>
        </w:rPr>
        <w:t xml:space="preserve"> </w:t>
      </w:r>
      <w:r w:rsidRPr="004F5D76">
        <w:rPr>
          <w:rFonts w:ascii="Arial" w:hAnsi="Arial" w:cs="Arial"/>
          <w:sz w:val="22"/>
        </w:rPr>
        <w:t xml:space="preserve">billion, an increase of </w:t>
      </w:r>
      <w:r w:rsidR="00750424">
        <w:rPr>
          <w:rFonts w:ascii="Arial" w:hAnsi="Arial" w:cs="Arial"/>
          <w:sz w:val="22"/>
        </w:rPr>
        <w:t>6.4</w:t>
      </w:r>
      <w:r w:rsidRPr="004F5D76">
        <w:rPr>
          <w:rFonts w:ascii="Arial" w:hAnsi="Arial" w:cs="Arial"/>
          <w:sz w:val="22"/>
        </w:rPr>
        <w:t xml:space="preserve">% per share over the prior year.  </w:t>
      </w:r>
    </w:p>
    <w:p w:rsidR="005A5BC6" w:rsidRPr="009318E1" w:rsidRDefault="005A5BC6" w:rsidP="005A5BC6">
      <w:pPr>
        <w:pStyle w:val="ListParagraph"/>
        <w:numPr>
          <w:ilvl w:val="0"/>
          <w:numId w:val="37"/>
        </w:numPr>
        <w:rPr>
          <w:rFonts w:ascii="Arial" w:hAnsi="Arial" w:cs="Arial"/>
          <w:sz w:val="22"/>
          <w:szCs w:val="22"/>
        </w:rPr>
      </w:pPr>
      <w:r w:rsidRPr="009318E1">
        <w:rPr>
          <w:rFonts w:ascii="Arial" w:hAnsi="Arial" w:cs="Arial"/>
          <w:sz w:val="22"/>
        </w:rPr>
        <w:t xml:space="preserve">Repurchased </w:t>
      </w:r>
      <w:r w:rsidR="00763DE7">
        <w:rPr>
          <w:rFonts w:ascii="Arial" w:hAnsi="Arial" w:cs="Arial"/>
          <w:sz w:val="22"/>
        </w:rPr>
        <w:t>16.1</w:t>
      </w:r>
      <w:r w:rsidRPr="009318E1">
        <w:rPr>
          <w:rFonts w:ascii="Arial" w:hAnsi="Arial" w:cs="Arial"/>
          <w:sz w:val="22"/>
        </w:rPr>
        <w:t xml:space="preserve"> million shares for approximately $</w:t>
      </w:r>
      <w:r w:rsidR="00763DE7">
        <w:rPr>
          <w:rFonts w:ascii="Arial" w:hAnsi="Arial" w:cs="Arial"/>
          <w:sz w:val="22"/>
        </w:rPr>
        <w:t>1.8</w:t>
      </w:r>
      <w:r w:rsidRPr="009318E1">
        <w:rPr>
          <w:rFonts w:ascii="Arial" w:hAnsi="Arial" w:cs="Arial"/>
          <w:sz w:val="22"/>
        </w:rPr>
        <w:t xml:space="preserve"> billion. </w:t>
      </w:r>
      <w:r w:rsidRPr="009318E1">
        <w:rPr>
          <w:rFonts w:ascii="Arial" w:hAnsi="Arial" w:cs="Arial"/>
          <w:sz w:val="22"/>
        </w:rPr>
        <w:br/>
      </w:r>
    </w:p>
    <w:p w:rsidR="005A5BC6" w:rsidRPr="00EC663B" w:rsidRDefault="005A5BC6" w:rsidP="005A5BC6">
      <w:pPr>
        <w:rPr>
          <w:rFonts w:ascii="Arial" w:hAnsi="Arial" w:cs="Arial"/>
          <w:b/>
          <w:u w:val="single"/>
        </w:rPr>
      </w:pPr>
      <w:r w:rsidRPr="00EC663B">
        <w:rPr>
          <w:rFonts w:ascii="Arial" w:hAnsi="Arial" w:cs="Arial"/>
          <w:b/>
          <w:u w:val="single"/>
        </w:rPr>
        <w:t>Outlook</w:t>
      </w:r>
    </w:p>
    <w:p w:rsidR="005A5BC6" w:rsidRDefault="005A5BC6" w:rsidP="005A5BC6">
      <w:pPr>
        <w:ind w:firstLine="720"/>
        <w:rPr>
          <w:rFonts w:ascii="Arial" w:hAnsi="Arial" w:cs="Arial"/>
        </w:rPr>
      </w:pPr>
    </w:p>
    <w:p w:rsidR="005A5BC6" w:rsidRPr="004F5D76" w:rsidRDefault="005A5BC6" w:rsidP="005A5BC6">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w:t>
      </w:r>
      <w:r w:rsidR="001D1E65">
        <w:rPr>
          <w:rFonts w:ascii="Arial" w:hAnsi="Arial" w:cs="Arial"/>
          <w:sz w:val="22"/>
          <w:szCs w:val="22"/>
        </w:rPr>
        <w:t xml:space="preserve"> or other unanticipated events</w:t>
      </w:r>
      <w:r w:rsidRPr="004F5D76">
        <w:rPr>
          <w:rFonts w:ascii="Arial" w:hAnsi="Arial" w:cs="Arial"/>
          <w:sz w:val="22"/>
          <w:szCs w:val="22"/>
        </w:rPr>
        <w:t>, which would be included in reported (GAAP) results and could be material.</w:t>
      </w:r>
    </w:p>
    <w:p w:rsidR="005A5BC6" w:rsidRDefault="005A5BC6" w:rsidP="005A5BC6">
      <w:pPr>
        <w:ind w:firstLine="720"/>
        <w:rPr>
          <w:rFonts w:ascii="Arial" w:hAnsi="Arial" w:cs="Arial"/>
          <w:sz w:val="22"/>
          <w:szCs w:val="22"/>
        </w:rPr>
      </w:pPr>
    </w:p>
    <w:p w:rsidR="005A5BC6" w:rsidRDefault="005A5BC6" w:rsidP="005A5BC6">
      <w:pPr>
        <w:ind w:firstLine="720"/>
        <w:rPr>
          <w:rFonts w:ascii="Arial" w:hAnsi="Arial" w:cs="Arial"/>
          <w:sz w:val="22"/>
        </w:rPr>
      </w:pPr>
      <w:r w:rsidRPr="004A031D">
        <w:rPr>
          <w:rFonts w:ascii="Arial" w:hAnsi="Arial" w:cs="Arial"/>
          <w:sz w:val="22"/>
        </w:rPr>
        <w:t>“</w:t>
      </w:r>
      <w:r w:rsidR="00BD6427">
        <w:rPr>
          <w:rFonts w:ascii="Arial" w:hAnsi="Arial" w:cs="Arial"/>
          <w:sz w:val="22"/>
        </w:rPr>
        <w:t>Our</w:t>
      </w:r>
      <w:r w:rsidR="0096036C">
        <w:rPr>
          <w:rFonts w:ascii="Arial" w:hAnsi="Arial" w:cs="Arial"/>
          <w:sz w:val="22"/>
        </w:rPr>
        <w:t xml:space="preserve"> </w:t>
      </w:r>
      <w:r w:rsidR="00B674AC">
        <w:rPr>
          <w:rFonts w:ascii="Arial" w:hAnsi="Arial" w:cs="Arial"/>
          <w:sz w:val="22"/>
        </w:rPr>
        <w:t>growth opportunities are accelerating,</w:t>
      </w:r>
      <w:r w:rsidRPr="004A031D">
        <w:rPr>
          <w:rFonts w:ascii="Arial" w:hAnsi="Arial" w:cs="Arial"/>
          <w:sz w:val="22"/>
        </w:rPr>
        <w:t xml:space="preserve">” said Richard </w:t>
      </w:r>
      <w:proofErr w:type="spellStart"/>
      <w:r w:rsidRPr="004A031D">
        <w:rPr>
          <w:rFonts w:ascii="Arial" w:hAnsi="Arial" w:cs="Arial"/>
          <w:sz w:val="22"/>
        </w:rPr>
        <w:t>Peretz</w:t>
      </w:r>
      <w:proofErr w:type="spellEnd"/>
      <w:r w:rsidRPr="004A031D">
        <w:rPr>
          <w:rFonts w:ascii="Arial" w:hAnsi="Arial" w:cs="Arial"/>
          <w:sz w:val="22"/>
        </w:rPr>
        <w:t xml:space="preserve">, UPS chief financial officer.  </w:t>
      </w:r>
      <w:r>
        <w:rPr>
          <w:rFonts w:ascii="Arial" w:hAnsi="Arial" w:cs="Arial"/>
          <w:sz w:val="22"/>
        </w:rPr>
        <w:t>“</w:t>
      </w:r>
      <w:r w:rsidR="00576749">
        <w:rPr>
          <w:rFonts w:ascii="Arial" w:hAnsi="Arial" w:cs="Arial"/>
          <w:sz w:val="22"/>
        </w:rPr>
        <w:t xml:space="preserve">The strong economic outlook </w:t>
      </w:r>
      <w:r w:rsidR="003A088A">
        <w:rPr>
          <w:rFonts w:ascii="Arial" w:hAnsi="Arial" w:cs="Arial"/>
          <w:sz w:val="22"/>
        </w:rPr>
        <w:t xml:space="preserve">and </w:t>
      </w:r>
      <w:r w:rsidR="00576749">
        <w:rPr>
          <w:rFonts w:ascii="Arial" w:hAnsi="Arial" w:cs="Arial"/>
          <w:sz w:val="22"/>
        </w:rPr>
        <w:t>UPS’s high return on</w:t>
      </w:r>
      <w:r w:rsidR="003A088A">
        <w:rPr>
          <w:rFonts w:ascii="Arial" w:hAnsi="Arial" w:cs="Arial"/>
          <w:sz w:val="22"/>
        </w:rPr>
        <w:t xml:space="preserve"> invested capital </w:t>
      </w:r>
      <w:r w:rsidR="00576749">
        <w:rPr>
          <w:rFonts w:ascii="Arial" w:hAnsi="Arial" w:cs="Arial"/>
          <w:sz w:val="22"/>
        </w:rPr>
        <w:t>generates a unique opportunity</w:t>
      </w:r>
      <w:r w:rsidR="003A088A">
        <w:rPr>
          <w:rFonts w:ascii="Arial" w:hAnsi="Arial" w:cs="Arial"/>
          <w:sz w:val="22"/>
        </w:rPr>
        <w:t xml:space="preserve"> to</w:t>
      </w:r>
      <w:r w:rsidR="00576749">
        <w:rPr>
          <w:rFonts w:ascii="Arial" w:hAnsi="Arial" w:cs="Arial"/>
          <w:sz w:val="22"/>
        </w:rPr>
        <w:t xml:space="preserve"> create additional long-term value by increasing capital investments</w:t>
      </w:r>
      <w:r w:rsidR="00B674AC">
        <w:rPr>
          <w:rFonts w:ascii="Arial" w:hAnsi="Arial" w:cs="Arial"/>
          <w:sz w:val="22"/>
        </w:rPr>
        <w:t>.</w:t>
      </w:r>
      <w:r w:rsidR="003A088A">
        <w:rPr>
          <w:rFonts w:ascii="Arial" w:hAnsi="Arial" w:cs="Arial"/>
          <w:sz w:val="22"/>
        </w:rPr>
        <w:t xml:space="preserve">  These </w:t>
      </w:r>
      <w:r w:rsidR="00576749">
        <w:rPr>
          <w:rFonts w:ascii="Arial" w:hAnsi="Arial" w:cs="Arial"/>
          <w:sz w:val="22"/>
        </w:rPr>
        <w:t>investments enable UPS to execute our strategy and we are well-positioned for 2018</w:t>
      </w:r>
      <w:r w:rsidR="000A3AE6">
        <w:rPr>
          <w:rFonts w:ascii="Arial" w:hAnsi="Arial" w:cs="Arial"/>
          <w:sz w:val="22"/>
        </w:rPr>
        <w:t xml:space="preserve"> and beyond</w:t>
      </w:r>
      <w:r w:rsidR="003A088A">
        <w:rPr>
          <w:rFonts w:ascii="Arial" w:hAnsi="Arial" w:cs="Arial"/>
          <w:sz w:val="22"/>
        </w:rPr>
        <w:t>.</w:t>
      </w:r>
      <w:r w:rsidR="00B674AC">
        <w:rPr>
          <w:rFonts w:ascii="Arial" w:hAnsi="Arial" w:cs="Arial"/>
          <w:sz w:val="22"/>
        </w:rPr>
        <w:t>”</w:t>
      </w:r>
    </w:p>
    <w:p w:rsidR="005A5BC6" w:rsidRPr="004F5D76" w:rsidRDefault="005A5BC6" w:rsidP="005A5BC6">
      <w:pPr>
        <w:ind w:firstLine="720"/>
        <w:rPr>
          <w:rFonts w:ascii="Arial" w:hAnsi="Arial" w:cs="Arial"/>
          <w:sz w:val="22"/>
          <w:szCs w:val="22"/>
        </w:rPr>
      </w:pPr>
    </w:p>
    <w:p w:rsidR="00C36109" w:rsidRDefault="005A5BC6" w:rsidP="005A5BC6">
      <w:pPr>
        <w:pStyle w:val="ListParagraph"/>
        <w:numPr>
          <w:ilvl w:val="0"/>
          <w:numId w:val="37"/>
        </w:numPr>
        <w:rPr>
          <w:rFonts w:ascii="Arial" w:hAnsi="Arial" w:cs="Arial"/>
          <w:sz w:val="22"/>
        </w:rPr>
      </w:pPr>
      <w:r>
        <w:rPr>
          <w:rFonts w:ascii="Arial" w:hAnsi="Arial" w:cs="Arial"/>
          <w:sz w:val="22"/>
        </w:rPr>
        <w:t xml:space="preserve">UPS expects </w:t>
      </w:r>
      <w:r w:rsidRPr="000346B8">
        <w:rPr>
          <w:rFonts w:ascii="Arial" w:hAnsi="Arial" w:cs="Arial"/>
          <w:sz w:val="22"/>
        </w:rPr>
        <w:t>201</w:t>
      </w:r>
      <w:r w:rsidR="002D25D2">
        <w:rPr>
          <w:rFonts w:ascii="Arial" w:hAnsi="Arial" w:cs="Arial"/>
          <w:sz w:val="22"/>
        </w:rPr>
        <w:t>8</w:t>
      </w:r>
      <w:r w:rsidRPr="000346B8">
        <w:rPr>
          <w:rFonts w:ascii="Arial" w:hAnsi="Arial" w:cs="Arial"/>
          <w:sz w:val="22"/>
        </w:rPr>
        <w:t xml:space="preserve"> adjusted diluted </w:t>
      </w:r>
      <w:r w:rsidR="005D1240">
        <w:rPr>
          <w:rFonts w:ascii="Arial" w:hAnsi="Arial" w:cs="Arial"/>
          <w:sz w:val="22"/>
        </w:rPr>
        <w:t>earnings per share</w:t>
      </w:r>
      <w:r w:rsidR="005D1240" w:rsidRPr="000346B8">
        <w:rPr>
          <w:rFonts w:ascii="Arial" w:hAnsi="Arial" w:cs="Arial"/>
          <w:sz w:val="22"/>
        </w:rPr>
        <w:t xml:space="preserve"> </w:t>
      </w:r>
      <w:r w:rsidRPr="000346B8">
        <w:rPr>
          <w:rFonts w:ascii="Arial" w:hAnsi="Arial" w:cs="Arial"/>
          <w:sz w:val="22"/>
        </w:rPr>
        <w:t xml:space="preserve">to be </w:t>
      </w:r>
      <w:r w:rsidR="005D1240">
        <w:rPr>
          <w:rFonts w:ascii="Arial" w:hAnsi="Arial" w:cs="Arial"/>
          <w:sz w:val="22"/>
        </w:rPr>
        <w:t xml:space="preserve">in a range of </w:t>
      </w:r>
      <w:r w:rsidRPr="000346B8">
        <w:rPr>
          <w:rFonts w:ascii="Arial" w:hAnsi="Arial" w:cs="Arial"/>
          <w:sz w:val="22"/>
        </w:rPr>
        <w:t>$</w:t>
      </w:r>
      <w:r w:rsidR="005D1240">
        <w:rPr>
          <w:rFonts w:ascii="Arial" w:hAnsi="Arial" w:cs="Arial"/>
          <w:sz w:val="22"/>
        </w:rPr>
        <w:t>7</w:t>
      </w:r>
      <w:r w:rsidR="008829DC">
        <w:rPr>
          <w:rFonts w:ascii="Arial" w:hAnsi="Arial" w:cs="Arial"/>
          <w:sz w:val="22"/>
        </w:rPr>
        <w:t>.</w:t>
      </w:r>
      <w:r w:rsidR="005D1240">
        <w:rPr>
          <w:rFonts w:ascii="Arial" w:hAnsi="Arial" w:cs="Arial"/>
          <w:sz w:val="22"/>
        </w:rPr>
        <w:t>03</w:t>
      </w:r>
      <w:r w:rsidR="005D1240" w:rsidRPr="000346B8">
        <w:rPr>
          <w:rFonts w:ascii="Arial" w:hAnsi="Arial" w:cs="Arial"/>
          <w:sz w:val="22"/>
        </w:rPr>
        <w:t xml:space="preserve"> </w:t>
      </w:r>
      <w:r w:rsidRPr="000346B8">
        <w:rPr>
          <w:rFonts w:ascii="Arial" w:hAnsi="Arial" w:cs="Arial"/>
          <w:sz w:val="22"/>
        </w:rPr>
        <w:t>to $</w:t>
      </w:r>
      <w:r w:rsidR="005D1240">
        <w:rPr>
          <w:rFonts w:ascii="Arial" w:hAnsi="Arial" w:cs="Arial"/>
          <w:sz w:val="22"/>
        </w:rPr>
        <w:t>7</w:t>
      </w:r>
      <w:r w:rsidR="008829DC">
        <w:rPr>
          <w:rFonts w:ascii="Arial" w:hAnsi="Arial" w:cs="Arial"/>
          <w:sz w:val="22"/>
        </w:rPr>
        <w:t>.</w:t>
      </w:r>
      <w:r w:rsidR="005D1240">
        <w:rPr>
          <w:rFonts w:ascii="Arial" w:hAnsi="Arial" w:cs="Arial"/>
          <w:sz w:val="22"/>
        </w:rPr>
        <w:t>37, which includes about $200 million of</w:t>
      </w:r>
      <w:r w:rsidR="00C36109">
        <w:rPr>
          <w:rFonts w:ascii="Arial" w:hAnsi="Arial" w:cs="Arial"/>
          <w:sz w:val="22"/>
        </w:rPr>
        <w:t xml:space="preserve"> additional</w:t>
      </w:r>
      <w:r w:rsidR="005D1240">
        <w:rPr>
          <w:rFonts w:ascii="Arial" w:hAnsi="Arial" w:cs="Arial"/>
          <w:sz w:val="22"/>
        </w:rPr>
        <w:t xml:space="preserve"> </w:t>
      </w:r>
      <w:r w:rsidR="00C36109">
        <w:rPr>
          <w:rFonts w:ascii="Arial" w:hAnsi="Arial" w:cs="Arial"/>
          <w:sz w:val="22"/>
        </w:rPr>
        <w:t>pre-tax pension expense due to lower</w:t>
      </w:r>
      <w:r w:rsidR="005D1240">
        <w:rPr>
          <w:rFonts w:ascii="Arial" w:hAnsi="Arial" w:cs="Arial"/>
          <w:sz w:val="22"/>
        </w:rPr>
        <w:t xml:space="preserve"> discount rates</w:t>
      </w:r>
      <w:r w:rsidRPr="000346B8">
        <w:rPr>
          <w:rFonts w:ascii="Arial" w:hAnsi="Arial" w:cs="Arial"/>
          <w:sz w:val="22"/>
        </w:rPr>
        <w:t>.</w:t>
      </w:r>
    </w:p>
    <w:p w:rsidR="00E72387" w:rsidRDefault="000B2AE2" w:rsidP="005A5BC6">
      <w:pPr>
        <w:pStyle w:val="ListParagraph"/>
        <w:numPr>
          <w:ilvl w:val="0"/>
          <w:numId w:val="37"/>
        </w:numPr>
        <w:rPr>
          <w:rFonts w:ascii="Arial" w:hAnsi="Arial" w:cs="Arial"/>
          <w:sz w:val="22"/>
        </w:rPr>
      </w:pPr>
      <w:r>
        <w:rPr>
          <w:rFonts w:ascii="Arial" w:hAnsi="Arial" w:cs="Arial"/>
          <w:sz w:val="22"/>
        </w:rPr>
        <w:t>Our guidance includes</w:t>
      </w:r>
      <w:r w:rsidR="00BE3322">
        <w:rPr>
          <w:rFonts w:ascii="Arial" w:hAnsi="Arial" w:cs="Arial"/>
          <w:sz w:val="22"/>
        </w:rPr>
        <w:t xml:space="preserve"> TCJA </w:t>
      </w:r>
      <w:r>
        <w:rPr>
          <w:rFonts w:ascii="Arial" w:hAnsi="Arial" w:cs="Arial"/>
          <w:sz w:val="22"/>
        </w:rPr>
        <w:t xml:space="preserve">benefits that </w:t>
      </w:r>
      <w:r w:rsidR="00BE3322">
        <w:rPr>
          <w:rFonts w:ascii="Arial" w:hAnsi="Arial" w:cs="Arial"/>
          <w:sz w:val="22"/>
        </w:rPr>
        <w:t>will</w:t>
      </w:r>
      <w:r w:rsidR="00C36109">
        <w:rPr>
          <w:rFonts w:ascii="Arial" w:hAnsi="Arial" w:cs="Arial"/>
          <w:sz w:val="22"/>
        </w:rPr>
        <w:t xml:space="preserve"> increase net income and cash flow.</w:t>
      </w:r>
      <w:r w:rsidR="005A5BC6">
        <w:rPr>
          <w:rFonts w:ascii="Arial" w:hAnsi="Arial" w:cs="Arial"/>
          <w:sz w:val="22"/>
        </w:rPr>
        <w:t xml:space="preserve">  </w:t>
      </w:r>
    </w:p>
    <w:p w:rsidR="00E930A5" w:rsidRDefault="00E72387" w:rsidP="00E466EA">
      <w:pPr>
        <w:pStyle w:val="ListParagraph"/>
        <w:numPr>
          <w:ilvl w:val="0"/>
          <w:numId w:val="37"/>
        </w:numPr>
        <w:rPr>
          <w:rFonts w:ascii="Arial" w:hAnsi="Arial" w:cs="Arial"/>
          <w:sz w:val="22"/>
        </w:rPr>
      </w:pPr>
      <w:r w:rsidRPr="003A088A">
        <w:rPr>
          <w:rFonts w:ascii="Arial" w:hAnsi="Arial" w:cs="Arial"/>
          <w:sz w:val="22"/>
        </w:rPr>
        <w:lastRenderedPageBreak/>
        <w:t>Cap</w:t>
      </w:r>
      <w:r w:rsidR="00A140F0">
        <w:rPr>
          <w:rFonts w:ascii="Arial" w:hAnsi="Arial" w:cs="Arial"/>
          <w:sz w:val="22"/>
        </w:rPr>
        <w:t>ital e</w:t>
      </w:r>
      <w:r w:rsidRPr="003A088A">
        <w:rPr>
          <w:rFonts w:ascii="Arial" w:hAnsi="Arial" w:cs="Arial"/>
          <w:sz w:val="22"/>
        </w:rPr>
        <w:t>x</w:t>
      </w:r>
      <w:r w:rsidR="00A140F0">
        <w:rPr>
          <w:rFonts w:ascii="Arial" w:hAnsi="Arial" w:cs="Arial"/>
          <w:sz w:val="22"/>
        </w:rPr>
        <w:t>penditures planned</w:t>
      </w:r>
      <w:r w:rsidRPr="003A088A">
        <w:rPr>
          <w:rFonts w:ascii="Arial" w:hAnsi="Arial" w:cs="Arial"/>
          <w:sz w:val="22"/>
        </w:rPr>
        <w:t xml:space="preserve"> between </w:t>
      </w:r>
      <w:r w:rsidR="009D0F6B">
        <w:rPr>
          <w:rFonts w:ascii="Arial" w:hAnsi="Arial" w:cs="Arial"/>
          <w:sz w:val="22"/>
        </w:rPr>
        <w:t>$</w:t>
      </w:r>
      <w:r w:rsidR="005D1240">
        <w:rPr>
          <w:rFonts w:ascii="Arial" w:hAnsi="Arial" w:cs="Arial"/>
          <w:sz w:val="22"/>
        </w:rPr>
        <w:t>6.5</w:t>
      </w:r>
      <w:r w:rsidRPr="003A088A">
        <w:rPr>
          <w:rFonts w:ascii="Arial" w:hAnsi="Arial" w:cs="Arial"/>
          <w:sz w:val="22"/>
        </w:rPr>
        <w:t xml:space="preserve"> </w:t>
      </w:r>
      <w:r w:rsidR="00934587">
        <w:rPr>
          <w:rFonts w:ascii="Arial" w:hAnsi="Arial" w:cs="Arial"/>
          <w:sz w:val="22"/>
        </w:rPr>
        <w:t>billion</w:t>
      </w:r>
      <w:r w:rsidR="00934587" w:rsidRPr="003A088A">
        <w:rPr>
          <w:rFonts w:ascii="Arial" w:hAnsi="Arial" w:cs="Arial"/>
          <w:sz w:val="22"/>
        </w:rPr>
        <w:t xml:space="preserve"> </w:t>
      </w:r>
      <w:r w:rsidRPr="003A088A">
        <w:rPr>
          <w:rFonts w:ascii="Arial" w:hAnsi="Arial" w:cs="Arial"/>
          <w:sz w:val="22"/>
        </w:rPr>
        <w:t xml:space="preserve">to </w:t>
      </w:r>
      <w:r w:rsidR="009D0F6B">
        <w:rPr>
          <w:rFonts w:ascii="Arial" w:hAnsi="Arial" w:cs="Arial"/>
          <w:sz w:val="22"/>
        </w:rPr>
        <w:t>$</w:t>
      </w:r>
      <w:r w:rsidR="005D1240">
        <w:rPr>
          <w:rFonts w:ascii="Arial" w:hAnsi="Arial" w:cs="Arial"/>
          <w:sz w:val="22"/>
        </w:rPr>
        <w:t>7.0</w:t>
      </w:r>
      <w:r w:rsidR="004320DC">
        <w:rPr>
          <w:rFonts w:ascii="Arial" w:hAnsi="Arial" w:cs="Arial"/>
          <w:sz w:val="22"/>
        </w:rPr>
        <w:t xml:space="preserve"> </w:t>
      </w:r>
      <w:r w:rsidR="00934587">
        <w:rPr>
          <w:rFonts w:ascii="Arial" w:hAnsi="Arial" w:cs="Arial"/>
          <w:sz w:val="22"/>
        </w:rPr>
        <w:t>billion</w:t>
      </w:r>
      <w:r w:rsidR="005D1240">
        <w:rPr>
          <w:rFonts w:ascii="Arial" w:hAnsi="Arial" w:cs="Arial"/>
          <w:sz w:val="22"/>
        </w:rPr>
        <w:t xml:space="preserve">, </w:t>
      </w:r>
      <w:r w:rsidR="00D54D52">
        <w:rPr>
          <w:rFonts w:ascii="Arial" w:hAnsi="Arial" w:cs="Arial"/>
          <w:sz w:val="22"/>
        </w:rPr>
        <w:t xml:space="preserve">mostly </w:t>
      </w:r>
      <w:r w:rsidR="00A140F0">
        <w:rPr>
          <w:rFonts w:ascii="Arial" w:hAnsi="Arial" w:cs="Arial"/>
          <w:sz w:val="22"/>
        </w:rPr>
        <w:t xml:space="preserve">dedicated to </w:t>
      </w:r>
      <w:r w:rsidR="0004026C">
        <w:rPr>
          <w:rFonts w:ascii="Arial" w:hAnsi="Arial" w:cs="Arial"/>
          <w:sz w:val="22"/>
        </w:rPr>
        <w:t xml:space="preserve">investments in new technology, </w:t>
      </w:r>
      <w:r w:rsidR="00D54D52">
        <w:rPr>
          <w:rFonts w:ascii="Arial" w:hAnsi="Arial" w:cs="Arial"/>
          <w:sz w:val="22"/>
        </w:rPr>
        <w:t>aircraft</w:t>
      </w:r>
      <w:r w:rsidR="0004026C">
        <w:rPr>
          <w:rFonts w:ascii="Arial" w:hAnsi="Arial" w:cs="Arial"/>
          <w:sz w:val="22"/>
        </w:rPr>
        <w:t xml:space="preserve"> and automated capacity</w:t>
      </w:r>
      <w:r w:rsidR="00A140F0">
        <w:rPr>
          <w:rFonts w:ascii="Arial" w:hAnsi="Arial" w:cs="Arial"/>
          <w:sz w:val="22"/>
        </w:rPr>
        <w:t>.</w:t>
      </w:r>
      <w:r w:rsidRPr="003A088A">
        <w:rPr>
          <w:rFonts w:ascii="Arial" w:hAnsi="Arial" w:cs="Arial"/>
          <w:sz w:val="22"/>
        </w:rPr>
        <w:t xml:space="preserve"> </w:t>
      </w:r>
    </w:p>
    <w:p w:rsidR="00D54D52" w:rsidRPr="00D54D52" w:rsidRDefault="00D54D52" w:rsidP="00D54D52">
      <w:pPr>
        <w:rPr>
          <w:rFonts w:ascii="Arial" w:hAnsi="Arial" w:cs="Arial"/>
          <w:sz w:val="22"/>
        </w:rPr>
      </w:pPr>
    </w:p>
    <w:p w:rsidR="0092416D" w:rsidRDefault="0092416D" w:rsidP="0092416D">
      <w:pPr>
        <w:autoSpaceDE w:val="0"/>
        <w:autoSpaceDN w:val="0"/>
        <w:adjustRightInd w:val="0"/>
        <w:jc w:val="center"/>
        <w:rPr>
          <w:rFonts w:ascii="Arial" w:hAnsi="Arial" w:cs="Arial"/>
          <w:color w:val="003436"/>
          <w:sz w:val="22"/>
          <w:szCs w:val="22"/>
        </w:rPr>
      </w:pPr>
      <w:r>
        <w:rPr>
          <w:rFonts w:ascii="Arial" w:hAnsi="Arial" w:cs="Arial"/>
          <w:color w:val="003436"/>
          <w:sz w:val="22"/>
          <w:szCs w:val="22"/>
        </w:rPr>
        <w:t># # #</w:t>
      </w:r>
    </w:p>
    <w:p w:rsidR="00B0128F" w:rsidRDefault="00B0128F" w:rsidP="00B86C7E">
      <w:pPr>
        <w:rPr>
          <w:rFonts w:ascii="Arial" w:hAnsi="Arial" w:cs="Arial"/>
          <w:color w:val="003436"/>
          <w:sz w:val="22"/>
          <w:szCs w:val="22"/>
        </w:rPr>
      </w:pPr>
    </w:p>
    <w:p w:rsidR="00B0128F" w:rsidRDefault="00B0128F" w:rsidP="00B86C7E">
      <w:pPr>
        <w:rPr>
          <w:rFonts w:ascii="Arial" w:hAnsi="Arial" w:cs="Arial"/>
          <w:color w:val="003436"/>
          <w:sz w:val="22"/>
          <w:szCs w:val="22"/>
        </w:rPr>
      </w:pPr>
    </w:p>
    <w:p w:rsidR="00B86C7E" w:rsidRPr="00B50A8C" w:rsidRDefault="00B86C7E" w:rsidP="00B86C7E">
      <w:pPr>
        <w:rPr>
          <w:rFonts w:ascii="Arial" w:hAnsi="Arial" w:cs="Arial"/>
          <w:sz w:val="22"/>
          <w:szCs w:val="22"/>
          <w:u w:val="single"/>
        </w:rPr>
      </w:pPr>
      <w:r w:rsidRPr="00B50A8C">
        <w:rPr>
          <w:rFonts w:ascii="Arial" w:hAnsi="Arial" w:cs="Arial"/>
          <w:b/>
          <w:sz w:val="22"/>
          <w:szCs w:val="22"/>
          <w:u w:val="single"/>
        </w:rPr>
        <w:t>Conference Call Information</w:t>
      </w:r>
    </w:p>
    <w:p w:rsidR="00B86C7E" w:rsidRDefault="00B86C7E" w:rsidP="00B86C7E">
      <w:pPr>
        <w:rPr>
          <w:rFonts w:ascii="Arial" w:hAnsi="Arial" w:cs="Arial"/>
          <w:sz w:val="22"/>
          <w:szCs w:val="22"/>
        </w:rPr>
      </w:pPr>
      <w:r w:rsidRPr="00A85056">
        <w:rPr>
          <w:rFonts w:ascii="Arial" w:hAnsi="Arial" w:cs="Arial"/>
          <w:sz w:val="22"/>
          <w:szCs w:val="22"/>
        </w:rPr>
        <w:tab/>
      </w:r>
    </w:p>
    <w:p w:rsidR="00B86C7E" w:rsidRPr="00E466EA" w:rsidRDefault="00B86C7E" w:rsidP="00B86C7E">
      <w:pPr>
        <w:ind w:firstLine="720"/>
        <w:rPr>
          <w:rFonts w:ascii="Arial" w:hAnsi="Arial" w:cs="Arial"/>
          <w:sz w:val="22"/>
          <w:szCs w:val="22"/>
        </w:rPr>
      </w:pPr>
      <w:r w:rsidRPr="00E466EA">
        <w:rPr>
          <w:rFonts w:ascii="Arial" w:hAnsi="Arial" w:cs="Arial"/>
          <w:sz w:val="22"/>
          <w:szCs w:val="22"/>
        </w:rPr>
        <w:t xml:space="preserve">UPS CEO David Abney and CFO Richard </w:t>
      </w:r>
      <w:proofErr w:type="spellStart"/>
      <w:r w:rsidRPr="00E466EA">
        <w:rPr>
          <w:rFonts w:ascii="Arial" w:hAnsi="Arial" w:cs="Arial"/>
          <w:sz w:val="22"/>
          <w:szCs w:val="22"/>
        </w:rPr>
        <w:t>Peretz</w:t>
      </w:r>
      <w:proofErr w:type="spellEnd"/>
      <w:r w:rsidRPr="00E466EA">
        <w:rPr>
          <w:rFonts w:ascii="Arial" w:hAnsi="Arial" w:cs="Arial"/>
          <w:sz w:val="22"/>
          <w:szCs w:val="22"/>
        </w:rPr>
        <w:t xml:space="preserve"> will discuss </w:t>
      </w:r>
      <w:r w:rsidR="00CD4B34" w:rsidRPr="00E466EA">
        <w:rPr>
          <w:rFonts w:ascii="Arial" w:hAnsi="Arial" w:cs="Arial"/>
          <w:sz w:val="22"/>
          <w:szCs w:val="22"/>
        </w:rPr>
        <w:t>fourth</w:t>
      </w:r>
      <w:r w:rsidR="00DA5007" w:rsidRPr="00E466EA">
        <w:rPr>
          <w:rFonts w:ascii="Arial" w:hAnsi="Arial" w:cs="Arial"/>
          <w:sz w:val="22"/>
          <w:szCs w:val="22"/>
        </w:rPr>
        <w:t>-</w:t>
      </w:r>
      <w:r w:rsidRPr="00E466EA">
        <w:rPr>
          <w:rFonts w:ascii="Arial" w:hAnsi="Arial" w:cs="Arial"/>
          <w:sz w:val="22"/>
          <w:szCs w:val="22"/>
        </w:rPr>
        <w:t xml:space="preserve">quarter results with investors and analysts during a conference call at 8:30 a.m. ET, </w:t>
      </w:r>
      <w:r w:rsidR="00CD4B34" w:rsidRPr="00E466EA">
        <w:rPr>
          <w:rFonts w:ascii="Arial" w:hAnsi="Arial" w:cs="Arial"/>
          <w:sz w:val="22"/>
          <w:szCs w:val="22"/>
        </w:rPr>
        <w:t>February 1</w:t>
      </w:r>
      <w:r w:rsidRPr="00E466EA">
        <w:rPr>
          <w:rFonts w:ascii="Arial" w:hAnsi="Arial" w:cs="Arial"/>
          <w:sz w:val="22"/>
          <w:szCs w:val="22"/>
        </w:rPr>
        <w:t>, 201</w:t>
      </w:r>
      <w:r w:rsidR="00CD4B34" w:rsidRPr="00E466EA">
        <w:rPr>
          <w:rFonts w:ascii="Arial" w:hAnsi="Arial" w:cs="Arial"/>
          <w:sz w:val="22"/>
          <w:szCs w:val="22"/>
        </w:rPr>
        <w:t>8</w:t>
      </w:r>
      <w:r w:rsidRPr="00E466EA">
        <w:rPr>
          <w:rFonts w:ascii="Arial" w:hAnsi="Arial" w:cs="Arial"/>
          <w:sz w:val="22"/>
          <w:szCs w:val="22"/>
        </w:rPr>
        <w:t xml:space="preserve">.  That call is open to </w:t>
      </w:r>
      <w:r w:rsidR="00DA5007" w:rsidRPr="00E466EA">
        <w:rPr>
          <w:rFonts w:ascii="Arial" w:hAnsi="Arial" w:cs="Arial"/>
          <w:sz w:val="22"/>
          <w:szCs w:val="22"/>
        </w:rPr>
        <w:t>others</w:t>
      </w:r>
      <w:r w:rsidR="00DA5007" w:rsidRPr="000D66BE">
        <w:rPr>
          <w:rFonts w:ascii="Arial" w:hAnsi="Arial" w:cs="Arial"/>
          <w:sz w:val="22"/>
          <w:szCs w:val="22"/>
        </w:rPr>
        <w:t xml:space="preserve"> </w:t>
      </w:r>
      <w:r w:rsidRPr="000D66BE">
        <w:rPr>
          <w:rFonts w:ascii="Arial" w:hAnsi="Arial" w:cs="Arial"/>
          <w:sz w:val="22"/>
          <w:szCs w:val="22"/>
        </w:rPr>
        <w:t xml:space="preserve">through a live Webcast.  To access the call, go to </w:t>
      </w:r>
      <w:hyperlink r:id="rId10" w:history="1">
        <w:r w:rsidRPr="00E466EA">
          <w:rPr>
            <w:rStyle w:val="Hyperlink"/>
            <w:rFonts w:ascii="Arial" w:hAnsi="Arial" w:cs="Arial"/>
            <w:sz w:val="22"/>
            <w:szCs w:val="22"/>
          </w:rPr>
          <w:t>www.investors.ups.com</w:t>
        </w:r>
      </w:hyperlink>
      <w:r w:rsidRPr="00E466EA">
        <w:rPr>
          <w:rFonts w:ascii="Arial" w:hAnsi="Arial" w:cs="Arial"/>
          <w:sz w:val="22"/>
          <w:szCs w:val="22"/>
          <w:u w:val="single"/>
        </w:rPr>
        <w:t xml:space="preserve"> </w:t>
      </w:r>
      <w:r w:rsidRPr="00E466EA">
        <w:rPr>
          <w:rFonts w:ascii="Arial" w:hAnsi="Arial" w:cs="Arial"/>
          <w:sz w:val="22"/>
          <w:szCs w:val="22"/>
        </w:rPr>
        <w:t>and click on “Earnings Webcast.”</w:t>
      </w:r>
    </w:p>
    <w:p w:rsidR="00B86C7E" w:rsidRPr="00E466EA" w:rsidRDefault="00B86C7E" w:rsidP="00B86C7E">
      <w:pPr>
        <w:autoSpaceDE w:val="0"/>
        <w:autoSpaceDN w:val="0"/>
        <w:adjustRightInd w:val="0"/>
        <w:ind w:firstLine="720"/>
        <w:rPr>
          <w:rFonts w:ascii="Arial" w:hAnsi="Arial" w:cs="Arial"/>
          <w:sz w:val="22"/>
          <w:szCs w:val="22"/>
        </w:rPr>
      </w:pPr>
    </w:p>
    <w:p w:rsidR="000C3C38" w:rsidRPr="00E466EA" w:rsidRDefault="000C3C38" w:rsidP="000C3C38">
      <w:pPr>
        <w:rPr>
          <w:rFonts w:ascii="Arial" w:hAnsi="Arial" w:cs="Arial"/>
          <w:b/>
          <w:bCs/>
          <w:sz w:val="22"/>
          <w:szCs w:val="22"/>
          <w:u w:val="single"/>
        </w:rPr>
      </w:pPr>
      <w:r w:rsidRPr="00E466EA">
        <w:rPr>
          <w:rFonts w:ascii="Arial" w:hAnsi="Arial" w:cs="Arial"/>
          <w:b/>
          <w:bCs/>
          <w:sz w:val="22"/>
          <w:szCs w:val="22"/>
          <w:u w:val="single"/>
        </w:rPr>
        <w:t>About UPS</w:t>
      </w:r>
    </w:p>
    <w:p w:rsidR="000C3C38" w:rsidRPr="00E466EA" w:rsidRDefault="000C3C38" w:rsidP="000C3C38">
      <w:pPr>
        <w:rPr>
          <w:rFonts w:ascii="Arial" w:hAnsi="Arial" w:cs="Arial"/>
          <w:b/>
          <w:bCs/>
          <w:sz w:val="22"/>
        </w:rPr>
      </w:pPr>
    </w:p>
    <w:p w:rsidR="000C3C38" w:rsidRPr="00E466EA" w:rsidRDefault="000C3C38" w:rsidP="000C3C38">
      <w:pPr>
        <w:ind w:firstLine="720"/>
        <w:rPr>
          <w:rFonts w:ascii="Arial" w:hAnsi="Arial" w:cs="Arial"/>
          <w:b/>
          <w:bCs/>
          <w:sz w:val="22"/>
          <w:szCs w:val="22"/>
          <w:lang w:val="en-GB"/>
        </w:rPr>
      </w:pPr>
      <w:r w:rsidRPr="00E466EA">
        <w:rPr>
          <w:rFonts w:ascii="Arial" w:hAnsi="Arial" w:cs="Arial"/>
          <w:sz w:val="22"/>
          <w:szCs w:val="22"/>
          <w:shd w:val="clear" w:color="auto" w:fill="FFFFFF"/>
        </w:rPr>
        <w:t>UPS (NYSE: UPS) is a global leader in logistics, offering a broad range of solutions including transporting packages and freight; facilitating international trade, and deploying advanced technology to more efficiently manage the world of business. Headquartered in Atlanta</w:t>
      </w:r>
      <w:r w:rsidR="001534A3">
        <w:rPr>
          <w:rFonts w:ascii="Arial" w:hAnsi="Arial" w:cs="Arial"/>
          <w:sz w:val="22"/>
          <w:szCs w:val="22"/>
          <w:shd w:val="clear" w:color="auto" w:fill="FFFFFF"/>
        </w:rPr>
        <w:t>, USA</w:t>
      </w:r>
      <w:r w:rsidRPr="00E466EA">
        <w:rPr>
          <w:rFonts w:ascii="Arial" w:hAnsi="Arial" w:cs="Arial"/>
          <w:sz w:val="22"/>
          <w:szCs w:val="22"/>
          <w:shd w:val="clear" w:color="auto" w:fill="FFFFFF"/>
        </w:rPr>
        <w:t>, UPS serves more than 220 countries and territories worldwide. The company can be found on the web at </w:t>
      </w:r>
      <w:hyperlink r:id="rId11" w:tgtFrame="_blank" w:history="1">
        <w:r w:rsidRPr="00E466EA">
          <w:rPr>
            <w:rStyle w:val="Hyperlink"/>
            <w:rFonts w:ascii="Arial" w:hAnsi="Arial" w:cs="Arial"/>
            <w:b/>
            <w:bCs/>
            <w:color w:val="FFB500"/>
            <w:sz w:val="22"/>
            <w:szCs w:val="22"/>
            <w:shd w:val="clear" w:color="auto" w:fill="FFFFFF"/>
          </w:rPr>
          <w:t>ups.com</w:t>
        </w:r>
      </w:hyperlink>
      <w:r w:rsidRPr="00E466EA">
        <w:rPr>
          <w:rStyle w:val="Hyperlink"/>
          <w:rFonts w:ascii="Arial" w:hAnsi="Arial" w:cs="Arial"/>
          <w:sz w:val="22"/>
          <w:szCs w:val="22"/>
          <w:u w:val="none"/>
          <w:shd w:val="clear" w:color="auto" w:fill="FFFFFF"/>
        </w:rPr>
        <w:t xml:space="preserve"> </w:t>
      </w:r>
      <w:r w:rsidRPr="00E466EA">
        <w:rPr>
          <w:rStyle w:val="Hyperlink"/>
          <w:rFonts w:ascii="Arial" w:hAnsi="Arial" w:cs="Arial"/>
          <w:color w:val="auto"/>
          <w:sz w:val="22"/>
          <w:szCs w:val="22"/>
          <w:u w:val="none"/>
          <w:shd w:val="clear" w:color="auto" w:fill="FFFFFF"/>
        </w:rPr>
        <w:t>or</w:t>
      </w:r>
      <w:r w:rsidRPr="00E466EA">
        <w:rPr>
          <w:rStyle w:val="Hyperlink"/>
          <w:rFonts w:ascii="Arial" w:hAnsi="Arial" w:cs="Arial"/>
          <w:b/>
          <w:bCs/>
          <w:color w:val="auto"/>
          <w:sz w:val="22"/>
          <w:szCs w:val="22"/>
          <w:u w:val="none"/>
          <w:shd w:val="clear" w:color="auto" w:fill="FFFFFF"/>
        </w:rPr>
        <w:t xml:space="preserve"> </w:t>
      </w:r>
      <w:hyperlink r:id="rId12" w:history="1">
        <w:r w:rsidRPr="00E466EA">
          <w:rPr>
            <w:rStyle w:val="Hyperlink"/>
            <w:rFonts w:ascii="Arial" w:hAnsi="Arial" w:cs="Arial"/>
            <w:b/>
            <w:bCs/>
            <w:sz w:val="22"/>
            <w:szCs w:val="22"/>
            <w:shd w:val="clear" w:color="auto" w:fill="FFFFFF"/>
          </w:rPr>
          <w:t>pressroom.ups.com</w:t>
        </w:r>
      </w:hyperlink>
      <w:r w:rsidRPr="00E466EA">
        <w:rPr>
          <w:rFonts w:ascii="Arial" w:hAnsi="Arial" w:cs="Arial"/>
          <w:color w:val="340500"/>
          <w:sz w:val="22"/>
          <w:szCs w:val="22"/>
          <w:shd w:val="clear" w:color="auto" w:fill="FFFFFF"/>
        </w:rPr>
        <w:t xml:space="preserve"> </w:t>
      </w:r>
      <w:r w:rsidRPr="00E466EA">
        <w:rPr>
          <w:rFonts w:ascii="Arial" w:hAnsi="Arial" w:cs="Arial"/>
          <w:sz w:val="22"/>
          <w:szCs w:val="22"/>
          <w:shd w:val="clear" w:color="auto" w:fill="FFFFFF"/>
        </w:rPr>
        <w:t>and its corporate blog can be found at</w:t>
      </w:r>
      <w:r w:rsidRPr="00E466EA">
        <w:rPr>
          <w:rFonts w:ascii="Arial" w:hAnsi="Arial" w:cs="Arial"/>
          <w:color w:val="340500"/>
          <w:sz w:val="22"/>
          <w:szCs w:val="22"/>
          <w:shd w:val="clear" w:color="auto" w:fill="FFFFFF"/>
        </w:rPr>
        <w:t> </w:t>
      </w:r>
      <w:hyperlink r:id="rId13" w:tgtFrame="_blank" w:history="1">
        <w:r w:rsidRPr="00E466EA">
          <w:rPr>
            <w:rStyle w:val="Hyperlink"/>
            <w:rFonts w:ascii="Arial" w:hAnsi="Arial" w:cs="Arial"/>
            <w:b/>
            <w:bCs/>
            <w:color w:val="FFB500"/>
            <w:sz w:val="22"/>
            <w:szCs w:val="22"/>
            <w:shd w:val="clear" w:color="auto" w:fill="FFFFFF"/>
          </w:rPr>
          <w:t>longitudes.ups.com</w:t>
        </w:r>
      </w:hyperlink>
      <w:r w:rsidRPr="00E466EA">
        <w:rPr>
          <w:rFonts w:ascii="Arial" w:hAnsi="Arial" w:cs="Arial"/>
          <w:color w:val="340500"/>
          <w:sz w:val="22"/>
          <w:szCs w:val="22"/>
          <w:shd w:val="clear" w:color="auto" w:fill="FFFFFF"/>
        </w:rPr>
        <w:t xml:space="preserve">. </w:t>
      </w:r>
      <w:r w:rsidRPr="00E466EA">
        <w:rPr>
          <w:rFonts w:ascii="Arial" w:hAnsi="Arial" w:cs="Arial"/>
          <w:sz w:val="22"/>
          <w:szCs w:val="22"/>
          <w:shd w:val="clear" w:color="auto" w:fill="FFFFFF"/>
        </w:rPr>
        <w:t xml:space="preserve">To get UPS news direct, follow </w:t>
      </w:r>
      <w:hyperlink r:id="rId14" w:history="1">
        <w:r w:rsidRPr="00E466EA">
          <w:rPr>
            <w:rStyle w:val="Hyperlink"/>
            <w:rFonts w:ascii="Arial" w:hAnsi="Arial" w:cs="Arial"/>
            <w:b/>
            <w:sz w:val="22"/>
            <w:szCs w:val="22"/>
            <w:shd w:val="clear" w:color="auto" w:fill="FFFFFF"/>
          </w:rPr>
          <w:t>@</w:t>
        </w:r>
        <w:proofErr w:type="spellStart"/>
        <w:r w:rsidRPr="00E466EA">
          <w:rPr>
            <w:rStyle w:val="Hyperlink"/>
            <w:rFonts w:ascii="Arial" w:hAnsi="Arial" w:cs="Arial"/>
            <w:b/>
            <w:sz w:val="22"/>
            <w:szCs w:val="22"/>
            <w:shd w:val="clear" w:color="auto" w:fill="FFFFFF"/>
          </w:rPr>
          <w:t>UPS_News</w:t>
        </w:r>
        <w:proofErr w:type="spellEnd"/>
        <w:r w:rsidRPr="00E466EA">
          <w:rPr>
            <w:rStyle w:val="Hyperlink"/>
            <w:rFonts w:ascii="Arial" w:hAnsi="Arial" w:cs="Arial"/>
            <w:sz w:val="22"/>
            <w:szCs w:val="22"/>
            <w:u w:val="none"/>
            <w:shd w:val="clear" w:color="auto" w:fill="FFFFFF"/>
          </w:rPr>
          <w:t xml:space="preserve"> </w:t>
        </w:r>
        <w:r w:rsidRPr="00E466EA">
          <w:rPr>
            <w:rStyle w:val="Hyperlink"/>
            <w:rFonts w:ascii="Arial" w:hAnsi="Arial" w:cs="Arial"/>
            <w:color w:val="auto"/>
            <w:sz w:val="22"/>
            <w:szCs w:val="22"/>
            <w:u w:val="none"/>
            <w:shd w:val="clear" w:color="auto" w:fill="FFFFFF"/>
          </w:rPr>
          <w:t>on Twitter</w:t>
        </w:r>
        <w:r w:rsidRPr="00E466EA">
          <w:rPr>
            <w:rStyle w:val="Hyperlink"/>
            <w:rFonts w:ascii="Arial" w:hAnsi="Arial" w:cs="Arial"/>
            <w:b/>
            <w:color w:val="auto"/>
            <w:sz w:val="22"/>
            <w:szCs w:val="22"/>
            <w:u w:val="none"/>
            <w:shd w:val="clear" w:color="auto" w:fill="FFFFFF"/>
          </w:rPr>
          <w:t>.</w:t>
        </w:r>
      </w:hyperlink>
    </w:p>
    <w:p w:rsidR="00DA084F" w:rsidRPr="00E466EA" w:rsidRDefault="00DA084F" w:rsidP="00DA084F">
      <w:pPr>
        <w:autoSpaceDE w:val="0"/>
        <w:autoSpaceDN w:val="0"/>
        <w:adjustRightInd w:val="0"/>
        <w:ind w:firstLine="720"/>
        <w:rPr>
          <w:rFonts w:ascii="Arial" w:hAnsi="Arial" w:cs="Arial"/>
          <w:sz w:val="22"/>
          <w:szCs w:val="22"/>
        </w:rPr>
      </w:pPr>
    </w:p>
    <w:p w:rsidR="001F60BC" w:rsidRPr="00E466EA" w:rsidRDefault="001F60BC" w:rsidP="001F60BC">
      <w:pPr>
        <w:rPr>
          <w:rFonts w:ascii="Arial" w:hAnsi="Arial" w:cs="Arial"/>
          <w:sz w:val="22"/>
          <w:szCs w:val="22"/>
          <w:u w:val="single"/>
        </w:rPr>
      </w:pPr>
      <w:r w:rsidRPr="00E466EA">
        <w:rPr>
          <w:rFonts w:ascii="Arial" w:hAnsi="Arial" w:cs="Arial"/>
          <w:b/>
          <w:sz w:val="22"/>
          <w:szCs w:val="22"/>
          <w:u w:val="single"/>
        </w:rPr>
        <w:t>Forward-Looking Statements</w:t>
      </w:r>
    </w:p>
    <w:p w:rsidR="001022AC" w:rsidRDefault="001022AC" w:rsidP="000731C1">
      <w:pPr>
        <w:autoSpaceDE w:val="0"/>
        <w:autoSpaceDN w:val="0"/>
        <w:adjustRightInd w:val="0"/>
        <w:rPr>
          <w:rFonts w:ascii="Arial" w:hAnsi="Arial" w:cs="Arial"/>
          <w:sz w:val="22"/>
          <w:szCs w:val="22"/>
        </w:rPr>
      </w:pP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directions, prospects and future results, involve certain risks and uncertainties. </w:t>
      </w:r>
    </w:p>
    <w:p w:rsidR="001B2EED" w:rsidRPr="001B2EED" w:rsidRDefault="001B2EED" w:rsidP="001B2EED">
      <w:pPr>
        <w:spacing w:after="240"/>
        <w:ind w:firstLine="720"/>
        <w:rPr>
          <w:rFonts w:ascii="Arial" w:hAnsi="Arial" w:cs="Arial"/>
          <w:sz w:val="22"/>
          <w:u w:val="single"/>
        </w:rPr>
      </w:pPr>
      <w:r w:rsidRPr="001B2EED">
        <w:rPr>
          <w:rFonts w:ascii="Arial" w:hAnsi="Arial" w:cs="Arial"/>
          <w:sz w:val="22"/>
        </w:rPr>
        <w:t>Certain factors may cause actual results to differ materially from those contained in the forward-looking statements, including economic and other conditions in the markets in which we operate, governmental regulations (including tax laws and regulations), our competitive environment, changes in the facts or assumptions underlying our health and pension benefit funding obligations, negotiation and ratification of labor contracts, strikes, work stoppages and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1B2EED" w:rsidRPr="001B2EED" w:rsidRDefault="001B2EED" w:rsidP="001B2EED">
      <w:pPr>
        <w:spacing w:after="240"/>
        <w:rPr>
          <w:rFonts w:ascii="Arial" w:hAnsi="Arial" w:cs="Arial"/>
          <w:sz w:val="22"/>
          <w:u w:val="single"/>
        </w:rPr>
      </w:pPr>
      <w:r w:rsidRPr="001B2EED">
        <w:rPr>
          <w:rFonts w:ascii="Arial" w:hAnsi="Arial" w:cs="Arial"/>
          <w:sz w:val="22"/>
          <w:u w:val="single"/>
        </w:rPr>
        <w:t>Reconciliation of GAAP and non-GAAP Financial Measures</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We supplement the reporting of our financial information determined under generally accepted accounting principles ("GAAP") with certain non-GAAP financial measures, including, as applicable, "as adjusted" operating profit, operating margin, pre-tax income, net income and earnings per share. The equivalent measures determined in accordance with GAAP are also referred to as "reported" or "unadjusted.” Additionally, we periodically disclose free cash flow, free cash flow excluding discretionary pension contributions, as well as currency-neutral revenue, revenue per piece and operating profit. </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We consider quantitative and qualitative factors in assessing whether to adjust for the impact of items that may be significant or that could affect an understanding of our ongoing </w:t>
      </w:r>
      <w:r w:rsidRPr="001B2EED">
        <w:rPr>
          <w:rFonts w:ascii="Arial" w:hAnsi="Arial" w:cs="Arial"/>
          <w:sz w:val="22"/>
        </w:rPr>
        <w:lastRenderedPageBreak/>
        <w:t xml:space="preserve">financial and business performance or trends. Examples of items for which we may </w:t>
      </w:r>
      <w:proofErr w:type="gramStart"/>
      <w:r w:rsidRPr="001B2EED">
        <w:rPr>
          <w:rFonts w:ascii="Arial" w:hAnsi="Arial" w:cs="Arial"/>
          <w:sz w:val="22"/>
        </w:rPr>
        <w:t>make adjustments</w:t>
      </w:r>
      <w:proofErr w:type="gramEnd"/>
      <w:r w:rsidRPr="001B2EED">
        <w:rPr>
          <w:rFonts w:ascii="Arial" w:hAnsi="Arial" w:cs="Arial"/>
          <w:sz w:val="22"/>
        </w:rPr>
        <w:t xml:space="preserve"> include but are not limited to: amounts related to mark-to-market gains or losses (non-cash); settlement of contingencies; gains or losses associated with mergers, acquisitions, divestitures and other structural changes; charges related to restructuring programs; asset impairments (non-cash); amounts related to changes in tax regulations or positions; pension and postretirement related items; and debt modifications.</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 results. </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 </w:t>
      </w:r>
    </w:p>
    <w:p w:rsidR="001B2EED" w:rsidRPr="001B2EED" w:rsidRDefault="001B2EED" w:rsidP="001B2EED">
      <w:pPr>
        <w:spacing w:after="240"/>
        <w:rPr>
          <w:rFonts w:ascii="Arial" w:hAnsi="Arial" w:cs="Arial"/>
          <w:i/>
          <w:sz w:val="22"/>
        </w:rPr>
      </w:pPr>
      <w:r w:rsidRPr="001B2EED">
        <w:rPr>
          <w:rFonts w:ascii="Arial" w:hAnsi="Arial" w:cs="Arial"/>
          <w:i/>
          <w:sz w:val="22"/>
        </w:rPr>
        <w:t>Mark-To-Market Pension and Postretirement Adjustments</w:t>
      </w:r>
    </w:p>
    <w:p w:rsidR="001B2EED" w:rsidRPr="001B2EED" w:rsidRDefault="001B2EED" w:rsidP="001B2EED">
      <w:pPr>
        <w:spacing w:after="240"/>
        <w:ind w:firstLine="720"/>
        <w:rPr>
          <w:rFonts w:ascii="Arial" w:hAnsi="Arial" w:cs="Arial"/>
          <w:sz w:val="22"/>
        </w:rPr>
      </w:pPr>
      <w:r w:rsidRPr="001B2EED">
        <w:rPr>
          <w:rFonts w:ascii="Arial" w:hAnsi="Arial" w:cs="Arial"/>
          <w:sz w:val="22"/>
        </w:rPr>
        <w:t>We recognize changes in the fair value of plan assets and net actuarial gains and losses in excess of a 10% corridor for company-sponsored pension and post-retirement obligations immediately as part of net periodic benefit cost. We supplement the presentation of our operating profit, operating margin, pre-tax income, net income and earnings per share with similar non-GAAP measures that exclude the impact of the portion of net periodic benefit cost represented by the gains and losses recognized in excess of the 10% corridor and the related income tax effects. We believe this adjusted net periodic benefit cost provides important supplemental information that reflects the anticipated long-term cost of our defined benefit plans, and provides a benchmark for historical defined benefit cost trends that may provide useful comparison of year-to-year financial performance without considering the short-term impact of changes in market interest rates, equity prices, and similar factors.</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This adjusted net periodic benefit cost ($843 million in 2017 and $1,074 million in 2016) is comparable to the accounting for our defined benefit plans in our quarterly reporting under U.S. GAAP, utilizing the expected return on plan assets (8.65% in 2017 and 8.65% in 2016) and the discount rate used to determine net periodic benefit cost (4.34% in 2017 and 4.81% in 2016).  The non-adjusted net periodic benefit cost reflects the actual return on plan assets (12.45% in 2017 and 6.06% in 2016) and the discount rate used to measure the projected benefit obligation at the December 31 measurement date (3.81% in 2017 and 4.34% in 2016). </w:t>
      </w:r>
    </w:p>
    <w:p w:rsidR="001B2EED" w:rsidRPr="001B2EED" w:rsidRDefault="001B2EED" w:rsidP="001B2EED">
      <w:pPr>
        <w:spacing w:after="240"/>
        <w:ind w:firstLine="720"/>
        <w:rPr>
          <w:rFonts w:ascii="Arial" w:hAnsi="Arial" w:cs="Arial"/>
          <w:i/>
          <w:sz w:val="22"/>
        </w:rPr>
      </w:pPr>
      <w:r w:rsidRPr="001B2EED">
        <w:rPr>
          <w:rFonts w:ascii="Arial" w:hAnsi="Arial" w:cs="Arial"/>
          <w:sz w:val="22"/>
        </w:rPr>
        <w:t>The deferred income tax effects of these mark-to-market pension and postretirement adjustments are calculated by multiplying the statutory tax rates applicable in each tax jurisdiction, including the U.S. federal jurisdiction and various U.S. state and non-U.S. jurisdictions, by the adjustments. The blended average of the applicable statutory tax rates in 2017 and 2016 were 24.1% and 36.9%, respectively.</w:t>
      </w:r>
    </w:p>
    <w:p w:rsidR="001B2EED" w:rsidRPr="001B2EED" w:rsidRDefault="001B2EED" w:rsidP="001B2EED">
      <w:pPr>
        <w:spacing w:after="240"/>
        <w:rPr>
          <w:rFonts w:ascii="Arial" w:hAnsi="Arial" w:cs="Arial"/>
          <w:sz w:val="18"/>
          <w:szCs w:val="20"/>
        </w:rPr>
      </w:pPr>
      <w:r w:rsidRPr="001B2EED">
        <w:rPr>
          <w:rFonts w:ascii="Arial" w:hAnsi="Arial" w:cs="Arial"/>
          <w:i/>
          <w:sz w:val="22"/>
        </w:rPr>
        <w:t>Tax Cuts and Jobs Act of 2017</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On December 22, 2017, the </w:t>
      </w:r>
      <w:bookmarkStart w:id="1" w:name="T1"/>
      <w:r w:rsidRPr="001B2EED">
        <w:rPr>
          <w:rFonts w:ascii="Arial" w:hAnsi="Arial" w:cs="Arial"/>
          <w:sz w:val="22"/>
        </w:rPr>
        <w:t xml:space="preserve">Tax Cuts and Jobs Act (TCJA) was enacted that significantly revises U.S. corporate income tax law by, among other things, reducing the corporate income tax rate to 21% and implementing a modified territorial tax system, that </w:t>
      </w:r>
      <w:r w:rsidRPr="001B2EED">
        <w:rPr>
          <w:rFonts w:ascii="Arial" w:hAnsi="Arial" w:cs="Arial"/>
          <w:sz w:val="22"/>
        </w:rPr>
        <w:lastRenderedPageBreak/>
        <w:t xml:space="preserve">includes a one-time transition tax on deemed repatriated earnings of foreign subsidiaries. </w:t>
      </w:r>
      <w:bookmarkEnd w:id="1"/>
      <w:r w:rsidRPr="001B2EED">
        <w:rPr>
          <w:rFonts w:ascii="Arial" w:hAnsi="Arial" w:cs="Arial"/>
          <w:sz w:val="22"/>
        </w:rPr>
        <w:t>Net Income and diluted earnings per share as adjusted, excluding the benefit from TCJA of $258 million, is a non-GAAP measure. The tax benefit was primarily due to the TCJA’s reduction in the corporate tax rate that resulted in a remeasurement of our net deferred tax liability. We believe diluted earnings per share excluding the tax benefit is useful in evaluating our ongoing operating performance for the current period to that of other periods presented. The estimates are based on our initial analysis and current interpretation of the TCJA. Given the significant complexity of the Act, anticipated guidance from the U. S. Treasury about implementing the Act, and the potential for additional guidance from the Securities and Exchange Commission or the Financial Accounting Standards Board related to the Act, our estimates may be refined in the future.</w:t>
      </w:r>
    </w:p>
    <w:p w:rsidR="001B2EED" w:rsidRPr="001B2EED" w:rsidRDefault="001B2EED" w:rsidP="001B2EED">
      <w:pPr>
        <w:spacing w:after="240"/>
        <w:rPr>
          <w:rFonts w:ascii="Arial" w:hAnsi="Arial" w:cs="Arial"/>
          <w:i/>
          <w:sz w:val="22"/>
        </w:rPr>
      </w:pPr>
      <w:r w:rsidRPr="001B2EED">
        <w:rPr>
          <w:rFonts w:ascii="Arial" w:hAnsi="Arial" w:cs="Arial"/>
          <w:i/>
          <w:sz w:val="22"/>
        </w:rPr>
        <w:t xml:space="preserve">Weighted-Average Shares Outstanding and Diluted Earnings per Share </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The computation of weighted-average shares outstanding and diluted earnings per share for the fourth quarter of 2016 excludes the effect of certain incentive compensation awards because they were anti-dilutive in consideration of our reported net loss. Adjusted diluted earnings per share for this period includes the dilutive effect of these same shares because we are reporting adjusted net income after excluding the mark-to-market pension and postretirement adjustment. </w:t>
      </w:r>
    </w:p>
    <w:p w:rsidR="001B2EED" w:rsidRPr="001B2EED" w:rsidRDefault="001B2EED" w:rsidP="001B2EED">
      <w:pPr>
        <w:spacing w:after="240"/>
        <w:rPr>
          <w:rFonts w:ascii="Arial" w:hAnsi="Arial" w:cs="Arial"/>
          <w:i/>
          <w:sz w:val="22"/>
        </w:rPr>
      </w:pPr>
      <w:r w:rsidRPr="001B2EED">
        <w:rPr>
          <w:rFonts w:ascii="Arial" w:hAnsi="Arial" w:cs="Arial"/>
          <w:i/>
          <w:sz w:val="22"/>
        </w:rPr>
        <w:t>Currency-Neutral Revenue, Revenue per Piece and Operating Profit</w:t>
      </w:r>
    </w:p>
    <w:p w:rsidR="001B2EED" w:rsidRPr="001B2EED" w:rsidRDefault="001B2EED" w:rsidP="001B2EED">
      <w:pPr>
        <w:spacing w:after="240"/>
        <w:ind w:firstLine="720"/>
        <w:rPr>
          <w:rFonts w:ascii="Arial" w:hAnsi="Arial" w:cs="Arial"/>
          <w:sz w:val="22"/>
        </w:rPr>
      </w:pPr>
      <w:r w:rsidRPr="001B2EED">
        <w:rPr>
          <w:rFonts w:ascii="Arial" w:hAnsi="Arial" w:cs="Arial"/>
          <w:sz w:val="22"/>
        </w:rPr>
        <w:t>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businesses on a currency-neutral basis.</w:t>
      </w:r>
    </w:p>
    <w:p w:rsidR="001B2EED" w:rsidRPr="001B2EED" w:rsidRDefault="001B2EED" w:rsidP="001B2EED">
      <w:pPr>
        <w:spacing w:after="240"/>
        <w:ind w:firstLine="720"/>
        <w:rPr>
          <w:rFonts w:ascii="Arial" w:hAnsi="Arial" w:cs="Arial"/>
          <w:i/>
          <w:sz w:val="22"/>
        </w:rPr>
      </w:pPr>
      <w:r w:rsidRPr="001B2EED">
        <w:rPr>
          <w:rFonts w:ascii="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1B2EED" w:rsidRPr="001B2EED" w:rsidRDefault="001B2EED" w:rsidP="00D66288">
      <w:pPr>
        <w:rPr>
          <w:rFonts w:ascii="Arial" w:hAnsi="Arial" w:cs="Arial"/>
          <w:i/>
          <w:sz w:val="22"/>
        </w:rPr>
      </w:pPr>
      <w:r w:rsidRPr="001B2EED">
        <w:rPr>
          <w:rFonts w:ascii="Arial" w:hAnsi="Arial" w:cs="Arial"/>
          <w:i/>
          <w:sz w:val="22"/>
        </w:rPr>
        <w:t>Free Cash Flow</w:t>
      </w:r>
    </w:p>
    <w:p w:rsidR="001B2EED" w:rsidRPr="001B2EED" w:rsidRDefault="001B2EED" w:rsidP="001B2EED">
      <w:pPr>
        <w:spacing w:after="240"/>
        <w:ind w:firstLine="720"/>
        <w:rPr>
          <w:rFonts w:ascii="Arial" w:hAnsi="Arial" w:cs="Arial"/>
          <w:sz w:val="22"/>
        </w:rPr>
      </w:pPr>
      <w:r w:rsidRPr="001B2EED">
        <w:rPr>
          <w:rFonts w:ascii="Arial" w:hAnsi="Arial" w:cs="Arial"/>
          <w:sz w:val="22"/>
        </w:rPr>
        <w:t xml:space="preserve">We supplement the reporting of cash flows from operating activities with free cash flow and free cash flow excluding discretionary pension contributions, non-GAAP liquidity measures. We believe free cash flow is an important indicator of how much cash is generated by regular business operations and we use it as a measure of incremental cash available to invest in our business, meet our debt obligations and return cash to shareowners. We calculate free cash flow as cash flows from operating activities less capital expenditures, proceeds from disposals of property, plant and equipment, and plus or minus the net changes in finance receivables and other investing activities. </w:t>
      </w:r>
    </w:p>
    <w:p w:rsidR="001B2EED" w:rsidRPr="00D66288" w:rsidRDefault="001B2EED" w:rsidP="00D66288">
      <w:pPr>
        <w:spacing w:after="240"/>
        <w:ind w:firstLine="720"/>
        <w:jc w:val="both"/>
        <w:rPr>
          <w:rFonts w:ascii="Arial" w:hAnsi="Arial" w:cs="Arial"/>
          <w:b/>
          <w:sz w:val="18"/>
          <w:szCs w:val="20"/>
        </w:rPr>
      </w:pPr>
      <w:r w:rsidRPr="001B2EED">
        <w:rPr>
          <w:rFonts w:ascii="Arial" w:hAnsi="Arial" w:cs="Arial"/>
          <w:sz w:val="22"/>
        </w:rPr>
        <w:t xml:space="preserve">We believe free cash flow excluding discretionary pension contributions is an important indicator of how much cash is generated by regular business operations and we use it to monitor </w:t>
      </w:r>
      <w:r w:rsidRPr="001B2EED">
        <w:rPr>
          <w:rFonts w:ascii="Arial" w:hAnsi="Arial" w:cs="Arial"/>
          <w:sz w:val="22"/>
        </w:rPr>
        <w:lastRenderedPageBreak/>
        <w:t>our cash flow performance. We also believe this non-GAAP measure provides investors additional useful information when evaluating our cash flows from operating activities.</w:t>
      </w:r>
    </w:p>
    <w:p w:rsidR="001B2EED" w:rsidRPr="00E31E3D" w:rsidRDefault="001B2EED" w:rsidP="001B2EED">
      <w:pPr>
        <w:jc w:val="center"/>
        <w:rPr>
          <w:rFonts w:ascii="Arial" w:hAnsi="Arial" w:cs="Arial"/>
          <w:b/>
          <w:sz w:val="20"/>
          <w:szCs w:val="20"/>
        </w:rPr>
      </w:pPr>
    </w:p>
    <w:p w:rsidR="001B2EED" w:rsidRPr="00E31E3D" w:rsidRDefault="001B2EED" w:rsidP="00D66288">
      <w:pPr>
        <w:rPr>
          <w:rFonts w:ascii="Arial" w:hAnsi="Arial" w:cs="Arial"/>
          <w:b/>
          <w:sz w:val="20"/>
          <w:szCs w:val="20"/>
        </w:rPr>
      </w:pPr>
    </w:p>
    <w:p w:rsidR="001B2EED" w:rsidRPr="00E31E3D" w:rsidRDefault="001B2EED" w:rsidP="001B2EED">
      <w:pPr>
        <w:jc w:val="center"/>
        <w:rPr>
          <w:rFonts w:ascii="Arial" w:hAnsi="Arial" w:cs="Arial"/>
          <w:b/>
          <w:sz w:val="20"/>
          <w:szCs w:val="20"/>
        </w:rPr>
      </w:pPr>
      <w:r w:rsidRPr="00E31E3D">
        <w:rPr>
          <w:rFonts w:ascii="Arial" w:hAnsi="Arial" w:cs="Arial"/>
          <w:b/>
          <w:sz w:val="20"/>
          <w:szCs w:val="20"/>
        </w:rPr>
        <w:t>Reconciliation of GAAP and non-GAAP Income Statement Data (in millions, except EPS amounts):</w:t>
      </w:r>
    </w:p>
    <w:p w:rsidR="001B2EED" w:rsidRPr="00E31E3D" w:rsidRDefault="001B2EED" w:rsidP="001B2EED">
      <w:pPr>
        <w:rPr>
          <w:rFonts w:ascii="Arial" w:hAnsi="Arial" w:cs="Arial"/>
          <w:sz w:val="18"/>
          <w:szCs w:val="20"/>
        </w:rPr>
      </w:pPr>
    </w:p>
    <w:tbl>
      <w:tblPr>
        <w:tblStyle w:val="TableGrid"/>
        <w:tblW w:w="11223" w:type="dxa"/>
        <w:jc w:val="center"/>
        <w:tblLayout w:type="fixed"/>
        <w:tblLook w:val="04A0" w:firstRow="1" w:lastRow="0" w:firstColumn="1" w:lastColumn="0" w:noHBand="0" w:noVBand="1"/>
      </w:tblPr>
      <w:tblGrid>
        <w:gridCol w:w="3235"/>
        <w:gridCol w:w="180"/>
        <w:gridCol w:w="684"/>
        <w:gridCol w:w="1575"/>
        <w:gridCol w:w="1597"/>
        <w:gridCol w:w="1598"/>
        <w:gridCol w:w="1598"/>
        <w:gridCol w:w="756"/>
      </w:tblGrid>
      <w:tr w:rsidR="001B2EED" w:rsidRPr="00E31E3D" w:rsidTr="005D1240">
        <w:trPr>
          <w:jc w:val="center"/>
        </w:trPr>
        <w:tc>
          <w:tcPr>
            <w:tcW w:w="11223" w:type="dxa"/>
            <w:gridSpan w:val="8"/>
            <w:tcBorders>
              <w:top w:val="single" w:sz="4" w:space="0" w:color="auto"/>
              <w:left w:val="single" w:sz="4" w:space="0" w:color="auto"/>
              <w:bottom w:val="single" w:sz="4" w:space="0" w:color="auto"/>
              <w:right w:val="single" w:sz="4" w:space="0" w:color="auto"/>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Three Months Ended December 31, 2017</w:t>
            </w:r>
          </w:p>
        </w:tc>
      </w:tr>
      <w:tr w:rsidR="001B2EED" w:rsidRPr="00E31E3D" w:rsidTr="005D1240">
        <w:trPr>
          <w:gridAfter w:val="1"/>
          <w:wAfter w:w="756" w:type="dxa"/>
          <w:jc w:val="center"/>
        </w:trPr>
        <w:tc>
          <w:tcPr>
            <w:tcW w:w="3235"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gridSpan w:val="2"/>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gridSpan w:val="2"/>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As-Reported (GAAP)</w:t>
            </w:r>
          </w:p>
        </w:tc>
        <w:tc>
          <w:tcPr>
            <w:tcW w:w="1597"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Defined Benefit Plans MTM Charges</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Impact of TCJA</w:t>
            </w:r>
          </w:p>
        </w:tc>
        <w:tc>
          <w:tcPr>
            <w:tcW w:w="1598"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As-Adjusted (non-GAAP)</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23F70">
            <w:pPr>
              <w:autoSpaceDE w:val="0"/>
              <w:autoSpaceDN w:val="0"/>
              <w:adjustRightInd w:val="0"/>
              <w:ind w:left="422"/>
              <w:rPr>
                <w:rFonts w:ascii="Arial" w:hAnsi="Arial" w:cs="Arial"/>
                <w:sz w:val="18"/>
                <w:szCs w:val="20"/>
              </w:rPr>
            </w:pPr>
            <w:r w:rsidRPr="00E31E3D">
              <w:rPr>
                <w:rFonts w:ascii="Arial" w:hAnsi="Arial" w:cs="Arial"/>
                <w:sz w:val="18"/>
                <w:szCs w:val="20"/>
              </w:rPr>
              <w:t>Operating profit:</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U.S. Domestic Package</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627</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637</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1,264</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International Package</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725</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35</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760</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Supply Chain &amp; Freight</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142</w:t>
            </w:r>
          </w:p>
        </w:tc>
        <w:tc>
          <w:tcPr>
            <w:tcW w:w="1597"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128</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270</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Total operating profit</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single" w:sz="4" w:space="0" w:color="auto"/>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1,494</w:t>
            </w:r>
          </w:p>
        </w:tc>
        <w:tc>
          <w:tcPr>
            <w:tcW w:w="1597"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800</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2,294</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Income Taxes</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284</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193</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258</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735</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Net income</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1,104</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607</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(258)</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1,453</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Diluted earnings per share</w:t>
            </w: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1.27</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0.70</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(0.30)</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1.67</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gridSpan w:val="2"/>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jc w:val="center"/>
        </w:trPr>
        <w:tc>
          <w:tcPr>
            <w:tcW w:w="11223" w:type="dxa"/>
            <w:gridSpan w:val="8"/>
            <w:tcBorders>
              <w:top w:val="single" w:sz="4" w:space="0" w:color="auto"/>
              <w:left w:val="single" w:sz="4" w:space="0" w:color="auto"/>
              <w:bottom w:val="single" w:sz="4" w:space="0" w:color="auto"/>
              <w:right w:val="single" w:sz="4" w:space="0" w:color="auto"/>
            </w:tcBorders>
          </w:tcPr>
          <w:p w:rsidR="001B2EED" w:rsidRPr="00E31E3D" w:rsidRDefault="001B2EED" w:rsidP="005D1240">
            <w:pPr>
              <w:autoSpaceDE w:val="0"/>
              <w:autoSpaceDN w:val="0"/>
              <w:adjustRightInd w:val="0"/>
              <w:jc w:val="center"/>
              <w:rPr>
                <w:rFonts w:ascii="Arial" w:hAnsi="Arial" w:cs="Arial"/>
                <w:sz w:val="18"/>
                <w:szCs w:val="20"/>
              </w:rPr>
            </w:pPr>
            <w:r w:rsidRPr="00E31E3D">
              <w:rPr>
                <w:rFonts w:ascii="Arial" w:hAnsi="Arial" w:cs="Arial"/>
                <w:b/>
                <w:sz w:val="18"/>
                <w:szCs w:val="20"/>
              </w:rPr>
              <w:t>Three Months Ended December 31, 2016</w:t>
            </w:r>
          </w:p>
        </w:tc>
      </w:tr>
      <w:tr w:rsidR="001B2EED" w:rsidRPr="00E31E3D" w:rsidTr="005D1240">
        <w:trPr>
          <w:gridAfter w:val="1"/>
          <w:wAfter w:w="756" w:type="dxa"/>
          <w:jc w:val="center"/>
        </w:trPr>
        <w:tc>
          <w:tcPr>
            <w:tcW w:w="3235"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gridSpan w:val="2"/>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7"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gridSpan w:val="2"/>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sz w:val="18"/>
                <w:szCs w:val="20"/>
              </w:rPr>
            </w:pPr>
          </w:p>
        </w:tc>
        <w:tc>
          <w:tcPr>
            <w:tcW w:w="1575"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As-Reported (GAAP)</w:t>
            </w:r>
          </w:p>
        </w:tc>
        <w:tc>
          <w:tcPr>
            <w:tcW w:w="1597"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sz w:val="18"/>
                <w:szCs w:val="20"/>
              </w:rPr>
            </w:pPr>
            <w:r w:rsidRPr="00E31E3D">
              <w:rPr>
                <w:rFonts w:ascii="Arial" w:hAnsi="Arial" w:cs="Arial"/>
                <w:b/>
                <w:sz w:val="18"/>
                <w:szCs w:val="20"/>
              </w:rPr>
              <w:t>Defined Benefit Plans MTM Charges</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Impact of TCJA</w:t>
            </w:r>
          </w:p>
        </w:tc>
        <w:tc>
          <w:tcPr>
            <w:tcW w:w="1598"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sz w:val="18"/>
                <w:szCs w:val="20"/>
              </w:rPr>
            </w:pPr>
            <w:r w:rsidRPr="00E31E3D">
              <w:rPr>
                <w:rFonts w:ascii="Arial" w:hAnsi="Arial" w:cs="Arial"/>
                <w:b/>
                <w:sz w:val="18"/>
                <w:szCs w:val="20"/>
              </w:rPr>
              <w:t>As-Adjusted (non-GAAP)</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Operating profit</w:t>
            </w:r>
            <w:r w:rsidR="00D66288">
              <w:rPr>
                <w:rFonts w:ascii="Arial" w:hAnsi="Arial" w:cs="Arial"/>
                <w:sz w:val="18"/>
                <w:szCs w:val="20"/>
              </w:rPr>
              <w:t xml:space="preserve"> (loss)</w:t>
            </w:r>
            <w:r w:rsidRPr="00E31E3D">
              <w:rPr>
                <w:rFonts w:ascii="Arial" w:hAnsi="Arial" w:cs="Arial"/>
                <w:sz w:val="18"/>
                <w:szCs w:val="20"/>
              </w:rPr>
              <w:t>:</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U.S. Domestic Package</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(570)</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1,908</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1,338</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International Package</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281</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425</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706</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Supply Chain &amp; Freight</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(139)</w:t>
            </w:r>
          </w:p>
        </w:tc>
        <w:tc>
          <w:tcPr>
            <w:tcW w:w="1597"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318</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179</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Total operating profit</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single" w:sz="4" w:space="0" w:color="auto"/>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(428)</w:t>
            </w:r>
          </w:p>
        </w:tc>
        <w:tc>
          <w:tcPr>
            <w:tcW w:w="1597"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2,651</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2,223</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Income Taxes</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(277)</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978</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701</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Net income</w:t>
            </w:r>
            <w:r w:rsidR="00D66288">
              <w:rPr>
                <w:rFonts w:ascii="Arial" w:hAnsi="Arial" w:cs="Arial"/>
                <w:sz w:val="18"/>
                <w:szCs w:val="20"/>
              </w:rPr>
              <w:t xml:space="preserve"> (loss)</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(239)</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1,673</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1,434</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Diluted weighted avg. shares</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876</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5</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881</w:t>
            </w: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4A4494">
        <w:trPr>
          <w:gridAfter w:val="1"/>
          <w:wAfter w:w="756" w:type="dxa"/>
          <w:jc w:val="center"/>
        </w:trPr>
        <w:tc>
          <w:tcPr>
            <w:tcW w:w="3415" w:type="dxa"/>
            <w:gridSpan w:val="2"/>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Diluted earnings</w:t>
            </w:r>
            <w:r w:rsidR="00523F70">
              <w:rPr>
                <w:rFonts w:ascii="Arial" w:hAnsi="Arial" w:cs="Arial"/>
                <w:sz w:val="18"/>
                <w:szCs w:val="20"/>
              </w:rPr>
              <w:t xml:space="preserve"> (loss)</w:t>
            </w:r>
            <w:r w:rsidRPr="00E31E3D">
              <w:rPr>
                <w:rFonts w:ascii="Arial" w:hAnsi="Arial" w:cs="Arial"/>
                <w:sz w:val="18"/>
                <w:szCs w:val="20"/>
              </w:rPr>
              <w:t xml:space="preserve"> per share</w:t>
            </w:r>
          </w:p>
        </w:tc>
        <w:tc>
          <w:tcPr>
            <w:tcW w:w="68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(0.27)</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1.90</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1.63</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bl>
    <w:p w:rsidR="001B2EED" w:rsidRPr="00E31E3D" w:rsidRDefault="001B2EED" w:rsidP="001B2EED">
      <w:pPr>
        <w:autoSpaceDE w:val="0"/>
        <w:autoSpaceDN w:val="0"/>
        <w:adjustRightInd w:val="0"/>
        <w:ind w:firstLine="720"/>
        <w:rPr>
          <w:rFonts w:ascii="Arial" w:hAnsi="Arial" w:cs="Arial"/>
          <w:sz w:val="18"/>
          <w:szCs w:val="20"/>
        </w:rPr>
      </w:pPr>
    </w:p>
    <w:p w:rsidR="001B2EED" w:rsidRPr="00E31E3D" w:rsidRDefault="001B2EED" w:rsidP="001B2EED">
      <w:pPr>
        <w:rPr>
          <w:rFonts w:ascii="Arial" w:hAnsi="Arial" w:cs="Arial"/>
          <w:i/>
          <w:sz w:val="16"/>
          <w:szCs w:val="16"/>
        </w:rPr>
      </w:pPr>
      <w:r w:rsidRPr="00E31E3D">
        <w:rPr>
          <w:rFonts w:ascii="Arial" w:hAnsi="Arial" w:cs="Arial"/>
          <w:i/>
          <w:sz w:val="16"/>
          <w:szCs w:val="16"/>
        </w:rPr>
        <w:t xml:space="preserve">Note: Certain amounts may not compute due to rounding. </w:t>
      </w:r>
      <w:r w:rsidRPr="00E31E3D">
        <w:rPr>
          <w:rFonts w:ascii="Arial" w:hAnsi="Arial" w:cs="Arial"/>
          <w:i/>
          <w:sz w:val="16"/>
          <w:szCs w:val="16"/>
        </w:rPr>
        <w:br w:type="page"/>
      </w:r>
    </w:p>
    <w:p w:rsidR="001B2EED" w:rsidRPr="00E31E3D" w:rsidRDefault="001B2EED" w:rsidP="001B2EED">
      <w:pPr>
        <w:jc w:val="center"/>
        <w:rPr>
          <w:rFonts w:ascii="Arial" w:hAnsi="Arial" w:cs="Arial"/>
          <w:b/>
          <w:sz w:val="20"/>
          <w:szCs w:val="20"/>
        </w:rPr>
      </w:pPr>
      <w:r w:rsidRPr="00E31E3D">
        <w:rPr>
          <w:rFonts w:ascii="Arial" w:hAnsi="Arial" w:cs="Arial"/>
          <w:b/>
          <w:sz w:val="20"/>
          <w:szCs w:val="20"/>
        </w:rPr>
        <w:lastRenderedPageBreak/>
        <w:t>Reconciliation of GAAP and non-GAAP Income Statement Data (in millions, except EPS amounts):</w:t>
      </w:r>
    </w:p>
    <w:p w:rsidR="001B2EED" w:rsidRPr="00E31E3D" w:rsidRDefault="001B2EED" w:rsidP="001B2EED">
      <w:pPr>
        <w:rPr>
          <w:rFonts w:ascii="Arial" w:hAnsi="Arial" w:cs="Arial"/>
          <w:sz w:val="18"/>
          <w:szCs w:val="20"/>
        </w:rPr>
      </w:pPr>
    </w:p>
    <w:tbl>
      <w:tblPr>
        <w:tblStyle w:val="TableGrid"/>
        <w:tblW w:w="11223" w:type="dxa"/>
        <w:jc w:val="center"/>
        <w:tblLayout w:type="fixed"/>
        <w:tblLook w:val="04A0" w:firstRow="1" w:lastRow="0" w:firstColumn="1" w:lastColumn="0" w:noHBand="0" w:noVBand="1"/>
      </w:tblPr>
      <w:tblGrid>
        <w:gridCol w:w="3235"/>
        <w:gridCol w:w="864"/>
        <w:gridCol w:w="1575"/>
        <w:gridCol w:w="1597"/>
        <w:gridCol w:w="1598"/>
        <w:gridCol w:w="1598"/>
        <w:gridCol w:w="756"/>
      </w:tblGrid>
      <w:tr w:rsidR="001B2EED" w:rsidRPr="00E31E3D" w:rsidTr="005D1240">
        <w:trPr>
          <w:jc w:val="center"/>
        </w:trPr>
        <w:tc>
          <w:tcPr>
            <w:tcW w:w="11223" w:type="dxa"/>
            <w:gridSpan w:val="7"/>
            <w:tcBorders>
              <w:top w:val="single" w:sz="4" w:space="0" w:color="auto"/>
              <w:left w:val="single" w:sz="4" w:space="0" w:color="auto"/>
              <w:bottom w:val="single" w:sz="4" w:space="0" w:color="auto"/>
              <w:right w:val="single" w:sz="4" w:space="0" w:color="auto"/>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Year Ended December 31, 2017</w:t>
            </w:r>
          </w:p>
        </w:tc>
      </w:tr>
      <w:tr w:rsidR="001B2EED" w:rsidRPr="00E31E3D" w:rsidTr="005D1240">
        <w:trPr>
          <w:gridAfter w:val="1"/>
          <w:wAfter w:w="756" w:type="dxa"/>
          <w:jc w:val="center"/>
        </w:trPr>
        <w:tc>
          <w:tcPr>
            <w:tcW w:w="3235"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As-Reported (GAAP)</w:t>
            </w:r>
          </w:p>
        </w:tc>
        <w:tc>
          <w:tcPr>
            <w:tcW w:w="1597"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Defined Benefit Plans MTM Charges</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Impact of TCJA</w:t>
            </w:r>
          </w:p>
        </w:tc>
        <w:tc>
          <w:tcPr>
            <w:tcW w:w="1598"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As-Adjusted (non-GAAP)</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pPr>
              <w:autoSpaceDE w:val="0"/>
              <w:autoSpaceDN w:val="0"/>
              <w:adjustRightInd w:val="0"/>
              <w:ind w:left="422"/>
              <w:rPr>
                <w:rFonts w:ascii="Arial" w:hAnsi="Arial" w:cs="Arial"/>
                <w:sz w:val="18"/>
                <w:szCs w:val="20"/>
              </w:rPr>
            </w:pPr>
            <w:r w:rsidRPr="00E31E3D">
              <w:rPr>
                <w:rFonts w:ascii="Arial" w:hAnsi="Arial" w:cs="Arial"/>
                <w:sz w:val="18"/>
                <w:szCs w:val="20"/>
              </w:rPr>
              <w:t>Operating profit:</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U.S. Domestic Package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4,280</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637</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4,917</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International Package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2,464</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35</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2,499</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Supply Chain &amp; Freight</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785</w:t>
            </w:r>
          </w:p>
        </w:tc>
        <w:tc>
          <w:tcPr>
            <w:tcW w:w="1597"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128</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913</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Total operating profit</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single" w:sz="4" w:space="0" w:color="auto"/>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7,529</w:t>
            </w:r>
          </w:p>
        </w:tc>
        <w:tc>
          <w:tcPr>
            <w:tcW w:w="1597"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800</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8,329</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Income Taxes</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2,238</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193</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258</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2,689</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Net income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4,910</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607</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(258)</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5,259</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Diluted earnings per share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5.61</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0.69</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(0.29)</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6.01</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jc w:val="center"/>
        </w:trPr>
        <w:tc>
          <w:tcPr>
            <w:tcW w:w="11223" w:type="dxa"/>
            <w:gridSpan w:val="7"/>
            <w:tcBorders>
              <w:top w:val="single" w:sz="4" w:space="0" w:color="auto"/>
              <w:left w:val="single" w:sz="4" w:space="0" w:color="auto"/>
              <w:bottom w:val="single" w:sz="4" w:space="0" w:color="auto"/>
              <w:right w:val="single" w:sz="4" w:space="0" w:color="auto"/>
            </w:tcBorders>
          </w:tcPr>
          <w:p w:rsidR="001B2EED" w:rsidRPr="00E31E3D" w:rsidRDefault="001B2EED" w:rsidP="005D1240">
            <w:pPr>
              <w:autoSpaceDE w:val="0"/>
              <w:autoSpaceDN w:val="0"/>
              <w:adjustRightInd w:val="0"/>
              <w:jc w:val="center"/>
              <w:rPr>
                <w:rFonts w:ascii="Arial" w:hAnsi="Arial" w:cs="Arial"/>
                <w:sz w:val="18"/>
                <w:szCs w:val="20"/>
              </w:rPr>
            </w:pPr>
            <w:r w:rsidRPr="00E31E3D">
              <w:rPr>
                <w:rFonts w:ascii="Arial" w:hAnsi="Arial" w:cs="Arial"/>
                <w:b/>
                <w:sz w:val="18"/>
                <w:szCs w:val="20"/>
              </w:rPr>
              <w:t>Year Ended December 31, 2016</w:t>
            </w:r>
          </w:p>
        </w:tc>
      </w:tr>
      <w:tr w:rsidR="001B2EED" w:rsidRPr="00E31E3D" w:rsidTr="005D1240">
        <w:trPr>
          <w:gridAfter w:val="1"/>
          <w:wAfter w:w="756" w:type="dxa"/>
          <w:jc w:val="center"/>
        </w:trPr>
        <w:tc>
          <w:tcPr>
            <w:tcW w:w="3235"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7"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tcBorders>
              <w:top w:val="single" w:sz="4" w:space="0" w:color="auto"/>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864" w:type="dxa"/>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sz w:val="18"/>
                <w:szCs w:val="20"/>
              </w:rPr>
            </w:pPr>
          </w:p>
        </w:tc>
        <w:tc>
          <w:tcPr>
            <w:tcW w:w="1575"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As-Reported (GAAP)</w:t>
            </w:r>
          </w:p>
        </w:tc>
        <w:tc>
          <w:tcPr>
            <w:tcW w:w="1597"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sz w:val="18"/>
                <w:szCs w:val="20"/>
              </w:rPr>
            </w:pPr>
            <w:r w:rsidRPr="00E31E3D">
              <w:rPr>
                <w:rFonts w:ascii="Arial" w:hAnsi="Arial" w:cs="Arial"/>
                <w:b/>
                <w:sz w:val="18"/>
                <w:szCs w:val="20"/>
              </w:rPr>
              <w:t>Defined Benefit Plans MTM Charges</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Impact of TCJA</w:t>
            </w:r>
          </w:p>
        </w:tc>
        <w:tc>
          <w:tcPr>
            <w:tcW w:w="1598" w:type="dxa"/>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sz w:val="18"/>
                <w:szCs w:val="20"/>
              </w:rPr>
            </w:pPr>
            <w:r w:rsidRPr="00E31E3D">
              <w:rPr>
                <w:rFonts w:ascii="Arial" w:hAnsi="Arial" w:cs="Arial"/>
                <w:b/>
                <w:sz w:val="18"/>
                <w:szCs w:val="20"/>
              </w:rPr>
              <w:t>As-Adjusted (non-GAAP)</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pPr>
              <w:autoSpaceDE w:val="0"/>
              <w:autoSpaceDN w:val="0"/>
              <w:adjustRightInd w:val="0"/>
              <w:ind w:left="422"/>
              <w:rPr>
                <w:rFonts w:ascii="Arial" w:hAnsi="Arial" w:cs="Arial"/>
                <w:sz w:val="18"/>
                <w:szCs w:val="20"/>
              </w:rPr>
            </w:pPr>
            <w:r w:rsidRPr="00E31E3D">
              <w:rPr>
                <w:rFonts w:ascii="Arial" w:hAnsi="Arial" w:cs="Arial"/>
                <w:sz w:val="18"/>
                <w:szCs w:val="20"/>
              </w:rPr>
              <w:t>Operating profit:</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U.S. Domestic Package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3,017</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1,908</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4,925</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International Package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2,044</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425</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2,469</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Supply Chain &amp; Freight</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406</w:t>
            </w:r>
          </w:p>
        </w:tc>
        <w:tc>
          <w:tcPr>
            <w:tcW w:w="1597"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318</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724</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Total operating profit</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single" w:sz="4" w:space="0" w:color="auto"/>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5,467</w:t>
            </w:r>
          </w:p>
        </w:tc>
        <w:tc>
          <w:tcPr>
            <w:tcW w:w="1597"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2,651</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8,118</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 xml:space="preserve">       </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Income Taxes</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1,705</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978</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2,683</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Net income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jc w:val="right"/>
              <w:rPr>
                <w:rFonts w:ascii="Arial" w:hAnsi="Arial" w:cs="Arial"/>
                <w:sz w:val="18"/>
                <w:szCs w:val="20"/>
              </w:rPr>
            </w:pPr>
            <w:r w:rsidRPr="00E31E3D">
              <w:rPr>
                <w:rFonts w:ascii="Arial" w:hAnsi="Arial" w:cs="Arial"/>
                <w:sz w:val="18"/>
                <w:szCs w:val="20"/>
              </w:rPr>
              <w:t>$   3,431</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1,673</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5,104</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r w:rsidRPr="00E31E3D">
              <w:rPr>
                <w:rFonts w:ascii="Arial" w:hAnsi="Arial" w:cs="Arial"/>
                <w:sz w:val="18"/>
                <w:szCs w:val="20"/>
              </w:rPr>
              <w:t>Diluted earnings per share</w:t>
            </w: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3.87</w:t>
            </w: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1.88</w:t>
            </w: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r w:rsidRPr="00E31E3D">
              <w:rPr>
                <w:rFonts w:ascii="Arial" w:hAnsi="Arial" w:cs="Arial"/>
                <w:sz w:val="18"/>
                <w:szCs w:val="20"/>
              </w:rPr>
              <w:t>$     5.75</w:t>
            </w: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r w:rsidR="001B2EED" w:rsidRPr="00E31E3D" w:rsidTr="005D1240">
        <w:trPr>
          <w:gridAfter w:val="1"/>
          <w:wAfter w:w="756" w:type="dxa"/>
          <w:jc w:val="center"/>
        </w:trPr>
        <w:tc>
          <w:tcPr>
            <w:tcW w:w="3235" w:type="dxa"/>
            <w:tcBorders>
              <w:top w:val="nil"/>
              <w:left w:val="nil"/>
              <w:bottom w:val="nil"/>
              <w:right w:val="nil"/>
            </w:tcBorders>
          </w:tcPr>
          <w:p w:rsidR="001B2EED" w:rsidRPr="00E31E3D" w:rsidRDefault="001B2EED" w:rsidP="005D1240">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r w:rsidRPr="00E31E3D">
              <w:rPr>
                <w:rFonts w:ascii="Arial" w:hAnsi="Arial" w:cs="Arial"/>
                <w:sz w:val="18"/>
                <w:szCs w:val="20"/>
              </w:rPr>
              <w:t xml:space="preserve">         </w:t>
            </w:r>
          </w:p>
        </w:tc>
        <w:tc>
          <w:tcPr>
            <w:tcW w:w="1598"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8"/>
                <w:szCs w:val="20"/>
              </w:rPr>
            </w:pPr>
          </w:p>
        </w:tc>
      </w:tr>
    </w:tbl>
    <w:p w:rsidR="001B2EED" w:rsidRPr="00E31E3D" w:rsidRDefault="001B2EED" w:rsidP="001B2EED">
      <w:pPr>
        <w:autoSpaceDE w:val="0"/>
        <w:autoSpaceDN w:val="0"/>
        <w:adjustRightInd w:val="0"/>
        <w:ind w:firstLine="720"/>
        <w:rPr>
          <w:rFonts w:ascii="Arial" w:hAnsi="Arial" w:cs="Arial"/>
          <w:sz w:val="18"/>
          <w:szCs w:val="20"/>
        </w:rPr>
      </w:pPr>
    </w:p>
    <w:p w:rsidR="001B2EED" w:rsidRPr="00E31E3D" w:rsidRDefault="001B2EED" w:rsidP="001B2EED">
      <w:pPr>
        <w:rPr>
          <w:rFonts w:ascii="Arial" w:hAnsi="Arial" w:cs="Arial"/>
          <w:sz w:val="18"/>
          <w:szCs w:val="20"/>
        </w:rPr>
      </w:pPr>
      <w:r w:rsidRPr="00E31E3D">
        <w:rPr>
          <w:rFonts w:ascii="Arial" w:hAnsi="Arial" w:cs="Arial"/>
          <w:i/>
          <w:sz w:val="16"/>
          <w:szCs w:val="16"/>
        </w:rPr>
        <w:t>Note: Certain amounts may not compute due to rounding.</w:t>
      </w:r>
    </w:p>
    <w:p w:rsidR="001B2EED" w:rsidRPr="00E31E3D" w:rsidRDefault="001B2EED" w:rsidP="001B2EED">
      <w:pPr>
        <w:rPr>
          <w:rFonts w:ascii="Arial" w:hAnsi="Arial" w:cs="Arial"/>
          <w:sz w:val="18"/>
          <w:szCs w:val="20"/>
        </w:rPr>
      </w:pPr>
      <w:r w:rsidRPr="00E31E3D">
        <w:rPr>
          <w:rFonts w:ascii="Arial" w:hAnsi="Arial" w:cs="Arial"/>
          <w:sz w:val="18"/>
          <w:szCs w:val="20"/>
        </w:rPr>
        <w:br w:type="page"/>
      </w:r>
    </w:p>
    <w:p w:rsidR="001B2EED" w:rsidRPr="00E31E3D" w:rsidRDefault="001B2EED" w:rsidP="001B2EED">
      <w:pPr>
        <w:jc w:val="center"/>
        <w:rPr>
          <w:rFonts w:ascii="Arial" w:hAnsi="Arial" w:cs="Arial"/>
          <w:b/>
          <w:sz w:val="20"/>
          <w:szCs w:val="20"/>
        </w:rPr>
      </w:pPr>
      <w:r w:rsidRPr="00E31E3D">
        <w:rPr>
          <w:rFonts w:ascii="Arial" w:hAnsi="Arial" w:cs="Arial"/>
          <w:b/>
          <w:sz w:val="20"/>
          <w:szCs w:val="20"/>
        </w:rPr>
        <w:lastRenderedPageBreak/>
        <w:t xml:space="preserve">Reconciliation of GAAP and non-GAAP Revenue, Revenue Per Piece and As-Adjusted Currency Neutral Operating Profit </w:t>
      </w:r>
    </w:p>
    <w:p w:rsidR="001B2EED" w:rsidRPr="00E31E3D" w:rsidRDefault="001B2EED" w:rsidP="001B2EED">
      <w:pPr>
        <w:jc w:val="center"/>
        <w:rPr>
          <w:rFonts w:ascii="Arial" w:hAnsi="Arial" w:cs="Arial"/>
          <w:b/>
          <w:sz w:val="20"/>
          <w:szCs w:val="20"/>
        </w:rPr>
      </w:pPr>
      <w:r w:rsidRPr="00E31E3D">
        <w:rPr>
          <w:rFonts w:ascii="Arial" w:hAnsi="Arial" w:cs="Arial"/>
          <w:b/>
          <w:sz w:val="20"/>
          <w:szCs w:val="20"/>
        </w:rPr>
        <w:t>(in millions, except Per Piece amounts):</w:t>
      </w:r>
    </w:p>
    <w:p w:rsidR="001B2EED" w:rsidRPr="00E31E3D" w:rsidRDefault="001B2EED" w:rsidP="001B2EED">
      <w:pPr>
        <w:rPr>
          <w:rFonts w:ascii="Arial" w:hAnsi="Arial" w:cs="Arial"/>
          <w:sz w:val="18"/>
          <w:szCs w:val="20"/>
        </w:rPr>
      </w:pPr>
    </w:p>
    <w:tbl>
      <w:tblPr>
        <w:tblStyle w:val="TableGrid"/>
        <w:tblpPr w:leftFromText="180" w:rightFromText="180" w:vertAnchor="text" w:tblpY="1"/>
        <w:tblOverlap w:val="never"/>
        <w:tblW w:w="9920" w:type="dxa"/>
        <w:tblLayout w:type="fixed"/>
        <w:tblLook w:val="04A0" w:firstRow="1" w:lastRow="0" w:firstColumn="1" w:lastColumn="0" w:noHBand="0" w:noVBand="1"/>
      </w:tblPr>
      <w:tblGrid>
        <w:gridCol w:w="3008"/>
        <w:gridCol w:w="1065"/>
        <w:gridCol w:w="87"/>
        <w:gridCol w:w="468"/>
        <w:gridCol w:w="510"/>
        <w:gridCol w:w="174"/>
        <w:gridCol w:w="891"/>
        <w:gridCol w:w="261"/>
        <w:gridCol w:w="804"/>
        <w:gridCol w:w="348"/>
        <w:gridCol w:w="184"/>
        <w:gridCol w:w="745"/>
        <w:gridCol w:w="223"/>
        <w:gridCol w:w="630"/>
        <w:gridCol w:w="522"/>
      </w:tblGrid>
      <w:tr w:rsidR="001B2EED" w:rsidRPr="00E31E3D" w:rsidTr="005D1240">
        <w:trPr>
          <w:gridAfter w:val="1"/>
          <w:wAfter w:w="522" w:type="dxa"/>
        </w:trPr>
        <w:tc>
          <w:tcPr>
            <w:tcW w:w="9398" w:type="dxa"/>
            <w:gridSpan w:val="14"/>
            <w:tcBorders>
              <w:top w:val="single" w:sz="4" w:space="0" w:color="auto"/>
              <w:left w:val="single" w:sz="4" w:space="0" w:color="auto"/>
              <w:bottom w:val="single" w:sz="4" w:space="0" w:color="auto"/>
              <w:right w:val="single" w:sz="4" w:space="0" w:color="auto"/>
            </w:tcBorders>
          </w:tcPr>
          <w:p w:rsidR="001B2EED" w:rsidRPr="00E31E3D" w:rsidRDefault="001B2EED" w:rsidP="005D1240">
            <w:pPr>
              <w:autoSpaceDE w:val="0"/>
              <w:autoSpaceDN w:val="0"/>
              <w:adjustRightInd w:val="0"/>
              <w:jc w:val="center"/>
              <w:rPr>
                <w:rFonts w:ascii="Arial" w:hAnsi="Arial" w:cs="Arial"/>
                <w:b/>
                <w:sz w:val="18"/>
                <w:szCs w:val="20"/>
              </w:rPr>
            </w:pPr>
            <w:r w:rsidRPr="00E31E3D">
              <w:rPr>
                <w:rFonts w:ascii="Arial" w:hAnsi="Arial" w:cs="Arial"/>
                <w:b/>
                <w:sz w:val="18"/>
                <w:szCs w:val="20"/>
              </w:rPr>
              <w:t>Three Months Ended December 31</w:t>
            </w:r>
          </w:p>
        </w:tc>
      </w:tr>
      <w:tr w:rsidR="001B2EED" w:rsidRPr="00E31E3D" w:rsidTr="005D1240">
        <w:trPr>
          <w:gridAfter w:val="1"/>
          <w:wAfter w:w="522" w:type="dxa"/>
        </w:trPr>
        <w:tc>
          <w:tcPr>
            <w:tcW w:w="3008"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18"/>
                <w:szCs w:val="20"/>
              </w:rPr>
            </w:pPr>
          </w:p>
        </w:tc>
        <w:tc>
          <w:tcPr>
            <w:tcW w:w="1620" w:type="dxa"/>
            <w:gridSpan w:val="3"/>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75" w:type="dxa"/>
            <w:gridSpan w:val="3"/>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c>
          <w:tcPr>
            <w:tcW w:w="1597" w:type="dxa"/>
            <w:gridSpan w:val="4"/>
            <w:tcBorders>
              <w:top w:val="nil"/>
              <w:left w:val="nil"/>
              <w:bottom w:val="nil"/>
              <w:right w:val="nil"/>
            </w:tcBorders>
          </w:tcPr>
          <w:p w:rsidR="001B2EED" w:rsidRPr="00E31E3D" w:rsidRDefault="001B2EED" w:rsidP="005D1240">
            <w:pPr>
              <w:autoSpaceDE w:val="0"/>
              <w:autoSpaceDN w:val="0"/>
              <w:adjustRightInd w:val="0"/>
              <w:jc w:val="center"/>
              <w:rPr>
                <w:rFonts w:ascii="Arial" w:hAnsi="Arial" w:cs="Arial"/>
                <w:b/>
                <w:sz w:val="18"/>
                <w:szCs w:val="20"/>
              </w:rPr>
            </w:pPr>
          </w:p>
        </w:tc>
        <w:tc>
          <w:tcPr>
            <w:tcW w:w="1598" w:type="dxa"/>
            <w:gridSpan w:val="3"/>
            <w:tcBorders>
              <w:top w:val="nil"/>
              <w:left w:val="nil"/>
              <w:bottom w:val="nil"/>
              <w:right w:val="nil"/>
            </w:tcBorders>
            <w:vAlign w:val="bottom"/>
          </w:tcPr>
          <w:p w:rsidR="001B2EED" w:rsidRPr="00E31E3D" w:rsidRDefault="001B2EED" w:rsidP="005D1240">
            <w:pPr>
              <w:autoSpaceDE w:val="0"/>
              <w:autoSpaceDN w:val="0"/>
              <w:adjustRightInd w:val="0"/>
              <w:jc w:val="center"/>
              <w:rPr>
                <w:rFonts w:ascii="Arial" w:hAnsi="Arial" w:cs="Arial"/>
                <w:b/>
                <w:sz w:val="18"/>
                <w:szCs w:val="20"/>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p>
        </w:tc>
        <w:tc>
          <w:tcPr>
            <w:tcW w:w="1152" w:type="dxa"/>
            <w:gridSpan w:val="2"/>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2017 As-Reported (GAAP)</w:t>
            </w:r>
          </w:p>
        </w:tc>
        <w:tc>
          <w:tcPr>
            <w:tcW w:w="1152" w:type="dxa"/>
            <w:gridSpan w:val="3"/>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2016 As-Reported (GAAP)</w:t>
            </w:r>
          </w:p>
        </w:tc>
        <w:tc>
          <w:tcPr>
            <w:tcW w:w="1152" w:type="dxa"/>
            <w:gridSpan w:val="2"/>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 Change (GAAP)</w:t>
            </w:r>
          </w:p>
        </w:tc>
        <w:tc>
          <w:tcPr>
            <w:tcW w:w="1152" w:type="dxa"/>
            <w:gridSpan w:val="2"/>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Currency Impact</w:t>
            </w:r>
          </w:p>
        </w:tc>
        <w:tc>
          <w:tcPr>
            <w:tcW w:w="1152" w:type="dxa"/>
            <w:gridSpan w:val="3"/>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 xml:space="preserve">2017 </w:t>
            </w:r>
          </w:p>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Currency-Neutral (non-GAAP)</w:t>
            </w:r>
          </w:p>
        </w:tc>
        <w:tc>
          <w:tcPr>
            <w:tcW w:w="1152" w:type="dxa"/>
            <w:gridSpan w:val="2"/>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 Change (non-GAAP)</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b/>
                <w:sz w:val="16"/>
                <w:szCs w:val="16"/>
              </w:rPr>
            </w:pPr>
            <w:r w:rsidRPr="00E31E3D">
              <w:rPr>
                <w:rFonts w:ascii="Arial" w:hAnsi="Arial" w:cs="Arial"/>
                <w:b/>
                <w:sz w:val="16"/>
                <w:szCs w:val="16"/>
              </w:rPr>
              <w:t>Average Revenue Per Piece: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International Package: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Domestic</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6.31</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5.57</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13.3%</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$(0.45)</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5.86</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5.2%</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Export</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28.50</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29.50</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-3.4%</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0.28</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28.78</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-2.4%</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Total International Package</w:t>
            </w:r>
          </w:p>
        </w:tc>
        <w:tc>
          <w:tcPr>
            <w:tcW w:w="1152" w:type="dxa"/>
            <w:gridSpan w:val="2"/>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16.57</w:t>
            </w:r>
          </w:p>
        </w:tc>
        <w:tc>
          <w:tcPr>
            <w:tcW w:w="1152" w:type="dxa"/>
            <w:gridSpan w:val="3"/>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15.90</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4.2%</w:t>
            </w:r>
          </w:p>
        </w:tc>
        <w:tc>
          <w:tcPr>
            <w:tcW w:w="1152" w:type="dxa"/>
            <w:gridSpan w:val="2"/>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$(0.12)</w:t>
            </w:r>
          </w:p>
        </w:tc>
        <w:tc>
          <w:tcPr>
            <w:tcW w:w="1152" w:type="dxa"/>
            <w:gridSpan w:val="3"/>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16.45</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3.5%</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p>
        </w:tc>
        <w:tc>
          <w:tcPr>
            <w:tcW w:w="1152" w:type="dxa"/>
            <w:gridSpan w:val="2"/>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Consolidated</w:t>
            </w:r>
          </w:p>
        </w:tc>
        <w:tc>
          <w:tcPr>
            <w:tcW w:w="1152" w:type="dxa"/>
            <w:gridSpan w:val="2"/>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10.19</w:t>
            </w:r>
          </w:p>
        </w:tc>
        <w:tc>
          <w:tcPr>
            <w:tcW w:w="1152" w:type="dxa"/>
            <w:gridSpan w:val="3"/>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9.85</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3.5%</w:t>
            </w:r>
          </w:p>
        </w:tc>
        <w:tc>
          <w:tcPr>
            <w:tcW w:w="1152" w:type="dxa"/>
            <w:gridSpan w:val="2"/>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$(0.02)</w:t>
            </w:r>
          </w:p>
        </w:tc>
        <w:tc>
          <w:tcPr>
            <w:tcW w:w="1152" w:type="dxa"/>
            <w:gridSpan w:val="3"/>
            <w:tcBorders>
              <w:top w:val="nil"/>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10.17</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3.2%</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b/>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b/>
                <w:sz w:val="16"/>
                <w:szCs w:val="16"/>
              </w:rPr>
            </w:pPr>
            <w:r w:rsidRPr="00E31E3D">
              <w:rPr>
                <w:rFonts w:ascii="Arial" w:hAnsi="Arial" w:cs="Arial"/>
                <w:b/>
                <w:sz w:val="16"/>
                <w:szCs w:val="16"/>
              </w:rPr>
              <w:t>Revenue: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U.S. Domestic Package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11,835</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10,913</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8.4%</w:t>
            </w:r>
          </w:p>
        </w:tc>
        <w:tc>
          <w:tcPr>
            <w:tcW w:w="1152" w:type="dxa"/>
            <w:gridSpan w:val="2"/>
            <w:tcBorders>
              <w:top w:val="nil"/>
              <w:left w:val="nil"/>
              <w:bottom w:val="nil"/>
              <w:right w:val="nil"/>
            </w:tcBorders>
          </w:tcPr>
          <w:p w:rsidR="001B2EED" w:rsidRPr="00E31E3D" w:rsidRDefault="001B2EED" w:rsidP="005D1240">
            <w:pPr>
              <w:rPr>
                <w:rFonts w:ascii="Arial" w:hAnsi="Arial" w:cs="Arial"/>
                <w:sz w:val="16"/>
                <w:szCs w:val="16"/>
              </w:rPr>
            </w:pPr>
            <w:r w:rsidRPr="00E31E3D">
              <w:rPr>
                <w:rFonts w:ascii="Arial" w:hAnsi="Arial" w:cs="Arial"/>
                <w:sz w:val="16"/>
                <w:szCs w:val="16"/>
              </w:rPr>
              <w:t xml:space="preserve">         $      -</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11,835</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8.4%</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International Package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3,753</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3,335</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12.5%</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(27)</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3,726</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11.7%</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Supply Chain &amp; Freight</w:t>
            </w:r>
          </w:p>
        </w:tc>
        <w:tc>
          <w:tcPr>
            <w:tcW w:w="1152" w:type="dxa"/>
            <w:gridSpan w:val="2"/>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3,241</w:t>
            </w:r>
          </w:p>
        </w:tc>
        <w:tc>
          <w:tcPr>
            <w:tcW w:w="1152" w:type="dxa"/>
            <w:gridSpan w:val="3"/>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2,683</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20.8%</w:t>
            </w:r>
          </w:p>
        </w:tc>
        <w:tc>
          <w:tcPr>
            <w:tcW w:w="1152" w:type="dxa"/>
            <w:gridSpan w:val="2"/>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(25)</w:t>
            </w:r>
          </w:p>
        </w:tc>
        <w:tc>
          <w:tcPr>
            <w:tcW w:w="1152" w:type="dxa"/>
            <w:gridSpan w:val="3"/>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3,216</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19.9%</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Total revenue</w:t>
            </w:r>
          </w:p>
        </w:tc>
        <w:tc>
          <w:tcPr>
            <w:tcW w:w="1152" w:type="dxa"/>
            <w:gridSpan w:val="2"/>
            <w:tcBorders>
              <w:top w:val="single" w:sz="4" w:space="0" w:color="auto"/>
              <w:left w:val="nil"/>
              <w:bottom w:val="double" w:sz="4" w:space="0" w:color="auto"/>
              <w:right w:val="nil"/>
            </w:tcBorders>
          </w:tcPr>
          <w:p w:rsidR="001B2EED" w:rsidRPr="00E31E3D" w:rsidRDefault="001B2EED" w:rsidP="005D1240">
            <w:pPr>
              <w:jc w:val="right"/>
              <w:rPr>
                <w:rFonts w:ascii="Arial" w:hAnsi="Arial" w:cs="Arial"/>
                <w:sz w:val="16"/>
                <w:szCs w:val="16"/>
              </w:rPr>
            </w:pPr>
            <w:r w:rsidRPr="00E31E3D">
              <w:rPr>
                <w:rFonts w:ascii="Arial" w:hAnsi="Arial" w:cs="Arial"/>
                <w:sz w:val="16"/>
                <w:szCs w:val="16"/>
              </w:rPr>
              <w:t>$  18,829</w:t>
            </w:r>
          </w:p>
        </w:tc>
        <w:tc>
          <w:tcPr>
            <w:tcW w:w="1152" w:type="dxa"/>
            <w:gridSpan w:val="3"/>
            <w:tcBorders>
              <w:top w:val="single" w:sz="4" w:space="0" w:color="auto"/>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16,931</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11.2%</w:t>
            </w:r>
          </w:p>
        </w:tc>
        <w:tc>
          <w:tcPr>
            <w:tcW w:w="1152" w:type="dxa"/>
            <w:gridSpan w:val="2"/>
            <w:tcBorders>
              <w:top w:val="single" w:sz="4" w:space="0" w:color="auto"/>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(52)</w:t>
            </w:r>
          </w:p>
        </w:tc>
        <w:tc>
          <w:tcPr>
            <w:tcW w:w="1152" w:type="dxa"/>
            <w:gridSpan w:val="3"/>
            <w:tcBorders>
              <w:top w:val="single" w:sz="4" w:space="0" w:color="auto"/>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18,777</w:t>
            </w:r>
          </w:p>
        </w:tc>
        <w:tc>
          <w:tcPr>
            <w:tcW w:w="1152" w:type="dxa"/>
            <w:gridSpan w:val="2"/>
            <w:tcBorders>
              <w:top w:val="nil"/>
              <w:left w:val="nil"/>
              <w:bottom w:val="nil"/>
              <w:right w:val="nil"/>
            </w:tcBorders>
          </w:tcPr>
          <w:p w:rsidR="001B2EED" w:rsidRPr="00E31E3D" w:rsidRDefault="001B2EED" w:rsidP="005D1240">
            <w:pPr>
              <w:tabs>
                <w:tab w:val="left" w:pos="344"/>
                <w:tab w:val="left" w:pos="539"/>
              </w:tabs>
              <w:autoSpaceDE w:val="0"/>
              <w:autoSpaceDN w:val="0"/>
              <w:adjustRightInd w:val="0"/>
              <w:jc w:val="right"/>
              <w:rPr>
                <w:rFonts w:ascii="Arial" w:hAnsi="Arial" w:cs="Arial"/>
                <w:sz w:val="16"/>
                <w:szCs w:val="16"/>
              </w:rPr>
            </w:pPr>
            <w:r w:rsidRPr="00E31E3D">
              <w:rPr>
                <w:rFonts w:ascii="Arial" w:hAnsi="Arial" w:cs="Arial"/>
                <w:sz w:val="16"/>
                <w:szCs w:val="16"/>
              </w:rPr>
              <w:t>10.9%</w:t>
            </w:r>
          </w:p>
        </w:tc>
      </w:tr>
      <w:tr w:rsidR="001B2EED" w:rsidRPr="00E31E3D" w:rsidTr="005D1240">
        <w:trPr>
          <w:gridAfter w:val="1"/>
          <w:wAfter w:w="522" w:type="dxa"/>
        </w:trPr>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3"/>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277" w:type="dxa"/>
            <w:gridSpan w:val="3"/>
            <w:tcBorders>
              <w:top w:val="doub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853"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4A4494">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b/>
                <w:sz w:val="16"/>
                <w:szCs w:val="16"/>
              </w:rPr>
            </w:pPr>
          </w:p>
        </w:tc>
        <w:tc>
          <w:tcPr>
            <w:tcW w:w="1152" w:type="dxa"/>
            <w:gridSpan w:val="2"/>
            <w:tcBorders>
              <w:top w:val="nil"/>
              <w:left w:val="nil"/>
              <w:bottom w:val="single" w:sz="4" w:space="0" w:color="auto"/>
              <w:right w:val="nil"/>
            </w:tcBorders>
          </w:tcPr>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r w:rsidRPr="00E31E3D">
              <w:rPr>
                <w:rFonts w:ascii="Arial" w:hAnsi="Arial" w:cs="Arial"/>
                <w:b/>
                <w:sz w:val="16"/>
                <w:szCs w:val="16"/>
              </w:rPr>
              <w:t xml:space="preserve">2017 As-Adjusted   </w:t>
            </w:r>
          </w:p>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b/>
                <w:sz w:val="16"/>
                <w:szCs w:val="16"/>
              </w:rPr>
              <w:t xml:space="preserve">(non-GAAP)        </w:t>
            </w:r>
          </w:p>
        </w:tc>
        <w:tc>
          <w:tcPr>
            <w:tcW w:w="1152" w:type="dxa"/>
            <w:gridSpan w:val="3"/>
            <w:tcBorders>
              <w:top w:val="nil"/>
              <w:left w:val="nil"/>
              <w:bottom w:val="single" w:sz="4" w:space="0" w:color="auto"/>
              <w:right w:val="nil"/>
            </w:tcBorders>
          </w:tcPr>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r w:rsidRPr="00E31E3D">
              <w:rPr>
                <w:rFonts w:ascii="Arial" w:hAnsi="Arial" w:cs="Arial"/>
                <w:b/>
                <w:sz w:val="16"/>
                <w:szCs w:val="16"/>
              </w:rPr>
              <w:t xml:space="preserve">2016 As-Adjusted   </w:t>
            </w:r>
          </w:p>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b/>
                <w:sz w:val="16"/>
                <w:szCs w:val="16"/>
              </w:rPr>
              <w:t xml:space="preserve">(non-GAAP)        </w:t>
            </w:r>
          </w:p>
        </w:tc>
        <w:tc>
          <w:tcPr>
            <w:tcW w:w="1152" w:type="dxa"/>
            <w:gridSpan w:val="2"/>
            <w:tcBorders>
              <w:top w:val="nil"/>
              <w:left w:val="nil"/>
              <w:bottom w:val="single" w:sz="4" w:space="0" w:color="auto"/>
              <w:right w:val="nil"/>
            </w:tcBorders>
          </w:tcPr>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b/>
                <w:sz w:val="16"/>
                <w:szCs w:val="16"/>
              </w:rPr>
              <w:t>% Change (non-GAAP)</w:t>
            </w:r>
          </w:p>
        </w:tc>
        <w:tc>
          <w:tcPr>
            <w:tcW w:w="1152" w:type="dxa"/>
            <w:gridSpan w:val="2"/>
            <w:tcBorders>
              <w:top w:val="nil"/>
              <w:left w:val="nil"/>
              <w:bottom w:val="single" w:sz="4" w:space="0" w:color="auto"/>
              <w:right w:val="nil"/>
            </w:tcBorders>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Currency Impact</w:t>
            </w:r>
          </w:p>
        </w:tc>
        <w:tc>
          <w:tcPr>
            <w:tcW w:w="1152" w:type="dxa"/>
            <w:gridSpan w:val="3"/>
            <w:tcBorders>
              <w:top w:val="nil"/>
              <w:left w:val="nil"/>
              <w:bottom w:val="single" w:sz="4" w:space="0" w:color="auto"/>
              <w:right w:val="nil"/>
            </w:tcBorders>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 xml:space="preserve">2017 </w:t>
            </w:r>
          </w:p>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As-Adjusted Currency-Neutral (non-GAAP)</w:t>
            </w:r>
          </w:p>
        </w:tc>
        <w:tc>
          <w:tcPr>
            <w:tcW w:w="1152" w:type="dxa"/>
            <w:gridSpan w:val="2"/>
            <w:tcBorders>
              <w:top w:val="nil"/>
              <w:left w:val="nil"/>
              <w:bottom w:val="single" w:sz="4" w:space="0" w:color="auto"/>
              <w:right w:val="nil"/>
            </w:tcBorders>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 Change (non-GAAP)</w:t>
            </w:r>
          </w:p>
        </w:tc>
      </w:tr>
      <w:tr w:rsidR="001B2EED" w:rsidRPr="00E31E3D" w:rsidTr="004A4494">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b/>
                <w:sz w:val="16"/>
                <w:szCs w:val="16"/>
              </w:rPr>
            </w:pPr>
            <w:r w:rsidRPr="00E31E3D">
              <w:rPr>
                <w:rFonts w:ascii="Arial" w:hAnsi="Arial" w:cs="Arial"/>
                <w:b/>
                <w:sz w:val="16"/>
                <w:szCs w:val="16"/>
              </w:rPr>
              <w:t>As-Adjusted Operating Profit:</w:t>
            </w:r>
          </w:p>
        </w:tc>
        <w:tc>
          <w:tcPr>
            <w:tcW w:w="1152" w:type="dxa"/>
            <w:gridSpan w:val="2"/>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3"/>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U.S. Domestic Package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1,264</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1,338</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-5.5%</w:t>
            </w:r>
          </w:p>
        </w:tc>
        <w:tc>
          <w:tcPr>
            <w:tcW w:w="1152" w:type="dxa"/>
            <w:gridSpan w:val="2"/>
            <w:tcBorders>
              <w:top w:val="nil"/>
              <w:left w:val="nil"/>
              <w:bottom w:val="nil"/>
              <w:right w:val="nil"/>
            </w:tcBorders>
          </w:tcPr>
          <w:p w:rsidR="001B2EED" w:rsidRPr="00E31E3D" w:rsidRDefault="001B2EED" w:rsidP="005D1240">
            <w:pPr>
              <w:rPr>
                <w:rFonts w:ascii="Arial" w:hAnsi="Arial" w:cs="Arial"/>
                <w:sz w:val="16"/>
                <w:szCs w:val="16"/>
              </w:rPr>
            </w:pPr>
            <w:r w:rsidRPr="00E31E3D">
              <w:rPr>
                <w:rFonts w:ascii="Arial" w:hAnsi="Arial" w:cs="Arial"/>
                <w:sz w:val="16"/>
                <w:szCs w:val="16"/>
              </w:rPr>
              <w:t xml:space="preserve">         $      -</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1,264</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-5.5%</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International Package</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760</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706</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7.6%</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80</w:t>
            </w:r>
          </w:p>
        </w:tc>
        <w:tc>
          <w:tcPr>
            <w:tcW w:w="1152"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840</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19.0%</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Supply Chain &amp; Freight</w:t>
            </w:r>
          </w:p>
        </w:tc>
        <w:tc>
          <w:tcPr>
            <w:tcW w:w="1152" w:type="dxa"/>
            <w:gridSpan w:val="2"/>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270</w:t>
            </w:r>
          </w:p>
        </w:tc>
        <w:tc>
          <w:tcPr>
            <w:tcW w:w="1152" w:type="dxa"/>
            <w:gridSpan w:val="3"/>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179</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50.8%</w:t>
            </w:r>
          </w:p>
        </w:tc>
        <w:tc>
          <w:tcPr>
            <w:tcW w:w="1152" w:type="dxa"/>
            <w:gridSpan w:val="2"/>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xml:space="preserve">      1</w:t>
            </w:r>
          </w:p>
        </w:tc>
        <w:tc>
          <w:tcPr>
            <w:tcW w:w="1152" w:type="dxa"/>
            <w:gridSpan w:val="3"/>
            <w:tcBorders>
              <w:top w:val="nil"/>
              <w:left w:val="nil"/>
              <w:bottom w:val="sing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271</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51.4%</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Total operating profit</w:t>
            </w:r>
          </w:p>
        </w:tc>
        <w:tc>
          <w:tcPr>
            <w:tcW w:w="1152" w:type="dxa"/>
            <w:gridSpan w:val="2"/>
            <w:tcBorders>
              <w:top w:val="single" w:sz="4" w:space="0" w:color="auto"/>
              <w:left w:val="nil"/>
              <w:bottom w:val="double" w:sz="4" w:space="0" w:color="auto"/>
              <w:right w:val="nil"/>
            </w:tcBorders>
          </w:tcPr>
          <w:p w:rsidR="001B2EED" w:rsidRPr="00E31E3D" w:rsidRDefault="001B2EED" w:rsidP="005D1240">
            <w:pPr>
              <w:jc w:val="right"/>
              <w:rPr>
                <w:rFonts w:ascii="Arial" w:hAnsi="Arial" w:cs="Arial"/>
                <w:sz w:val="16"/>
                <w:szCs w:val="16"/>
              </w:rPr>
            </w:pPr>
            <w:r w:rsidRPr="00E31E3D">
              <w:rPr>
                <w:rFonts w:ascii="Arial" w:hAnsi="Arial" w:cs="Arial"/>
                <w:sz w:val="16"/>
                <w:szCs w:val="16"/>
              </w:rPr>
              <w:t>$  2,294</w:t>
            </w:r>
          </w:p>
        </w:tc>
        <w:tc>
          <w:tcPr>
            <w:tcW w:w="1152" w:type="dxa"/>
            <w:gridSpan w:val="3"/>
            <w:tcBorders>
              <w:top w:val="single" w:sz="4" w:space="0" w:color="auto"/>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2,223</w:t>
            </w:r>
          </w:p>
        </w:tc>
        <w:tc>
          <w:tcPr>
            <w:tcW w:w="1152"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3.2%</w:t>
            </w:r>
          </w:p>
        </w:tc>
        <w:tc>
          <w:tcPr>
            <w:tcW w:w="1152" w:type="dxa"/>
            <w:gridSpan w:val="2"/>
            <w:tcBorders>
              <w:top w:val="single" w:sz="4" w:space="0" w:color="auto"/>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81</w:t>
            </w:r>
          </w:p>
        </w:tc>
        <w:tc>
          <w:tcPr>
            <w:tcW w:w="1152" w:type="dxa"/>
            <w:gridSpan w:val="3"/>
            <w:tcBorders>
              <w:top w:val="single" w:sz="4" w:space="0" w:color="auto"/>
              <w:left w:val="nil"/>
              <w:bottom w:val="double" w:sz="4" w:space="0" w:color="auto"/>
              <w:right w:val="nil"/>
            </w:tcBorders>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2,375</w:t>
            </w:r>
          </w:p>
        </w:tc>
        <w:tc>
          <w:tcPr>
            <w:tcW w:w="1152" w:type="dxa"/>
            <w:gridSpan w:val="2"/>
            <w:tcBorders>
              <w:top w:val="nil"/>
              <w:left w:val="nil"/>
              <w:bottom w:val="nil"/>
              <w:right w:val="nil"/>
            </w:tcBorders>
          </w:tcPr>
          <w:p w:rsidR="001B2EED" w:rsidRPr="00E31E3D" w:rsidRDefault="001B2EED" w:rsidP="005D1240">
            <w:pPr>
              <w:tabs>
                <w:tab w:val="left" w:pos="344"/>
                <w:tab w:val="left" w:pos="539"/>
              </w:tabs>
              <w:autoSpaceDE w:val="0"/>
              <w:autoSpaceDN w:val="0"/>
              <w:adjustRightInd w:val="0"/>
              <w:jc w:val="right"/>
              <w:rPr>
                <w:rFonts w:ascii="Arial" w:hAnsi="Arial" w:cs="Arial"/>
                <w:sz w:val="16"/>
                <w:szCs w:val="16"/>
              </w:rPr>
            </w:pPr>
            <w:r w:rsidRPr="00E31E3D">
              <w:rPr>
                <w:rFonts w:ascii="Arial" w:hAnsi="Arial" w:cs="Arial"/>
                <w:sz w:val="16"/>
                <w:szCs w:val="16"/>
              </w:rPr>
              <w:t>6.8%</w:t>
            </w:r>
          </w:p>
        </w:tc>
      </w:tr>
      <w:tr w:rsidR="001B2EED" w:rsidRPr="00E31E3D" w:rsidTr="005D1240">
        <w:trPr>
          <w:gridAfter w:val="1"/>
          <w:wAfter w:w="522" w:type="dxa"/>
        </w:trPr>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p>
        </w:tc>
        <w:tc>
          <w:tcPr>
            <w:tcW w:w="1065" w:type="dxa"/>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1277" w:type="dxa"/>
            <w:gridSpan w:val="3"/>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c>
          <w:tcPr>
            <w:tcW w:w="853" w:type="dxa"/>
            <w:gridSpan w:val="2"/>
            <w:tcBorders>
              <w:top w:val="nil"/>
              <w:left w:val="nil"/>
              <w:bottom w:val="nil"/>
              <w:right w:val="nil"/>
            </w:tcBorders>
          </w:tcPr>
          <w:p w:rsidR="001B2EED" w:rsidRPr="00E31E3D" w:rsidRDefault="001B2EED" w:rsidP="005D1240">
            <w:pPr>
              <w:autoSpaceDE w:val="0"/>
              <w:autoSpaceDN w:val="0"/>
              <w:adjustRightInd w:val="0"/>
              <w:jc w:val="right"/>
              <w:rPr>
                <w:rFonts w:ascii="Arial" w:hAnsi="Arial" w:cs="Arial"/>
                <w:sz w:val="16"/>
                <w:szCs w:val="16"/>
              </w:rPr>
            </w:pPr>
          </w:p>
        </w:tc>
      </w:tr>
    </w:tbl>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Pr="00E31E3D" w:rsidRDefault="001B2EED" w:rsidP="001B2EED">
      <w:pPr>
        <w:autoSpaceDE w:val="0"/>
        <w:autoSpaceDN w:val="0"/>
        <w:adjustRightInd w:val="0"/>
        <w:ind w:firstLine="720"/>
        <w:rPr>
          <w:rFonts w:ascii="Arial" w:hAnsi="Arial" w:cs="Arial"/>
          <w:b/>
          <w:sz w:val="20"/>
          <w:szCs w:val="20"/>
        </w:rPr>
      </w:pPr>
    </w:p>
    <w:p w:rsidR="001B2EED" w:rsidRDefault="001B2EED">
      <w:pPr>
        <w:rPr>
          <w:rFonts w:ascii="Arial" w:hAnsi="Arial" w:cs="Arial"/>
          <w:b/>
          <w:sz w:val="20"/>
          <w:szCs w:val="20"/>
        </w:rPr>
      </w:pPr>
      <w:r>
        <w:rPr>
          <w:rFonts w:ascii="Arial" w:hAnsi="Arial" w:cs="Arial"/>
          <w:b/>
          <w:sz w:val="20"/>
          <w:szCs w:val="20"/>
        </w:rPr>
        <w:br w:type="page"/>
      </w:r>
    </w:p>
    <w:p w:rsidR="001B2EED" w:rsidRPr="00E31E3D" w:rsidRDefault="001B2EED" w:rsidP="001B2EED">
      <w:pPr>
        <w:jc w:val="center"/>
        <w:rPr>
          <w:rFonts w:ascii="Arial" w:hAnsi="Arial" w:cs="Arial"/>
          <w:b/>
          <w:sz w:val="20"/>
          <w:szCs w:val="20"/>
        </w:rPr>
      </w:pPr>
      <w:r w:rsidRPr="00E31E3D">
        <w:rPr>
          <w:rFonts w:ascii="Arial" w:hAnsi="Arial" w:cs="Arial"/>
          <w:b/>
          <w:sz w:val="20"/>
          <w:szCs w:val="20"/>
        </w:rPr>
        <w:lastRenderedPageBreak/>
        <w:t xml:space="preserve">Reconciliation of GAAP and non-GAAP Revenue, Revenue Per Piece and As-Adjusted Currency Neutral Operating Profit </w:t>
      </w:r>
    </w:p>
    <w:p w:rsidR="001B2EED" w:rsidRPr="00E31E3D" w:rsidRDefault="001B2EED" w:rsidP="001B2EED">
      <w:pPr>
        <w:jc w:val="center"/>
        <w:rPr>
          <w:rFonts w:ascii="Arial" w:hAnsi="Arial" w:cs="Arial"/>
          <w:b/>
          <w:sz w:val="20"/>
          <w:szCs w:val="20"/>
        </w:rPr>
      </w:pPr>
      <w:r w:rsidRPr="00E31E3D">
        <w:rPr>
          <w:rFonts w:ascii="Arial" w:hAnsi="Arial" w:cs="Arial"/>
          <w:b/>
          <w:sz w:val="20"/>
          <w:szCs w:val="20"/>
        </w:rPr>
        <w:t>(in millions, except Per Piece amounts):</w:t>
      </w:r>
    </w:p>
    <w:p w:rsidR="001B2EED" w:rsidRPr="00E31E3D" w:rsidRDefault="001B2EED" w:rsidP="001B2EED">
      <w:pPr>
        <w:shd w:val="clear" w:color="auto" w:fill="FFFFFF" w:themeFill="background1"/>
        <w:rPr>
          <w:rFonts w:ascii="Arial" w:hAnsi="Arial" w:cs="Arial"/>
          <w:sz w:val="18"/>
          <w:szCs w:val="20"/>
        </w:rPr>
      </w:pPr>
    </w:p>
    <w:tbl>
      <w:tblPr>
        <w:tblStyle w:val="TableGrid"/>
        <w:tblpPr w:leftFromText="180" w:rightFromText="180" w:vertAnchor="text" w:tblpY="1"/>
        <w:tblOverlap w:val="never"/>
        <w:tblW w:w="9920" w:type="dxa"/>
        <w:tblLayout w:type="fixed"/>
        <w:tblLook w:val="04A0" w:firstRow="1" w:lastRow="0" w:firstColumn="1" w:lastColumn="0" w:noHBand="0" w:noVBand="1"/>
      </w:tblPr>
      <w:tblGrid>
        <w:gridCol w:w="3008"/>
        <w:gridCol w:w="1152"/>
        <w:gridCol w:w="468"/>
        <w:gridCol w:w="684"/>
        <w:gridCol w:w="891"/>
        <w:gridCol w:w="261"/>
        <w:gridCol w:w="1152"/>
        <w:gridCol w:w="184"/>
        <w:gridCol w:w="968"/>
        <w:gridCol w:w="630"/>
        <w:gridCol w:w="522"/>
      </w:tblGrid>
      <w:tr w:rsidR="001B2EED" w:rsidRPr="00E31E3D" w:rsidTr="005D1240">
        <w:trPr>
          <w:gridAfter w:val="1"/>
          <w:wAfter w:w="522" w:type="dxa"/>
        </w:trPr>
        <w:tc>
          <w:tcPr>
            <w:tcW w:w="9398" w:type="dxa"/>
            <w:gridSpan w:val="10"/>
            <w:tcBorders>
              <w:top w:val="single" w:sz="4" w:space="0" w:color="auto"/>
              <w:left w:val="single" w:sz="4" w:space="0" w:color="auto"/>
              <w:bottom w:val="single" w:sz="4" w:space="0" w:color="auto"/>
              <w:right w:val="single" w:sz="4" w:space="0" w:color="auto"/>
            </w:tcBorders>
          </w:tcPr>
          <w:p w:rsidR="001B2EED" w:rsidRPr="00E31E3D" w:rsidRDefault="001B2EED" w:rsidP="005D1240">
            <w:pPr>
              <w:shd w:val="clear" w:color="auto" w:fill="FFFFFF" w:themeFill="background1"/>
              <w:autoSpaceDE w:val="0"/>
              <w:autoSpaceDN w:val="0"/>
              <w:adjustRightInd w:val="0"/>
              <w:jc w:val="center"/>
              <w:rPr>
                <w:rFonts w:ascii="Arial" w:hAnsi="Arial" w:cs="Arial"/>
                <w:b/>
                <w:sz w:val="18"/>
                <w:szCs w:val="20"/>
              </w:rPr>
            </w:pPr>
            <w:r w:rsidRPr="00E31E3D">
              <w:rPr>
                <w:rFonts w:ascii="Arial" w:hAnsi="Arial" w:cs="Arial"/>
                <w:b/>
                <w:sz w:val="18"/>
                <w:szCs w:val="20"/>
              </w:rPr>
              <w:t>Year Ended December 31</w:t>
            </w:r>
          </w:p>
        </w:tc>
      </w:tr>
      <w:tr w:rsidR="001B2EED" w:rsidRPr="00E31E3D" w:rsidTr="005D1240">
        <w:trPr>
          <w:gridAfter w:val="1"/>
          <w:wAfter w:w="522" w:type="dxa"/>
        </w:trPr>
        <w:tc>
          <w:tcPr>
            <w:tcW w:w="3008" w:type="dxa"/>
            <w:tcBorders>
              <w:top w:val="single" w:sz="4" w:space="0" w:color="auto"/>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8"/>
                <w:szCs w:val="20"/>
              </w:rPr>
            </w:pPr>
          </w:p>
        </w:tc>
        <w:tc>
          <w:tcPr>
            <w:tcW w:w="1597" w:type="dxa"/>
            <w:gridSpan w:val="3"/>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8"/>
                <w:szCs w:val="20"/>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p>
        </w:tc>
        <w:tc>
          <w:tcPr>
            <w:tcW w:w="1152" w:type="dxa"/>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2017 As-Reported (GAAP)</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2016 As-Reported (GAAP)</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 Change (GAAP)</w:t>
            </w:r>
          </w:p>
        </w:tc>
        <w:tc>
          <w:tcPr>
            <w:tcW w:w="1152" w:type="dxa"/>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Currency Impact</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 xml:space="preserve">2017 </w:t>
            </w:r>
          </w:p>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Currency-Neutral (non-GAAP)</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 Change (non-GAAP)</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b/>
                <w:sz w:val="16"/>
                <w:szCs w:val="16"/>
              </w:rPr>
            </w:pPr>
            <w:r w:rsidRPr="00E31E3D">
              <w:rPr>
                <w:rFonts w:ascii="Arial" w:hAnsi="Arial" w:cs="Arial"/>
                <w:b/>
                <w:sz w:val="16"/>
                <w:szCs w:val="16"/>
              </w:rPr>
              <w:t>Average Revenue Per Piece:</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International Package:</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Domestic</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6.08</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5.85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3.9%</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$(0.03)</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6.05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3.4%</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Export</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28.69</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30.38</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-5.6%</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0.95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29.64</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-2.4%</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Total International Package</w:t>
            </w:r>
          </w:p>
        </w:tc>
        <w:tc>
          <w:tcPr>
            <w:tcW w:w="1152" w:type="dxa"/>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16.22</w:t>
            </w:r>
          </w:p>
        </w:tc>
        <w:tc>
          <w:tcPr>
            <w:tcW w:w="1152" w:type="dxa"/>
            <w:gridSpan w:val="2"/>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16.29</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-0.4%</w:t>
            </w:r>
          </w:p>
        </w:tc>
        <w:tc>
          <w:tcPr>
            <w:tcW w:w="1152" w:type="dxa"/>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0.41</w:t>
            </w:r>
          </w:p>
        </w:tc>
        <w:tc>
          <w:tcPr>
            <w:tcW w:w="1152" w:type="dxa"/>
            <w:gridSpan w:val="2"/>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16.63</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2.1%</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p>
        </w:tc>
        <w:tc>
          <w:tcPr>
            <w:tcW w:w="1152" w:type="dxa"/>
            <w:tcBorders>
              <w:top w:val="doub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doub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tcBorders>
              <w:top w:val="doub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doub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Consolidated</w:t>
            </w:r>
          </w:p>
        </w:tc>
        <w:tc>
          <w:tcPr>
            <w:tcW w:w="1152" w:type="dxa"/>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10.53</w:t>
            </w:r>
          </w:p>
        </w:tc>
        <w:tc>
          <w:tcPr>
            <w:tcW w:w="1152" w:type="dxa"/>
            <w:gridSpan w:val="2"/>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10.30</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2.2%</w:t>
            </w:r>
          </w:p>
        </w:tc>
        <w:tc>
          <w:tcPr>
            <w:tcW w:w="1152" w:type="dxa"/>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0.06</w:t>
            </w:r>
          </w:p>
        </w:tc>
        <w:tc>
          <w:tcPr>
            <w:tcW w:w="1152" w:type="dxa"/>
            <w:gridSpan w:val="2"/>
            <w:tcBorders>
              <w:top w:val="nil"/>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10.59</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2.8%</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b/>
                <w:sz w:val="16"/>
                <w:szCs w:val="16"/>
              </w:rPr>
            </w:pP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b/>
                <w:sz w:val="16"/>
                <w:szCs w:val="16"/>
              </w:rPr>
            </w:pPr>
            <w:r w:rsidRPr="00E31E3D">
              <w:rPr>
                <w:rFonts w:ascii="Arial" w:hAnsi="Arial" w:cs="Arial"/>
                <w:b/>
                <w:sz w:val="16"/>
                <w:szCs w:val="16"/>
              </w:rPr>
              <w:t>Revenue:</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U.S. Domestic Package</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40,764</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38,301</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6.4%</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rPr>
                <w:rFonts w:ascii="Arial" w:hAnsi="Arial" w:cs="Arial"/>
                <w:sz w:val="16"/>
                <w:szCs w:val="16"/>
              </w:rPr>
            </w:pPr>
            <w:r w:rsidRPr="00E31E3D">
              <w:rPr>
                <w:rFonts w:ascii="Arial" w:hAnsi="Arial" w:cs="Arial"/>
                <w:sz w:val="16"/>
                <w:szCs w:val="16"/>
              </w:rPr>
              <w:t xml:space="preserve">         $      -</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40,764</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6.4%</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International Package</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13,338</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12,350</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8.0%</w:t>
            </w:r>
          </w:p>
        </w:tc>
        <w:tc>
          <w:tcPr>
            <w:tcW w:w="1152" w:type="dxa"/>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325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13,663</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10.6%</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Supply Chain &amp; Freight</w:t>
            </w:r>
          </w:p>
        </w:tc>
        <w:tc>
          <w:tcPr>
            <w:tcW w:w="1152" w:type="dxa"/>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11,770</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10,255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14.8%</w:t>
            </w:r>
          </w:p>
        </w:tc>
        <w:tc>
          <w:tcPr>
            <w:tcW w:w="1152" w:type="dxa"/>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(10)</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11,760</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14.7%</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Total revenue</w:t>
            </w:r>
          </w:p>
        </w:tc>
        <w:tc>
          <w:tcPr>
            <w:tcW w:w="1152" w:type="dxa"/>
            <w:tcBorders>
              <w:top w:val="single" w:sz="4" w:space="0" w:color="auto"/>
              <w:left w:val="nil"/>
              <w:bottom w:val="double" w:sz="4" w:space="0" w:color="auto"/>
              <w:right w:val="nil"/>
            </w:tcBorders>
            <w:shd w:val="clear" w:color="auto" w:fill="auto"/>
          </w:tcPr>
          <w:p w:rsidR="001B2EED" w:rsidRPr="00E31E3D" w:rsidRDefault="001B2EED" w:rsidP="005D1240">
            <w:pPr>
              <w:shd w:val="clear" w:color="auto" w:fill="FFFFFF" w:themeFill="background1"/>
              <w:jc w:val="right"/>
              <w:rPr>
                <w:rFonts w:ascii="Arial" w:hAnsi="Arial" w:cs="Arial"/>
                <w:sz w:val="16"/>
                <w:szCs w:val="16"/>
              </w:rPr>
            </w:pPr>
            <w:r w:rsidRPr="00E31E3D">
              <w:rPr>
                <w:rFonts w:ascii="Arial" w:hAnsi="Arial" w:cs="Arial"/>
                <w:sz w:val="16"/>
                <w:szCs w:val="16"/>
              </w:rPr>
              <w:t>$  65,872</w:t>
            </w:r>
          </w:p>
        </w:tc>
        <w:tc>
          <w:tcPr>
            <w:tcW w:w="1152" w:type="dxa"/>
            <w:gridSpan w:val="2"/>
            <w:tcBorders>
              <w:top w:val="single" w:sz="4" w:space="0" w:color="auto"/>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60,906</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8.2%</w:t>
            </w:r>
          </w:p>
        </w:tc>
        <w:tc>
          <w:tcPr>
            <w:tcW w:w="1152" w:type="dxa"/>
            <w:tcBorders>
              <w:top w:val="single" w:sz="4" w:space="0" w:color="auto"/>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315</w:t>
            </w:r>
          </w:p>
        </w:tc>
        <w:tc>
          <w:tcPr>
            <w:tcW w:w="1152" w:type="dxa"/>
            <w:gridSpan w:val="2"/>
            <w:tcBorders>
              <w:top w:val="single" w:sz="4" w:space="0" w:color="auto"/>
              <w:left w:val="nil"/>
              <w:bottom w:val="doub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66,187</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tabs>
                <w:tab w:val="left" w:pos="344"/>
                <w:tab w:val="left" w:pos="539"/>
              </w:tabs>
              <w:autoSpaceDE w:val="0"/>
              <w:autoSpaceDN w:val="0"/>
              <w:adjustRightInd w:val="0"/>
              <w:jc w:val="right"/>
              <w:rPr>
                <w:rFonts w:ascii="Arial" w:hAnsi="Arial" w:cs="Arial"/>
                <w:sz w:val="16"/>
                <w:szCs w:val="16"/>
              </w:rPr>
            </w:pPr>
            <w:r w:rsidRPr="00E31E3D">
              <w:rPr>
                <w:rFonts w:ascii="Arial" w:hAnsi="Arial" w:cs="Arial"/>
                <w:sz w:val="16"/>
                <w:szCs w:val="16"/>
              </w:rPr>
              <w:t>8.7%</w:t>
            </w:r>
          </w:p>
        </w:tc>
      </w:tr>
    </w:tbl>
    <w:p w:rsidR="001B2EED" w:rsidRPr="00E31E3D" w:rsidRDefault="001B2EED" w:rsidP="001B2EED"/>
    <w:tbl>
      <w:tblPr>
        <w:tblStyle w:val="TableGrid"/>
        <w:tblpPr w:leftFromText="180" w:rightFromText="180" w:vertAnchor="text" w:tblpY="1"/>
        <w:tblOverlap w:val="never"/>
        <w:tblW w:w="9920" w:type="dxa"/>
        <w:tblLayout w:type="fixed"/>
        <w:tblLook w:val="04A0" w:firstRow="1" w:lastRow="0" w:firstColumn="1" w:lastColumn="0" w:noHBand="0" w:noVBand="1"/>
      </w:tblPr>
      <w:tblGrid>
        <w:gridCol w:w="3008"/>
        <w:gridCol w:w="1065"/>
        <w:gridCol w:w="87"/>
        <w:gridCol w:w="978"/>
        <w:gridCol w:w="174"/>
        <w:gridCol w:w="891"/>
        <w:gridCol w:w="261"/>
        <w:gridCol w:w="804"/>
        <w:gridCol w:w="348"/>
        <w:gridCol w:w="1109"/>
        <w:gridCol w:w="43"/>
        <w:gridCol w:w="630"/>
        <w:gridCol w:w="522"/>
      </w:tblGrid>
      <w:tr w:rsidR="001B2EED" w:rsidRPr="00E31E3D" w:rsidTr="00523F7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b/>
                <w:sz w:val="16"/>
                <w:szCs w:val="16"/>
              </w:rPr>
            </w:pP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r w:rsidRPr="00E31E3D">
              <w:rPr>
                <w:rFonts w:ascii="Arial" w:hAnsi="Arial" w:cs="Arial"/>
                <w:b/>
                <w:sz w:val="16"/>
                <w:szCs w:val="16"/>
              </w:rPr>
              <w:t xml:space="preserve">2017 As-Adjusted   </w:t>
            </w:r>
          </w:p>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b/>
                <w:sz w:val="16"/>
                <w:szCs w:val="16"/>
              </w:rPr>
              <w:t xml:space="preserve">(non-GAAP)        </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r w:rsidRPr="00E31E3D">
              <w:rPr>
                <w:rFonts w:ascii="Arial" w:hAnsi="Arial" w:cs="Arial"/>
                <w:b/>
                <w:sz w:val="16"/>
                <w:szCs w:val="16"/>
              </w:rPr>
              <w:t xml:space="preserve">2016 As-Adjusted   </w:t>
            </w:r>
          </w:p>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b/>
                <w:sz w:val="16"/>
                <w:szCs w:val="16"/>
              </w:rPr>
              <w:t xml:space="preserve">(non-GAAP)        </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b/>
                <w:sz w:val="16"/>
                <w:szCs w:val="16"/>
              </w:rPr>
            </w:pPr>
          </w:p>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b/>
                <w:sz w:val="16"/>
                <w:szCs w:val="16"/>
              </w:rPr>
              <w:t>% Change (non-GAAP)</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Currency Impact</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autoSpaceDE w:val="0"/>
              <w:autoSpaceDN w:val="0"/>
              <w:adjustRightInd w:val="0"/>
              <w:jc w:val="center"/>
              <w:rPr>
                <w:rFonts w:ascii="Arial" w:hAnsi="Arial" w:cs="Arial"/>
                <w:b/>
                <w:sz w:val="16"/>
                <w:szCs w:val="16"/>
              </w:rPr>
            </w:pPr>
            <w:r w:rsidRPr="00E31E3D">
              <w:rPr>
                <w:rFonts w:ascii="Arial" w:hAnsi="Arial" w:cs="Arial"/>
                <w:b/>
                <w:sz w:val="16"/>
                <w:szCs w:val="16"/>
              </w:rPr>
              <w:t xml:space="preserve">2017 </w:t>
            </w:r>
          </w:p>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As-Adjusted Currency-Neutral (non-GAAP)</w:t>
            </w:r>
          </w:p>
        </w:tc>
        <w:tc>
          <w:tcPr>
            <w:tcW w:w="1152" w:type="dxa"/>
            <w:gridSpan w:val="2"/>
            <w:tcBorders>
              <w:top w:val="nil"/>
              <w:left w:val="nil"/>
              <w:bottom w:val="single" w:sz="4" w:space="0" w:color="auto"/>
              <w:right w:val="nil"/>
            </w:tcBorders>
            <w:shd w:val="clear" w:color="auto" w:fill="auto"/>
            <w:vAlign w:val="bottom"/>
          </w:tcPr>
          <w:p w:rsidR="001B2EED" w:rsidRPr="00E31E3D" w:rsidRDefault="001B2EED" w:rsidP="005D1240">
            <w:pPr>
              <w:shd w:val="clear" w:color="auto" w:fill="FFFFFF" w:themeFill="background1"/>
              <w:autoSpaceDE w:val="0"/>
              <w:autoSpaceDN w:val="0"/>
              <w:adjustRightInd w:val="0"/>
              <w:jc w:val="center"/>
              <w:rPr>
                <w:rFonts w:ascii="Arial" w:hAnsi="Arial" w:cs="Arial"/>
                <w:b/>
                <w:sz w:val="16"/>
                <w:szCs w:val="16"/>
              </w:rPr>
            </w:pPr>
            <w:r w:rsidRPr="00E31E3D">
              <w:rPr>
                <w:rFonts w:ascii="Arial" w:hAnsi="Arial" w:cs="Arial"/>
                <w:b/>
                <w:sz w:val="16"/>
                <w:szCs w:val="16"/>
              </w:rPr>
              <w:t>% Change (non-GAAP)</w:t>
            </w:r>
          </w:p>
        </w:tc>
      </w:tr>
      <w:tr w:rsidR="001B2EED" w:rsidRPr="00E31E3D" w:rsidTr="00523F7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b/>
                <w:sz w:val="16"/>
                <w:szCs w:val="16"/>
              </w:rPr>
            </w:pPr>
            <w:r w:rsidRPr="00E31E3D">
              <w:rPr>
                <w:rFonts w:ascii="Arial" w:hAnsi="Arial" w:cs="Arial"/>
                <w:b/>
                <w:sz w:val="16"/>
                <w:szCs w:val="16"/>
              </w:rPr>
              <w:t>As-Adjusted Operating Profit:</w:t>
            </w:r>
          </w:p>
        </w:tc>
        <w:tc>
          <w:tcPr>
            <w:tcW w:w="1152" w:type="dxa"/>
            <w:gridSpan w:val="2"/>
            <w:tcBorders>
              <w:top w:val="sing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p>
        </w:tc>
        <w:tc>
          <w:tcPr>
            <w:tcW w:w="1152" w:type="dxa"/>
            <w:gridSpan w:val="2"/>
            <w:tcBorders>
              <w:top w:val="sing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c>
          <w:tcPr>
            <w:tcW w:w="1152" w:type="dxa"/>
            <w:gridSpan w:val="2"/>
            <w:tcBorders>
              <w:top w:val="single" w:sz="4" w:space="0" w:color="auto"/>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U.S. Domestic Package</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4,917</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4,925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-0.2%</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rPr>
                <w:rFonts w:ascii="Arial" w:hAnsi="Arial" w:cs="Arial"/>
                <w:sz w:val="16"/>
                <w:szCs w:val="16"/>
              </w:rPr>
            </w:pPr>
            <w:r w:rsidRPr="00E31E3D">
              <w:rPr>
                <w:rFonts w:ascii="Arial" w:hAnsi="Arial" w:cs="Arial"/>
                <w:sz w:val="16"/>
                <w:szCs w:val="16"/>
              </w:rPr>
              <w:t xml:space="preserve">         $      -</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  4,917</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-0.2%</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International Package</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2,499</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2,469</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1.2%</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375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2,874</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16.4%</w:t>
            </w:r>
          </w:p>
        </w:tc>
      </w:tr>
      <w:tr w:rsidR="001B2EED" w:rsidRPr="00E31E3D" w:rsidTr="005D1240">
        <w:tc>
          <w:tcPr>
            <w:tcW w:w="3008" w:type="dxa"/>
            <w:tcBorders>
              <w:top w:val="nil"/>
              <w:left w:val="nil"/>
              <w:bottom w:val="nil"/>
              <w:right w:val="nil"/>
            </w:tcBorders>
          </w:tcPr>
          <w:p w:rsidR="001B2EED" w:rsidRPr="00E31E3D" w:rsidRDefault="001B2EED" w:rsidP="005D1240">
            <w:pPr>
              <w:shd w:val="clear" w:color="auto" w:fill="FFFFFF" w:themeFill="background1"/>
              <w:autoSpaceDE w:val="0"/>
              <w:autoSpaceDN w:val="0"/>
              <w:adjustRightInd w:val="0"/>
              <w:rPr>
                <w:rFonts w:ascii="Arial" w:hAnsi="Arial" w:cs="Arial"/>
                <w:sz w:val="16"/>
                <w:szCs w:val="16"/>
              </w:rPr>
            </w:pPr>
            <w:r w:rsidRPr="00E31E3D">
              <w:rPr>
                <w:rFonts w:ascii="Arial" w:hAnsi="Arial" w:cs="Arial"/>
                <w:sz w:val="16"/>
                <w:szCs w:val="16"/>
              </w:rPr>
              <w:t xml:space="preserve">    Supply Chain &amp; Freight</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913</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724</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26.1%</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w:t>
            </w:r>
          </w:p>
        </w:tc>
        <w:tc>
          <w:tcPr>
            <w:tcW w:w="1152" w:type="dxa"/>
            <w:gridSpan w:val="2"/>
            <w:tcBorders>
              <w:top w:val="nil"/>
              <w:left w:val="nil"/>
              <w:bottom w:val="single" w:sz="4" w:space="0" w:color="auto"/>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915</w:t>
            </w:r>
          </w:p>
        </w:tc>
        <w:tc>
          <w:tcPr>
            <w:tcW w:w="1152" w:type="dxa"/>
            <w:gridSpan w:val="2"/>
            <w:tcBorders>
              <w:top w:val="nil"/>
              <w:left w:val="nil"/>
              <w:bottom w:val="nil"/>
              <w:right w:val="nil"/>
            </w:tcBorders>
            <w:shd w:val="clear" w:color="auto" w:fill="auto"/>
          </w:tcPr>
          <w:p w:rsidR="001B2EED" w:rsidRPr="00E31E3D" w:rsidRDefault="001B2EED" w:rsidP="005D1240">
            <w:pPr>
              <w:shd w:val="clear" w:color="auto" w:fill="FFFFFF" w:themeFill="background1"/>
              <w:autoSpaceDE w:val="0"/>
              <w:autoSpaceDN w:val="0"/>
              <w:adjustRightInd w:val="0"/>
              <w:jc w:val="right"/>
              <w:rPr>
                <w:rFonts w:ascii="Arial" w:hAnsi="Arial" w:cs="Arial"/>
                <w:sz w:val="16"/>
                <w:szCs w:val="16"/>
              </w:rPr>
            </w:pPr>
            <w:r w:rsidRPr="00E31E3D">
              <w:rPr>
                <w:rFonts w:ascii="Arial" w:hAnsi="Arial" w:cs="Arial"/>
                <w:sz w:val="16"/>
                <w:szCs w:val="16"/>
              </w:rPr>
              <w:t>26.4%</w:t>
            </w:r>
          </w:p>
        </w:tc>
      </w:tr>
      <w:tr w:rsidR="001B2EED" w:rsidRPr="00E31E3D" w:rsidTr="005D1240">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r w:rsidRPr="00E31E3D">
              <w:rPr>
                <w:rFonts w:ascii="Arial" w:hAnsi="Arial" w:cs="Arial"/>
                <w:sz w:val="16"/>
                <w:szCs w:val="16"/>
              </w:rPr>
              <w:t xml:space="preserve">       Total operating profit</w:t>
            </w:r>
          </w:p>
        </w:tc>
        <w:tc>
          <w:tcPr>
            <w:tcW w:w="1152" w:type="dxa"/>
            <w:gridSpan w:val="2"/>
            <w:tcBorders>
              <w:top w:val="single" w:sz="4" w:space="0" w:color="auto"/>
              <w:left w:val="nil"/>
              <w:bottom w:val="double" w:sz="4" w:space="0" w:color="auto"/>
              <w:right w:val="nil"/>
            </w:tcBorders>
            <w:shd w:val="clear" w:color="auto" w:fill="auto"/>
          </w:tcPr>
          <w:p w:rsidR="001B2EED" w:rsidRPr="00E31E3D" w:rsidRDefault="001B2EED" w:rsidP="005D1240">
            <w:pPr>
              <w:jc w:val="right"/>
              <w:rPr>
                <w:rFonts w:ascii="Arial" w:hAnsi="Arial" w:cs="Arial"/>
                <w:sz w:val="16"/>
                <w:szCs w:val="16"/>
              </w:rPr>
            </w:pPr>
            <w:r w:rsidRPr="00E31E3D">
              <w:rPr>
                <w:rFonts w:ascii="Arial" w:hAnsi="Arial" w:cs="Arial"/>
                <w:sz w:val="16"/>
                <w:szCs w:val="16"/>
              </w:rPr>
              <w:t>$  8,329</w:t>
            </w:r>
          </w:p>
        </w:tc>
        <w:tc>
          <w:tcPr>
            <w:tcW w:w="1152" w:type="dxa"/>
            <w:gridSpan w:val="2"/>
            <w:tcBorders>
              <w:top w:val="single" w:sz="4" w:space="0" w:color="auto"/>
              <w:left w:val="nil"/>
              <w:bottom w:val="double" w:sz="4" w:space="0" w:color="auto"/>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8,118</w:t>
            </w:r>
          </w:p>
        </w:tc>
        <w:tc>
          <w:tcPr>
            <w:tcW w:w="1152" w:type="dxa"/>
            <w:gridSpan w:val="2"/>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2.6%</w:t>
            </w:r>
          </w:p>
        </w:tc>
        <w:tc>
          <w:tcPr>
            <w:tcW w:w="1152" w:type="dxa"/>
            <w:gridSpan w:val="2"/>
            <w:tcBorders>
              <w:top w:val="single" w:sz="4" w:space="0" w:color="auto"/>
              <w:left w:val="nil"/>
              <w:bottom w:val="double" w:sz="4" w:space="0" w:color="auto"/>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377</w:t>
            </w:r>
          </w:p>
        </w:tc>
        <w:tc>
          <w:tcPr>
            <w:tcW w:w="1152" w:type="dxa"/>
            <w:gridSpan w:val="2"/>
            <w:tcBorders>
              <w:top w:val="single" w:sz="4" w:space="0" w:color="auto"/>
              <w:left w:val="nil"/>
              <w:bottom w:val="double" w:sz="4" w:space="0" w:color="auto"/>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r w:rsidRPr="00E31E3D">
              <w:rPr>
                <w:rFonts w:ascii="Arial" w:hAnsi="Arial" w:cs="Arial"/>
                <w:sz w:val="16"/>
                <w:szCs w:val="16"/>
              </w:rPr>
              <w:t>$  8,706</w:t>
            </w:r>
          </w:p>
        </w:tc>
        <w:tc>
          <w:tcPr>
            <w:tcW w:w="1152" w:type="dxa"/>
            <w:gridSpan w:val="2"/>
            <w:tcBorders>
              <w:top w:val="nil"/>
              <w:left w:val="nil"/>
              <w:bottom w:val="nil"/>
              <w:right w:val="nil"/>
            </w:tcBorders>
            <w:shd w:val="clear" w:color="auto" w:fill="auto"/>
          </w:tcPr>
          <w:p w:rsidR="001B2EED" w:rsidRPr="00E31E3D" w:rsidRDefault="001B2EED" w:rsidP="005D1240">
            <w:pPr>
              <w:tabs>
                <w:tab w:val="left" w:pos="344"/>
                <w:tab w:val="left" w:pos="539"/>
              </w:tabs>
              <w:autoSpaceDE w:val="0"/>
              <w:autoSpaceDN w:val="0"/>
              <w:adjustRightInd w:val="0"/>
              <w:jc w:val="right"/>
              <w:rPr>
                <w:rFonts w:ascii="Arial" w:hAnsi="Arial" w:cs="Arial"/>
                <w:sz w:val="16"/>
                <w:szCs w:val="16"/>
              </w:rPr>
            </w:pPr>
            <w:r w:rsidRPr="00E31E3D">
              <w:rPr>
                <w:rFonts w:ascii="Arial" w:hAnsi="Arial" w:cs="Arial"/>
                <w:sz w:val="16"/>
                <w:szCs w:val="16"/>
              </w:rPr>
              <w:t>7.2%</w:t>
            </w:r>
          </w:p>
        </w:tc>
      </w:tr>
      <w:tr w:rsidR="001B2EED" w:rsidRPr="00E31E3D" w:rsidTr="005D1240">
        <w:trPr>
          <w:gridAfter w:val="1"/>
          <w:wAfter w:w="522" w:type="dxa"/>
        </w:trPr>
        <w:tc>
          <w:tcPr>
            <w:tcW w:w="3008"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16"/>
                <w:szCs w:val="16"/>
              </w:rPr>
            </w:pPr>
          </w:p>
        </w:tc>
        <w:tc>
          <w:tcPr>
            <w:tcW w:w="1065" w:type="dxa"/>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p>
        </w:tc>
        <w:tc>
          <w:tcPr>
            <w:tcW w:w="1457" w:type="dxa"/>
            <w:gridSpan w:val="2"/>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p>
        </w:tc>
        <w:tc>
          <w:tcPr>
            <w:tcW w:w="673" w:type="dxa"/>
            <w:gridSpan w:val="2"/>
            <w:tcBorders>
              <w:top w:val="nil"/>
              <w:left w:val="nil"/>
              <w:bottom w:val="nil"/>
              <w:right w:val="nil"/>
            </w:tcBorders>
            <w:shd w:val="clear" w:color="auto" w:fill="auto"/>
          </w:tcPr>
          <w:p w:rsidR="001B2EED" w:rsidRPr="00E31E3D" w:rsidRDefault="001B2EED" w:rsidP="005D1240">
            <w:pPr>
              <w:autoSpaceDE w:val="0"/>
              <w:autoSpaceDN w:val="0"/>
              <w:adjustRightInd w:val="0"/>
              <w:jc w:val="right"/>
              <w:rPr>
                <w:rFonts w:ascii="Arial" w:hAnsi="Arial" w:cs="Arial"/>
                <w:sz w:val="16"/>
                <w:szCs w:val="16"/>
              </w:rPr>
            </w:pPr>
          </w:p>
        </w:tc>
      </w:tr>
    </w:tbl>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Default="001B2EED">
      <w:pPr>
        <w:rPr>
          <w:rFonts w:ascii="Arial" w:hAnsi="Arial" w:cs="Arial"/>
          <w:b/>
          <w:sz w:val="20"/>
          <w:szCs w:val="20"/>
        </w:rPr>
      </w:pPr>
      <w:r>
        <w:rPr>
          <w:rFonts w:ascii="Arial" w:hAnsi="Arial" w:cs="Arial"/>
          <w:b/>
          <w:sz w:val="20"/>
          <w:szCs w:val="20"/>
        </w:rPr>
        <w:br w:type="page"/>
      </w:r>
    </w:p>
    <w:p w:rsidR="001B2EED" w:rsidRPr="00E31E3D" w:rsidRDefault="001B2EED" w:rsidP="001B2EED">
      <w:pPr>
        <w:autoSpaceDE w:val="0"/>
        <w:autoSpaceDN w:val="0"/>
        <w:adjustRightInd w:val="0"/>
        <w:ind w:firstLine="720"/>
        <w:jc w:val="center"/>
        <w:rPr>
          <w:rFonts w:ascii="Arial" w:hAnsi="Arial" w:cs="Arial"/>
          <w:b/>
          <w:sz w:val="20"/>
          <w:szCs w:val="20"/>
        </w:rPr>
      </w:pPr>
    </w:p>
    <w:p w:rsidR="001B2EED" w:rsidRPr="00E31E3D" w:rsidRDefault="001B2EED" w:rsidP="001B2EED">
      <w:pPr>
        <w:autoSpaceDE w:val="0"/>
        <w:autoSpaceDN w:val="0"/>
        <w:adjustRightInd w:val="0"/>
        <w:ind w:firstLine="720"/>
        <w:jc w:val="center"/>
        <w:rPr>
          <w:rFonts w:ascii="Arial" w:hAnsi="Arial" w:cs="Arial"/>
          <w:color w:val="003436"/>
          <w:sz w:val="22"/>
          <w:szCs w:val="22"/>
        </w:rPr>
      </w:pPr>
      <w:r w:rsidRPr="00E31E3D">
        <w:rPr>
          <w:rFonts w:ascii="Arial" w:hAnsi="Arial" w:cs="Arial"/>
          <w:b/>
          <w:sz w:val="20"/>
          <w:szCs w:val="20"/>
        </w:rPr>
        <w:t>Reconciliation of GAAP and non-GAAP Liquidity Measures (in millions)</w:t>
      </w:r>
    </w:p>
    <w:p w:rsidR="001B2EED" w:rsidRPr="00E31E3D" w:rsidRDefault="001B2EED" w:rsidP="001B2EED">
      <w:pPr>
        <w:autoSpaceDE w:val="0"/>
        <w:autoSpaceDN w:val="0"/>
        <w:adjustRightInd w:val="0"/>
        <w:ind w:firstLine="720"/>
        <w:rPr>
          <w:rFonts w:ascii="Arial" w:hAnsi="Arial" w:cs="Arial"/>
          <w:color w:val="003436"/>
          <w:sz w:val="22"/>
          <w:szCs w:val="22"/>
        </w:rPr>
      </w:pPr>
    </w:p>
    <w:tbl>
      <w:tblPr>
        <w:tblStyle w:val="TableGrid"/>
        <w:tblpPr w:leftFromText="180" w:rightFromText="180" w:vertAnchor="text" w:tblpXSpec="center" w:tblpY="1"/>
        <w:tblOverlap w:val="never"/>
        <w:tblW w:w="8910" w:type="dxa"/>
        <w:tblLayout w:type="fixed"/>
        <w:tblLook w:val="04A0" w:firstRow="1" w:lastRow="0" w:firstColumn="1" w:lastColumn="0" w:noHBand="0" w:noVBand="1"/>
      </w:tblPr>
      <w:tblGrid>
        <w:gridCol w:w="7200"/>
        <w:gridCol w:w="1710"/>
      </w:tblGrid>
      <w:tr w:rsidR="001B2EED" w:rsidRPr="00E31E3D" w:rsidTr="005D1240">
        <w:tc>
          <w:tcPr>
            <w:tcW w:w="7200" w:type="dxa"/>
            <w:tcBorders>
              <w:top w:val="nil"/>
              <w:left w:val="nil"/>
              <w:bottom w:val="single" w:sz="4" w:space="0" w:color="auto"/>
              <w:right w:val="nil"/>
            </w:tcBorders>
          </w:tcPr>
          <w:p w:rsidR="001B2EED" w:rsidRPr="00E31E3D" w:rsidRDefault="001B2EED" w:rsidP="005D1240">
            <w:pPr>
              <w:autoSpaceDE w:val="0"/>
              <w:autoSpaceDN w:val="0"/>
              <w:adjustRightInd w:val="0"/>
              <w:rPr>
                <w:rFonts w:ascii="Arial" w:hAnsi="Arial" w:cs="Arial"/>
                <w:sz w:val="16"/>
                <w:szCs w:val="16"/>
              </w:rPr>
            </w:pPr>
          </w:p>
        </w:tc>
        <w:tc>
          <w:tcPr>
            <w:tcW w:w="1710" w:type="dxa"/>
            <w:tcBorders>
              <w:top w:val="nil"/>
              <w:left w:val="nil"/>
              <w:bottom w:val="sing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16"/>
                <w:szCs w:val="16"/>
              </w:rPr>
            </w:pPr>
          </w:p>
        </w:tc>
      </w:tr>
      <w:tr w:rsidR="001B2EED" w:rsidRPr="00E31E3D" w:rsidTr="005D1240">
        <w:tc>
          <w:tcPr>
            <w:tcW w:w="8910" w:type="dxa"/>
            <w:gridSpan w:val="2"/>
            <w:tcBorders>
              <w:top w:val="single" w:sz="4" w:space="0" w:color="auto"/>
              <w:left w:val="single" w:sz="4" w:space="0" w:color="auto"/>
              <w:bottom w:val="single" w:sz="4" w:space="0" w:color="auto"/>
              <w:right w:val="single" w:sz="4" w:space="0" w:color="auto"/>
            </w:tcBorders>
          </w:tcPr>
          <w:p w:rsidR="001B2EED" w:rsidRPr="00E31E3D" w:rsidRDefault="001B2EED" w:rsidP="005D1240">
            <w:pPr>
              <w:tabs>
                <w:tab w:val="left" w:pos="600"/>
              </w:tabs>
              <w:autoSpaceDE w:val="0"/>
              <w:autoSpaceDN w:val="0"/>
              <w:adjustRightInd w:val="0"/>
              <w:jc w:val="center"/>
              <w:rPr>
                <w:rFonts w:ascii="Arial" w:hAnsi="Arial" w:cs="Arial"/>
                <w:b/>
                <w:sz w:val="20"/>
                <w:szCs w:val="20"/>
              </w:rPr>
            </w:pPr>
            <w:r w:rsidRPr="00E31E3D">
              <w:rPr>
                <w:rFonts w:ascii="Arial" w:hAnsi="Arial" w:cs="Arial"/>
                <w:b/>
                <w:sz w:val="20"/>
                <w:szCs w:val="20"/>
              </w:rPr>
              <w:t>Year Ended December 31</w:t>
            </w:r>
          </w:p>
        </w:tc>
      </w:tr>
      <w:tr w:rsidR="001B2EED" w:rsidRPr="00E31E3D" w:rsidTr="005D1240">
        <w:tc>
          <w:tcPr>
            <w:tcW w:w="7200" w:type="dxa"/>
            <w:tcBorders>
              <w:top w:val="single" w:sz="4" w:space="0" w:color="auto"/>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single" w:sz="4" w:space="0" w:color="auto"/>
              <w:left w:val="nil"/>
              <w:bottom w:val="nil"/>
              <w:right w:val="nil"/>
            </w:tcBorders>
            <w:vAlign w:val="bottom"/>
          </w:tcPr>
          <w:p w:rsidR="001B2EED" w:rsidRPr="00E31E3D" w:rsidRDefault="001B2EED" w:rsidP="005D1240">
            <w:pPr>
              <w:tabs>
                <w:tab w:val="left" w:pos="600"/>
              </w:tabs>
              <w:autoSpaceDE w:val="0"/>
              <w:autoSpaceDN w:val="0"/>
              <w:adjustRightInd w:val="0"/>
              <w:jc w:val="center"/>
              <w:rPr>
                <w:rFonts w:ascii="Arial" w:hAnsi="Arial" w:cs="Arial"/>
                <w:b/>
                <w:sz w:val="20"/>
                <w:szCs w:val="20"/>
              </w:rPr>
            </w:pPr>
          </w:p>
        </w:tc>
      </w:tr>
      <w:tr w:rsidR="001B2EED" w:rsidRPr="00E31E3D" w:rsidTr="005D1240">
        <w:tc>
          <w:tcPr>
            <w:tcW w:w="8910" w:type="dxa"/>
            <w:gridSpan w:val="2"/>
            <w:tcBorders>
              <w:top w:val="nil"/>
              <w:left w:val="nil"/>
              <w:bottom w:val="nil"/>
              <w:right w:val="nil"/>
            </w:tcBorders>
          </w:tcPr>
          <w:p w:rsidR="001B2EED" w:rsidRPr="00E31E3D" w:rsidRDefault="001B2EED" w:rsidP="005D1240">
            <w:pPr>
              <w:tabs>
                <w:tab w:val="left" w:pos="600"/>
              </w:tabs>
              <w:autoSpaceDE w:val="0"/>
              <w:autoSpaceDN w:val="0"/>
              <w:adjustRightInd w:val="0"/>
              <w:jc w:val="center"/>
              <w:rPr>
                <w:rFonts w:ascii="Arial" w:hAnsi="Arial" w:cs="Arial"/>
                <w:b/>
                <w:sz w:val="20"/>
                <w:szCs w:val="20"/>
              </w:rPr>
            </w:pPr>
            <w:r w:rsidRPr="00E31E3D">
              <w:rPr>
                <w:rFonts w:ascii="Arial" w:hAnsi="Arial" w:cs="Arial"/>
                <w:b/>
                <w:sz w:val="20"/>
                <w:szCs w:val="20"/>
              </w:rPr>
              <w:t>Net Increase (Decrease) in Cash and Cash Equivalents</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nil"/>
              <w:left w:val="nil"/>
              <w:bottom w:val="single" w:sz="4" w:space="0" w:color="auto"/>
              <w:right w:val="nil"/>
            </w:tcBorders>
            <w:vAlign w:val="bottom"/>
          </w:tcPr>
          <w:p w:rsidR="001B2EED" w:rsidRPr="00E31E3D" w:rsidRDefault="001B2EED" w:rsidP="005D1240">
            <w:pPr>
              <w:tabs>
                <w:tab w:val="left" w:pos="600"/>
              </w:tabs>
              <w:autoSpaceDE w:val="0"/>
              <w:autoSpaceDN w:val="0"/>
              <w:adjustRightInd w:val="0"/>
              <w:jc w:val="center"/>
              <w:rPr>
                <w:rFonts w:ascii="Arial" w:hAnsi="Arial" w:cs="Arial"/>
                <w:b/>
                <w:sz w:val="20"/>
                <w:szCs w:val="20"/>
              </w:rPr>
            </w:pP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nil"/>
              <w:left w:val="nil"/>
              <w:bottom w:val="single" w:sz="4" w:space="0" w:color="auto"/>
              <w:right w:val="nil"/>
            </w:tcBorders>
            <w:vAlign w:val="bottom"/>
          </w:tcPr>
          <w:p w:rsidR="001B2EED" w:rsidRPr="00E31E3D" w:rsidRDefault="001B2EED" w:rsidP="005D1240">
            <w:pPr>
              <w:tabs>
                <w:tab w:val="left" w:pos="600"/>
              </w:tabs>
              <w:autoSpaceDE w:val="0"/>
              <w:autoSpaceDN w:val="0"/>
              <w:adjustRightInd w:val="0"/>
              <w:jc w:val="center"/>
              <w:rPr>
                <w:rFonts w:ascii="Arial" w:hAnsi="Arial" w:cs="Arial"/>
                <w:b/>
                <w:sz w:val="20"/>
                <w:szCs w:val="20"/>
              </w:rPr>
            </w:pPr>
            <w:r w:rsidRPr="00E31E3D">
              <w:rPr>
                <w:rFonts w:ascii="Arial" w:hAnsi="Arial" w:cs="Arial"/>
                <w:b/>
                <w:sz w:val="20"/>
                <w:szCs w:val="20"/>
              </w:rPr>
              <w:t>2017</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Cash flows from operating activities</w:t>
            </w:r>
          </w:p>
        </w:tc>
        <w:tc>
          <w:tcPr>
            <w:tcW w:w="1710" w:type="dxa"/>
            <w:tcBorders>
              <w:top w:val="nil"/>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     1,479</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Cash flows used in investing activities</w:t>
            </w:r>
          </w:p>
        </w:tc>
        <w:tc>
          <w:tcPr>
            <w:tcW w:w="1710" w:type="dxa"/>
            <w:tcBorders>
              <w:top w:val="nil"/>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(4,975)</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Cash flows from financing activities</w:t>
            </w:r>
          </w:p>
        </w:tc>
        <w:tc>
          <w:tcPr>
            <w:tcW w:w="1710" w:type="dxa"/>
            <w:tcBorders>
              <w:top w:val="nil"/>
              <w:left w:val="nil"/>
              <w:bottom w:val="sing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3,287</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Effect of exchange rate changes on cash and cash equivalents</w:t>
            </w:r>
          </w:p>
        </w:tc>
        <w:tc>
          <w:tcPr>
            <w:tcW w:w="1710" w:type="dxa"/>
            <w:tcBorders>
              <w:top w:val="single" w:sz="4" w:space="0" w:color="auto"/>
              <w:left w:val="nil"/>
              <w:bottom w:val="sing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53</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Net (decrease) in cash and cash equivalents</w:t>
            </w:r>
          </w:p>
        </w:tc>
        <w:tc>
          <w:tcPr>
            <w:tcW w:w="1710" w:type="dxa"/>
            <w:tcBorders>
              <w:top w:val="single" w:sz="4" w:space="0" w:color="auto"/>
              <w:left w:val="nil"/>
              <w:bottom w:val="doub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      (156)</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double" w:sz="4" w:space="0" w:color="auto"/>
              <w:left w:val="nil"/>
              <w:bottom w:val="nil"/>
              <w:right w:val="nil"/>
            </w:tcBorders>
            <w:vAlign w:val="bottom"/>
          </w:tcPr>
          <w:p w:rsidR="001B2EED" w:rsidRPr="00E31E3D" w:rsidRDefault="001B2EED" w:rsidP="005D1240">
            <w:pPr>
              <w:tabs>
                <w:tab w:val="left" w:pos="600"/>
              </w:tabs>
              <w:autoSpaceDE w:val="0"/>
              <w:autoSpaceDN w:val="0"/>
              <w:adjustRightInd w:val="0"/>
              <w:jc w:val="right"/>
              <w:rPr>
                <w:rFonts w:ascii="Arial" w:hAnsi="Arial" w:cs="Arial"/>
                <w:b/>
                <w:sz w:val="20"/>
                <w:szCs w:val="20"/>
              </w:rPr>
            </w:pPr>
          </w:p>
        </w:tc>
      </w:tr>
      <w:tr w:rsidR="001B2EED" w:rsidRPr="00E31E3D" w:rsidTr="005D1240">
        <w:tc>
          <w:tcPr>
            <w:tcW w:w="8910" w:type="dxa"/>
            <w:gridSpan w:val="2"/>
            <w:tcBorders>
              <w:top w:val="nil"/>
              <w:left w:val="nil"/>
              <w:bottom w:val="nil"/>
              <w:right w:val="nil"/>
            </w:tcBorders>
          </w:tcPr>
          <w:p w:rsidR="001B2EED" w:rsidRPr="00E31E3D" w:rsidRDefault="001B2EED" w:rsidP="005D1240">
            <w:pPr>
              <w:tabs>
                <w:tab w:val="left" w:pos="600"/>
              </w:tabs>
              <w:autoSpaceDE w:val="0"/>
              <w:autoSpaceDN w:val="0"/>
              <w:adjustRightInd w:val="0"/>
              <w:jc w:val="center"/>
              <w:rPr>
                <w:rFonts w:ascii="Arial" w:hAnsi="Arial" w:cs="Arial"/>
                <w:b/>
                <w:sz w:val="20"/>
                <w:szCs w:val="20"/>
              </w:rPr>
            </w:pPr>
            <w:r w:rsidRPr="00E31E3D">
              <w:rPr>
                <w:rFonts w:ascii="Arial" w:hAnsi="Arial" w:cs="Arial"/>
                <w:b/>
                <w:sz w:val="20"/>
                <w:szCs w:val="20"/>
              </w:rPr>
              <w:t>Reconciliation of Free Cash Flow (non-GAAP)</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nil"/>
              <w:left w:val="nil"/>
              <w:bottom w:val="single" w:sz="4" w:space="0" w:color="auto"/>
              <w:right w:val="nil"/>
            </w:tcBorders>
            <w:vAlign w:val="bottom"/>
          </w:tcPr>
          <w:p w:rsidR="001B2EED" w:rsidRPr="00E31E3D" w:rsidRDefault="001B2EED" w:rsidP="005D1240">
            <w:pPr>
              <w:tabs>
                <w:tab w:val="left" w:pos="600"/>
              </w:tabs>
              <w:autoSpaceDE w:val="0"/>
              <w:autoSpaceDN w:val="0"/>
              <w:adjustRightInd w:val="0"/>
              <w:jc w:val="center"/>
              <w:rPr>
                <w:rFonts w:ascii="Arial" w:hAnsi="Arial" w:cs="Arial"/>
                <w:b/>
                <w:sz w:val="20"/>
                <w:szCs w:val="20"/>
              </w:rPr>
            </w:pP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single" w:sz="4" w:space="0" w:color="auto"/>
              <w:left w:val="nil"/>
              <w:bottom w:val="single" w:sz="4" w:space="0" w:color="auto"/>
              <w:right w:val="nil"/>
            </w:tcBorders>
            <w:vAlign w:val="bottom"/>
          </w:tcPr>
          <w:p w:rsidR="001B2EED" w:rsidRPr="00E31E3D" w:rsidRDefault="001B2EED" w:rsidP="005D1240">
            <w:pPr>
              <w:tabs>
                <w:tab w:val="left" w:pos="600"/>
              </w:tabs>
              <w:autoSpaceDE w:val="0"/>
              <w:autoSpaceDN w:val="0"/>
              <w:adjustRightInd w:val="0"/>
              <w:jc w:val="center"/>
              <w:rPr>
                <w:rFonts w:ascii="Arial" w:hAnsi="Arial" w:cs="Arial"/>
                <w:sz w:val="20"/>
                <w:szCs w:val="20"/>
              </w:rPr>
            </w:pPr>
            <w:r w:rsidRPr="00E31E3D">
              <w:rPr>
                <w:rFonts w:ascii="Arial" w:hAnsi="Arial" w:cs="Arial"/>
                <w:b/>
                <w:sz w:val="20"/>
                <w:szCs w:val="20"/>
              </w:rPr>
              <w:t>2017</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p>
        </w:tc>
        <w:tc>
          <w:tcPr>
            <w:tcW w:w="1710" w:type="dxa"/>
            <w:tcBorders>
              <w:top w:val="single" w:sz="4" w:space="0" w:color="auto"/>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Cash flows from operating activities (GAAP)</w:t>
            </w:r>
          </w:p>
        </w:tc>
        <w:tc>
          <w:tcPr>
            <w:tcW w:w="1710" w:type="dxa"/>
            <w:tcBorders>
              <w:top w:val="nil"/>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     1,479</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Capital expenditures</w:t>
            </w:r>
          </w:p>
        </w:tc>
        <w:tc>
          <w:tcPr>
            <w:tcW w:w="1710" w:type="dxa"/>
            <w:tcBorders>
              <w:top w:val="nil"/>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(5,227)</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Proceeds from disposals of PP&amp;E</w:t>
            </w:r>
          </w:p>
        </w:tc>
        <w:tc>
          <w:tcPr>
            <w:tcW w:w="1710" w:type="dxa"/>
            <w:tcBorders>
              <w:top w:val="nil"/>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24</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Net change in finance receivables</w:t>
            </w:r>
          </w:p>
        </w:tc>
        <w:tc>
          <w:tcPr>
            <w:tcW w:w="1710" w:type="dxa"/>
            <w:tcBorders>
              <w:top w:val="nil"/>
              <w:left w:val="nil"/>
              <w:bottom w:val="nil"/>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5</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Other investing activities</w:t>
            </w:r>
          </w:p>
        </w:tc>
        <w:tc>
          <w:tcPr>
            <w:tcW w:w="1710" w:type="dxa"/>
            <w:tcBorders>
              <w:top w:val="nil"/>
              <w:left w:val="nil"/>
              <w:bottom w:val="sing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1</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 xml:space="preserve">   Free cash flow (non-GAAP)</w:t>
            </w:r>
          </w:p>
        </w:tc>
        <w:tc>
          <w:tcPr>
            <w:tcW w:w="1710" w:type="dxa"/>
            <w:tcBorders>
              <w:top w:val="single" w:sz="4" w:space="0" w:color="auto"/>
              <w:left w:val="nil"/>
              <w:bottom w:val="doub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   (3,718)</w:t>
            </w:r>
          </w:p>
        </w:tc>
      </w:tr>
      <w:tr w:rsidR="001B2EED" w:rsidRPr="00E31E3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Discretionary pension contributions</w:t>
            </w:r>
          </w:p>
        </w:tc>
        <w:tc>
          <w:tcPr>
            <w:tcW w:w="1710" w:type="dxa"/>
            <w:tcBorders>
              <w:top w:val="double" w:sz="4" w:space="0" w:color="auto"/>
              <w:left w:val="nil"/>
              <w:bottom w:val="single" w:sz="4" w:space="0" w:color="auto"/>
              <w:right w:val="nil"/>
            </w:tcBorders>
          </w:tcPr>
          <w:p w:rsidR="001B2EED" w:rsidRPr="00E31E3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7,291</w:t>
            </w:r>
          </w:p>
        </w:tc>
      </w:tr>
      <w:tr w:rsidR="001B2EED" w:rsidTr="005D1240">
        <w:tc>
          <w:tcPr>
            <w:tcW w:w="7200" w:type="dxa"/>
            <w:tcBorders>
              <w:top w:val="nil"/>
              <w:left w:val="nil"/>
              <w:bottom w:val="nil"/>
              <w:right w:val="nil"/>
            </w:tcBorders>
          </w:tcPr>
          <w:p w:rsidR="001B2EED" w:rsidRPr="00E31E3D" w:rsidRDefault="001B2EED" w:rsidP="005D1240">
            <w:pPr>
              <w:autoSpaceDE w:val="0"/>
              <w:autoSpaceDN w:val="0"/>
              <w:adjustRightInd w:val="0"/>
              <w:rPr>
                <w:rFonts w:ascii="Arial" w:hAnsi="Arial" w:cs="Arial"/>
                <w:sz w:val="20"/>
                <w:szCs w:val="20"/>
              </w:rPr>
            </w:pPr>
            <w:r w:rsidRPr="00E31E3D">
              <w:rPr>
                <w:rFonts w:ascii="Arial" w:hAnsi="Arial" w:cs="Arial"/>
                <w:sz w:val="20"/>
                <w:szCs w:val="20"/>
              </w:rPr>
              <w:t xml:space="preserve">   Free cash flow, excluding discretionary pension contributions (non-GAAP)</w:t>
            </w:r>
          </w:p>
        </w:tc>
        <w:tc>
          <w:tcPr>
            <w:tcW w:w="1710" w:type="dxa"/>
            <w:tcBorders>
              <w:top w:val="single" w:sz="4" w:space="0" w:color="auto"/>
              <w:left w:val="nil"/>
              <w:bottom w:val="double" w:sz="4" w:space="0" w:color="auto"/>
              <w:right w:val="nil"/>
            </w:tcBorders>
          </w:tcPr>
          <w:p w:rsidR="001B2EED" w:rsidRDefault="001B2EED" w:rsidP="005D1240">
            <w:pPr>
              <w:tabs>
                <w:tab w:val="left" w:pos="600"/>
              </w:tabs>
              <w:autoSpaceDE w:val="0"/>
              <w:autoSpaceDN w:val="0"/>
              <w:adjustRightInd w:val="0"/>
              <w:jc w:val="right"/>
              <w:rPr>
                <w:rFonts w:ascii="Arial" w:hAnsi="Arial" w:cs="Arial"/>
                <w:sz w:val="20"/>
                <w:szCs w:val="20"/>
              </w:rPr>
            </w:pPr>
            <w:r w:rsidRPr="00E31E3D">
              <w:rPr>
                <w:rFonts w:ascii="Arial" w:hAnsi="Arial" w:cs="Arial"/>
                <w:sz w:val="20"/>
                <w:szCs w:val="20"/>
              </w:rPr>
              <w:t>$     3,573</w:t>
            </w:r>
          </w:p>
        </w:tc>
      </w:tr>
    </w:tbl>
    <w:p w:rsidR="001B2EED" w:rsidRPr="005B02F3" w:rsidRDefault="001B2EED" w:rsidP="001B2EED">
      <w:pPr>
        <w:autoSpaceDE w:val="0"/>
        <w:autoSpaceDN w:val="0"/>
        <w:adjustRightInd w:val="0"/>
        <w:ind w:firstLine="720"/>
        <w:rPr>
          <w:rFonts w:ascii="Arial" w:hAnsi="Arial" w:cs="Arial"/>
          <w:color w:val="003436"/>
          <w:sz w:val="22"/>
          <w:szCs w:val="22"/>
        </w:rPr>
      </w:pPr>
    </w:p>
    <w:p w:rsidR="001B2EED" w:rsidRPr="00A85056" w:rsidRDefault="001B2EED" w:rsidP="001B2EED">
      <w:pPr>
        <w:ind w:firstLine="720"/>
        <w:rPr>
          <w:rFonts w:ascii="Arial" w:hAnsi="Arial" w:cs="Arial"/>
          <w:sz w:val="22"/>
          <w:szCs w:val="22"/>
        </w:rPr>
      </w:pPr>
    </w:p>
    <w:p w:rsidR="001B2EED" w:rsidRPr="00A85056" w:rsidRDefault="001B2EED" w:rsidP="001B2EED">
      <w:pPr>
        <w:rPr>
          <w:rFonts w:ascii="Arial" w:hAnsi="Arial" w:cs="Arial"/>
          <w:sz w:val="22"/>
          <w:szCs w:val="22"/>
        </w:rPr>
      </w:pPr>
    </w:p>
    <w:p w:rsidR="001B2EED" w:rsidRPr="00A85056" w:rsidRDefault="001B2EED" w:rsidP="001B2EED">
      <w:pPr>
        <w:rPr>
          <w:rFonts w:ascii="Arial" w:hAnsi="Arial" w:cs="Arial"/>
          <w:sz w:val="22"/>
          <w:szCs w:val="22"/>
        </w:rPr>
      </w:pPr>
    </w:p>
    <w:p w:rsidR="001B2EED" w:rsidRPr="00A85056" w:rsidRDefault="001B2EED" w:rsidP="001B2EED">
      <w:pPr>
        <w:rPr>
          <w:rFonts w:ascii="Arial" w:hAnsi="Arial" w:cs="Arial"/>
          <w:sz w:val="22"/>
          <w:szCs w:val="22"/>
        </w:rPr>
      </w:pPr>
    </w:p>
    <w:p w:rsidR="001B2EED" w:rsidRDefault="001B2EED" w:rsidP="001B2EED"/>
    <w:p w:rsidR="001B2EED" w:rsidRPr="00A85056" w:rsidRDefault="001B2EED" w:rsidP="000731C1">
      <w:pPr>
        <w:autoSpaceDE w:val="0"/>
        <w:autoSpaceDN w:val="0"/>
        <w:adjustRightInd w:val="0"/>
        <w:rPr>
          <w:rFonts w:ascii="Arial" w:hAnsi="Arial" w:cs="Arial"/>
          <w:sz w:val="22"/>
          <w:szCs w:val="22"/>
        </w:rPr>
      </w:pPr>
    </w:p>
    <w:sectPr w:rsidR="001B2EED" w:rsidRPr="00A85056" w:rsidSect="000346B8">
      <w:headerReference w:type="default" r:id="rId15"/>
      <w:footerReference w:type="defaul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D9" w:rsidRDefault="00204FD9">
      <w:r>
        <w:separator/>
      </w:r>
    </w:p>
  </w:endnote>
  <w:endnote w:type="continuationSeparator" w:id="0">
    <w:p w:rsidR="00204FD9" w:rsidRDefault="00204FD9">
      <w:r>
        <w:continuationSeparator/>
      </w:r>
    </w:p>
  </w:endnote>
  <w:endnote w:type="continuationNotice" w:id="1">
    <w:p w:rsidR="00204FD9" w:rsidRDefault="00204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D7" w:rsidRPr="00034414" w:rsidRDefault="003B76D7" w:rsidP="00034414">
    <w:pPr>
      <w:pStyle w:val="Footer"/>
      <w:rPr>
        <w:rFonts w:ascii="Arial" w:hAnsi="Arial" w:cs="Arial"/>
      </w:rPr>
    </w:pPr>
    <w:r>
      <w:rPr>
        <w:rFonts w:ascii="Arial" w:hAnsi="Arial" w:cs="Arial"/>
      </w:rPr>
      <w:tab/>
    </w:r>
    <w:r>
      <w:rPr>
        <w:rFonts w:ascii="Arial" w:hAnsi="Arial" w:cs="Arial"/>
      </w:rPr>
      <w:tab/>
    </w:r>
  </w:p>
  <w:p w:rsidR="003B76D7" w:rsidRDefault="003B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D9" w:rsidRDefault="00204FD9">
      <w:r>
        <w:separator/>
      </w:r>
    </w:p>
  </w:footnote>
  <w:footnote w:type="continuationSeparator" w:id="0">
    <w:p w:rsidR="00204FD9" w:rsidRDefault="00204FD9">
      <w:r>
        <w:continuationSeparator/>
      </w:r>
    </w:p>
  </w:footnote>
  <w:footnote w:type="continuationNotice" w:id="1">
    <w:p w:rsidR="00204FD9" w:rsidRDefault="00204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D7" w:rsidRPr="000346B8" w:rsidRDefault="003B76D7" w:rsidP="000346B8">
    <w:pPr>
      <w:pStyle w:val="Header"/>
      <w:tabs>
        <w:tab w:val="clear" w:pos="4320"/>
        <w:tab w:val="center" w:pos="0"/>
        <w:tab w:val="left" w:pos="4665"/>
      </w:tabs>
      <w:ind w:left="3240" w:hanging="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12482"/>
    <w:multiLevelType w:val="hybridMultilevel"/>
    <w:tmpl w:val="6D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4"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333CD"/>
    <w:multiLevelType w:val="hybridMultilevel"/>
    <w:tmpl w:val="EE165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0"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8"/>
  </w:num>
  <w:num w:numId="3">
    <w:abstractNumId w:val="26"/>
  </w:num>
  <w:num w:numId="4">
    <w:abstractNumId w:val="21"/>
  </w:num>
  <w:num w:numId="5">
    <w:abstractNumId w:val="18"/>
  </w:num>
  <w:num w:numId="6">
    <w:abstractNumId w:val="7"/>
  </w:num>
  <w:num w:numId="7">
    <w:abstractNumId w:val="10"/>
  </w:num>
  <w:num w:numId="8">
    <w:abstractNumId w:val="35"/>
  </w:num>
  <w:num w:numId="9">
    <w:abstractNumId w:val="32"/>
  </w:num>
  <w:num w:numId="10">
    <w:abstractNumId w:val="31"/>
  </w:num>
  <w:num w:numId="11">
    <w:abstractNumId w:val="29"/>
  </w:num>
  <w:num w:numId="12">
    <w:abstractNumId w:val="40"/>
  </w:num>
  <w:num w:numId="13">
    <w:abstractNumId w:val="36"/>
  </w:num>
  <w:num w:numId="14">
    <w:abstractNumId w:val="6"/>
  </w:num>
  <w:num w:numId="15">
    <w:abstractNumId w:val="24"/>
  </w:num>
  <w:num w:numId="16">
    <w:abstractNumId w:val="0"/>
  </w:num>
  <w:num w:numId="17">
    <w:abstractNumId w:val="16"/>
  </w:num>
  <w:num w:numId="18">
    <w:abstractNumId w:val="20"/>
  </w:num>
  <w:num w:numId="19">
    <w:abstractNumId w:val="13"/>
  </w:num>
  <w:num w:numId="20">
    <w:abstractNumId w:val="25"/>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39"/>
  </w:num>
  <w:num w:numId="32">
    <w:abstractNumId w:val="37"/>
  </w:num>
  <w:num w:numId="33">
    <w:abstractNumId w:val="41"/>
  </w:num>
  <w:num w:numId="34">
    <w:abstractNumId w:val="19"/>
  </w:num>
  <w:num w:numId="35">
    <w:abstractNumId w:val="14"/>
  </w:num>
  <w:num w:numId="36">
    <w:abstractNumId w:val="17"/>
  </w:num>
  <w:num w:numId="37">
    <w:abstractNumId w:val="34"/>
  </w:num>
  <w:num w:numId="38">
    <w:abstractNumId w:val="3"/>
  </w:num>
  <w:num w:numId="39">
    <w:abstractNumId w:val="12"/>
  </w:num>
  <w:num w:numId="40">
    <w:abstractNumId w:val="30"/>
  </w:num>
  <w:num w:numId="41">
    <w:abstractNumId w:val="28"/>
  </w:num>
  <w:num w:numId="42">
    <w:abstractNumId w:val="11"/>
  </w:num>
  <w:num w:numId="43">
    <w:abstractNumId w:val="33"/>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activeWritingStyle w:appName="MSWord" w:lang="en-US" w:vendorID="64" w:dllVersion="6" w:nlCheck="1" w:checkStyle="0"/>
  <w:activeWritingStyle w:appName="MSWord" w:lang="en-US" w:vendorID="64" w:dllVersion="0" w:nlCheck="1" w:checkStyle="0"/>
  <w:activeWritingStyle w:appName="MSWord" w:lang="cs-CZ"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A6"/>
    <w:rsid w:val="00014512"/>
    <w:rsid w:val="000152E7"/>
    <w:rsid w:val="00015BC1"/>
    <w:rsid w:val="00016177"/>
    <w:rsid w:val="00016298"/>
    <w:rsid w:val="00016A51"/>
    <w:rsid w:val="00017619"/>
    <w:rsid w:val="00017624"/>
    <w:rsid w:val="000209FE"/>
    <w:rsid w:val="00020EE2"/>
    <w:rsid w:val="00021289"/>
    <w:rsid w:val="0002227F"/>
    <w:rsid w:val="000223B2"/>
    <w:rsid w:val="00023555"/>
    <w:rsid w:val="000238FA"/>
    <w:rsid w:val="00024A62"/>
    <w:rsid w:val="00024AC7"/>
    <w:rsid w:val="00025957"/>
    <w:rsid w:val="00025ECA"/>
    <w:rsid w:val="000270C6"/>
    <w:rsid w:val="00030419"/>
    <w:rsid w:val="0003069C"/>
    <w:rsid w:val="00030EE2"/>
    <w:rsid w:val="000314AD"/>
    <w:rsid w:val="000314D4"/>
    <w:rsid w:val="00031BA6"/>
    <w:rsid w:val="00032756"/>
    <w:rsid w:val="0003277E"/>
    <w:rsid w:val="00032B7A"/>
    <w:rsid w:val="00032F33"/>
    <w:rsid w:val="00033409"/>
    <w:rsid w:val="00033412"/>
    <w:rsid w:val="00033574"/>
    <w:rsid w:val="00034084"/>
    <w:rsid w:val="00034414"/>
    <w:rsid w:val="000346B8"/>
    <w:rsid w:val="00034F95"/>
    <w:rsid w:val="00035AB9"/>
    <w:rsid w:val="000366A1"/>
    <w:rsid w:val="00036A2B"/>
    <w:rsid w:val="00036D8B"/>
    <w:rsid w:val="000370F6"/>
    <w:rsid w:val="000378FA"/>
    <w:rsid w:val="00037CBD"/>
    <w:rsid w:val="0004026C"/>
    <w:rsid w:val="000403BB"/>
    <w:rsid w:val="00041C86"/>
    <w:rsid w:val="0004240D"/>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5EAA"/>
    <w:rsid w:val="00056BB6"/>
    <w:rsid w:val="00057025"/>
    <w:rsid w:val="00057381"/>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B00"/>
    <w:rsid w:val="00066E53"/>
    <w:rsid w:val="00066EC9"/>
    <w:rsid w:val="0006734E"/>
    <w:rsid w:val="00070311"/>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4379"/>
    <w:rsid w:val="0008447A"/>
    <w:rsid w:val="00084CBC"/>
    <w:rsid w:val="00085354"/>
    <w:rsid w:val="00085810"/>
    <w:rsid w:val="000866E0"/>
    <w:rsid w:val="00086F86"/>
    <w:rsid w:val="000903AC"/>
    <w:rsid w:val="00090BCB"/>
    <w:rsid w:val="00090C7C"/>
    <w:rsid w:val="00090CFB"/>
    <w:rsid w:val="0009111F"/>
    <w:rsid w:val="00091121"/>
    <w:rsid w:val="000913F0"/>
    <w:rsid w:val="00091710"/>
    <w:rsid w:val="00093487"/>
    <w:rsid w:val="00094F32"/>
    <w:rsid w:val="0009544A"/>
    <w:rsid w:val="000954C0"/>
    <w:rsid w:val="000959E5"/>
    <w:rsid w:val="00095A24"/>
    <w:rsid w:val="00097F41"/>
    <w:rsid w:val="00097FCE"/>
    <w:rsid w:val="000A0456"/>
    <w:rsid w:val="000A0B78"/>
    <w:rsid w:val="000A1A16"/>
    <w:rsid w:val="000A1D88"/>
    <w:rsid w:val="000A2085"/>
    <w:rsid w:val="000A2356"/>
    <w:rsid w:val="000A2671"/>
    <w:rsid w:val="000A381B"/>
    <w:rsid w:val="000A3AE6"/>
    <w:rsid w:val="000A505A"/>
    <w:rsid w:val="000A5590"/>
    <w:rsid w:val="000A67E7"/>
    <w:rsid w:val="000A68CB"/>
    <w:rsid w:val="000A6918"/>
    <w:rsid w:val="000A6B8C"/>
    <w:rsid w:val="000A77DA"/>
    <w:rsid w:val="000B0B29"/>
    <w:rsid w:val="000B20CF"/>
    <w:rsid w:val="000B2AE2"/>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F8C"/>
    <w:rsid w:val="000C36E1"/>
    <w:rsid w:val="000C3A24"/>
    <w:rsid w:val="000C3C38"/>
    <w:rsid w:val="000C3CD2"/>
    <w:rsid w:val="000C41DE"/>
    <w:rsid w:val="000C46BA"/>
    <w:rsid w:val="000C627C"/>
    <w:rsid w:val="000C63BC"/>
    <w:rsid w:val="000C6BEC"/>
    <w:rsid w:val="000C7151"/>
    <w:rsid w:val="000C744F"/>
    <w:rsid w:val="000C75C2"/>
    <w:rsid w:val="000C772F"/>
    <w:rsid w:val="000D0E02"/>
    <w:rsid w:val="000D19DD"/>
    <w:rsid w:val="000D1DDA"/>
    <w:rsid w:val="000D2521"/>
    <w:rsid w:val="000D4493"/>
    <w:rsid w:val="000D4587"/>
    <w:rsid w:val="000D584D"/>
    <w:rsid w:val="000D66BE"/>
    <w:rsid w:val="000D6778"/>
    <w:rsid w:val="000D6DF8"/>
    <w:rsid w:val="000D7811"/>
    <w:rsid w:val="000D78F7"/>
    <w:rsid w:val="000D7D48"/>
    <w:rsid w:val="000E02CF"/>
    <w:rsid w:val="000E0603"/>
    <w:rsid w:val="000E066F"/>
    <w:rsid w:val="000E0F0A"/>
    <w:rsid w:val="000E10CD"/>
    <w:rsid w:val="000E16F8"/>
    <w:rsid w:val="000E1AE0"/>
    <w:rsid w:val="000E26D5"/>
    <w:rsid w:val="000E2A63"/>
    <w:rsid w:val="000E2CAE"/>
    <w:rsid w:val="000E3F10"/>
    <w:rsid w:val="000E4053"/>
    <w:rsid w:val="000E40E0"/>
    <w:rsid w:val="000E4408"/>
    <w:rsid w:val="000E5379"/>
    <w:rsid w:val="000E624D"/>
    <w:rsid w:val="000E6D0D"/>
    <w:rsid w:val="000E7712"/>
    <w:rsid w:val="000F03F7"/>
    <w:rsid w:val="000F1CE4"/>
    <w:rsid w:val="000F2042"/>
    <w:rsid w:val="000F2273"/>
    <w:rsid w:val="000F2933"/>
    <w:rsid w:val="000F2B05"/>
    <w:rsid w:val="000F2FEA"/>
    <w:rsid w:val="000F383E"/>
    <w:rsid w:val="000F41A5"/>
    <w:rsid w:val="000F5B11"/>
    <w:rsid w:val="000F5B30"/>
    <w:rsid w:val="000F6837"/>
    <w:rsid w:val="00100269"/>
    <w:rsid w:val="00100F59"/>
    <w:rsid w:val="00101242"/>
    <w:rsid w:val="00101735"/>
    <w:rsid w:val="001022AC"/>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48C"/>
    <w:rsid w:val="00114FED"/>
    <w:rsid w:val="00115A17"/>
    <w:rsid w:val="00115FD4"/>
    <w:rsid w:val="0011639D"/>
    <w:rsid w:val="001170A5"/>
    <w:rsid w:val="001179E3"/>
    <w:rsid w:val="0012056F"/>
    <w:rsid w:val="0012084A"/>
    <w:rsid w:val="00120BAB"/>
    <w:rsid w:val="00120EF6"/>
    <w:rsid w:val="00121323"/>
    <w:rsid w:val="001214B2"/>
    <w:rsid w:val="00121A07"/>
    <w:rsid w:val="001228D4"/>
    <w:rsid w:val="00123815"/>
    <w:rsid w:val="00123A5B"/>
    <w:rsid w:val="00124D39"/>
    <w:rsid w:val="00126151"/>
    <w:rsid w:val="001262B3"/>
    <w:rsid w:val="0012670D"/>
    <w:rsid w:val="00126BB6"/>
    <w:rsid w:val="00126DED"/>
    <w:rsid w:val="00127993"/>
    <w:rsid w:val="00127D26"/>
    <w:rsid w:val="001303EA"/>
    <w:rsid w:val="00130B44"/>
    <w:rsid w:val="00131B97"/>
    <w:rsid w:val="00131BA1"/>
    <w:rsid w:val="00132068"/>
    <w:rsid w:val="00132DF4"/>
    <w:rsid w:val="00133D62"/>
    <w:rsid w:val="0013469F"/>
    <w:rsid w:val="001375F9"/>
    <w:rsid w:val="00137C83"/>
    <w:rsid w:val="00137E23"/>
    <w:rsid w:val="001410EB"/>
    <w:rsid w:val="00141755"/>
    <w:rsid w:val="001423E9"/>
    <w:rsid w:val="00142542"/>
    <w:rsid w:val="001427D7"/>
    <w:rsid w:val="00142850"/>
    <w:rsid w:val="001436B0"/>
    <w:rsid w:val="00143EEF"/>
    <w:rsid w:val="0014456D"/>
    <w:rsid w:val="00144BC1"/>
    <w:rsid w:val="00144E1A"/>
    <w:rsid w:val="0014511D"/>
    <w:rsid w:val="001457EA"/>
    <w:rsid w:val="00145A21"/>
    <w:rsid w:val="00147835"/>
    <w:rsid w:val="001478CF"/>
    <w:rsid w:val="00150193"/>
    <w:rsid w:val="00150D05"/>
    <w:rsid w:val="00151563"/>
    <w:rsid w:val="00151D74"/>
    <w:rsid w:val="001521FA"/>
    <w:rsid w:val="0015257B"/>
    <w:rsid w:val="00152718"/>
    <w:rsid w:val="001532F3"/>
    <w:rsid w:val="00153395"/>
    <w:rsid w:val="001534A3"/>
    <w:rsid w:val="0015414E"/>
    <w:rsid w:val="001542F1"/>
    <w:rsid w:val="00154BB1"/>
    <w:rsid w:val="00155EBB"/>
    <w:rsid w:val="00156195"/>
    <w:rsid w:val="00156DF2"/>
    <w:rsid w:val="00156F5B"/>
    <w:rsid w:val="00157767"/>
    <w:rsid w:val="00157A97"/>
    <w:rsid w:val="00160340"/>
    <w:rsid w:val="00160D2D"/>
    <w:rsid w:val="00160D86"/>
    <w:rsid w:val="0016119F"/>
    <w:rsid w:val="001616A3"/>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1A92"/>
    <w:rsid w:val="001729EB"/>
    <w:rsid w:val="001737D8"/>
    <w:rsid w:val="00175428"/>
    <w:rsid w:val="00175464"/>
    <w:rsid w:val="00175A11"/>
    <w:rsid w:val="00176343"/>
    <w:rsid w:val="00176DD7"/>
    <w:rsid w:val="0017738D"/>
    <w:rsid w:val="0017790C"/>
    <w:rsid w:val="00177AA7"/>
    <w:rsid w:val="00177F98"/>
    <w:rsid w:val="00180F0F"/>
    <w:rsid w:val="00180FDB"/>
    <w:rsid w:val="001818ED"/>
    <w:rsid w:val="0018193E"/>
    <w:rsid w:val="00181C5A"/>
    <w:rsid w:val="00183B0F"/>
    <w:rsid w:val="001840E8"/>
    <w:rsid w:val="00184748"/>
    <w:rsid w:val="001847DD"/>
    <w:rsid w:val="00184CC5"/>
    <w:rsid w:val="00185C6D"/>
    <w:rsid w:val="00185F6B"/>
    <w:rsid w:val="00187E21"/>
    <w:rsid w:val="00190155"/>
    <w:rsid w:val="0019052C"/>
    <w:rsid w:val="00190B42"/>
    <w:rsid w:val="00191809"/>
    <w:rsid w:val="00192397"/>
    <w:rsid w:val="0019315A"/>
    <w:rsid w:val="001931AA"/>
    <w:rsid w:val="001949D1"/>
    <w:rsid w:val="00195500"/>
    <w:rsid w:val="00195D3E"/>
    <w:rsid w:val="00195F7B"/>
    <w:rsid w:val="0019618E"/>
    <w:rsid w:val="001968AC"/>
    <w:rsid w:val="001A03CC"/>
    <w:rsid w:val="001A09A1"/>
    <w:rsid w:val="001A0CB0"/>
    <w:rsid w:val="001A10DB"/>
    <w:rsid w:val="001A145F"/>
    <w:rsid w:val="001A1AEF"/>
    <w:rsid w:val="001A2156"/>
    <w:rsid w:val="001A2423"/>
    <w:rsid w:val="001A29A7"/>
    <w:rsid w:val="001A31C6"/>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513"/>
    <w:rsid w:val="001B1AD3"/>
    <w:rsid w:val="001B2B30"/>
    <w:rsid w:val="001B2EE4"/>
    <w:rsid w:val="001B2EED"/>
    <w:rsid w:val="001B2F0A"/>
    <w:rsid w:val="001B360A"/>
    <w:rsid w:val="001B400D"/>
    <w:rsid w:val="001B4031"/>
    <w:rsid w:val="001B5FF8"/>
    <w:rsid w:val="001B6575"/>
    <w:rsid w:val="001B6FA5"/>
    <w:rsid w:val="001B7B24"/>
    <w:rsid w:val="001C04E5"/>
    <w:rsid w:val="001C076A"/>
    <w:rsid w:val="001C0C20"/>
    <w:rsid w:val="001C0E47"/>
    <w:rsid w:val="001C10FD"/>
    <w:rsid w:val="001C186B"/>
    <w:rsid w:val="001C21A9"/>
    <w:rsid w:val="001C267F"/>
    <w:rsid w:val="001C36B9"/>
    <w:rsid w:val="001C437D"/>
    <w:rsid w:val="001C458D"/>
    <w:rsid w:val="001C4A87"/>
    <w:rsid w:val="001C525A"/>
    <w:rsid w:val="001C5786"/>
    <w:rsid w:val="001C5BE1"/>
    <w:rsid w:val="001C5DFB"/>
    <w:rsid w:val="001C6304"/>
    <w:rsid w:val="001C6BD2"/>
    <w:rsid w:val="001C6BFF"/>
    <w:rsid w:val="001C7B5B"/>
    <w:rsid w:val="001C7F78"/>
    <w:rsid w:val="001D0226"/>
    <w:rsid w:val="001D0C17"/>
    <w:rsid w:val="001D1E65"/>
    <w:rsid w:val="001D269F"/>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2211"/>
    <w:rsid w:val="001E2751"/>
    <w:rsid w:val="001E2B01"/>
    <w:rsid w:val="001E2BC9"/>
    <w:rsid w:val="001E32CA"/>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35A2"/>
    <w:rsid w:val="001F3AEF"/>
    <w:rsid w:val="001F405F"/>
    <w:rsid w:val="001F4335"/>
    <w:rsid w:val="001F4769"/>
    <w:rsid w:val="001F4E0D"/>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4FD9"/>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3B"/>
    <w:rsid w:val="00213A8A"/>
    <w:rsid w:val="00214CFB"/>
    <w:rsid w:val="00214F9F"/>
    <w:rsid w:val="00215286"/>
    <w:rsid w:val="002159CE"/>
    <w:rsid w:val="00216AD0"/>
    <w:rsid w:val="00216AFF"/>
    <w:rsid w:val="00216D83"/>
    <w:rsid w:val="002176E7"/>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F9D"/>
    <w:rsid w:val="00241228"/>
    <w:rsid w:val="00241657"/>
    <w:rsid w:val="0024184D"/>
    <w:rsid w:val="00241D35"/>
    <w:rsid w:val="00242034"/>
    <w:rsid w:val="002421D3"/>
    <w:rsid w:val="002422D7"/>
    <w:rsid w:val="002441DE"/>
    <w:rsid w:val="002445FB"/>
    <w:rsid w:val="002449A5"/>
    <w:rsid w:val="00245DCF"/>
    <w:rsid w:val="00246AB8"/>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8F"/>
    <w:rsid w:val="002670A9"/>
    <w:rsid w:val="00267997"/>
    <w:rsid w:val="00271904"/>
    <w:rsid w:val="0027286F"/>
    <w:rsid w:val="0027295C"/>
    <w:rsid w:val="0027337C"/>
    <w:rsid w:val="00273EF1"/>
    <w:rsid w:val="002740F5"/>
    <w:rsid w:val="00274794"/>
    <w:rsid w:val="00275B6F"/>
    <w:rsid w:val="002760EE"/>
    <w:rsid w:val="00276347"/>
    <w:rsid w:val="0027664C"/>
    <w:rsid w:val="0027702C"/>
    <w:rsid w:val="00277285"/>
    <w:rsid w:val="00277397"/>
    <w:rsid w:val="00280494"/>
    <w:rsid w:val="0028053D"/>
    <w:rsid w:val="00280BE3"/>
    <w:rsid w:val="002812FA"/>
    <w:rsid w:val="00281492"/>
    <w:rsid w:val="00282A71"/>
    <w:rsid w:val="00282E42"/>
    <w:rsid w:val="00283D40"/>
    <w:rsid w:val="00284120"/>
    <w:rsid w:val="00284372"/>
    <w:rsid w:val="0028470C"/>
    <w:rsid w:val="00285167"/>
    <w:rsid w:val="00286555"/>
    <w:rsid w:val="00287C0A"/>
    <w:rsid w:val="00290263"/>
    <w:rsid w:val="002903C9"/>
    <w:rsid w:val="0029094C"/>
    <w:rsid w:val="00290C1E"/>
    <w:rsid w:val="00290F5C"/>
    <w:rsid w:val="00291DB1"/>
    <w:rsid w:val="00291FDA"/>
    <w:rsid w:val="0029234C"/>
    <w:rsid w:val="00292462"/>
    <w:rsid w:val="0029295E"/>
    <w:rsid w:val="0029301C"/>
    <w:rsid w:val="002936E3"/>
    <w:rsid w:val="002937B7"/>
    <w:rsid w:val="00294857"/>
    <w:rsid w:val="00295586"/>
    <w:rsid w:val="00296337"/>
    <w:rsid w:val="0029677C"/>
    <w:rsid w:val="00296A00"/>
    <w:rsid w:val="00296D70"/>
    <w:rsid w:val="00296E9C"/>
    <w:rsid w:val="00297045"/>
    <w:rsid w:val="00297048"/>
    <w:rsid w:val="00297BF7"/>
    <w:rsid w:val="002A0B48"/>
    <w:rsid w:val="002A0FBC"/>
    <w:rsid w:val="002A0FDD"/>
    <w:rsid w:val="002A2042"/>
    <w:rsid w:val="002A2323"/>
    <w:rsid w:val="002A27F4"/>
    <w:rsid w:val="002A515E"/>
    <w:rsid w:val="002A5271"/>
    <w:rsid w:val="002A572E"/>
    <w:rsid w:val="002A7F95"/>
    <w:rsid w:val="002B04DE"/>
    <w:rsid w:val="002B0864"/>
    <w:rsid w:val="002B0A1D"/>
    <w:rsid w:val="002B0D25"/>
    <w:rsid w:val="002B1882"/>
    <w:rsid w:val="002B1E09"/>
    <w:rsid w:val="002B1E47"/>
    <w:rsid w:val="002B2779"/>
    <w:rsid w:val="002B2931"/>
    <w:rsid w:val="002B368D"/>
    <w:rsid w:val="002B3B76"/>
    <w:rsid w:val="002B3B98"/>
    <w:rsid w:val="002B3FA3"/>
    <w:rsid w:val="002B4324"/>
    <w:rsid w:val="002B435A"/>
    <w:rsid w:val="002B4570"/>
    <w:rsid w:val="002B4663"/>
    <w:rsid w:val="002B482C"/>
    <w:rsid w:val="002B5013"/>
    <w:rsid w:val="002B6068"/>
    <w:rsid w:val="002B60BC"/>
    <w:rsid w:val="002B6C9F"/>
    <w:rsid w:val="002B6FC1"/>
    <w:rsid w:val="002B76E5"/>
    <w:rsid w:val="002B7D6A"/>
    <w:rsid w:val="002C0AD0"/>
    <w:rsid w:val="002C0B11"/>
    <w:rsid w:val="002C0D11"/>
    <w:rsid w:val="002C10A9"/>
    <w:rsid w:val="002C1C46"/>
    <w:rsid w:val="002C3A21"/>
    <w:rsid w:val="002C3C90"/>
    <w:rsid w:val="002C3E0A"/>
    <w:rsid w:val="002C4A3E"/>
    <w:rsid w:val="002C6F3C"/>
    <w:rsid w:val="002C79D9"/>
    <w:rsid w:val="002C7BAF"/>
    <w:rsid w:val="002C7BF5"/>
    <w:rsid w:val="002C7FEB"/>
    <w:rsid w:val="002D0446"/>
    <w:rsid w:val="002D24F9"/>
    <w:rsid w:val="002D25D2"/>
    <w:rsid w:val="002D304B"/>
    <w:rsid w:val="002D462D"/>
    <w:rsid w:val="002D4C5E"/>
    <w:rsid w:val="002D5A13"/>
    <w:rsid w:val="002D764C"/>
    <w:rsid w:val="002E0FD1"/>
    <w:rsid w:val="002E1477"/>
    <w:rsid w:val="002E177A"/>
    <w:rsid w:val="002E1A21"/>
    <w:rsid w:val="002E1A8F"/>
    <w:rsid w:val="002E1ED9"/>
    <w:rsid w:val="002E28FC"/>
    <w:rsid w:val="002E2EB6"/>
    <w:rsid w:val="002E308D"/>
    <w:rsid w:val="002E39FA"/>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B34"/>
    <w:rsid w:val="002F3D64"/>
    <w:rsid w:val="002F4199"/>
    <w:rsid w:val="002F6B1D"/>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64C6"/>
    <w:rsid w:val="00306FF6"/>
    <w:rsid w:val="0030747A"/>
    <w:rsid w:val="003074E3"/>
    <w:rsid w:val="003124EC"/>
    <w:rsid w:val="00312912"/>
    <w:rsid w:val="00312CCC"/>
    <w:rsid w:val="003139BF"/>
    <w:rsid w:val="00314276"/>
    <w:rsid w:val="00315FBD"/>
    <w:rsid w:val="00316A2C"/>
    <w:rsid w:val="00317653"/>
    <w:rsid w:val="00317D0B"/>
    <w:rsid w:val="00317DE0"/>
    <w:rsid w:val="00320495"/>
    <w:rsid w:val="00320D64"/>
    <w:rsid w:val="00321242"/>
    <w:rsid w:val="0032196C"/>
    <w:rsid w:val="003224C6"/>
    <w:rsid w:val="003239D1"/>
    <w:rsid w:val="00323C3C"/>
    <w:rsid w:val="00323CB0"/>
    <w:rsid w:val="003243FD"/>
    <w:rsid w:val="00324D15"/>
    <w:rsid w:val="00326231"/>
    <w:rsid w:val="00326687"/>
    <w:rsid w:val="00327104"/>
    <w:rsid w:val="00327DB0"/>
    <w:rsid w:val="00330FB1"/>
    <w:rsid w:val="00331983"/>
    <w:rsid w:val="003319EB"/>
    <w:rsid w:val="00331C20"/>
    <w:rsid w:val="003320A1"/>
    <w:rsid w:val="003321D6"/>
    <w:rsid w:val="0033266A"/>
    <w:rsid w:val="00332AB7"/>
    <w:rsid w:val="003333AB"/>
    <w:rsid w:val="003333AF"/>
    <w:rsid w:val="0033359B"/>
    <w:rsid w:val="00333B22"/>
    <w:rsid w:val="00334C0F"/>
    <w:rsid w:val="00334E24"/>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48DF"/>
    <w:rsid w:val="003455D8"/>
    <w:rsid w:val="00345833"/>
    <w:rsid w:val="00346BEE"/>
    <w:rsid w:val="00347610"/>
    <w:rsid w:val="00347E20"/>
    <w:rsid w:val="00347F13"/>
    <w:rsid w:val="00350267"/>
    <w:rsid w:val="00350D66"/>
    <w:rsid w:val="00350F88"/>
    <w:rsid w:val="00351062"/>
    <w:rsid w:val="00351A7E"/>
    <w:rsid w:val="00351AF2"/>
    <w:rsid w:val="00351E15"/>
    <w:rsid w:val="003523FB"/>
    <w:rsid w:val="003535C6"/>
    <w:rsid w:val="0035394A"/>
    <w:rsid w:val="0035428A"/>
    <w:rsid w:val="003546F4"/>
    <w:rsid w:val="00354DEA"/>
    <w:rsid w:val="00356447"/>
    <w:rsid w:val="003576A7"/>
    <w:rsid w:val="00360288"/>
    <w:rsid w:val="00360A57"/>
    <w:rsid w:val="00361A91"/>
    <w:rsid w:val="00362756"/>
    <w:rsid w:val="00362ACC"/>
    <w:rsid w:val="003642C3"/>
    <w:rsid w:val="003644EA"/>
    <w:rsid w:val="0036461C"/>
    <w:rsid w:val="00364B8F"/>
    <w:rsid w:val="00365000"/>
    <w:rsid w:val="0036726F"/>
    <w:rsid w:val="00367A93"/>
    <w:rsid w:val="00370A24"/>
    <w:rsid w:val="00370B43"/>
    <w:rsid w:val="00371983"/>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206B"/>
    <w:rsid w:val="00382798"/>
    <w:rsid w:val="00383269"/>
    <w:rsid w:val="00383741"/>
    <w:rsid w:val="00383E0B"/>
    <w:rsid w:val="00384599"/>
    <w:rsid w:val="00385BF7"/>
    <w:rsid w:val="00385D23"/>
    <w:rsid w:val="00385E26"/>
    <w:rsid w:val="003862E2"/>
    <w:rsid w:val="003864EA"/>
    <w:rsid w:val="00387E9F"/>
    <w:rsid w:val="003904EC"/>
    <w:rsid w:val="003910AD"/>
    <w:rsid w:val="0039167B"/>
    <w:rsid w:val="003916CC"/>
    <w:rsid w:val="003919AC"/>
    <w:rsid w:val="00391A97"/>
    <w:rsid w:val="00391E3B"/>
    <w:rsid w:val="00392A12"/>
    <w:rsid w:val="003932B4"/>
    <w:rsid w:val="00393C5B"/>
    <w:rsid w:val="0039403B"/>
    <w:rsid w:val="00394997"/>
    <w:rsid w:val="00395B9E"/>
    <w:rsid w:val="00395E3A"/>
    <w:rsid w:val="003967E0"/>
    <w:rsid w:val="003968EE"/>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DF0"/>
    <w:rsid w:val="003B0EAC"/>
    <w:rsid w:val="003B113D"/>
    <w:rsid w:val="003B117B"/>
    <w:rsid w:val="003B1C05"/>
    <w:rsid w:val="003B26AB"/>
    <w:rsid w:val="003B28AD"/>
    <w:rsid w:val="003B30B4"/>
    <w:rsid w:val="003B365C"/>
    <w:rsid w:val="003B3E75"/>
    <w:rsid w:val="003B3F01"/>
    <w:rsid w:val="003B4545"/>
    <w:rsid w:val="003B48B6"/>
    <w:rsid w:val="003B5DD4"/>
    <w:rsid w:val="003B686F"/>
    <w:rsid w:val="003B6974"/>
    <w:rsid w:val="003B6D07"/>
    <w:rsid w:val="003B6D23"/>
    <w:rsid w:val="003B76D7"/>
    <w:rsid w:val="003C04B5"/>
    <w:rsid w:val="003C0B68"/>
    <w:rsid w:val="003C230F"/>
    <w:rsid w:val="003C2AFF"/>
    <w:rsid w:val="003C4003"/>
    <w:rsid w:val="003C4861"/>
    <w:rsid w:val="003C51E7"/>
    <w:rsid w:val="003C728E"/>
    <w:rsid w:val="003C77B5"/>
    <w:rsid w:val="003C7809"/>
    <w:rsid w:val="003D0898"/>
    <w:rsid w:val="003D0A86"/>
    <w:rsid w:val="003D0CF0"/>
    <w:rsid w:val="003D13D6"/>
    <w:rsid w:val="003D1430"/>
    <w:rsid w:val="003D1530"/>
    <w:rsid w:val="003D1745"/>
    <w:rsid w:val="003D1774"/>
    <w:rsid w:val="003D1905"/>
    <w:rsid w:val="003D1C68"/>
    <w:rsid w:val="003D344A"/>
    <w:rsid w:val="003D44AB"/>
    <w:rsid w:val="003D49CF"/>
    <w:rsid w:val="003D53A3"/>
    <w:rsid w:val="003D6BD1"/>
    <w:rsid w:val="003D7EDB"/>
    <w:rsid w:val="003E0627"/>
    <w:rsid w:val="003E08A7"/>
    <w:rsid w:val="003E0D67"/>
    <w:rsid w:val="003E199F"/>
    <w:rsid w:val="003E3D42"/>
    <w:rsid w:val="003E447F"/>
    <w:rsid w:val="003E4E31"/>
    <w:rsid w:val="003E55E6"/>
    <w:rsid w:val="003E7116"/>
    <w:rsid w:val="003E7E12"/>
    <w:rsid w:val="003F02CC"/>
    <w:rsid w:val="003F0361"/>
    <w:rsid w:val="003F0A0C"/>
    <w:rsid w:val="003F0D56"/>
    <w:rsid w:val="003F1617"/>
    <w:rsid w:val="003F1672"/>
    <w:rsid w:val="003F1BC5"/>
    <w:rsid w:val="003F20D3"/>
    <w:rsid w:val="003F3821"/>
    <w:rsid w:val="003F4945"/>
    <w:rsid w:val="003F4A21"/>
    <w:rsid w:val="003F4D95"/>
    <w:rsid w:val="003F5055"/>
    <w:rsid w:val="003F5126"/>
    <w:rsid w:val="003F52DB"/>
    <w:rsid w:val="003F5322"/>
    <w:rsid w:val="003F693D"/>
    <w:rsid w:val="003F7B7C"/>
    <w:rsid w:val="0040016C"/>
    <w:rsid w:val="00400311"/>
    <w:rsid w:val="00400C12"/>
    <w:rsid w:val="00401285"/>
    <w:rsid w:val="00402E49"/>
    <w:rsid w:val="004033E4"/>
    <w:rsid w:val="00403F0E"/>
    <w:rsid w:val="0040408A"/>
    <w:rsid w:val="00404AFC"/>
    <w:rsid w:val="00404C6B"/>
    <w:rsid w:val="00404D37"/>
    <w:rsid w:val="004068B0"/>
    <w:rsid w:val="00407024"/>
    <w:rsid w:val="004109FD"/>
    <w:rsid w:val="00410B71"/>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6CA"/>
    <w:rsid w:val="00423266"/>
    <w:rsid w:val="00423BEC"/>
    <w:rsid w:val="004250D7"/>
    <w:rsid w:val="00425824"/>
    <w:rsid w:val="00426303"/>
    <w:rsid w:val="00426804"/>
    <w:rsid w:val="00426CAB"/>
    <w:rsid w:val="00427ECF"/>
    <w:rsid w:val="004309E0"/>
    <w:rsid w:val="00430C3A"/>
    <w:rsid w:val="00430D60"/>
    <w:rsid w:val="00430F86"/>
    <w:rsid w:val="004320DC"/>
    <w:rsid w:val="00432854"/>
    <w:rsid w:val="00432C40"/>
    <w:rsid w:val="00433270"/>
    <w:rsid w:val="004335E5"/>
    <w:rsid w:val="00433995"/>
    <w:rsid w:val="004348F4"/>
    <w:rsid w:val="004359E0"/>
    <w:rsid w:val="00435A3A"/>
    <w:rsid w:val="00435ECF"/>
    <w:rsid w:val="00436410"/>
    <w:rsid w:val="00436B1F"/>
    <w:rsid w:val="00437ABF"/>
    <w:rsid w:val="00440C3E"/>
    <w:rsid w:val="00440D51"/>
    <w:rsid w:val="00441A0B"/>
    <w:rsid w:val="0044304B"/>
    <w:rsid w:val="00443251"/>
    <w:rsid w:val="00443631"/>
    <w:rsid w:val="00443ED4"/>
    <w:rsid w:val="004469AC"/>
    <w:rsid w:val="00446ADF"/>
    <w:rsid w:val="00446EC6"/>
    <w:rsid w:val="004476F1"/>
    <w:rsid w:val="00447B63"/>
    <w:rsid w:val="00447C76"/>
    <w:rsid w:val="004501E1"/>
    <w:rsid w:val="004503E4"/>
    <w:rsid w:val="00451F11"/>
    <w:rsid w:val="004520D5"/>
    <w:rsid w:val="004528BA"/>
    <w:rsid w:val="00452F5A"/>
    <w:rsid w:val="00453183"/>
    <w:rsid w:val="00453378"/>
    <w:rsid w:val="00453D67"/>
    <w:rsid w:val="00453DAD"/>
    <w:rsid w:val="00455024"/>
    <w:rsid w:val="00456224"/>
    <w:rsid w:val="004562DC"/>
    <w:rsid w:val="00456544"/>
    <w:rsid w:val="00457A87"/>
    <w:rsid w:val="00457C69"/>
    <w:rsid w:val="00457D59"/>
    <w:rsid w:val="0046121D"/>
    <w:rsid w:val="0046290C"/>
    <w:rsid w:val="00463149"/>
    <w:rsid w:val="00463359"/>
    <w:rsid w:val="00463403"/>
    <w:rsid w:val="004634FB"/>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2A3"/>
    <w:rsid w:val="00480509"/>
    <w:rsid w:val="00480633"/>
    <w:rsid w:val="004806F6"/>
    <w:rsid w:val="004807FE"/>
    <w:rsid w:val="00480E3F"/>
    <w:rsid w:val="00481DE5"/>
    <w:rsid w:val="004822D0"/>
    <w:rsid w:val="00482D96"/>
    <w:rsid w:val="004837C0"/>
    <w:rsid w:val="00483908"/>
    <w:rsid w:val="0048454C"/>
    <w:rsid w:val="00484C92"/>
    <w:rsid w:val="00485163"/>
    <w:rsid w:val="004858F3"/>
    <w:rsid w:val="004858F7"/>
    <w:rsid w:val="004872C4"/>
    <w:rsid w:val="00491269"/>
    <w:rsid w:val="004914AA"/>
    <w:rsid w:val="004917E0"/>
    <w:rsid w:val="00492BF7"/>
    <w:rsid w:val="00494034"/>
    <w:rsid w:val="004940A3"/>
    <w:rsid w:val="00494292"/>
    <w:rsid w:val="00494295"/>
    <w:rsid w:val="00494452"/>
    <w:rsid w:val="00494F43"/>
    <w:rsid w:val="00494F87"/>
    <w:rsid w:val="00495C19"/>
    <w:rsid w:val="00496E59"/>
    <w:rsid w:val="00497573"/>
    <w:rsid w:val="00497C58"/>
    <w:rsid w:val="004A00C9"/>
    <w:rsid w:val="004A030D"/>
    <w:rsid w:val="004A031D"/>
    <w:rsid w:val="004A087D"/>
    <w:rsid w:val="004A08A3"/>
    <w:rsid w:val="004A0D82"/>
    <w:rsid w:val="004A1F71"/>
    <w:rsid w:val="004A235E"/>
    <w:rsid w:val="004A4319"/>
    <w:rsid w:val="004A4494"/>
    <w:rsid w:val="004A559B"/>
    <w:rsid w:val="004A601A"/>
    <w:rsid w:val="004A6B01"/>
    <w:rsid w:val="004A6B0F"/>
    <w:rsid w:val="004A75E8"/>
    <w:rsid w:val="004A7D94"/>
    <w:rsid w:val="004B0F42"/>
    <w:rsid w:val="004B1B99"/>
    <w:rsid w:val="004B2151"/>
    <w:rsid w:val="004B2AB9"/>
    <w:rsid w:val="004B2EC7"/>
    <w:rsid w:val="004B45A3"/>
    <w:rsid w:val="004B488D"/>
    <w:rsid w:val="004B62BA"/>
    <w:rsid w:val="004B63AD"/>
    <w:rsid w:val="004B63D7"/>
    <w:rsid w:val="004B7FD8"/>
    <w:rsid w:val="004C0123"/>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7BB1"/>
    <w:rsid w:val="004D7DF2"/>
    <w:rsid w:val="004E1433"/>
    <w:rsid w:val="004E1D2C"/>
    <w:rsid w:val="004E22EA"/>
    <w:rsid w:val="004E29EC"/>
    <w:rsid w:val="004E2D9B"/>
    <w:rsid w:val="004E2F2D"/>
    <w:rsid w:val="004E2FFD"/>
    <w:rsid w:val="004E4046"/>
    <w:rsid w:val="004E54BF"/>
    <w:rsid w:val="004E57D3"/>
    <w:rsid w:val="004E5AE0"/>
    <w:rsid w:val="004E6A1E"/>
    <w:rsid w:val="004E7682"/>
    <w:rsid w:val="004E76EC"/>
    <w:rsid w:val="004E79DA"/>
    <w:rsid w:val="004F01D4"/>
    <w:rsid w:val="004F149B"/>
    <w:rsid w:val="004F188B"/>
    <w:rsid w:val="004F19C4"/>
    <w:rsid w:val="004F1A8D"/>
    <w:rsid w:val="004F2DB0"/>
    <w:rsid w:val="004F41BD"/>
    <w:rsid w:val="004F4E4D"/>
    <w:rsid w:val="004F4FA0"/>
    <w:rsid w:val="004F564B"/>
    <w:rsid w:val="004F570B"/>
    <w:rsid w:val="004F58B8"/>
    <w:rsid w:val="004F5D05"/>
    <w:rsid w:val="004F5D76"/>
    <w:rsid w:val="004F5DA4"/>
    <w:rsid w:val="004F66FF"/>
    <w:rsid w:val="004F7544"/>
    <w:rsid w:val="004F7BE1"/>
    <w:rsid w:val="00501B5C"/>
    <w:rsid w:val="00503AB6"/>
    <w:rsid w:val="00503F57"/>
    <w:rsid w:val="00503F67"/>
    <w:rsid w:val="0050471E"/>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2E39"/>
    <w:rsid w:val="00513898"/>
    <w:rsid w:val="005144E2"/>
    <w:rsid w:val="005147E8"/>
    <w:rsid w:val="00514BC7"/>
    <w:rsid w:val="00514FC2"/>
    <w:rsid w:val="005150D3"/>
    <w:rsid w:val="00515543"/>
    <w:rsid w:val="00515B4E"/>
    <w:rsid w:val="00516C64"/>
    <w:rsid w:val="00516FA6"/>
    <w:rsid w:val="005173E7"/>
    <w:rsid w:val="00517AC1"/>
    <w:rsid w:val="00520112"/>
    <w:rsid w:val="00520807"/>
    <w:rsid w:val="00520AAB"/>
    <w:rsid w:val="00522046"/>
    <w:rsid w:val="00522425"/>
    <w:rsid w:val="005224AB"/>
    <w:rsid w:val="00522708"/>
    <w:rsid w:val="0052299E"/>
    <w:rsid w:val="0052346A"/>
    <w:rsid w:val="0052364F"/>
    <w:rsid w:val="00523B11"/>
    <w:rsid w:val="00523F35"/>
    <w:rsid w:val="00523F70"/>
    <w:rsid w:val="0052417E"/>
    <w:rsid w:val="00524BA3"/>
    <w:rsid w:val="005257D2"/>
    <w:rsid w:val="00526752"/>
    <w:rsid w:val="00526F93"/>
    <w:rsid w:val="0052761B"/>
    <w:rsid w:val="00527BC7"/>
    <w:rsid w:val="00531124"/>
    <w:rsid w:val="005313A2"/>
    <w:rsid w:val="00531A13"/>
    <w:rsid w:val="005326E6"/>
    <w:rsid w:val="0053284E"/>
    <w:rsid w:val="0053294F"/>
    <w:rsid w:val="005329AE"/>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19E9"/>
    <w:rsid w:val="00551F9F"/>
    <w:rsid w:val="005525C8"/>
    <w:rsid w:val="00552830"/>
    <w:rsid w:val="00552993"/>
    <w:rsid w:val="005533ED"/>
    <w:rsid w:val="005542B0"/>
    <w:rsid w:val="00554C5D"/>
    <w:rsid w:val="00554EC5"/>
    <w:rsid w:val="005555D8"/>
    <w:rsid w:val="00555AFB"/>
    <w:rsid w:val="00556EC5"/>
    <w:rsid w:val="005576FD"/>
    <w:rsid w:val="00557941"/>
    <w:rsid w:val="005579D4"/>
    <w:rsid w:val="00560592"/>
    <w:rsid w:val="00561212"/>
    <w:rsid w:val="00561798"/>
    <w:rsid w:val="00561D5C"/>
    <w:rsid w:val="0056222E"/>
    <w:rsid w:val="00562E49"/>
    <w:rsid w:val="005630C3"/>
    <w:rsid w:val="00563C57"/>
    <w:rsid w:val="00563C58"/>
    <w:rsid w:val="0056459A"/>
    <w:rsid w:val="005645FE"/>
    <w:rsid w:val="00564ADC"/>
    <w:rsid w:val="00564AFF"/>
    <w:rsid w:val="00565ED7"/>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527"/>
    <w:rsid w:val="00572679"/>
    <w:rsid w:val="00572906"/>
    <w:rsid w:val="00572913"/>
    <w:rsid w:val="00573B50"/>
    <w:rsid w:val="00573DA7"/>
    <w:rsid w:val="00574702"/>
    <w:rsid w:val="005761EA"/>
    <w:rsid w:val="00576472"/>
    <w:rsid w:val="00576749"/>
    <w:rsid w:val="00576866"/>
    <w:rsid w:val="00581821"/>
    <w:rsid w:val="00581C75"/>
    <w:rsid w:val="005833DB"/>
    <w:rsid w:val="005836EA"/>
    <w:rsid w:val="005848E0"/>
    <w:rsid w:val="00584CD5"/>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71B7"/>
    <w:rsid w:val="00597EF1"/>
    <w:rsid w:val="005A034C"/>
    <w:rsid w:val="005A04FD"/>
    <w:rsid w:val="005A22E1"/>
    <w:rsid w:val="005A2749"/>
    <w:rsid w:val="005A2878"/>
    <w:rsid w:val="005A2CE0"/>
    <w:rsid w:val="005A3B36"/>
    <w:rsid w:val="005A3BE4"/>
    <w:rsid w:val="005A3D45"/>
    <w:rsid w:val="005A4ADF"/>
    <w:rsid w:val="005A5A79"/>
    <w:rsid w:val="005A5BC6"/>
    <w:rsid w:val="005A693E"/>
    <w:rsid w:val="005A7296"/>
    <w:rsid w:val="005B0150"/>
    <w:rsid w:val="005B01EE"/>
    <w:rsid w:val="005B02BE"/>
    <w:rsid w:val="005B02F3"/>
    <w:rsid w:val="005B2079"/>
    <w:rsid w:val="005B2E38"/>
    <w:rsid w:val="005B3713"/>
    <w:rsid w:val="005B4779"/>
    <w:rsid w:val="005B5735"/>
    <w:rsid w:val="005B5E46"/>
    <w:rsid w:val="005B6541"/>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309"/>
    <w:rsid w:val="005C55F1"/>
    <w:rsid w:val="005C56AB"/>
    <w:rsid w:val="005C6632"/>
    <w:rsid w:val="005C6CB6"/>
    <w:rsid w:val="005C6D5D"/>
    <w:rsid w:val="005C6FE0"/>
    <w:rsid w:val="005C70FB"/>
    <w:rsid w:val="005C72E4"/>
    <w:rsid w:val="005C730A"/>
    <w:rsid w:val="005C7CBA"/>
    <w:rsid w:val="005D0301"/>
    <w:rsid w:val="005D0D69"/>
    <w:rsid w:val="005D0DF8"/>
    <w:rsid w:val="005D1240"/>
    <w:rsid w:val="005D162B"/>
    <w:rsid w:val="005D1D0A"/>
    <w:rsid w:val="005D2391"/>
    <w:rsid w:val="005D385D"/>
    <w:rsid w:val="005D3B25"/>
    <w:rsid w:val="005D4337"/>
    <w:rsid w:val="005D5A41"/>
    <w:rsid w:val="005D7342"/>
    <w:rsid w:val="005D7529"/>
    <w:rsid w:val="005D77DE"/>
    <w:rsid w:val="005D7836"/>
    <w:rsid w:val="005D7C5C"/>
    <w:rsid w:val="005E03C5"/>
    <w:rsid w:val="005E0688"/>
    <w:rsid w:val="005E0B51"/>
    <w:rsid w:val="005E168E"/>
    <w:rsid w:val="005E23A8"/>
    <w:rsid w:val="005E2E01"/>
    <w:rsid w:val="005E364C"/>
    <w:rsid w:val="005E38BD"/>
    <w:rsid w:val="005E3C86"/>
    <w:rsid w:val="005E3FC5"/>
    <w:rsid w:val="005E43B9"/>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5E8"/>
    <w:rsid w:val="005F4C25"/>
    <w:rsid w:val="005F514B"/>
    <w:rsid w:val="005F55DA"/>
    <w:rsid w:val="005F6AE2"/>
    <w:rsid w:val="00600621"/>
    <w:rsid w:val="006010F4"/>
    <w:rsid w:val="006013E6"/>
    <w:rsid w:val="0060142A"/>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124"/>
    <w:rsid w:val="0061073C"/>
    <w:rsid w:val="00610DB7"/>
    <w:rsid w:val="006113E1"/>
    <w:rsid w:val="00611EF4"/>
    <w:rsid w:val="00612401"/>
    <w:rsid w:val="00613473"/>
    <w:rsid w:val="00613828"/>
    <w:rsid w:val="0061452D"/>
    <w:rsid w:val="006148E3"/>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F7F"/>
    <w:rsid w:val="00630170"/>
    <w:rsid w:val="006305F8"/>
    <w:rsid w:val="00630717"/>
    <w:rsid w:val="00630E22"/>
    <w:rsid w:val="00631159"/>
    <w:rsid w:val="0063196F"/>
    <w:rsid w:val="006325CA"/>
    <w:rsid w:val="00633827"/>
    <w:rsid w:val="00635123"/>
    <w:rsid w:val="00635A36"/>
    <w:rsid w:val="00636013"/>
    <w:rsid w:val="00636FC8"/>
    <w:rsid w:val="006376D6"/>
    <w:rsid w:val="00637754"/>
    <w:rsid w:val="00637C81"/>
    <w:rsid w:val="00637EC2"/>
    <w:rsid w:val="00640B90"/>
    <w:rsid w:val="00641C40"/>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3198"/>
    <w:rsid w:val="00653414"/>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DF"/>
    <w:rsid w:val="00666830"/>
    <w:rsid w:val="006669EF"/>
    <w:rsid w:val="00666CFA"/>
    <w:rsid w:val="00667D9F"/>
    <w:rsid w:val="00670CAA"/>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D42"/>
    <w:rsid w:val="00692FED"/>
    <w:rsid w:val="00693337"/>
    <w:rsid w:val="0069339F"/>
    <w:rsid w:val="006934F0"/>
    <w:rsid w:val="006935C5"/>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141"/>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D6"/>
    <w:rsid w:val="006B7007"/>
    <w:rsid w:val="006B706B"/>
    <w:rsid w:val="006B75BB"/>
    <w:rsid w:val="006C01C1"/>
    <w:rsid w:val="006C097A"/>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56F"/>
    <w:rsid w:val="006C6D01"/>
    <w:rsid w:val="006D03C6"/>
    <w:rsid w:val="006D0CE6"/>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D7C64"/>
    <w:rsid w:val="006E02CF"/>
    <w:rsid w:val="006E0623"/>
    <w:rsid w:val="006E1183"/>
    <w:rsid w:val="006E18F7"/>
    <w:rsid w:val="006E1AB4"/>
    <w:rsid w:val="006E1C2A"/>
    <w:rsid w:val="006E1F8F"/>
    <w:rsid w:val="006E26D0"/>
    <w:rsid w:val="006E28E3"/>
    <w:rsid w:val="006E33B3"/>
    <w:rsid w:val="006E4467"/>
    <w:rsid w:val="006E4971"/>
    <w:rsid w:val="006E4BA1"/>
    <w:rsid w:val="006E550E"/>
    <w:rsid w:val="006E5D34"/>
    <w:rsid w:val="006E5DCC"/>
    <w:rsid w:val="006E6181"/>
    <w:rsid w:val="006E70C4"/>
    <w:rsid w:val="006E74F6"/>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4357"/>
    <w:rsid w:val="007144B9"/>
    <w:rsid w:val="0071456F"/>
    <w:rsid w:val="00714A4B"/>
    <w:rsid w:val="00715AF3"/>
    <w:rsid w:val="007168ED"/>
    <w:rsid w:val="00716A08"/>
    <w:rsid w:val="00716C8C"/>
    <w:rsid w:val="0071785D"/>
    <w:rsid w:val="00717C43"/>
    <w:rsid w:val="00720537"/>
    <w:rsid w:val="00720B11"/>
    <w:rsid w:val="00721F83"/>
    <w:rsid w:val="007220B2"/>
    <w:rsid w:val="00722D24"/>
    <w:rsid w:val="0072320E"/>
    <w:rsid w:val="00724149"/>
    <w:rsid w:val="007241CD"/>
    <w:rsid w:val="00725069"/>
    <w:rsid w:val="007250D9"/>
    <w:rsid w:val="00725F95"/>
    <w:rsid w:val="007260C2"/>
    <w:rsid w:val="00726583"/>
    <w:rsid w:val="00726DB1"/>
    <w:rsid w:val="00727C98"/>
    <w:rsid w:val="00730FFA"/>
    <w:rsid w:val="00732FCE"/>
    <w:rsid w:val="0073314A"/>
    <w:rsid w:val="007338CE"/>
    <w:rsid w:val="00734501"/>
    <w:rsid w:val="0073474E"/>
    <w:rsid w:val="00734953"/>
    <w:rsid w:val="00735346"/>
    <w:rsid w:val="007357D9"/>
    <w:rsid w:val="00735A3C"/>
    <w:rsid w:val="007366A1"/>
    <w:rsid w:val="0073678C"/>
    <w:rsid w:val="00736BD5"/>
    <w:rsid w:val="00736C1B"/>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6CB8"/>
    <w:rsid w:val="007470DE"/>
    <w:rsid w:val="00747682"/>
    <w:rsid w:val="00747D68"/>
    <w:rsid w:val="00750424"/>
    <w:rsid w:val="00750542"/>
    <w:rsid w:val="00750BF7"/>
    <w:rsid w:val="00750DA4"/>
    <w:rsid w:val="00751000"/>
    <w:rsid w:val="007515E0"/>
    <w:rsid w:val="00751948"/>
    <w:rsid w:val="0075229F"/>
    <w:rsid w:val="00752589"/>
    <w:rsid w:val="0075336D"/>
    <w:rsid w:val="00753AB2"/>
    <w:rsid w:val="00754C98"/>
    <w:rsid w:val="0075603B"/>
    <w:rsid w:val="0075654B"/>
    <w:rsid w:val="0076073F"/>
    <w:rsid w:val="00760937"/>
    <w:rsid w:val="0076096B"/>
    <w:rsid w:val="00760A3D"/>
    <w:rsid w:val="007617B4"/>
    <w:rsid w:val="007628DC"/>
    <w:rsid w:val="007630C1"/>
    <w:rsid w:val="0076377D"/>
    <w:rsid w:val="00763DE7"/>
    <w:rsid w:val="007643B4"/>
    <w:rsid w:val="00765295"/>
    <w:rsid w:val="00765FA9"/>
    <w:rsid w:val="007667DB"/>
    <w:rsid w:val="0076734B"/>
    <w:rsid w:val="0076761C"/>
    <w:rsid w:val="00770616"/>
    <w:rsid w:val="00770C08"/>
    <w:rsid w:val="007710B6"/>
    <w:rsid w:val="007717D0"/>
    <w:rsid w:val="0077218A"/>
    <w:rsid w:val="00772551"/>
    <w:rsid w:val="007728F2"/>
    <w:rsid w:val="0077335C"/>
    <w:rsid w:val="007733D5"/>
    <w:rsid w:val="00773A72"/>
    <w:rsid w:val="00774984"/>
    <w:rsid w:val="00774A2D"/>
    <w:rsid w:val="00775806"/>
    <w:rsid w:val="00775D61"/>
    <w:rsid w:val="00776478"/>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516C"/>
    <w:rsid w:val="007951D3"/>
    <w:rsid w:val="00796A5C"/>
    <w:rsid w:val="00796CD2"/>
    <w:rsid w:val="00797DFF"/>
    <w:rsid w:val="007A19CD"/>
    <w:rsid w:val="007A23CC"/>
    <w:rsid w:val="007A2E5C"/>
    <w:rsid w:val="007A533B"/>
    <w:rsid w:val="007A55B5"/>
    <w:rsid w:val="007A59E2"/>
    <w:rsid w:val="007A5A58"/>
    <w:rsid w:val="007A5BD8"/>
    <w:rsid w:val="007A62C4"/>
    <w:rsid w:val="007A6A25"/>
    <w:rsid w:val="007A77C9"/>
    <w:rsid w:val="007A79A6"/>
    <w:rsid w:val="007A7FD3"/>
    <w:rsid w:val="007B0C53"/>
    <w:rsid w:val="007B1F33"/>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C09CD"/>
    <w:rsid w:val="007C338C"/>
    <w:rsid w:val="007C37EA"/>
    <w:rsid w:val="007C4BBF"/>
    <w:rsid w:val="007C4D9A"/>
    <w:rsid w:val="007C6789"/>
    <w:rsid w:val="007C70B5"/>
    <w:rsid w:val="007C70E1"/>
    <w:rsid w:val="007C7BF2"/>
    <w:rsid w:val="007C7DEE"/>
    <w:rsid w:val="007D0A9F"/>
    <w:rsid w:val="007D16B9"/>
    <w:rsid w:val="007D3C11"/>
    <w:rsid w:val="007D4ACD"/>
    <w:rsid w:val="007D4D2A"/>
    <w:rsid w:val="007D61EA"/>
    <w:rsid w:val="007D65E4"/>
    <w:rsid w:val="007D7855"/>
    <w:rsid w:val="007D7949"/>
    <w:rsid w:val="007D7987"/>
    <w:rsid w:val="007D7B04"/>
    <w:rsid w:val="007D7D02"/>
    <w:rsid w:val="007E0B9B"/>
    <w:rsid w:val="007E0CA6"/>
    <w:rsid w:val="007E0CAB"/>
    <w:rsid w:val="007E0E73"/>
    <w:rsid w:val="007E2A0B"/>
    <w:rsid w:val="007E2B1A"/>
    <w:rsid w:val="007E3277"/>
    <w:rsid w:val="007E35B2"/>
    <w:rsid w:val="007E36AC"/>
    <w:rsid w:val="007E412A"/>
    <w:rsid w:val="007E502F"/>
    <w:rsid w:val="007E53D3"/>
    <w:rsid w:val="007E5954"/>
    <w:rsid w:val="007E5D88"/>
    <w:rsid w:val="007E5F41"/>
    <w:rsid w:val="007E5F87"/>
    <w:rsid w:val="007E733A"/>
    <w:rsid w:val="007F0036"/>
    <w:rsid w:val="007F1341"/>
    <w:rsid w:val="007F1A03"/>
    <w:rsid w:val="007F2DD4"/>
    <w:rsid w:val="007F35A6"/>
    <w:rsid w:val="007F3889"/>
    <w:rsid w:val="007F3DFA"/>
    <w:rsid w:val="007F3F5A"/>
    <w:rsid w:val="007F4495"/>
    <w:rsid w:val="007F4A58"/>
    <w:rsid w:val="007F4DCD"/>
    <w:rsid w:val="007F516D"/>
    <w:rsid w:val="007F53CA"/>
    <w:rsid w:val="007F553D"/>
    <w:rsid w:val="007F59C2"/>
    <w:rsid w:val="007F68DB"/>
    <w:rsid w:val="007F6AC4"/>
    <w:rsid w:val="007F6CB5"/>
    <w:rsid w:val="008003D4"/>
    <w:rsid w:val="008019F4"/>
    <w:rsid w:val="00801EED"/>
    <w:rsid w:val="00801F1D"/>
    <w:rsid w:val="00802178"/>
    <w:rsid w:val="0080233A"/>
    <w:rsid w:val="00802517"/>
    <w:rsid w:val="0080274A"/>
    <w:rsid w:val="00803770"/>
    <w:rsid w:val="00805EF1"/>
    <w:rsid w:val="00807497"/>
    <w:rsid w:val="0081004B"/>
    <w:rsid w:val="008101D3"/>
    <w:rsid w:val="008101EC"/>
    <w:rsid w:val="00810F3E"/>
    <w:rsid w:val="00811D29"/>
    <w:rsid w:val="00811F89"/>
    <w:rsid w:val="008125A0"/>
    <w:rsid w:val="00814946"/>
    <w:rsid w:val="00815345"/>
    <w:rsid w:val="008169A2"/>
    <w:rsid w:val="00816BAD"/>
    <w:rsid w:val="0081777B"/>
    <w:rsid w:val="008179B5"/>
    <w:rsid w:val="00821927"/>
    <w:rsid w:val="00821BD4"/>
    <w:rsid w:val="00822684"/>
    <w:rsid w:val="008244D3"/>
    <w:rsid w:val="00824AD9"/>
    <w:rsid w:val="00825A62"/>
    <w:rsid w:val="00826BE1"/>
    <w:rsid w:val="008271EE"/>
    <w:rsid w:val="00827D31"/>
    <w:rsid w:val="00827EFA"/>
    <w:rsid w:val="00830145"/>
    <w:rsid w:val="0083138F"/>
    <w:rsid w:val="00832233"/>
    <w:rsid w:val="00832759"/>
    <w:rsid w:val="00832CB9"/>
    <w:rsid w:val="00832F1A"/>
    <w:rsid w:val="008333BA"/>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06C"/>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3"/>
    <w:rsid w:val="00861461"/>
    <w:rsid w:val="00861BEC"/>
    <w:rsid w:val="00862640"/>
    <w:rsid w:val="008632C2"/>
    <w:rsid w:val="00863344"/>
    <w:rsid w:val="00863491"/>
    <w:rsid w:val="00863593"/>
    <w:rsid w:val="008642CF"/>
    <w:rsid w:val="00865E87"/>
    <w:rsid w:val="008673BD"/>
    <w:rsid w:val="00871F5B"/>
    <w:rsid w:val="008726AD"/>
    <w:rsid w:val="00872BC4"/>
    <w:rsid w:val="00872CA1"/>
    <w:rsid w:val="008734B9"/>
    <w:rsid w:val="0087364A"/>
    <w:rsid w:val="00873C71"/>
    <w:rsid w:val="00873D35"/>
    <w:rsid w:val="00874706"/>
    <w:rsid w:val="00874B17"/>
    <w:rsid w:val="00875F9E"/>
    <w:rsid w:val="0087616E"/>
    <w:rsid w:val="00876FFB"/>
    <w:rsid w:val="00877091"/>
    <w:rsid w:val="00877242"/>
    <w:rsid w:val="00877587"/>
    <w:rsid w:val="00881B8E"/>
    <w:rsid w:val="008825E9"/>
    <w:rsid w:val="008829DC"/>
    <w:rsid w:val="008838E0"/>
    <w:rsid w:val="00883BC7"/>
    <w:rsid w:val="008845B3"/>
    <w:rsid w:val="00884F61"/>
    <w:rsid w:val="00885779"/>
    <w:rsid w:val="00885B88"/>
    <w:rsid w:val="008866EE"/>
    <w:rsid w:val="0088716B"/>
    <w:rsid w:val="00891746"/>
    <w:rsid w:val="00891CF6"/>
    <w:rsid w:val="008921E3"/>
    <w:rsid w:val="008922D9"/>
    <w:rsid w:val="00893DD6"/>
    <w:rsid w:val="00894915"/>
    <w:rsid w:val="0089611A"/>
    <w:rsid w:val="00896396"/>
    <w:rsid w:val="008A0771"/>
    <w:rsid w:val="008A0E14"/>
    <w:rsid w:val="008A1D38"/>
    <w:rsid w:val="008A1F7F"/>
    <w:rsid w:val="008A2393"/>
    <w:rsid w:val="008A29E7"/>
    <w:rsid w:val="008A2A70"/>
    <w:rsid w:val="008A2FD0"/>
    <w:rsid w:val="008A383E"/>
    <w:rsid w:val="008A397B"/>
    <w:rsid w:val="008A3E32"/>
    <w:rsid w:val="008A3E52"/>
    <w:rsid w:val="008A41F0"/>
    <w:rsid w:val="008A4A62"/>
    <w:rsid w:val="008A52AB"/>
    <w:rsid w:val="008A59BF"/>
    <w:rsid w:val="008A5AA9"/>
    <w:rsid w:val="008A61BF"/>
    <w:rsid w:val="008A7C3C"/>
    <w:rsid w:val="008A7D8D"/>
    <w:rsid w:val="008A7FBC"/>
    <w:rsid w:val="008B005F"/>
    <w:rsid w:val="008B02E6"/>
    <w:rsid w:val="008B09C8"/>
    <w:rsid w:val="008B0B3C"/>
    <w:rsid w:val="008B135B"/>
    <w:rsid w:val="008B16FD"/>
    <w:rsid w:val="008B174E"/>
    <w:rsid w:val="008B3F7E"/>
    <w:rsid w:val="008B447F"/>
    <w:rsid w:val="008B4D10"/>
    <w:rsid w:val="008B53DC"/>
    <w:rsid w:val="008B61BA"/>
    <w:rsid w:val="008B6B8F"/>
    <w:rsid w:val="008B737A"/>
    <w:rsid w:val="008B7BB3"/>
    <w:rsid w:val="008C0F29"/>
    <w:rsid w:val="008C1315"/>
    <w:rsid w:val="008C1955"/>
    <w:rsid w:val="008C2071"/>
    <w:rsid w:val="008C30D5"/>
    <w:rsid w:val="008C36DE"/>
    <w:rsid w:val="008C53D4"/>
    <w:rsid w:val="008C5D48"/>
    <w:rsid w:val="008C5DEC"/>
    <w:rsid w:val="008C695E"/>
    <w:rsid w:val="008C71E2"/>
    <w:rsid w:val="008C759B"/>
    <w:rsid w:val="008D0088"/>
    <w:rsid w:val="008D143C"/>
    <w:rsid w:val="008D2088"/>
    <w:rsid w:val="008D2269"/>
    <w:rsid w:val="008D408E"/>
    <w:rsid w:val="008D4937"/>
    <w:rsid w:val="008D4DBF"/>
    <w:rsid w:val="008D52CF"/>
    <w:rsid w:val="008D53E1"/>
    <w:rsid w:val="008D5E88"/>
    <w:rsid w:val="008D62FD"/>
    <w:rsid w:val="008D73BF"/>
    <w:rsid w:val="008D7BA8"/>
    <w:rsid w:val="008D7E0D"/>
    <w:rsid w:val="008E1DBA"/>
    <w:rsid w:val="008E221B"/>
    <w:rsid w:val="008E2FE4"/>
    <w:rsid w:val="008E31DD"/>
    <w:rsid w:val="008E4408"/>
    <w:rsid w:val="008E4B15"/>
    <w:rsid w:val="008E510F"/>
    <w:rsid w:val="008E56E4"/>
    <w:rsid w:val="008E5C31"/>
    <w:rsid w:val="008E66DC"/>
    <w:rsid w:val="008E73DF"/>
    <w:rsid w:val="008E7730"/>
    <w:rsid w:val="008F02D2"/>
    <w:rsid w:val="008F19DD"/>
    <w:rsid w:val="008F1CDB"/>
    <w:rsid w:val="008F210E"/>
    <w:rsid w:val="008F2DE0"/>
    <w:rsid w:val="008F415C"/>
    <w:rsid w:val="008F4E90"/>
    <w:rsid w:val="008F4EE9"/>
    <w:rsid w:val="008F53EF"/>
    <w:rsid w:val="008F6EBA"/>
    <w:rsid w:val="008F7AAB"/>
    <w:rsid w:val="00900E91"/>
    <w:rsid w:val="00901059"/>
    <w:rsid w:val="00901D1D"/>
    <w:rsid w:val="0090288A"/>
    <w:rsid w:val="009036A3"/>
    <w:rsid w:val="00903AEE"/>
    <w:rsid w:val="00904396"/>
    <w:rsid w:val="00910158"/>
    <w:rsid w:val="009101E9"/>
    <w:rsid w:val="009104B2"/>
    <w:rsid w:val="00911004"/>
    <w:rsid w:val="009115D5"/>
    <w:rsid w:val="009120DD"/>
    <w:rsid w:val="009130E8"/>
    <w:rsid w:val="00913255"/>
    <w:rsid w:val="00913834"/>
    <w:rsid w:val="00914127"/>
    <w:rsid w:val="00914C73"/>
    <w:rsid w:val="009156B7"/>
    <w:rsid w:val="00915B38"/>
    <w:rsid w:val="00915CD8"/>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807"/>
    <w:rsid w:val="009252DB"/>
    <w:rsid w:val="00925791"/>
    <w:rsid w:val="009258ED"/>
    <w:rsid w:val="0092613D"/>
    <w:rsid w:val="00926B0B"/>
    <w:rsid w:val="00926B76"/>
    <w:rsid w:val="00927B36"/>
    <w:rsid w:val="00927E0D"/>
    <w:rsid w:val="00930286"/>
    <w:rsid w:val="009303CC"/>
    <w:rsid w:val="00930597"/>
    <w:rsid w:val="00930D58"/>
    <w:rsid w:val="00930F1A"/>
    <w:rsid w:val="00931013"/>
    <w:rsid w:val="00931214"/>
    <w:rsid w:val="009318E1"/>
    <w:rsid w:val="00933116"/>
    <w:rsid w:val="009332B9"/>
    <w:rsid w:val="00933519"/>
    <w:rsid w:val="00933CBE"/>
    <w:rsid w:val="00933E7F"/>
    <w:rsid w:val="00933FEB"/>
    <w:rsid w:val="009342C2"/>
    <w:rsid w:val="00934587"/>
    <w:rsid w:val="00934CD5"/>
    <w:rsid w:val="00935495"/>
    <w:rsid w:val="009356E8"/>
    <w:rsid w:val="00936461"/>
    <w:rsid w:val="0093659E"/>
    <w:rsid w:val="00937234"/>
    <w:rsid w:val="0093787F"/>
    <w:rsid w:val="00940241"/>
    <w:rsid w:val="009403C9"/>
    <w:rsid w:val="00940A78"/>
    <w:rsid w:val="00940C84"/>
    <w:rsid w:val="00940D74"/>
    <w:rsid w:val="00941031"/>
    <w:rsid w:val="00941BD6"/>
    <w:rsid w:val="00941FD4"/>
    <w:rsid w:val="0094301B"/>
    <w:rsid w:val="009441B7"/>
    <w:rsid w:val="009447A9"/>
    <w:rsid w:val="00944B3E"/>
    <w:rsid w:val="00944C3C"/>
    <w:rsid w:val="00945779"/>
    <w:rsid w:val="00945ECF"/>
    <w:rsid w:val="00945FB4"/>
    <w:rsid w:val="009462FD"/>
    <w:rsid w:val="009470FC"/>
    <w:rsid w:val="00947889"/>
    <w:rsid w:val="00947C81"/>
    <w:rsid w:val="0095048E"/>
    <w:rsid w:val="00950D38"/>
    <w:rsid w:val="009514EF"/>
    <w:rsid w:val="009516F2"/>
    <w:rsid w:val="009518EB"/>
    <w:rsid w:val="009527CC"/>
    <w:rsid w:val="00953033"/>
    <w:rsid w:val="00953C0E"/>
    <w:rsid w:val="009545BC"/>
    <w:rsid w:val="00954823"/>
    <w:rsid w:val="009549D4"/>
    <w:rsid w:val="00954DFC"/>
    <w:rsid w:val="00955561"/>
    <w:rsid w:val="009557C5"/>
    <w:rsid w:val="00955C2B"/>
    <w:rsid w:val="00956BA1"/>
    <w:rsid w:val="00956BC9"/>
    <w:rsid w:val="00956CC9"/>
    <w:rsid w:val="00956E2E"/>
    <w:rsid w:val="009573F5"/>
    <w:rsid w:val="00957E9D"/>
    <w:rsid w:val="0096036C"/>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75B"/>
    <w:rsid w:val="009670D3"/>
    <w:rsid w:val="00970832"/>
    <w:rsid w:val="00970A20"/>
    <w:rsid w:val="00971197"/>
    <w:rsid w:val="009712B6"/>
    <w:rsid w:val="009718F8"/>
    <w:rsid w:val="009720B9"/>
    <w:rsid w:val="00973D16"/>
    <w:rsid w:val="00974024"/>
    <w:rsid w:val="0097482B"/>
    <w:rsid w:val="00974B25"/>
    <w:rsid w:val="00974FCF"/>
    <w:rsid w:val="009755D0"/>
    <w:rsid w:val="00975676"/>
    <w:rsid w:val="0097774E"/>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CDF"/>
    <w:rsid w:val="0099081E"/>
    <w:rsid w:val="009916CF"/>
    <w:rsid w:val="00991BC7"/>
    <w:rsid w:val="009921AA"/>
    <w:rsid w:val="009925A5"/>
    <w:rsid w:val="00992E10"/>
    <w:rsid w:val="00993D55"/>
    <w:rsid w:val="00994576"/>
    <w:rsid w:val="009945CE"/>
    <w:rsid w:val="009947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2BEB"/>
    <w:rsid w:val="009C548B"/>
    <w:rsid w:val="009C5536"/>
    <w:rsid w:val="009C60A0"/>
    <w:rsid w:val="009C66BA"/>
    <w:rsid w:val="009C6A36"/>
    <w:rsid w:val="009C75D0"/>
    <w:rsid w:val="009D0481"/>
    <w:rsid w:val="009D0C8C"/>
    <w:rsid w:val="009D0E69"/>
    <w:rsid w:val="009D0F6B"/>
    <w:rsid w:val="009D1E1F"/>
    <w:rsid w:val="009D21DD"/>
    <w:rsid w:val="009D2476"/>
    <w:rsid w:val="009D311B"/>
    <w:rsid w:val="009D3E47"/>
    <w:rsid w:val="009D3F11"/>
    <w:rsid w:val="009D452D"/>
    <w:rsid w:val="009D4AD6"/>
    <w:rsid w:val="009D516D"/>
    <w:rsid w:val="009D5377"/>
    <w:rsid w:val="009D72E9"/>
    <w:rsid w:val="009D756C"/>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3FDD"/>
    <w:rsid w:val="009E460C"/>
    <w:rsid w:val="009E4A65"/>
    <w:rsid w:val="009E4B9D"/>
    <w:rsid w:val="009E549A"/>
    <w:rsid w:val="009E58BB"/>
    <w:rsid w:val="009E620E"/>
    <w:rsid w:val="009E712D"/>
    <w:rsid w:val="009E75C2"/>
    <w:rsid w:val="009E7DA3"/>
    <w:rsid w:val="009E7EED"/>
    <w:rsid w:val="009F04B2"/>
    <w:rsid w:val="009F04FB"/>
    <w:rsid w:val="009F10E6"/>
    <w:rsid w:val="009F118B"/>
    <w:rsid w:val="009F1551"/>
    <w:rsid w:val="009F192E"/>
    <w:rsid w:val="009F1D1B"/>
    <w:rsid w:val="009F29DC"/>
    <w:rsid w:val="009F33FC"/>
    <w:rsid w:val="009F4637"/>
    <w:rsid w:val="009F5286"/>
    <w:rsid w:val="009F59A0"/>
    <w:rsid w:val="009F5DB1"/>
    <w:rsid w:val="009F5F69"/>
    <w:rsid w:val="009F66E7"/>
    <w:rsid w:val="009F76D6"/>
    <w:rsid w:val="009F77A9"/>
    <w:rsid w:val="009F7DD6"/>
    <w:rsid w:val="00A00066"/>
    <w:rsid w:val="00A00BBA"/>
    <w:rsid w:val="00A00CA3"/>
    <w:rsid w:val="00A01903"/>
    <w:rsid w:val="00A01B74"/>
    <w:rsid w:val="00A021EE"/>
    <w:rsid w:val="00A02499"/>
    <w:rsid w:val="00A024D8"/>
    <w:rsid w:val="00A0283F"/>
    <w:rsid w:val="00A0296C"/>
    <w:rsid w:val="00A03DC3"/>
    <w:rsid w:val="00A04642"/>
    <w:rsid w:val="00A04C1C"/>
    <w:rsid w:val="00A063EE"/>
    <w:rsid w:val="00A06D28"/>
    <w:rsid w:val="00A06D5D"/>
    <w:rsid w:val="00A07295"/>
    <w:rsid w:val="00A073CF"/>
    <w:rsid w:val="00A104CC"/>
    <w:rsid w:val="00A105EE"/>
    <w:rsid w:val="00A1065C"/>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7696"/>
    <w:rsid w:val="00A200DB"/>
    <w:rsid w:val="00A20181"/>
    <w:rsid w:val="00A201EE"/>
    <w:rsid w:val="00A20E87"/>
    <w:rsid w:val="00A22732"/>
    <w:rsid w:val="00A23497"/>
    <w:rsid w:val="00A24D43"/>
    <w:rsid w:val="00A25571"/>
    <w:rsid w:val="00A267C3"/>
    <w:rsid w:val="00A27335"/>
    <w:rsid w:val="00A30941"/>
    <w:rsid w:val="00A30A5D"/>
    <w:rsid w:val="00A3136F"/>
    <w:rsid w:val="00A31472"/>
    <w:rsid w:val="00A3155A"/>
    <w:rsid w:val="00A32534"/>
    <w:rsid w:val="00A32590"/>
    <w:rsid w:val="00A325CC"/>
    <w:rsid w:val="00A329BF"/>
    <w:rsid w:val="00A32F52"/>
    <w:rsid w:val="00A33161"/>
    <w:rsid w:val="00A342C9"/>
    <w:rsid w:val="00A34339"/>
    <w:rsid w:val="00A358DF"/>
    <w:rsid w:val="00A366FC"/>
    <w:rsid w:val="00A36AA7"/>
    <w:rsid w:val="00A37C93"/>
    <w:rsid w:val="00A37FB6"/>
    <w:rsid w:val="00A40297"/>
    <w:rsid w:val="00A40640"/>
    <w:rsid w:val="00A4095E"/>
    <w:rsid w:val="00A41388"/>
    <w:rsid w:val="00A41583"/>
    <w:rsid w:val="00A41751"/>
    <w:rsid w:val="00A41E54"/>
    <w:rsid w:val="00A42057"/>
    <w:rsid w:val="00A43389"/>
    <w:rsid w:val="00A43DDB"/>
    <w:rsid w:val="00A43F10"/>
    <w:rsid w:val="00A440BE"/>
    <w:rsid w:val="00A4431B"/>
    <w:rsid w:val="00A44560"/>
    <w:rsid w:val="00A4464E"/>
    <w:rsid w:val="00A44671"/>
    <w:rsid w:val="00A4496C"/>
    <w:rsid w:val="00A44E3B"/>
    <w:rsid w:val="00A4567E"/>
    <w:rsid w:val="00A46B7B"/>
    <w:rsid w:val="00A50CF1"/>
    <w:rsid w:val="00A50DDD"/>
    <w:rsid w:val="00A51245"/>
    <w:rsid w:val="00A52656"/>
    <w:rsid w:val="00A52D01"/>
    <w:rsid w:val="00A52D69"/>
    <w:rsid w:val="00A532B0"/>
    <w:rsid w:val="00A539F6"/>
    <w:rsid w:val="00A53EF4"/>
    <w:rsid w:val="00A543A9"/>
    <w:rsid w:val="00A54EBB"/>
    <w:rsid w:val="00A55009"/>
    <w:rsid w:val="00A55AF4"/>
    <w:rsid w:val="00A560A5"/>
    <w:rsid w:val="00A5627D"/>
    <w:rsid w:val="00A566A0"/>
    <w:rsid w:val="00A57BF6"/>
    <w:rsid w:val="00A57C78"/>
    <w:rsid w:val="00A60067"/>
    <w:rsid w:val="00A603F1"/>
    <w:rsid w:val="00A61C61"/>
    <w:rsid w:val="00A62458"/>
    <w:rsid w:val="00A63566"/>
    <w:rsid w:val="00A637D3"/>
    <w:rsid w:val="00A64A0C"/>
    <w:rsid w:val="00A64C55"/>
    <w:rsid w:val="00A662B8"/>
    <w:rsid w:val="00A6688E"/>
    <w:rsid w:val="00A70C44"/>
    <w:rsid w:val="00A7132A"/>
    <w:rsid w:val="00A71457"/>
    <w:rsid w:val="00A718C9"/>
    <w:rsid w:val="00A71921"/>
    <w:rsid w:val="00A7210D"/>
    <w:rsid w:val="00A725AE"/>
    <w:rsid w:val="00A7263A"/>
    <w:rsid w:val="00A72B86"/>
    <w:rsid w:val="00A73401"/>
    <w:rsid w:val="00A738B7"/>
    <w:rsid w:val="00A73FBF"/>
    <w:rsid w:val="00A7465C"/>
    <w:rsid w:val="00A760B4"/>
    <w:rsid w:val="00A766A8"/>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879AA"/>
    <w:rsid w:val="00A9119C"/>
    <w:rsid w:val="00A92922"/>
    <w:rsid w:val="00A9346A"/>
    <w:rsid w:val="00A941AE"/>
    <w:rsid w:val="00A9420F"/>
    <w:rsid w:val="00A94F2F"/>
    <w:rsid w:val="00A953A1"/>
    <w:rsid w:val="00A95DA6"/>
    <w:rsid w:val="00A96497"/>
    <w:rsid w:val="00A967CB"/>
    <w:rsid w:val="00A96924"/>
    <w:rsid w:val="00A96ACD"/>
    <w:rsid w:val="00A9703B"/>
    <w:rsid w:val="00A97F59"/>
    <w:rsid w:val="00AA176F"/>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DC0"/>
    <w:rsid w:val="00AC1F74"/>
    <w:rsid w:val="00AC206E"/>
    <w:rsid w:val="00AC2235"/>
    <w:rsid w:val="00AC29A5"/>
    <w:rsid w:val="00AC367E"/>
    <w:rsid w:val="00AC394D"/>
    <w:rsid w:val="00AC3ABC"/>
    <w:rsid w:val="00AC4396"/>
    <w:rsid w:val="00AC57F9"/>
    <w:rsid w:val="00AC6324"/>
    <w:rsid w:val="00AC647D"/>
    <w:rsid w:val="00AC65C1"/>
    <w:rsid w:val="00AC6632"/>
    <w:rsid w:val="00AC7142"/>
    <w:rsid w:val="00AD0646"/>
    <w:rsid w:val="00AD070F"/>
    <w:rsid w:val="00AD1969"/>
    <w:rsid w:val="00AD279C"/>
    <w:rsid w:val="00AD2A30"/>
    <w:rsid w:val="00AD3589"/>
    <w:rsid w:val="00AD3A86"/>
    <w:rsid w:val="00AD407D"/>
    <w:rsid w:val="00AD46A1"/>
    <w:rsid w:val="00AD476E"/>
    <w:rsid w:val="00AD5CC7"/>
    <w:rsid w:val="00AD5D6E"/>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1BB6"/>
    <w:rsid w:val="00AE2300"/>
    <w:rsid w:val="00AE299B"/>
    <w:rsid w:val="00AE3D3F"/>
    <w:rsid w:val="00AE4990"/>
    <w:rsid w:val="00AE4C23"/>
    <w:rsid w:val="00AE4E6F"/>
    <w:rsid w:val="00AE556B"/>
    <w:rsid w:val="00AE59A0"/>
    <w:rsid w:val="00AE5CDF"/>
    <w:rsid w:val="00AE5ED4"/>
    <w:rsid w:val="00AE5F32"/>
    <w:rsid w:val="00AE7014"/>
    <w:rsid w:val="00AE7403"/>
    <w:rsid w:val="00AE7E86"/>
    <w:rsid w:val="00AF057D"/>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35FB"/>
    <w:rsid w:val="00B0367B"/>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EAB"/>
    <w:rsid w:val="00B24F67"/>
    <w:rsid w:val="00B25510"/>
    <w:rsid w:val="00B264B0"/>
    <w:rsid w:val="00B26C42"/>
    <w:rsid w:val="00B27662"/>
    <w:rsid w:val="00B30670"/>
    <w:rsid w:val="00B31530"/>
    <w:rsid w:val="00B3160D"/>
    <w:rsid w:val="00B316DA"/>
    <w:rsid w:val="00B31E3F"/>
    <w:rsid w:val="00B32686"/>
    <w:rsid w:val="00B33945"/>
    <w:rsid w:val="00B341C8"/>
    <w:rsid w:val="00B351D7"/>
    <w:rsid w:val="00B366C7"/>
    <w:rsid w:val="00B376B7"/>
    <w:rsid w:val="00B37D27"/>
    <w:rsid w:val="00B37FF7"/>
    <w:rsid w:val="00B407F4"/>
    <w:rsid w:val="00B415B0"/>
    <w:rsid w:val="00B41C54"/>
    <w:rsid w:val="00B41DF2"/>
    <w:rsid w:val="00B4382C"/>
    <w:rsid w:val="00B43D37"/>
    <w:rsid w:val="00B44878"/>
    <w:rsid w:val="00B4583E"/>
    <w:rsid w:val="00B45C5D"/>
    <w:rsid w:val="00B45CED"/>
    <w:rsid w:val="00B46836"/>
    <w:rsid w:val="00B46E02"/>
    <w:rsid w:val="00B47330"/>
    <w:rsid w:val="00B47CCC"/>
    <w:rsid w:val="00B47F01"/>
    <w:rsid w:val="00B500A0"/>
    <w:rsid w:val="00B50478"/>
    <w:rsid w:val="00B51654"/>
    <w:rsid w:val="00B518E7"/>
    <w:rsid w:val="00B51E24"/>
    <w:rsid w:val="00B51F1E"/>
    <w:rsid w:val="00B52EAC"/>
    <w:rsid w:val="00B534DA"/>
    <w:rsid w:val="00B53C36"/>
    <w:rsid w:val="00B53F13"/>
    <w:rsid w:val="00B54057"/>
    <w:rsid w:val="00B54509"/>
    <w:rsid w:val="00B55419"/>
    <w:rsid w:val="00B55718"/>
    <w:rsid w:val="00B55A71"/>
    <w:rsid w:val="00B55DA4"/>
    <w:rsid w:val="00B56152"/>
    <w:rsid w:val="00B5666E"/>
    <w:rsid w:val="00B57761"/>
    <w:rsid w:val="00B57E40"/>
    <w:rsid w:val="00B61810"/>
    <w:rsid w:val="00B61F7C"/>
    <w:rsid w:val="00B6322E"/>
    <w:rsid w:val="00B63678"/>
    <w:rsid w:val="00B64B2B"/>
    <w:rsid w:val="00B64F36"/>
    <w:rsid w:val="00B67356"/>
    <w:rsid w:val="00B67465"/>
    <w:rsid w:val="00B674AC"/>
    <w:rsid w:val="00B708AB"/>
    <w:rsid w:val="00B708F6"/>
    <w:rsid w:val="00B7094B"/>
    <w:rsid w:val="00B70BA5"/>
    <w:rsid w:val="00B71814"/>
    <w:rsid w:val="00B71B34"/>
    <w:rsid w:val="00B71BD1"/>
    <w:rsid w:val="00B720B0"/>
    <w:rsid w:val="00B73442"/>
    <w:rsid w:val="00B73783"/>
    <w:rsid w:val="00B75E09"/>
    <w:rsid w:val="00B75F16"/>
    <w:rsid w:val="00B7649F"/>
    <w:rsid w:val="00B7675D"/>
    <w:rsid w:val="00B76E37"/>
    <w:rsid w:val="00B76FF1"/>
    <w:rsid w:val="00B771B0"/>
    <w:rsid w:val="00B77423"/>
    <w:rsid w:val="00B775B3"/>
    <w:rsid w:val="00B779CE"/>
    <w:rsid w:val="00B81CB9"/>
    <w:rsid w:val="00B81D30"/>
    <w:rsid w:val="00B8229C"/>
    <w:rsid w:val="00B845C4"/>
    <w:rsid w:val="00B85CCD"/>
    <w:rsid w:val="00B86C7E"/>
    <w:rsid w:val="00B87B14"/>
    <w:rsid w:val="00B87D0B"/>
    <w:rsid w:val="00B91167"/>
    <w:rsid w:val="00B92228"/>
    <w:rsid w:val="00B932F8"/>
    <w:rsid w:val="00B93D37"/>
    <w:rsid w:val="00B93F32"/>
    <w:rsid w:val="00B94943"/>
    <w:rsid w:val="00B94CAF"/>
    <w:rsid w:val="00B95034"/>
    <w:rsid w:val="00B95C5D"/>
    <w:rsid w:val="00B96583"/>
    <w:rsid w:val="00BA12D8"/>
    <w:rsid w:val="00BA1C19"/>
    <w:rsid w:val="00BA2280"/>
    <w:rsid w:val="00BA38A4"/>
    <w:rsid w:val="00BA38AF"/>
    <w:rsid w:val="00BA3F05"/>
    <w:rsid w:val="00BA4900"/>
    <w:rsid w:val="00BA5F92"/>
    <w:rsid w:val="00BA63E9"/>
    <w:rsid w:val="00BA6C65"/>
    <w:rsid w:val="00BB025D"/>
    <w:rsid w:val="00BB0902"/>
    <w:rsid w:val="00BB0ED4"/>
    <w:rsid w:val="00BB1444"/>
    <w:rsid w:val="00BB1AB9"/>
    <w:rsid w:val="00BB29EE"/>
    <w:rsid w:val="00BB2A80"/>
    <w:rsid w:val="00BB3168"/>
    <w:rsid w:val="00BB393B"/>
    <w:rsid w:val="00BB46C1"/>
    <w:rsid w:val="00BB4C9E"/>
    <w:rsid w:val="00BB50E4"/>
    <w:rsid w:val="00BB53C5"/>
    <w:rsid w:val="00BB5970"/>
    <w:rsid w:val="00BB62D1"/>
    <w:rsid w:val="00BB6FFE"/>
    <w:rsid w:val="00BC0583"/>
    <w:rsid w:val="00BC22F4"/>
    <w:rsid w:val="00BC25A7"/>
    <w:rsid w:val="00BC2708"/>
    <w:rsid w:val="00BC29D0"/>
    <w:rsid w:val="00BC2A7C"/>
    <w:rsid w:val="00BC2D3A"/>
    <w:rsid w:val="00BC2EC4"/>
    <w:rsid w:val="00BC38EC"/>
    <w:rsid w:val="00BC3B8B"/>
    <w:rsid w:val="00BC3E9F"/>
    <w:rsid w:val="00BC45BE"/>
    <w:rsid w:val="00BC5CF7"/>
    <w:rsid w:val="00BC6106"/>
    <w:rsid w:val="00BC7049"/>
    <w:rsid w:val="00BC7D50"/>
    <w:rsid w:val="00BD0611"/>
    <w:rsid w:val="00BD1519"/>
    <w:rsid w:val="00BD1F2A"/>
    <w:rsid w:val="00BD41CC"/>
    <w:rsid w:val="00BD42C6"/>
    <w:rsid w:val="00BD436C"/>
    <w:rsid w:val="00BD4763"/>
    <w:rsid w:val="00BD4DB8"/>
    <w:rsid w:val="00BD564B"/>
    <w:rsid w:val="00BD5A74"/>
    <w:rsid w:val="00BD6427"/>
    <w:rsid w:val="00BD65EE"/>
    <w:rsid w:val="00BD6760"/>
    <w:rsid w:val="00BE06FB"/>
    <w:rsid w:val="00BE0830"/>
    <w:rsid w:val="00BE0D54"/>
    <w:rsid w:val="00BE0DAF"/>
    <w:rsid w:val="00BE0F9A"/>
    <w:rsid w:val="00BE293B"/>
    <w:rsid w:val="00BE2B43"/>
    <w:rsid w:val="00BE2C4D"/>
    <w:rsid w:val="00BE3322"/>
    <w:rsid w:val="00BE3635"/>
    <w:rsid w:val="00BE48D5"/>
    <w:rsid w:val="00BE4CA7"/>
    <w:rsid w:val="00BE74C8"/>
    <w:rsid w:val="00BE76CC"/>
    <w:rsid w:val="00BF26E5"/>
    <w:rsid w:val="00BF3CAA"/>
    <w:rsid w:val="00BF3E79"/>
    <w:rsid w:val="00BF4BFB"/>
    <w:rsid w:val="00BF5A66"/>
    <w:rsid w:val="00BF6102"/>
    <w:rsid w:val="00BF65C0"/>
    <w:rsid w:val="00BF6754"/>
    <w:rsid w:val="00BF688D"/>
    <w:rsid w:val="00BF73A7"/>
    <w:rsid w:val="00BF77CE"/>
    <w:rsid w:val="00C0026F"/>
    <w:rsid w:val="00C00566"/>
    <w:rsid w:val="00C016FC"/>
    <w:rsid w:val="00C01A20"/>
    <w:rsid w:val="00C02A7A"/>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EF9"/>
    <w:rsid w:val="00C163AB"/>
    <w:rsid w:val="00C165A2"/>
    <w:rsid w:val="00C17E30"/>
    <w:rsid w:val="00C17E42"/>
    <w:rsid w:val="00C17E6E"/>
    <w:rsid w:val="00C2069E"/>
    <w:rsid w:val="00C20FFF"/>
    <w:rsid w:val="00C210E8"/>
    <w:rsid w:val="00C22275"/>
    <w:rsid w:val="00C23509"/>
    <w:rsid w:val="00C23CD1"/>
    <w:rsid w:val="00C242FD"/>
    <w:rsid w:val="00C244C5"/>
    <w:rsid w:val="00C24D53"/>
    <w:rsid w:val="00C254A4"/>
    <w:rsid w:val="00C258CB"/>
    <w:rsid w:val="00C259E6"/>
    <w:rsid w:val="00C261F3"/>
    <w:rsid w:val="00C2688D"/>
    <w:rsid w:val="00C2742D"/>
    <w:rsid w:val="00C27ECC"/>
    <w:rsid w:val="00C303B9"/>
    <w:rsid w:val="00C30A56"/>
    <w:rsid w:val="00C31199"/>
    <w:rsid w:val="00C31C95"/>
    <w:rsid w:val="00C323BA"/>
    <w:rsid w:val="00C32749"/>
    <w:rsid w:val="00C332EE"/>
    <w:rsid w:val="00C35882"/>
    <w:rsid w:val="00C35A5F"/>
    <w:rsid w:val="00C35AC6"/>
    <w:rsid w:val="00C35E33"/>
    <w:rsid w:val="00C36109"/>
    <w:rsid w:val="00C36185"/>
    <w:rsid w:val="00C366F2"/>
    <w:rsid w:val="00C36CA7"/>
    <w:rsid w:val="00C3724C"/>
    <w:rsid w:val="00C40079"/>
    <w:rsid w:val="00C406DE"/>
    <w:rsid w:val="00C41503"/>
    <w:rsid w:val="00C42657"/>
    <w:rsid w:val="00C426DC"/>
    <w:rsid w:val="00C43017"/>
    <w:rsid w:val="00C43B27"/>
    <w:rsid w:val="00C44F7A"/>
    <w:rsid w:val="00C4548E"/>
    <w:rsid w:val="00C46A33"/>
    <w:rsid w:val="00C477BC"/>
    <w:rsid w:val="00C47985"/>
    <w:rsid w:val="00C47B80"/>
    <w:rsid w:val="00C50E31"/>
    <w:rsid w:val="00C5142D"/>
    <w:rsid w:val="00C51936"/>
    <w:rsid w:val="00C519CA"/>
    <w:rsid w:val="00C52A01"/>
    <w:rsid w:val="00C53B27"/>
    <w:rsid w:val="00C53B86"/>
    <w:rsid w:val="00C54396"/>
    <w:rsid w:val="00C54686"/>
    <w:rsid w:val="00C54D88"/>
    <w:rsid w:val="00C553F1"/>
    <w:rsid w:val="00C55C88"/>
    <w:rsid w:val="00C55F74"/>
    <w:rsid w:val="00C567FD"/>
    <w:rsid w:val="00C56F55"/>
    <w:rsid w:val="00C60839"/>
    <w:rsid w:val="00C61338"/>
    <w:rsid w:val="00C61F23"/>
    <w:rsid w:val="00C62F4A"/>
    <w:rsid w:val="00C63849"/>
    <w:rsid w:val="00C64612"/>
    <w:rsid w:val="00C65099"/>
    <w:rsid w:val="00C66BAA"/>
    <w:rsid w:val="00C67589"/>
    <w:rsid w:val="00C71594"/>
    <w:rsid w:val="00C71BA0"/>
    <w:rsid w:val="00C71CE1"/>
    <w:rsid w:val="00C71D36"/>
    <w:rsid w:val="00C72268"/>
    <w:rsid w:val="00C734E5"/>
    <w:rsid w:val="00C73674"/>
    <w:rsid w:val="00C74040"/>
    <w:rsid w:val="00C745D6"/>
    <w:rsid w:val="00C7581B"/>
    <w:rsid w:val="00C75E98"/>
    <w:rsid w:val="00C7685F"/>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4519"/>
    <w:rsid w:val="00C867D9"/>
    <w:rsid w:val="00C87C3E"/>
    <w:rsid w:val="00C87EAE"/>
    <w:rsid w:val="00C9198E"/>
    <w:rsid w:val="00C92633"/>
    <w:rsid w:val="00C927FE"/>
    <w:rsid w:val="00C9296B"/>
    <w:rsid w:val="00C92AED"/>
    <w:rsid w:val="00C92F22"/>
    <w:rsid w:val="00C932C6"/>
    <w:rsid w:val="00C93ABE"/>
    <w:rsid w:val="00C944E2"/>
    <w:rsid w:val="00C945DC"/>
    <w:rsid w:val="00C94B39"/>
    <w:rsid w:val="00C951E7"/>
    <w:rsid w:val="00C9554F"/>
    <w:rsid w:val="00C95F5A"/>
    <w:rsid w:val="00C96645"/>
    <w:rsid w:val="00C96DDC"/>
    <w:rsid w:val="00C96F54"/>
    <w:rsid w:val="00C972DE"/>
    <w:rsid w:val="00C97AE6"/>
    <w:rsid w:val="00CA06BD"/>
    <w:rsid w:val="00CA0B61"/>
    <w:rsid w:val="00CA0D7D"/>
    <w:rsid w:val="00CA1E39"/>
    <w:rsid w:val="00CA1E58"/>
    <w:rsid w:val="00CA27DA"/>
    <w:rsid w:val="00CA3158"/>
    <w:rsid w:val="00CA32C0"/>
    <w:rsid w:val="00CA33EE"/>
    <w:rsid w:val="00CA3849"/>
    <w:rsid w:val="00CA47DE"/>
    <w:rsid w:val="00CA4942"/>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E5"/>
    <w:rsid w:val="00CD049D"/>
    <w:rsid w:val="00CD0872"/>
    <w:rsid w:val="00CD08A5"/>
    <w:rsid w:val="00CD0938"/>
    <w:rsid w:val="00CD0B96"/>
    <w:rsid w:val="00CD0E57"/>
    <w:rsid w:val="00CD1107"/>
    <w:rsid w:val="00CD1485"/>
    <w:rsid w:val="00CD161F"/>
    <w:rsid w:val="00CD21E2"/>
    <w:rsid w:val="00CD2A7B"/>
    <w:rsid w:val="00CD422E"/>
    <w:rsid w:val="00CD4B34"/>
    <w:rsid w:val="00CD4C36"/>
    <w:rsid w:val="00CD538B"/>
    <w:rsid w:val="00CD5D4E"/>
    <w:rsid w:val="00CD653B"/>
    <w:rsid w:val="00CD6B4B"/>
    <w:rsid w:val="00CD6C42"/>
    <w:rsid w:val="00CD7F12"/>
    <w:rsid w:val="00CD7F56"/>
    <w:rsid w:val="00CE14C2"/>
    <w:rsid w:val="00CE1A62"/>
    <w:rsid w:val="00CE1E9D"/>
    <w:rsid w:val="00CE254C"/>
    <w:rsid w:val="00CE2F5C"/>
    <w:rsid w:val="00CE34C7"/>
    <w:rsid w:val="00CE39FA"/>
    <w:rsid w:val="00CE4DE1"/>
    <w:rsid w:val="00CE538D"/>
    <w:rsid w:val="00CE56B1"/>
    <w:rsid w:val="00CE5899"/>
    <w:rsid w:val="00CE5D07"/>
    <w:rsid w:val="00CE64FD"/>
    <w:rsid w:val="00CE6661"/>
    <w:rsid w:val="00CE6E02"/>
    <w:rsid w:val="00CE70F5"/>
    <w:rsid w:val="00CE7261"/>
    <w:rsid w:val="00CF05BE"/>
    <w:rsid w:val="00CF0C2A"/>
    <w:rsid w:val="00CF10B7"/>
    <w:rsid w:val="00CF1D4B"/>
    <w:rsid w:val="00CF233A"/>
    <w:rsid w:val="00CF2B2F"/>
    <w:rsid w:val="00CF31F5"/>
    <w:rsid w:val="00CF39AC"/>
    <w:rsid w:val="00CF3E71"/>
    <w:rsid w:val="00CF5000"/>
    <w:rsid w:val="00CF51E7"/>
    <w:rsid w:val="00CF5A5A"/>
    <w:rsid w:val="00CF5EB1"/>
    <w:rsid w:val="00CF69FC"/>
    <w:rsid w:val="00CF6BC6"/>
    <w:rsid w:val="00CF7657"/>
    <w:rsid w:val="00CF79C0"/>
    <w:rsid w:val="00D02362"/>
    <w:rsid w:val="00D03012"/>
    <w:rsid w:val="00D03884"/>
    <w:rsid w:val="00D039CD"/>
    <w:rsid w:val="00D057A2"/>
    <w:rsid w:val="00D05840"/>
    <w:rsid w:val="00D05AA9"/>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629"/>
    <w:rsid w:val="00D17F0E"/>
    <w:rsid w:val="00D205D7"/>
    <w:rsid w:val="00D20C15"/>
    <w:rsid w:val="00D20E37"/>
    <w:rsid w:val="00D214DD"/>
    <w:rsid w:val="00D21607"/>
    <w:rsid w:val="00D21932"/>
    <w:rsid w:val="00D22355"/>
    <w:rsid w:val="00D23A03"/>
    <w:rsid w:val="00D25661"/>
    <w:rsid w:val="00D2568E"/>
    <w:rsid w:val="00D264B0"/>
    <w:rsid w:val="00D266F8"/>
    <w:rsid w:val="00D27AC5"/>
    <w:rsid w:val="00D30195"/>
    <w:rsid w:val="00D30DFB"/>
    <w:rsid w:val="00D31243"/>
    <w:rsid w:val="00D31426"/>
    <w:rsid w:val="00D31BF4"/>
    <w:rsid w:val="00D3230F"/>
    <w:rsid w:val="00D3265B"/>
    <w:rsid w:val="00D32C2D"/>
    <w:rsid w:val="00D33CF0"/>
    <w:rsid w:val="00D34681"/>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D52"/>
    <w:rsid w:val="00D54ED3"/>
    <w:rsid w:val="00D550C9"/>
    <w:rsid w:val="00D56676"/>
    <w:rsid w:val="00D56B52"/>
    <w:rsid w:val="00D56C78"/>
    <w:rsid w:val="00D56F3B"/>
    <w:rsid w:val="00D576F8"/>
    <w:rsid w:val="00D57777"/>
    <w:rsid w:val="00D579A1"/>
    <w:rsid w:val="00D57D92"/>
    <w:rsid w:val="00D60D92"/>
    <w:rsid w:val="00D612AF"/>
    <w:rsid w:val="00D61BCF"/>
    <w:rsid w:val="00D61C85"/>
    <w:rsid w:val="00D62147"/>
    <w:rsid w:val="00D6222A"/>
    <w:rsid w:val="00D62B35"/>
    <w:rsid w:val="00D62CC8"/>
    <w:rsid w:val="00D62CF8"/>
    <w:rsid w:val="00D62D9D"/>
    <w:rsid w:val="00D62DFC"/>
    <w:rsid w:val="00D63B3E"/>
    <w:rsid w:val="00D63DFD"/>
    <w:rsid w:val="00D65509"/>
    <w:rsid w:val="00D6619E"/>
    <w:rsid w:val="00D66288"/>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77FAA"/>
    <w:rsid w:val="00D8122D"/>
    <w:rsid w:val="00D81563"/>
    <w:rsid w:val="00D824B5"/>
    <w:rsid w:val="00D833FA"/>
    <w:rsid w:val="00D8397A"/>
    <w:rsid w:val="00D841BE"/>
    <w:rsid w:val="00D84E10"/>
    <w:rsid w:val="00D84EA9"/>
    <w:rsid w:val="00D8561E"/>
    <w:rsid w:val="00D8587D"/>
    <w:rsid w:val="00D86289"/>
    <w:rsid w:val="00D86F8A"/>
    <w:rsid w:val="00D90F2E"/>
    <w:rsid w:val="00D91499"/>
    <w:rsid w:val="00D922EC"/>
    <w:rsid w:val="00D9270E"/>
    <w:rsid w:val="00D92A4A"/>
    <w:rsid w:val="00D9515B"/>
    <w:rsid w:val="00D97F6A"/>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610"/>
    <w:rsid w:val="00DB0670"/>
    <w:rsid w:val="00DB09BF"/>
    <w:rsid w:val="00DB1213"/>
    <w:rsid w:val="00DB2F31"/>
    <w:rsid w:val="00DB3865"/>
    <w:rsid w:val="00DB39FF"/>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47E"/>
    <w:rsid w:val="00DC211B"/>
    <w:rsid w:val="00DC244E"/>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8F0"/>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244"/>
    <w:rsid w:val="00DE1100"/>
    <w:rsid w:val="00DE1672"/>
    <w:rsid w:val="00DE18FB"/>
    <w:rsid w:val="00DE26B9"/>
    <w:rsid w:val="00DE2D0E"/>
    <w:rsid w:val="00DE31F7"/>
    <w:rsid w:val="00DE4B55"/>
    <w:rsid w:val="00DE4D27"/>
    <w:rsid w:val="00DE4FFF"/>
    <w:rsid w:val="00DE5449"/>
    <w:rsid w:val="00DE5AD5"/>
    <w:rsid w:val="00DE6725"/>
    <w:rsid w:val="00DE68B7"/>
    <w:rsid w:val="00DE69F2"/>
    <w:rsid w:val="00DE75C0"/>
    <w:rsid w:val="00DF05DB"/>
    <w:rsid w:val="00DF1B4B"/>
    <w:rsid w:val="00DF32FA"/>
    <w:rsid w:val="00DF38DC"/>
    <w:rsid w:val="00DF3AD8"/>
    <w:rsid w:val="00DF4B67"/>
    <w:rsid w:val="00DF4CC7"/>
    <w:rsid w:val="00DF60EA"/>
    <w:rsid w:val="00DF641D"/>
    <w:rsid w:val="00DF6878"/>
    <w:rsid w:val="00DF6F68"/>
    <w:rsid w:val="00DF72D6"/>
    <w:rsid w:val="00DF7392"/>
    <w:rsid w:val="00DF758D"/>
    <w:rsid w:val="00DF77EB"/>
    <w:rsid w:val="00DF7902"/>
    <w:rsid w:val="00DF7C84"/>
    <w:rsid w:val="00E00EDC"/>
    <w:rsid w:val="00E011E7"/>
    <w:rsid w:val="00E016BE"/>
    <w:rsid w:val="00E0249C"/>
    <w:rsid w:val="00E0261C"/>
    <w:rsid w:val="00E02D12"/>
    <w:rsid w:val="00E02D38"/>
    <w:rsid w:val="00E03B2C"/>
    <w:rsid w:val="00E03C04"/>
    <w:rsid w:val="00E03D9C"/>
    <w:rsid w:val="00E03DD0"/>
    <w:rsid w:val="00E045EE"/>
    <w:rsid w:val="00E04FAE"/>
    <w:rsid w:val="00E051DB"/>
    <w:rsid w:val="00E057C3"/>
    <w:rsid w:val="00E10001"/>
    <w:rsid w:val="00E1052E"/>
    <w:rsid w:val="00E10BC1"/>
    <w:rsid w:val="00E10C20"/>
    <w:rsid w:val="00E10FC6"/>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30387"/>
    <w:rsid w:val="00E30897"/>
    <w:rsid w:val="00E30903"/>
    <w:rsid w:val="00E311BC"/>
    <w:rsid w:val="00E329D5"/>
    <w:rsid w:val="00E334AB"/>
    <w:rsid w:val="00E340C6"/>
    <w:rsid w:val="00E34422"/>
    <w:rsid w:val="00E34908"/>
    <w:rsid w:val="00E35A87"/>
    <w:rsid w:val="00E35BCA"/>
    <w:rsid w:val="00E35D21"/>
    <w:rsid w:val="00E369F1"/>
    <w:rsid w:val="00E36FDC"/>
    <w:rsid w:val="00E37475"/>
    <w:rsid w:val="00E37DD2"/>
    <w:rsid w:val="00E4007D"/>
    <w:rsid w:val="00E40131"/>
    <w:rsid w:val="00E40569"/>
    <w:rsid w:val="00E40AC6"/>
    <w:rsid w:val="00E40F22"/>
    <w:rsid w:val="00E413D5"/>
    <w:rsid w:val="00E41770"/>
    <w:rsid w:val="00E44691"/>
    <w:rsid w:val="00E44A70"/>
    <w:rsid w:val="00E45618"/>
    <w:rsid w:val="00E4625D"/>
    <w:rsid w:val="00E465B3"/>
    <w:rsid w:val="00E466EA"/>
    <w:rsid w:val="00E46E99"/>
    <w:rsid w:val="00E4792A"/>
    <w:rsid w:val="00E504D5"/>
    <w:rsid w:val="00E50C82"/>
    <w:rsid w:val="00E523D9"/>
    <w:rsid w:val="00E524E4"/>
    <w:rsid w:val="00E52928"/>
    <w:rsid w:val="00E549DD"/>
    <w:rsid w:val="00E54D73"/>
    <w:rsid w:val="00E55255"/>
    <w:rsid w:val="00E55AC7"/>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700B"/>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F3A"/>
    <w:rsid w:val="00E80845"/>
    <w:rsid w:val="00E810FA"/>
    <w:rsid w:val="00E815E3"/>
    <w:rsid w:val="00E81732"/>
    <w:rsid w:val="00E81D5D"/>
    <w:rsid w:val="00E81E52"/>
    <w:rsid w:val="00E82D07"/>
    <w:rsid w:val="00E84074"/>
    <w:rsid w:val="00E84F4E"/>
    <w:rsid w:val="00E858D9"/>
    <w:rsid w:val="00E86212"/>
    <w:rsid w:val="00E86369"/>
    <w:rsid w:val="00E86A52"/>
    <w:rsid w:val="00E86B94"/>
    <w:rsid w:val="00E876CA"/>
    <w:rsid w:val="00E8795E"/>
    <w:rsid w:val="00E90849"/>
    <w:rsid w:val="00E90B30"/>
    <w:rsid w:val="00E90C45"/>
    <w:rsid w:val="00E91D7C"/>
    <w:rsid w:val="00E930A5"/>
    <w:rsid w:val="00E93C1B"/>
    <w:rsid w:val="00E93F92"/>
    <w:rsid w:val="00E94439"/>
    <w:rsid w:val="00E95588"/>
    <w:rsid w:val="00E971BE"/>
    <w:rsid w:val="00EA004C"/>
    <w:rsid w:val="00EA01DB"/>
    <w:rsid w:val="00EA0759"/>
    <w:rsid w:val="00EA0B78"/>
    <w:rsid w:val="00EA0C8A"/>
    <w:rsid w:val="00EA14C1"/>
    <w:rsid w:val="00EA1DC5"/>
    <w:rsid w:val="00EA1F7D"/>
    <w:rsid w:val="00EA34E8"/>
    <w:rsid w:val="00EA4361"/>
    <w:rsid w:val="00EA4750"/>
    <w:rsid w:val="00EA4A59"/>
    <w:rsid w:val="00EA4F0E"/>
    <w:rsid w:val="00EA5AAA"/>
    <w:rsid w:val="00EA5CB8"/>
    <w:rsid w:val="00EA5D2A"/>
    <w:rsid w:val="00EA5D2C"/>
    <w:rsid w:val="00EA60B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4D10"/>
    <w:rsid w:val="00EC5E00"/>
    <w:rsid w:val="00EC5F2B"/>
    <w:rsid w:val="00EC6408"/>
    <w:rsid w:val="00EC65EE"/>
    <w:rsid w:val="00EC6E97"/>
    <w:rsid w:val="00EC6FA4"/>
    <w:rsid w:val="00EC7398"/>
    <w:rsid w:val="00EC798B"/>
    <w:rsid w:val="00ED0994"/>
    <w:rsid w:val="00ED0998"/>
    <w:rsid w:val="00ED1A6D"/>
    <w:rsid w:val="00ED1BE7"/>
    <w:rsid w:val="00ED1C11"/>
    <w:rsid w:val="00ED2E18"/>
    <w:rsid w:val="00ED2F76"/>
    <w:rsid w:val="00ED3429"/>
    <w:rsid w:val="00ED3DA3"/>
    <w:rsid w:val="00ED434E"/>
    <w:rsid w:val="00ED53A1"/>
    <w:rsid w:val="00ED5C94"/>
    <w:rsid w:val="00ED5E39"/>
    <w:rsid w:val="00ED5ECF"/>
    <w:rsid w:val="00ED669A"/>
    <w:rsid w:val="00ED6A75"/>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6CF1"/>
    <w:rsid w:val="00EE72BE"/>
    <w:rsid w:val="00EE7503"/>
    <w:rsid w:val="00EE7A56"/>
    <w:rsid w:val="00EF0343"/>
    <w:rsid w:val="00EF0688"/>
    <w:rsid w:val="00EF185B"/>
    <w:rsid w:val="00EF448E"/>
    <w:rsid w:val="00EF4A6C"/>
    <w:rsid w:val="00EF6405"/>
    <w:rsid w:val="00EF6F7B"/>
    <w:rsid w:val="00EF71E7"/>
    <w:rsid w:val="00EF7421"/>
    <w:rsid w:val="00EF78CD"/>
    <w:rsid w:val="00F00506"/>
    <w:rsid w:val="00F007E5"/>
    <w:rsid w:val="00F027A1"/>
    <w:rsid w:val="00F02963"/>
    <w:rsid w:val="00F02A59"/>
    <w:rsid w:val="00F03792"/>
    <w:rsid w:val="00F04038"/>
    <w:rsid w:val="00F0450B"/>
    <w:rsid w:val="00F047EC"/>
    <w:rsid w:val="00F052BA"/>
    <w:rsid w:val="00F05303"/>
    <w:rsid w:val="00F05609"/>
    <w:rsid w:val="00F061AB"/>
    <w:rsid w:val="00F07957"/>
    <w:rsid w:val="00F106EC"/>
    <w:rsid w:val="00F1116E"/>
    <w:rsid w:val="00F1206E"/>
    <w:rsid w:val="00F127FD"/>
    <w:rsid w:val="00F1291B"/>
    <w:rsid w:val="00F129AF"/>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931"/>
    <w:rsid w:val="00F306B8"/>
    <w:rsid w:val="00F310C3"/>
    <w:rsid w:val="00F31F1A"/>
    <w:rsid w:val="00F320A3"/>
    <w:rsid w:val="00F349B4"/>
    <w:rsid w:val="00F3665D"/>
    <w:rsid w:val="00F36923"/>
    <w:rsid w:val="00F37A67"/>
    <w:rsid w:val="00F406CC"/>
    <w:rsid w:val="00F40C5A"/>
    <w:rsid w:val="00F40D47"/>
    <w:rsid w:val="00F41413"/>
    <w:rsid w:val="00F41846"/>
    <w:rsid w:val="00F419BE"/>
    <w:rsid w:val="00F41A85"/>
    <w:rsid w:val="00F423C4"/>
    <w:rsid w:val="00F43453"/>
    <w:rsid w:val="00F43F4D"/>
    <w:rsid w:val="00F4419C"/>
    <w:rsid w:val="00F44373"/>
    <w:rsid w:val="00F4460D"/>
    <w:rsid w:val="00F45BCE"/>
    <w:rsid w:val="00F45EE3"/>
    <w:rsid w:val="00F45F7D"/>
    <w:rsid w:val="00F474A7"/>
    <w:rsid w:val="00F47723"/>
    <w:rsid w:val="00F47EAA"/>
    <w:rsid w:val="00F504D2"/>
    <w:rsid w:val="00F50615"/>
    <w:rsid w:val="00F50D5C"/>
    <w:rsid w:val="00F519D3"/>
    <w:rsid w:val="00F52C51"/>
    <w:rsid w:val="00F53463"/>
    <w:rsid w:val="00F54184"/>
    <w:rsid w:val="00F545E3"/>
    <w:rsid w:val="00F54FC0"/>
    <w:rsid w:val="00F5642D"/>
    <w:rsid w:val="00F56510"/>
    <w:rsid w:val="00F5680A"/>
    <w:rsid w:val="00F56B64"/>
    <w:rsid w:val="00F57935"/>
    <w:rsid w:val="00F57D06"/>
    <w:rsid w:val="00F60996"/>
    <w:rsid w:val="00F60A88"/>
    <w:rsid w:val="00F60DDB"/>
    <w:rsid w:val="00F61520"/>
    <w:rsid w:val="00F61884"/>
    <w:rsid w:val="00F629EF"/>
    <w:rsid w:val="00F63100"/>
    <w:rsid w:val="00F6332A"/>
    <w:rsid w:val="00F65D37"/>
    <w:rsid w:val="00F661D0"/>
    <w:rsid w:val="00F66E50"/>
    <w:rsid w:val="00F70342"/>
    <w:rsid w:val="00F709BD"/>
    <w:rsid w:val="00F71174"/>
    <w:rsid w:val="00F711FF"/>
    <w:rsid w:val="00F719D4"/>
    <w:rsid w:val="00F72BF7"/>
    <w:rsid w:val="00F72DE1"/>
    <w:rsid w:val="00F744B4"/>
    <w:rsid w:val="00F74A08"/>
    <w:rsid w:val="00F74A33"/>
    <w:rsid w:val="00F74BCF"/>
    <w:rsid w:val="00F75204"/>
    <w:rsid w:val="00F75BD2"/>
    <w:rsid w:val="00F765BA"/>
    <w:rsid w:val="00F767EC"/>
    <w:rsid w:val="00F76CA8"/>
    <w:rsid w:val="00F8001F"/>
    <w:rsid w:val="00F80C6E"/>
    <w:rsid w:val="00F81127"/>
    <w:rsid w:val="00F81AAF"/>
    <w:rsid w:val="00F81E59"/>
    <w:rsid w:val="00F81EA1"/>
    <w:rsid w:val="00F825F0"/>
    <w:rsid w:val="00F82687"/>
    <w:rsid w:val="00F841D9"/>
    <w:rsid w:val="00F849DD"/>
    <w:rsid w:val="00F84F68"/>
    <w:rsid w:val="00F867D0"/>
    <w:rsid w:val="00F8741F"/>
    <w:rsid w:val="00F874AA"/>
    <w:rsid w:val="00F875F4"/>
    <w:rsid w:val="00F878A9"/>
    <w:rsid w:val="00F87E74"/>
    <w:rsid w:val="00F9024E"/>
    <w:rsid w:val="00F9088C"/>
    <w:rsid w:val="00F911FB"/>
    <w:rsid w:val="00F93D6E"/>
    <w:rsid w:val="00F94709"/>
    <w:rsid w:val="00F97E6F"/>
    <w:rsid w:val="00FA017D"/>
    <w:rsid w:val="00FA01F0"/>
    <w:rsid w:val="00FA0951"/>
    <w:rsid w:val="00FA18C6"/>
    <w:rsid w:val="00FA1B31"/>
    <w:rsid w:val="00FA24FA"/>
    <w:rsid w:val="00FA56D1"/>
    <w:rsid w:val="00FA6E64"/>
    <w:rsid w:val="00FA770C"/>
    <w:rsid w:val="00FA7A64"/>
    <w:rsid w:val="00FA7CB6"/>
    <w:rsid w:val="00FB040E"/>
    <w:rsid w:val="00FB0B7F"/>
    <w:rsid w:val="00FB0E54"/>
    <w:rsid w:val="00FB129E"/>
    <w:rsid w:val="00FB1E7B"/>
    <w:rsid w:val="00FB24D0"/>
    <w:rsid w:val="00FB28DA"/>
    <w:rsid w:val="00FB2B5A"/>
    <w:rsid w:val="00FB2E74"/>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DE9"/>
    <w:rsid w:val="00FD30F7"/>
    <w:rsid w:val="00FD3868"/>
    <w:rsid w:val="00FD3F74"/>
    <w:rsid w:val="00FD4B43"/>
    <w:rsid w:val="00FD5384"/>
    <w:rsid w:val="00FD7411"/>
    <w:rsid w:val="00FD77D0"/>
    <w:rsid w:val="00FD7B3B"/>
    <w:rsid w:val="00FE1A45"/>
    <w:rsid w:val="00FE279E"/>
    <w:rsid w:val="00FE2DF2"/>
    <w:rsid w:val="00FE3879"/>
    <w:rsid w:val="00FE3B8B"/>
    <w:rsid w:val="00FE3C0A"/>
    <w:rsid w:val="00FE41A4"/>
    <w:rsid w:val="00FE4559"/>
    <w:rsid w:val="00FE5BB6"/>
    <w:rsid w:val="00FE6606"/>
    <w:rsid w:val="00FE6A00"/>
    <w:rsid w:val="00FE79CB"/>
    <w:rsid w:val="00FF09EE"/>
    <w:rsid w:val="00FF0B90"/>
    <w:rsid w:val="00FF0C18"/>
    <w:rsid w:val="00FF1519"/>
    <w:rsid w:val="00FF2045"/>
    <w:rsid w:val="00FF2C86"/>
    <w:rsid w:val="00FF2FB8"/>
    <w:rsid w:val="00FF2FF5"/>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5A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99"/>
    <w:qFormat/>
    <w:rsid w:val="001E2211"/>
    <w:pPr>
      <w:ind w:left="720"/>
      <w:contextualSpacing/>
    </w:pPr>
  </w:style>
  <w:style w:type="table" w:styleId="TableGrid">
    <w:name w:val="Table Grid"/>
    <w:basedOn w:val="TableNormal"/>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b w:val="0"/>
      <w:i w:val="0"/>
      <w:caps w:val="0"/>
      <w:vanish w:val="0"/>
      <w:color w:val="000000"/>
      <w:sz w:val="16"/>
      <w:szCs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rsid w:val="00DE18FB"/>
    <w:rPr>
      <w:sz w:val="20"/>
      <w:szCs w:val="20"/>
    </w:rPr>
  </w:style>
  <w:style w:type="character" w:styleId="FootnoteReference">
    <w:name w:val="footnote reference"/>
    <w:basedOn w:val="DefaultParagraphFont"/>
    <w:uiPriority w:val="99"/>
    <w:semiHidden/>
    <w:unhideWhenUsed/>
    <w:rsid w:val="00DE18FB"/>
    <w:rPr>
      <w:vertAlign w:val="superscript"/>
    </w:rPr>
  </w:style>
  <w:style w:type="paragraph" w:customStyle="1" w:styleId="msonospacing0">
    <w:name w:val="msonospacing"/>
    <w:uiPriority w:val="99"/>
    <w:rsid w:val="00EA4A59"/>
    <w:pPr>
      <w:suppressAutoHyphens/>
      <w:spacing w:line="100" w:lineRule="atLeast"/>
    </w:pPr>
    <w:rPr>
      <w:rFonts w:ascii="Calibri"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5943">
      <w:bodyDiv w:val="1"/>
      <w:marLeft w:val="0"/>
      <w:marRight w:val="0"/>
      <w:marTop w:val="0"/>
      <w:marBottom w:val="0"/>
      <w:divBdr>
        <w:top w:val="none" w:sz="0" w:space="0" w:color="auto"/>
        <w:left w:val="none" w:sz="0" w:space="0" w:color="auto"/>
        <w:bottom w:val="none" w:sz="0" w:space="0" w:color="auto"/>
        <w:right w:val="none" w:sz="0" w:space="0" w:color="auto"/>
      </w:divBdr>
    </w:div>
    <w:div w:id="1579368207">
      <w:marLeft w:val="0"/>
      <w:marRight w:val="0"/>
      <w:marTop w:val="0"/>
      <w:marBottom w:val="0"/>
      <w:divBdr>
        <w:top w:val="none" w:sz="0" w:space="0" w:color="auto"/>
        <w:left w:val="none" w:sz="0" w:space="0" w:color="auto"/>
        <w:bottom w:val="none" w:sz="0" w:space="0" w:color="auto"/>
        <w:right w:val="none" w:sz="0" w:space="0" w:color="auto"/>
      </w:divBdr>
    </w:div>
    <w:div w:id="1579368208">
      <w:marLeft w:val="0"/>
      <w:marRight w:val="0"/>
      <w:marTop w:val="0"/>
      <w:marBottom w:val="0"/>
      <w:divBdr>
        <w:top w:val="none" w:sz="0" w:space="0" w:color="auto"/>
        <w:left w:val="none" w:sz="0" w:space="0" w:color="auto"/>
        <w:bottom w:val="none" w:sz="0" w:space="0" w:color="auto"/>
        <w:right w:val="none" w:sz="0" w:space="0" w:color="auto"/>
      </w:divBdr>
    </w:div>
    <w:div w:id="1579368209">
      <w:marLeft w:val="0"/>
      <w:marRight w:val="0"/>
      <w:marTop w:val="0"/>
      <w:marBottom w:val="0"/>
      <w:divBdr>
        <w:top w:val="none" w:sz="0" w:space="0" w:color="auto"/>
        <w:left w:val="none" w:sz="0" w:space="0" w:color="auto"/>
        <w:bottom w:val="none" w:sz="0" w:space="0" w:color="auto"/>
        <w:right w:val="none" w:sz="0" w:space="0" w:color="auto"/>
      </w:divBdr>
    </w:div>
    <w:div w:id="1579368210">
      <w:marLeft w:val="0"/>
      <w:marRight w:val="0"/>
      <w:marTop w:val="0"/>
      <w:marBottom w:val="0"/>
      <w:divBdr>
        <w:top w:val="none" w:sz="0" w:space="0" w:color="auto"/>
        <w:left w:val="none" w:sz="0" w:space="0" w:color="auto"/>
        <w:bottom w:val="none" w:sz="0" w:space="0" w:color="auto"/>
        <w:right w:val="none" w:sz="0" w:space="0" w:color="auto"/>
      </w:divBdr>
      <w:divsChild>
        <w:div w:id="1579368211">
          <w:marLeft w:val="0"/>
          <w:marRight w:val="0"/>
          <w:marTop w:val="45"/>
          <w:marBottom w:val="225"/>
          <w:divBdr>
            <w:top w:val="none" w:sz="0" w:space="0" w:color="auto"/>
            <w:left w:val="none" w:sz="0" w:space="0" w:color="auto"/>
            <w:bottom w:val="none" w:sz="0" w:space="0" w:color="auto"/>
            <w:right w:val="none" w:sz="0" w:space="0" w:color="auto"/>
          </w:divBdr>
          <w:divsChild>
            <w:div w:id="1579368212">
              <w:marLeft w:val="150"/>
              <w:marRight w:val="0"/>
              <w:marTop w:val="300"/>
              <w:marBottom w:val="0"/>
              <w:divBdr>
                <w:top w:val="none" w:sz="0" w:space="0" w:color="auto"/>
                <w:left w:val="none" w:sz="0" w:space="0" w:color="auto"/>
                <w:bottom w:val="none" w:sz="0" w:space="0" w:color="auto"/>
                <w:right w:val="none" w:sz="0" w:space="0" w:color="auto"/>
              </w:divBdr>
              <w:divsChild>
                <w:div w:id="1579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5">
      <w:marLeft w:val="0"/>
      <w:marRight w:val="0"/>
      <w:marTop w:val="0"/>
      <w:marBottom w:val="0"/>
      <w:divBdr>
        <w:top w:val="none" w:sz="0" w:space="0" w:color="auto"/>
        <w:left w:val="none" w:sz="0" w:space="0" w:color="auto"/>
        <w:bottom w:val="none" w:sz="0" w:space="0" w:color="auto"/>
        <w:right w:val="none" w:sz="0" w:space="0" w:color="auto"/>
      </w:divBdr>
      <w:divsChild>
        <w:div w:id="1579368213">
          <w:marLeft w:val="0"/>
          <w:marRight w:val="0"/>
          <w:marTop w:val="45"/>
          <w:marBottom w:val="225"/>
          <w:divBdr>
            <w:top w:val="none" w:sz="0" w:space="0" w:color="auto"/>
            <w:left w:val="none" w:sz="0" w:space="0" w:color="auto"/>
            <w:bottom w:val="none" w:sz="0" w:space="0" w:color="auto"/>
            <w:right w:val="none" w:sz="0" w:space="0" w:color="auto"/>
          </w:divBdr>
          <w:divsChild>
            <w:div w:id="1579368217">
              <w:marLeft w:val="150"/>
              <w:marRight w:val="0"/>
              <w:marTop w:val="300"/>
              <w:marBottom w:val="0"/>
              <w:divBdr>
                <w:top w:val="none" w:sz="0" w:space="0" w:color="auto"/>
                <w:left w:val="none" w:sz="0" w:space="0" w:color="auto"/>
                <w:bottom w:val="none" w:sz="0" w:space="0" w:color="auto"/>
                <w:right w:val="none" w:sz="0" w:space="0" w:color="auto"/>
              </w:divBdr>
              <w:divsChild>
                <w:div w:id="157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8">
      <w:marLeft w:val="0"/>
      <w:marRight w:val="0"/>
      <w:marTop w:val="0"/>
      <w:marBottom w:val="0"/>
      <w:divBdr>
        <w:top w:val="none" w:sz="0" w:space="0" w:color="auto"/>
        <w:left w:val="none" w:sz="0" w:space="0" w:color="auto"/>
        <w:bottom w:val="none" w:sz="0" w:space="0" w:color="auto"/>
        <w:right w:val="none" w:sz="0" w:space="0" w:color="auto"/>
      </w:divBdr>
    </w:div>
    <w:div w:id="1579368219">
      <w:marLeft w:val="0"/>
      <w:marRight w:val="0"/>
      <w:marTop w:val="0"/>
      <w:marBottom w:val="0"/>
      <w:divBdr>
        <w:top w:val="none" w:sz="0" w:space="0" w:color="auto"/>
        <w:left w:val="none" w:sz="0" w:space="0" w:color="auto"/>
        <w:bottom w:val="none" w:sz="0" w:space="0" w:color="auto"/>
        <w:right w:val="none" w:sz="0" w:space="0" w:color="auto"/>
      </w:divBdr>
    </w:div>
    <w:div w:id="1727489492">
      <w:bodyDiv w:val="1"/>
      <w:marLeft w:val="0"/>
      <w:marRight w:val="0"/>
      <w:marTop w:val="0"/>
      <w:marBottom w:val="0"/>
      <w:divBdr>
        <w:top w:val="none" w:sz="0" w:space="0" w:color="auto"/>
        <w:left w:val="none" w:sz="0" w:space="0" w:color="auto"/>
        <w:bottom w:val="none" w:sz="0" w:space="0" w:color="auto"/>
        <w:right w:val="none" w:sz="0" w:space="0" w:color="auto"/>
      </w:divBdr>
    </w:div>
    <w:div w:id="1996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ngitudes.up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sroom.ups.com/pressroom/Home.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vestors.ups.com" TargetMode="External"/><Relationship Id="rId4" Type="http://schemas.openxmlformats.org/officeDocument/2006/relationships/settings" Target="settings.xml"/><Relationship Id="rId9" Type="http://schemas.openxmlformats.org/officeDocument/2006/relationships/hyperlink" Target="mailto:karla.krejci@dbm.cz" TargetMode="External"/><Relationship Id="rId14" Type="http://schemas.openxmlformats.org/officeDocument/2006/relationships/hyperlink" Target="https://twitter.com/UPS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99F3-A90D-4337-A1F1-3D5CB69F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3620</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2018-02-01T12:28:00Z</dcterms:created>
  <dcterms:modified xsi:type="dcterms:W3CDTF">2018-02-01T12:36:00Z</dcterms:modified>
</cp:coreProperties>
</file>