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sz w:val="20"/>
          <w:szCs w:val="20"/>
        </w:rPr>
      </w:pPr>
      <w: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posOffset>5014595</wp:posOffset>
            </wp:positionH>
            <wp:positionV relativeFrom="paragraph">
              <wp:posOffset>635</wp:posOffset>
            </wp:positionV>
            <wp:extent cx="847725" cy="958215"/>
            <wp:effectExtent l="0" t="0" r="0" b="0"/>
            <wp:wrapSquare wrapText="bothSides"/>
            <wp:docPr id="1" name="Obrázek1" descr="C:\Users\vlf4jhl\Desktop\Miscellaneous\UPS Shield 2017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C:\Users\vlf4jhl\Desktop\Miscellaneous\UPS Shield 2017 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posOffset>5022850</wp:posOffset>
            </wp:positionH>
            <wp:positionV relativeFrom="paragraph">
              <wp:posOffset>635</wp:posOffset>
            </wp:positionV>
            <wp:extent cx="847725" cy="958215"/>
            <wp:effectExtent l="0" t="0" r="0" b="0"/>
            <wp:wrapSquare wrapText="bothSides"/>
            <wp:docPr id="2" name="Picture 3" descr="C:\Users\vlf4jhl\Desktop\Miscellaneous\UPS Shield 2017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C:\Users\vlf4jhl\Desktop\Miscellaneous\UPS Shield 2017 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  <w:lang w:val="en-US"/>
        </w:rPr>
        <w:t>Kontakty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UPS Media Relations</w:t>
      </w:r>
    </w:p>
    <w:p>
      <w:pPr>
        <w:ind w:left="720" w:firstLine="720"/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"tel:+14048287123" \h </w:instrText>
      </w:r>
      <w:r>
        <w:fldChar w:fldCharType="separate"/>
      </w:r>
      <w:r>
        <w:rPr>
          <w:rFonts w:ascii="Arial" w:hAnsi="Arial" w:cs="Arial"/>
          <w:sz w:val="20"/>
          <w:szCs w:val="20"/>
        </w:rPr>
        <w:t>+1 404 828 7123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</w:p>
    <w:p>
      <w:pPr>
        <w:ind w:left="720" w:firstLine="720"/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"mailto:pr@ups.com" \h </w:instrText>
      </w:r>
      <w:r>
        <w:fldChar w:fldCharType="separate"/>
      </w:r>
      <w:r>
        <w:rPr>
          <w:rStyle w:val="10"/>
          <w:rFonts w:ascii="Arial" w:hAnsi="Arial" w:cs="Arial"/>
          <w:sz w:val="20"/>
          <w:szCs w:val="20"/>
        </w:rPr>
        <w:t>pr@ups.com</w:t>
      </w:r>
      <w:r>
        <w:rPr>
          <w:rStyle w:val="10"/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</w:p>
    <w:p>
      <w:pPr>
        <w:rPr>
          <w:rFonts w:ascii="Arial" w:hAnsi="Arial" w:cs="Arial"/>
          <w:sz w:val="20"/>
          <w:szCs w:val="20"/>
        </w:rPr>
      </w:pPr>
    </w:p>
    <w:p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UPS Investor Relations</w:t>
      </w:r>
    </w:p>
    <w:p>
      <w:pPr>
        <w:ind w:left="720" w:firstLine="720"/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"tel:+14048286059" \h </w:instrText>
      </w:r>
      <w:r>
        <w:fldChar w:fldCharType="separate"/>
      </w:r>
      <w:r>
        <w:rPr>
          <w:rFonts w:ascii="Arial" w:hAnsi="Arial" w:cs="Arial"/>
          <w:sz w:val="20"/>
          <w:szCs w:val="20"/>
        </w:rPr>
        <w:t>+14048286059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</w:p>
    <w:p>
      <w:pPr>
        <w:ind w:left="720" w:firstLine="720"/>
        <w:rPr>
          <w:rStyle w:val="10"/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"mailto:investor@ups.com" \h </w:instrText>
      </w:r>
      <w:r>
        <w:fldChar w:fldCharType="separate"/>
      </w:r>
      <w:r>
        <w:rPr>
          <w:rStyle w:val="10"/>
          <w:rFonts w:ascii="Arial" w:hAnsi="Arial" w:cs="Arial"/>
          <w:sz w:val="20"/>
          <w:szCs w:val="20"/>
        </w:rPr>
        <w:t>investor@ups.com</w:t>
      </w:r>
      <w:r>
        <w:rPr>
          <w:rStyle w:val="10"/>
          <w:rFonts w:ascii="Arial" w:hAnsi="Arial" w:cs="Arial"/>
          <w:sz w:val="20"/>
          <w:szCs w:val="20"/>
        </w:rPr>
        <w:fldChar w:fldCharType="end"/>
      </w:r>
    </w:p>
    <w:p>
      <w:pPr>
        <w:ind w:left="720" w:firstLine="720"/>
        <w:rPr>
          <w:rFonts w:ascii="Arial" w:hAnsi="Arial" w:cs="Arial"/>
          <w:sz w:val="20"/>
          <w:szCs w:val="20"/>
          <w:lang w:val="cs-CZ"/>
        </w:rPr>
      </w:pPr>
    </w:p>
    <w:p>
      <w:pPr>
        <w:ind w:left="720" w:firstLine="72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Karla Krejčí, Donath Business &amp; Media </w:t>
      </w:r>
    </w:p>
    <w:p>
      <w:pPr>
        <w:ind w:left="720" w:firstLine="72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+420 224 211 220</w:t>
      </w:r>
    </w:p>
    <w:p>
      <w:pPr>
        <w:ind w:left="1134" w:firstLine="306"/>
        <w:rPr>
          <w:rFonts w:ascii="Arial" w:hAnsi="Arial" w:cs="Arial"/>
          <w:sz w:val="20"/>
          <w:szCs w:val="20"/>
          <w:lang w:val="cs-CZ"/>
        </w:rPr>
      </w:pPr>
      <w:r>
        <w:fldChar w:fldCharType="begin"/>
      </w:r>
      <w:r>
        <w:instrText xml:space="preserve"> HYPERLINK "mailto:karla.krejci@dbm.cz" \h </w:instrText>
      </w:r>
      <w:r>
        <w:fldChar w:fldCharType="separate"/>
      </w:r>
      <w:r>
        <w:rPr>
          <w:rStyle w:val="10"/>
          <w:rFonts w:ascii="Arial" w:hAnsi="Arial" w:cs="Arial"/>
          <w:sz w:val="20"/>
          <w:szCs w:val="20"/>
          <w:lang w:val="cs-CZ"/>
        </w:rPr>
        <w:t>karla.krejci@dbm.cz</w:t>
      </w:r>
      <w:r>
        <w:rPr>
          <w:rStyle w:val="10"/>
          <w:rFonts w:ascii="Arial" w:hAnsi="Arial" w:cs="Arial"/>
          <w:sz w:val="20"/>
          <w:szCs w:val="20"/>
          <w:lang w:val="cs-CZ"/>
        </w:rPr>
        <w:fldChar w:fldCharType="end"/>
      </w:r>
    </w:p>
    <w:p>
      <w:pPr>
        <w:numPr>
          <w:ilvl w:val="0"/>
          <w:numId w:val="0"/>
        </w:numPr>
        <w:spacing w:line="237" w:lineRule="auto"/>
        <w:jc w:val="center"/>
        <w:outlineLvl w:val="0"/>
        <w:rPr>
          <w:rFonts w:ascii="Arial" w:hAnsi="Arial" w:eastAsia="Arial" w:cs="Arial"/>
          <w:b/>
          <w:sz w:val="32"/>
        </w:rPr>
      </w:pPr>
    </w:p>
    <w:p>
      <w:pPr>
        <w:numPr>
          <w:ilvl w:val="0"/>
          <w:numId w:val="0"/>
        </w:numPr>
        <w:spacing w:line="237" w:lineRule="auto"/>
        <w:jc w:val="center"/>
        <w:outlineLvl w:val="0"/>
        <w:rPr>
          <w:rFonts w:ascii="Arial" w:hAnsi="Arial" w:eastAsia="Arial" w:cs="Arial"/>
          <w:b/>
          <w:sz w:val="32"/>
        </w:rPr>
      </w:pPr>
    </w:p>
    <w:p>
      <w:pPr>
        <w:numPr>
          <w:ilvl w:val="0"/>
          <w:numId w:val="0"/>
        </w:numPr>
        <w:spacing w:line="276" w:lineRule="auto"/>
        <w:ind w:left="0" w:firstLine="0"/>
        <w:jc w:val="center"/>
        <w:rPr>
          <w:rFonts w:ascii="Arial" w:hAnsi="Arial" w:eastAsia="Arial" w:cs="Arial"/>
          <w:b/>
          <w:sz w:val="32"/>
        </w:rPr>
      </w:pPr>
      <w:r>
        <w:rPr>
          <w:rFonts w:ascii="Arial" w:hAnsi="Arial" w:eastAsia="Arial" w:cs="Arial"/>
          <w:b/>
          <w:sz w:val="32"/>
          <w:lang w:val="en-US"/>
        </w:rPr>
        <w:t xml:space="preserve">Společnost </w:t>
      </w:r>
      <w:r>
        <w:rPr>
          <w:rFonts w:ascii="Arial" w:hAnsi="Arial" w:eastAsia="Arial" w:cs="Arial"/>
          <w:b/>
          <w:sz w:val="32"/>
        </w:rPr>
        <w:t xml:space="preserve">UPS </w:t>
      </w:r>
      <w:r>
        <w:rPr>
          <w:rFonts w:ascii="Arial" w:hAnsi="Arial" w:eastAsia="Arial" w:cs="Arial"/>
          <w:b/>
          <w:sz w:val="32"/>
          <w:lang w:val="en-US"/>
        </w:rPr>
        <w:t xml:space="preserve">zveřejnila výsledky za </w:t>
      </w:r>
      <w:r>
        <w:rPr>
          <w:rFonts w:ascii="Arial" w:hAnsi="Arial" w:eastAsia="Arial" w:cs="Arial"/>
          <w:b/>
          <w:sz w:val="32"/>
        </w:rPr>
        <w:t>4</w:t>
      </w:r>
      <w:r>
        <w:rPr>
          <w:rFonts w:ascii="Arial" w:hAnsi="Arial" w:eastAsia="Arial" w:cs="Arial"/>
          <w:b/>
          <w:sz w:val="32"/>
          <w:lang w:val="en-US"/>
        </w:rPr>
        <w:t>. čtvrtletí</w:t>
      </w:r>
      <w:r>
        <w:rPr>
          <w:rFonts w:ascii="Arial" w:hAnsi="Arial" w:eastAsia="Arial" w:cs="Arial"/>
          <w:b/>
          <w:sz w:val="32"/>
        </w:rPr>
        <w:t xml:space="preserve"> 2021</w:t>
      </w:r>
    </w:p>
    <w:p>
      <w:pPr>
        <w:numPr>
          <w:ilvl w:val="0"/>
          <w:numId w:val="0"/>
        </w:numPr>
        <w:spacing w:line="276" w:lineRule="auto"/>
        <w:ind w:left="0" w:firstLine="0"/>
        <w:rPr>
          <w:rFonts w:ascii="Arial" w:hAnsi="Arial" w:eastAsia="Arial" w:cs="Arial"/>
          <w:b/>
          <w:sz w:val="32"/>
        </w:rPr>
      </w:pPr>
    </w:p>
    <w:p>
      <w:pPr>
        <w:numPr>
          <w:ilvl w:val="0"/>
          <w:numId w:val="1"/>
        </w:numPr>
        <w:spacing w:line="276" w:lineRule="auto"/>
        <w:rPr>
          <w:rFonts w:ascii="Arial" w:hAnsi="Arial" w:eastAsia="Arial" w:cs="Arial"/>
          <w:b/>
          <w:i/>
          <w:sz w:val="22"/>
          <w:lang w:val="cs-CZ"/>
        </w:rPr>
      </w:pPr>
      <w:r>
        <w:rPr>
          <w:rFonts w:ascii="Arial" w:hAnsi="Arial" w:eastAsia="Arial" w:cs="Arial"/>
          <w:b/>
          <w:i/>
          <w:sz w:val="22"/>
          <w:lang w:val="cs-CZ"/>
        </w:rPr>
        <w:t xml:space="preserve">Konsolidované tržby </w:t>
      </w:r>
      <w:r>
        <w:rPr>
          <w:rFonts w:ascii="Arial" w:hAnsi="Arial" w:eastAsia="Arial" w:cs="Arial"/>
          <w:b/>
          <w:i/>
          <w:sz w:val="22"/>
          <w:lang w:val="en-US"/>
        </w:rPr>
        <w:t xml:space="preserve">dosáhly výše </w:t>
      </w:r>
      <w:r>
        <w:rPr>
          <w:rFonts w:ascii="Arial" w:hAnsi="Arial" w:eastAsia="Arial" w:cs="Arial"/>
          <w:b/>
          <w:i/>
          <w:sz w:val="22"/>
          <w:lang w:val="cs-CZ"/>
        </w:rPr>
        <w:t xml:space="preserve">27,8 </w:t>
      </w:r>
      <w:r>
        <w:rPr>
          <w:rFonts w:ascii="Arial" w:hAnsi="Arial" w:eastAsia="Arial" w:cs="Arial"/>
          <w:b/>
          <w:i/>
          <w:sz w:val="22"/>
          <w:lang w:val="en-US"/>
        </w:rPr>
        <w:t>mld. USD</w:t>
      </w:r>
      <w:r>
        <w:rPr>
          <w:rFonts w:ascii="Arial" w:hAnsi="Arial" w:eastAsia="Arial" w:cs="Arial"/>
          <w:b/>
          <w:i/>
          <w:sz w:val="22"/>
          <w:lang w:val="cs-CZ"/>
        </w:rPr>
        <w:t>, o 11,5 % více než v loňském roce</w:t>
      </w:r>
    </w:p>
    <w:p>
      <w:pPr>
        <w:numPr>
          <w:ilvl w:val="0"/>
          <w:numId w:val="1"/>
        </w:numPr>
        <w:spacing w:line="276" w:lineRule="auto"/>
        <w:rPr>
          <w:rFonts w:ascii="Arial" w:hAnsi="Arial" w:eastAsia="Arial" w:cs="Arial"/>
          <w:b/>
          <w:i/>
          <w:sz w:val="22"/>
          <w:lang w:val="cs-CZ"/>
        </w:rPr>
      </w:pPr>
      <w:r>
        <w:rPr>
          <w:rFonts w:ascii="Arial" w:hAnsi="Arial" w:eastAsia="Arial" w:cs="Arial"/>
          <w:b/>
          <w:i/>
          <w:sz w:val="22"/>
          <w:lang w:val="en-US"/>
        </w:rPr>
        <w:t>K</w:t>
      </w:r>
      <w:r>
        <w:rPr>
          <w:rFonts w:ascii="Arial" w:hAnsi="Arial" w:eastAsia="Arial" w:cs="Arial"/>
          <w:b/>
          <w:i/>
          <w:sz w:val="22"/>
          <w:lang w:val="cs-CZ"/>
        </w:rPr>
        <w:t xml:space="preserve">onsolidovaný provozní zisk </w:t>
      </w:r>
      <w:r>
        <w:rPr>
          <w:rFonts w:ascii="Arial" w:hAnsi="Arial" w:eastAsia="Arial" w:cs="Arial"/>
          <w:b/>
          <w:i/>
          <w:sz w:val="22"/>
          <w:lang w:val="en-US"/>
        </w:rPr>
        <w:t xml:space="preserve">stoupl na </w:t>
      </w:r>
      <w:r>
        <w:rPr>
          <w:rFonts w:ascii="Arial" w:hAnsi="Arial" w:eastAsia="Arial" w:cs="Arial"/>
          <w:b/>
          <w:i/>
          <w:sz w:val="22"/>
          <w:lang w:val="cs-CZ"/>
        </w:rPr>
        <w:t xml:space="preserve">3,9 </w:t>
      </w:r>
      <w:r>
        <w:rPr>
          <w:rFonts w:ascii="Arial" w:hAnsi="Arial" w:eastAsia="Arial" w:cs="Arial"/>
          <w:b/>
          <w:i/>
          <w:sz w:val="22"/>
          <w:lang w:val="en-US"/>
        </w:rPr>
        <w:t>mld. USD</w:t>
      </w:r>
      <w:r>
        <w:rPr>
          <w:rFonts w:ascii="Arial" w:hAnsi="Arial" w:eastAsia="Arial" w:cs="Arial"/>
          <w:b/>
          <w:i/>
          <w:sz w:val="22"/>
          <w:lang w:val="cs-CZ"/>
        </w:rPr>
        <w:t>, o 91,0 % více než v loňském roce; o 37,7 % více na upraveném základě*</w:t>
      </w:r>
    </w:p>
    <w:p>
      <w:pPr>
        <w:numPr>
          <w:ilvl w:val="0"/>
          <w:numId w:val="1"/>
        </w:numPr>
        <w:spacing w:line="276" w:lineRule="auto"/>
        <w:rPr>
          <w:rFonts w:ascii="Arial" w:hAnsi="Arial" w:eastAsia="Arial" w:cs="Arial"/>
          <w:b/>
          <w:i/>
          <w:sz w:val="22"/>
          <w:lang w:val="cs-CZ"/>
        </w:rPr>
      </w:pPr>
      <w:r>
        <w:rPr>
          <w:rFonts w:ascii="Arial" w:hAnsi="Arial" w:eastAsia="Arial" w:cs="Arial"/>
          <w:b/>
          <w:i/>
          <w:sz w:val="22"/>
          <w:lang w:val="cs-CZ"/>
        </w:rPr>
        <w:t xml:space="preserve">Zředěný zisk na akcii </w:t>
      </w:r>
      <w:r>
        <w:rPr>
          <w:rFonts w:ascii="Arial" w:hAnsi="Arial" w:eastAsia="Arial" w:cs="Arial"/>
          <w:b/>
          <w:i/>
          <w:sz w:val="22"/>
          <w:lang w:val="en-US"/>
        </w:rPr>
        <w:t xml:space="preserve">dosáhl </w:t>
      </w:r>
      <w:r>
        <w:rPr>
          <w:rFonts w:ascii="Arial" w:hAnsi="Arial" w:eastAsia="Arial" w:cs="Arial"/>
          <w:b/>
          <w:i/>
          <w:sz w:val="22"/>
          <w:lang w:val="cs-CZ"/>
        </w:rPr>
        <w:t>3,52 USD; upravený zředěný zisk na akcii vzrostl oproti loňskému roku o 35,0 % na 3,59 USD</w:t>
      </w:r>
    </w:p>
    <w:p>
      <w:pPr>
        <w:numPr>
          <w:ilvl w:val="0"/>
          <w:numId w:val="1"/>
        </w:numPr>
        <w:spacing w:line="276" w:lineRule="auto"/>
        <w:rPr>
          <w:rFonts w:ascii="Arial" w:hAnsi="Arial" w:eastAsia="Arial" w:cs="Arial"/>
          <w:b/>
          <w:i/>
          <w:sz w:val="22"/>
          <w:lang w:val="cs-CZ"/>
        </w:rPr>
      </w:pPr>
      <w:r>
        <w:rPr>
          <w:rFonts w:ascii="Arial" w:hAnsi="Arial" w:eastAsia="Arial" w:cs="Arial"/>
          <w:b/>
          <w:i/>
          <w:sz w:val="22"/>
          <w:lang w:val="cs-CZ"/>
        </w:rPr>
        <w:t xml:space="preserve">Představenstvo společnosti UPS </w:t>
      </w:r>
      <w:r>
        <w:rPr>
          <w:rFonts w:ascii="Arial" w:hAnsi="Arial" w:eastAsia="Arial" w:cs="Arial"/>
          <w:b/>
          <w:i/>
          <w:sz w:val="22"/>
          <w:lang w:val="en-US"/>
        </w:rPr>
        <w:t xml:space="preserve">odsouhlasilo </w:t>
      </w:r>
      <w:r>
        <w:rPr>
          <w:rFonts w:ascii="Arial" w:hAnsi="Arial" w:eastAsia="Arial" w:cs="Arial"/>
          <w:b/>
          <w:i/>
          <w:sz w:val="22"/>
          <w:lang w:val="cs-CZ"/>
        </w:rPr>
        <w:t xml:space="preserve">čtvrtletní dividendu ve výši 1,52 USD, </w:t>
      </w:r>
      <w:r>
        <w:rPr>
          <w:rFonts w:ascii="Arial" w:hAnsi="Arial" w:eastAsia="Arial" w:cs="Arial"/>
          <w:b/>
          <w:i/>
          <w:sz w:val="22"/>
          <w:lang w:val="en-US"/>
        </w:rPr>
        <w:t xml:space="preserve">která </w:t>
      </w:r>
      <w:r>
        <w:rPr>
          <w:rFonts w:ascii="Arial" w:hAnsi="Arial" w:eastAsia="Arial" w:cs="Arial"/>
          <w:b/>
          <w:i/>
          <w:sz w:val="22"/>
          <w:lang w:val="cs-CZ"/>
        </w:rPr>
        <w:t xml:space="preserve">představuje </w:t>
      </w:r>
      <w:r>
        <w:rPr>
          <w:rFonts w:ascii="Arial" w:hAnsi="Arial" w:eastAsia="Arial" w:cs="Arial"/>
          <w:b/>
          <w:i/>
          <w:sz w:val="22"/>
          <w:lang w:val="en-US"/>
        </w:rPr>
        <w:t>na</w:t>
      </w:r>
      <w:r>
        <w:rPr>
          <w:rFonts w:ascii="Arial" w:hAnsi="Arial" w:eastAsia="Arial" w:cs="Arial"/>
          <w:b/>
          <w:i/>
          <w:sz w:val="22"/>
          <w:lang w:val="cs-CZ"/>
        </w:rPr>
        <w:t xml:space="preserve">výšení </w:t>
      </w:r>
      <w:r>
        <w:rPr>
          <w:rFonts w:ascii="Arial" w:hAnsi="Arial" w:eastAsia="Arial" w:cs="Arial"/>
          <w:b/>
          <w:i/>
          <w:sz w:val="22"/>
          <w:lang w:val="en-US"/>
        </w:rPr>
        <w:t>o</w:t>
      </w:r>
      <w:r>
        <w:rPr>
          <w:rFonts w:ascii="Arial" w:hAnsi="Arial" w:eastAsia="Arial" w:cs="Arial"/>
          <w:b/>
          <w:i/>
          <w:sz w:val="22"/>
          <w:lang w:val="cs-CZ"/>
        </w:rPr>
        <w:t>proti předchozímu roku o 49 % na akcii</w:t>
      </w:r>
      <w:r>
        <w:rPr>
          <w:rFonts w:ascii="Arial" w:hAnsi="Arial" w:eastAsia="Arial" w:cs="Arial"/>
          <w:b/>
          <w:i/>
          <w:sz w:val="22"/>
          <w:lang w:val="en-US"/>
        </w:rPr>
        <w:t xml:space="preserve"> </w:t>
      </w:r>
    </w:p>
    <w:p>
      <w:pPr>
        <w:numPr>
          <w:ilvl w:val="0"/>
          <w:numId w:val="0"/>
        </w:numPr>
        <w:spacing w:line="276" w:lineRule="auto"/>
        <w:ind w:left="360" w:firstLine="0"/>
        <w:rPr>
          <w:rFonts w:ascii="Arial" w:hAnsi="Arial" w:eastAsia="Arial" w:cs="Arial"/>
          <w:b/>
          <w:i/>
          <w:sz w:val="22"/>
          <w:lang w:val="cs-CZ"/>
        </w:rPr>
      </w:pPr>
    </w:p>
    <w:p>
      <w:pPr>
        <w:numPr>
          <w:ilvl w:val="0"/>
          <w:numId w:val="0"/>
        </w:numPr>
        <w:spacing w:line="276" w:lineRule="auto"/>
        <w:ind w:left="360" w:firstLine="0"/>
        <w:rPr>
          <w:rFonts w:ascii="Arial" w:hAnsi="Arial" w:eastAsia="Arial" w:cs="Arial"/>
          <w:b/>
          <w:i/>
          <w:sz w:val="22"/>
          <w:lang w:val="cs-CZ"/>
        </w:rPr>
      </w:pPr>
    </w:p>
    <w:p>
      <w:pPr>
        <w:spacing w:line="288" w:lineRule="auto"/>
        <w:rPr>
          <w:rFonts w:ascii="Arial" w:hAnsi="Arial" w:eastAsia="Arial" w:cs="Arial"/>
          <w:b w:val="0"/>
          <w:bCs/>
          <w:sz w:val="22"/>
          <w:lang w:val="cs-CZ"/>
        </w:rPr>
      </w:pPr>
      <w:r>
        <w:rPr>
          <w:rFonts w:ascii="Arial" w:hAnsi="Arial" w:eastAsia="Arial" w:cs="Arial"/>
          <w:b/>
          <w:sz w:val="22"/>
          <w:lang w:val="cs-CZ"/>
        </w:rPr>
        <w:t>ATLANTA</w:t>
      </w:r>
      <w:r>
        <w:rPr>
          <w:rFonts w:hint="default" w:ascii="Arial" w:hAnsi="Arial" w:eastAsia="Arial" w:cs="Arial"/>
          <w:b/>
          <w:sz w:val="22"/>
          <w:lang w:val="en-US"/>
        </w:rPr>
        <w:t>,</w:t>
      </w:r>
      <w:r>
        <w:rPr>
          <w:rFonts w:ascii="Arial" w:hAnsi="Arial" w:eastAsia="Arial" w:cs="Arial"/>
          <w:b/>
          <w:sz w:val="22"/>
          <w:lang w:val="cs-CZ"/>
        </w:rPr>
        <w:t xml:space="preserve"> 1. února 2022 </w:t>
      </w:r>
      <w:r>
        <w:rPr>
          <w:rFonts w:hint="default" w:ascii="Arial" w:hAnsi="Arial" w:eastAsia="Arial"/>
          <w:b w:val="0"/>
          <w:bCs/>
          <w:sz w:val="22"/>
          <w:lang w:val="cs-CZ"/>
        </w:rPr>
        <w:t xml:space="preserve">– </w:t>
      </w:r>
      <w:r>
        <w:rPr>
          <w:rFonts w:ascii="Arial" w:hAnsi="Arial" w:eastAsia="Arial" w:cs="Arial"/>
          <w:b w:val="0"/>
          <w:bCs/>
          <w:sz w:val="22"/>
          <w:lang w:val="cs-CZ"/>
        </w:rPr>
        <w:t>Společnost</w:t>
      </w:r>
      <w:r>
        <w:rPr>
          <w:rFonts w:hint="default" w:ascii="Arial" w:hAnsi="Arial" w:eastAsia="Arial" w:cs="Arial"/>
          <w:b w:val="0"/>
          <w:bCs/>
          <w:sz w:val="22"/>
          <w:lang w:val="en-US"/>
        </w:rPr>
        <w:t xml:space="preserve"> </w:t>
      </w:r>
      <w:r>
        <w:rPr>
          <w:rFonts w:ascii="Arial" w:hAnsi="Arial" w:eastAsia="Arial" w:cs="Arial"/>
          <w:b w:val="0"/>
          <w:bCs/>
          <w:sz w:val="22"/>
          <w:lang w:val="cs-CZ"/>
        </w:rPr>
        <w:t xml:space="preserve">UPS (NYSE:UPS) dnes oznámila konsolidované tržby za čtvrté čtvrtletí roku 2021 ve výši 27,8 </w:t>
      </w:r>
      <w:r>
        <w:rPr>
          <w:rFonts w:ascii="Arial" w:hAnsi="Arial" w:eastAsia="Arial" w:cs="Arial"/>
          <w:b w:val="0"/>
          <w:bCs/>
          <w:sz w:val="22"/>
          <w:lang w:val="en-US"/>
        </w:rPr>
        <w:t xml:space="preserve">mld. </w:t>
      </w:r>
      <w:r>
        <w:rPr>
          <w:rFonts w:ascii="Arial" w:hAnsi="Arial" w:eastAsia="Arial" w:cs="Arial"/>
          <w:b w:val="0"/>
          <w:bCs/>
          <w:sz w:val="22"/>
          <w:lang w:val="cs-CZ"/>
        </w:rPr>
        <w:t xml:space="preserve">USD, což představuje 11,5% nárůst oproti čtvrtému čtvrtletí roku 2020. Konsolidovaný provozní zisk činil 3,9 </w:t>
      </w:r>
      <w:r>
        <w:rPr>
          <w:rFonts w:ascii="Arial" w:hAnsi="Arial" w:eastAsia="Arial" w:cs="Arial"/>
          <w:b w:val="0"/>
          <w:bCs/>
          <w:sz w:val="22"/>
          <w:lang w:val="en-US"/>
        </w:rPr>
        <w:t>mld. USD</w:t>
      </w:r>
      <w:r>
        <w:rPr>
          <w:rFonts w:ascii="Arial" w:hAnsi="Arial" w:eastAsia="Arial" w:cs="Arial"/>
          <w:b w:val="0"/>
          <w:bCs/>
          <w:sz w:val="22"/>
          <w:lang w:val="cs-CZ"/>
        </w:rPr>
        <w:t xml:space="preserve">, což je o 91,0 % více než ve čtvrtém čtvrtletí roku 2020 a o 37,7 % více na upravené bázi. Zředěný zisk na akcii činil </w:t>
      </w:r>
      <w:r>
        <w:rPr>
          <w:rFonts w:ascii="Arial" w:hAnsi="Arial" w:eastAsia="Arial" w:cs="Arial"/>
          <w:b w:val="0"/>
          <w:bCs/>
          <w:sz w:val="22"/>
          <w:lang w:val="en-US"/>
        </w:rPr>
        <w:t xml:space="preserve">v uplynulém </w:t>
      </w:r>
      <w:r>
        <w:rPr>
          <w:rFonts w:ascii="Arial" w:hAnsi="Arial" w:eastAsia="Arial" w:cs="Arial"/>
          <w:b w:val="0"/>
          <w:bCs/>
          <w:sz w:val="22"/>
          <w:lang w:val="cs-CZ"/>
        </w:rPr>
        <w:t xml:space="preserve">čtvrtletí 3,52 USD; upravený zředěný zisk na akcii byl o 35,0 % vyšší než ve stejném období roku 2020. </w:t>
      </w:r>
    </w:p>
    <w:p>
      <w:pPr>
        <w:spacing w:line="288" w:lineRule="auto"/>
        <w:rPr>
          <w:rFonts w:ascii="Arial" w:hAnsi="Arial" w:eastAsia="Arial" w:cs="Arial"/>
          <w:sz w:val="22"/>
        </w:rPr>
      </w:pPr>
    </w:p>
    <w:p>
      <w:pPr>
        <w:spacing w:line="288" w:lineRule="auto"/>
        <w:rPr>
          <w:rFonts w:ascii="Arial" w:hAnsi="Arial" w:eastAsia="Arial" w:cs="Arial"/>
          <w:bCs/>
          <w:sz w:val="22"/>
          <w:lang w:val="cs-CZ"/>
        </w:rPr>
      </w:pPr>
      <w:r>
        <w:rPr>
          <w:rFonts w:ascii="Arial" w:hAnsi="Arial" w:eastAsia="Arial" w:cs="Arial"/>
          <w:bCs/>
          <w:sz w:val="22"/>
          <w:lang w:val="cs-CZ"/>
        </w:rPr>
        <w:t xml:space="preserve">Ve čtvrtém čtvrtletí roku 2021 zahrnují výsledky podle </w:t>
      </w:r>
      <w:r>
        <w:rPr>
          <w:rFonts w:ascii="Arial" w:hAnsi="Arial" w:eastAsia="Arial" w:cs="Arial"/>
          <w:bCs/>
          <w:sz w:val="22"/>
          <w:lang w:val="en-US"/>
        </w:rPr>
        <w:t xml:space="preserve">účetních zásad </w:t>
      </w:r>
      <w:r>
        <w:rPr>
          <w:rFonts w:ascii="Arial" w:hAnsi="Arial" w:eastAsia="Arial" w:cs="Arial"/>
          <w:bCs/>
          <w:sz w:val="22"/>
          <w:lang w:val="cs-CZ"/>
        </w:rPr>
        <w:t xml:space="preserve">GAAP celkové náklady ve výši 59 </w:t>
      </w:r>
      <w:r>
        <w:rPr>
          <w:rFonts w:ascii="Arial" w:hAnsi="Arial" w:eastAsia="Arial" w:cs="Arial"/>
          <w:bCs/>
          <w:sz w:val="22"/>
          <w:lang w:val="en-US"/>
        </w:rPr>
        <w:t xml:space="preserve">mil. </w:t>
      </w:r>
      <w:r>
        <w:rPr>
          <w:rFonts w:ascii="Arial" w:hAnsi="Arial" w:eastAsia="Arial" w:cs="Arial"/>
          <w:bCs/>
          <w:sz w:val="22"/>
          <w:lang w:val="cs-CZ"/>
        </w:rPr>
        <w:t xml:space="preserve">USD, </w:t>
      </w:r>
      <w:r>
        <w:rPr>
          <w:rFonts w:ascii="Arial" w:hAnsi="Arial" w:eastAsia="Arial" w:cs="Arial"/>
          <w:bCs/>
          <w:sz w:val="22"/>
          <w:lang w:val="en-US"/>
        </w:rPr>
        <w:t xml:space="preserve">což odpovídá </w:t>
      </w:r>
      <w:r>
        <w:rPr>
          <w:rFonts w:ascii="Arial" w:hAnsi="Arial" w:eastAsia="Arial" w:cs="Arial"/>
          <w:bCs/>
          <w:sz w:val="22"/>
          <w:lang w:val="cs-CZ"/>
        </w:rPr>
        <w:t>0,07 USD na zředěnou akcii</w:t>
      </w:r>
      <w:r>
        <w:rPr>
          <w:rFonts w:ascii="Arial" w:hAnsi="Arial" w:eastAsia="Arial" w:cs="Arial"/>
          <w:bCs/>
          <w:sz w:val="22"/>
          <w:lang w:val="en-US"/>
        </w:rPr>
        <w:t xml:space="preserve">. Ty zahrnují </w:t>
      </w:r>
      <w:r>
        <w:rPr>
          <w:rFonts w:ascii="Arial" w:hAnsi="Arial" w:eastAsia="Arial" w:cs="Arial"/>
          <w:bCs/>
          <w:sz w:val="22"/>
          <w:lang w:val="cs-CZ"/>
        </w:rPr>
        <w:t>nepeněžní náklad</w:t>
      </w:r>
      <w:r>
        <w:rPr>
          <w:rFonts w:ascii="Arial" w:hAnsi="Arial" w:eastAsia="Arial" w:cs="Arial"/>
          <w:bCs/>
          <w:sz w:val="22"/>
          <w:lang w:val="en-US"/>
        </w:rPr>
        <w:t>y</w:t>
      </w:r>
      <w:r>
        <w:rPr>
          <w:rFonts w:ascii="Arial" w:hAnsi="Arial" w:eastAsia="Arial" w:cs="Arial"/>
          <w:bCs/>
          <w:sz w:val="22"/>
          <w:lang w:val="cs-CZ"/>
        </w:rPr>
        <w:t xml:space="preserve"> na penzijní připojištění po zdanění (MTM) ve výši 14 </w:t>
      </w:r>
      <w:r>
        <w:rPr>
          <w:rFonts w:ascii="Arial" w:hAnsi="Arial" w:eastAsia="Arial" w:cs="Arial"/>
          <w:bCs/>
          <w:sz w:val="22"/>
          <w:lang w:val="en-US"/>
        </w:rPr>
        <w:t xml:space="preserve">mil. </w:t>
      </w:r>
      <w:r>
        <w:rPr>
          <w:rFonts w:ascii="Arial" w:hAnsi="Arial" w:eastAsia="Arial" w:cs="Arial"/>
          <w:bCs/>
          <w:sz w:val="22"/>
          <w:lang w:val="cs-CZ"/>
        </w:rPr>
        <w:t>USD a náklad</w:t>
      </w:r>
      <w:r>
        <w:rPr>
          <w:rFonts w:ascii="Arial" w:hAnsi="Arial" w:eastAsia="Arial" w:cs="Arial"/>
          <w:bCs/>
          <w:sz w:val="22"/>
          <w:lang w:val="en-US"/>
        </w:rPr>
        <w:t>y</w:t>
      </w:r>
      <w:r>
        <w:rPr>
          <w:rFonts w:ascii="Arial" w:hAnsi="Arial" w:eastAsia="Arial" w:cs="Arial"/>
          <w:bCs/>
          <w:sz w:val="22"/>
          <w:lang w:val="cs-CZ"/>
        </w:rPr>
        <w:t xml:space="preserve"> na transformaci a ostatní náklad</w:t>
      </w:r>
      <w:r>
        <w:rPr>
          <w:rFonts w:ascii="Arial" w:hAnsi="Arial" w:eastAsia="Arial" w:cs="Arial"/>
          <w:bCs/>
          <w:sz w:val="22"/>
          <w:lang w:val="en-US"/>
        </w:rPr>
        <w:t>y</w:t>
      </w:r>
      <w:r>
        <w:rPr>
          <w:rFonts w:ascii="Arial" w:hAnsi="Arial" w:eastAsia="Arial" w:cs="Arial"/>
          <w:bCs/>
          <w:sz w:val="22"/>
          <w:lang w:val="cs-CZ"/>
        </w:rPr>
        <w:t xml:space="preserve"> po zdanění ve výši 45 </w:t>
      </w:r>
      <w:r>
        <w:rPr>
          <w:rFonts w:ascii="Arial" w:hAnsi="Arial" w:eastAsia="Arial" w:cs="Arial"/>
          <w:bCs/>
          <w:sz w:val="22"/>
          <w:lang w:val="en-US"/>
        </w:rPr>
        <w:t xml:space="preserve">mil. </w:t>
      </w:r>
      <w:r>
        <w:rPr>
          <w:rFonts w:ascii="Arial" w:hAnsi="Arial" w:eastAsia="Arial" w:cs="Arial"/>
          <w:bCs/>
          <w:sz w:val="22"/>
          <w:lang w:val="cs-CZ"/>
        </w:rPr>
        <w:t xml:space="preserve">USD. </w:t>
      </w:r>
    </w:p>
    <w:p>
      <w:pPr>
        <w:spacing w:line="288" w:lineRule="auto"/>
        <w:rPr>
          <w:rFonts w:ascii="Arial" w:hAnsi="Arial" w:eastAsia="Arial" w:cs="Arial"/>
          <w:sz w:val="22"/>
        </w:rPr>
      </w:pPr>
    </w:p>
    <w:p>
      <w:pPr>
        <w:spacing w:line="288" w:lineRule="auto"/>
        <w:rPr>
          <w:rFonts w:ascii="Arial" w:hAnsi="Arial" w:eastAsia="Arial" w:cs="Arial"/>
          <w:bCs/>
          <w:sz w:val="22"/>
          <w:lang w:val="cs-CZ"/>
        </w:rPr>
      </w:pPr>
      <w:r>
        <w:rPr>
          <w:rFonts w:ascii="Arial" w:hAnsi="Arial" w:eastAsia="Arial" w:cs="Arial"/>
          <w:bCs/>
          <w:sz w:val="22"/>
          <w:lang w:val="cs-CZ"/>
        </w:rPr>
        <w:t xml:space="preserve">„Chtěla bych poděkovat všem zaměstnancům UPS za jejich </w:t>
      </w:r>
      <w:r>
        <w:rPr>
          <w:rFonts w:ascii="Arial" w:hAnsi="Arial" w:eastAsia="Arial" w:cs="Arial"/>
          <w:bCs/>
          <w:sz w:val="22"/>
          <w:lang w:val="en-US"/>
        </w:rPr>
        <w:t xml:space="preserve">mimořádné </w:t>
      </w:r>
      <w:r>
        <w:rPr>
          <w:rFonts w:hint="default" w:ascii="Arial" w:hAnsi="Arial" w:eastAsia="Arial" w:cs="Arial"/>
          <w:bCs/>
          <w:sz w:val="22"/>
          <w:lang w:val="en-US"/>
        </w:rPr>
        <w:t xml:space="preserve">výkony </w:t>
      </w:r>
      <w:r>
        <w:rPr>
          <w:rFonts w:ascii="Arial" w:hAnsi="Arial" w:eastAsia="Arial" w:cs="Arial"/>
          <w:bCs/>
          <w:sz w:val="22"/>
          <w:lang w:val="en-US"/>
        </w:rPr>
        <w:t xml:space="preserve">během </w:t>
      </w:r>
      <w:r>
        <w:rPr>
          <w:rFonts w:ascii="Arial" w:hAnsi="Arial" w:eastAsia="Arial" w:cs="Arial"/>
          <w:bCs/>
          <w:sz w:val="22"/>
          <w:lang w:val="cs-CZ"/>
        </w:rPr>
        <w:t xml:space="preserve">svátků a za to, že našim zákazníkům opět poskytli špičkové služby," </w:t>
      </w:r>
      <w:r>
        <w:rPr>
          <w:rFonts w:ascii="Arial" w:hAnsi="Arial" w:eastAsia="Arial" w:cs="Arial"/>
          <w:bCs/>
          <w:sz w:val="22"/>
          <w:lang w:val="en-US"/>
        </w:rPr>
        <w:t xml:space="preserve">uvedla </w:t>
      </w:r>
      <w:r>
        <w:rPr>
          <w:rFonts w:ascii="Arial" w:hAnsi="Arial" w:eastAsia="Arial" w:cs="Arial"/>
          <w:bCs/>
          <w:sz w:val="22"/>
          <w:lang w:val="cs-CZ"/>
        </w:rPr>
        <w:t xml:space="preserve">Carol Tomé, výkonná ředitelka UPS. „Realizace naší strategie přináší pozitivní finanční výsledky a podporuje silnou dynamiku při vstupu do roku 2022."  </w:t>
      </w:r>
    </w:p>
    <w:p>
      <w:pPr>
        <w:spacing w:line="288" w:lineRule="auto"/>
        <w:rPr>
          <w:rFonts w:ascii="Arial" w:hAnsi="Arial" w:eastAsia="Arial" w:cs="Arial"/>
          <w:sz w:val="22"/>
        </w:rPr>
      </w:pPr>
    </w:p>
    <w:p>
      <w:pPr>
        <w:spacing w:line="288" w:lineRule="auto"/>
        <w:rPr>
          <w:rFonts w:ascii="Arial" w:hAnsi="Arial" w:eastAsia="Arial" w:cs="Arial"/>
          <w:sz w:val="22"/>
        </w:rPr>
      </w:pP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37" w:lineRule="auto"/>
        <w:textAlignment w:val="auto"/>
      </w:pPr>
      <w:r>
        <w:rPr>
          <w:rFonts w:ascii="Arial" w:hAnsi="Arial" w:eastAsia="Arial" w:cs="Arial"/>
          <w:b/>
          <w:lang w:val="en-US"/>
        </w:rPr>
        <w:t>Domácí trh v USA</w:t>
      </w:r>
    </w:p>
    <w:tbl>
      <w:tblPr>
        <w:tblStyle w:val="3"/>
        <w:tblW w:w="9030" w:type="dxa"/>
        <w:tblInd w:w="-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07"/>
        <w:gridCol w:w="1787"/>
        <w:gridCol w:w="1545"/>
        <w:gridCol w:w="1545"/>
        <w:gridCol w:w="15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exact"/>
        </w:trPr>
        <w:tc>
          <w:tcPr>
            <w:tcW w:w="2607" w:type="dxa"/>
            <w:tcBorders>
              <w:top w:val="single" w:color="000000" w:sz="8" w:space="0"/>
              <w:left w:val="single" w:color="000000" w:sz="8" w:space="0"/>
            </w:tcBorders>
            <w:vAlign w:val="bottom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</w:pPr>
          </w:p>
        </w:tc>
        <w:tc>
          <w:tcPr>
            <w:tcW w:w="1787" w:type="dxa"/>
            <w:tcBorders>
              <w:top w:val="single" w:color="000000" w:sz="8" w:space="0"/>
            </w:tcBorders>
            <w:tcMar>
              <w:left w:w="53" w:type="dxa"/>
              <w:right w:w="53" w:type="dxa"/>
            </w:tcMar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3" w:after="0" w:line="276" w:lineRule="auto"/>
              <w:jc w:val="right"/>
              <w:textAlignment w:val="auto"/>
              <w:rPr>
                <w:b/>
                <w:u w:val="single"/>
              </w:rPr>
            </w:pPr>
          </w:p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30" w:line="276" w:lineRule="auto"/>
              <w:jc w:val="right"/>
              <w:textAlignment w:val="auto"/>
              <w:rPr>
                <w:b/>
                <w:u w:val="single"/>
              </w:rPr>
            </w:pPr>
            <w:r>
              <w:rPr>
                <w:rFonts w:ascii="Arial" w:hAnsi="Arial" w:eastAsia="Arial" w:cs="Arial"/>
                <w:b/>
                <w:sz w:val="20"/>
                <w:u w:val="single"/>
              </w:rPr>
              <w:t>4Q 2021</w:t>
            </w:r>
          </w:p>
        </w:tc>
        <w:tc>
          <w:tcPr>
            <w:tcW w:w="1545" w:type="dxa"/>
            <w:tcBorders>
              <w:top w:val="single" w:color="000000" w:sz="8" w:space="0"/>
            </w:tcBorders>
            <w:tcMar>
              <w:left w:w="53" w:type="dxa"/>
              <w:right w:w="53" w:type="dxa"/>
            </w:tcMar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3" w:after="0" w:line="276" w:lineRule="auto"/>
              <w:jc w:val="right"/>
              <w:textAlignment w:val="auto"/>
              <w:rPr>
                <w:b/>
                <w:u w:val="single"/>
                <w:lang w:val="en-US"/>
              </w:rPr>
            </w:pPr>
            <w:r>
              <w:rPr>
                <w:rFonts w:ascii="Arial" w:hAnsi="Arial" w:eastAsia="Arial" w:cs="Arial"/>
                <w:b/>
                <w:sz w:val="20"/>
                <w:u w:val="single"/>
                <w:lang w:val="en-US"/>
              </w:rPr>
              <w:t>Upravené</w:t>
            </w:r>
          </w:p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30" w:line="276" w:lineRule="auto"/>
              <w:jc w:val="right"/>
              <w:textAlignment w:val="auto"/>
              <w:rPr>
                <w:b/>
                <w:u w:val="single"/>
              </w:rPr>
            </w:pPr>
            <w:r>
              <w:rPr>
                <w:rFonts w:ascii="Arial" w:hAnsi="Arial" w:eastAsia="Arial" w:cs="Arial"/>
                <w:b/>
                <w:sz w:val="20"/>
                <w:u w:val="single"/>
              </w:rPr>
              <w:t>4Q 2021</w:t>
            </w:r>
          </w:p>
        </w:tc>
        <w:tc>
          <w:tcPr>
            <w:tcW w:w="1545" w:type="dxa"/>
            <w:tcBorders>
              <w:top w:val="single" w:color="000000" w:sz="8" w:space="0"/>
            </w:tcBorders>
            <w:tcMar>
              <w:left w:w="53" w:type="dxa"/>
              <w:right w:w="53" w:type="dxa"/>
            </w:tcMar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3" w:after="0" w:line="276" w:lineRule="auto"/>
              <w:jc w:val="right"/>
              <w:textAlignment w:val="auto"/>
              <w:rPr>
                <w:b/>
                <w:u w:val="single"/>
              </w:rPr>
            </w:pPr>
          </w:p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30" w:line="276" w:lineRule="auto"/>
              <w:jc w:val="right"/>
              <w:textAlignment w:val="auto"/>
              <w:rPr>
                <w:b/>
                <w:u w:val="single"/>
              </w:rPr>
            </w:pPr>
            <w:r>
              <w:rPr>
                <w:rFonts w:ascii="Arial" w:hAnsi="Arial" w:eastAsia="Arial" w:cs="Arial"/>
                <w:b/>
                <w:sz w:val="20"/>
                <w:u w:val="single"/>
              </w:rPr>
              <w:t>4Q 2020</w:t>
            </w:r>
          </w:p>
        </w:tc>
        <w:tc>
          <w:tcPr>
            <w:tcW w:w="1546" w:type="dxa"/>
            <w:tcBorders>
              <w:top w:val="single" w:color="000000" w:sz="8" w:space="0"/>
              <w:right w:val="single" w:color="000000" w:sz="8" w:space="0"/>
            </w:tcBorders>
            <w:tcMar>
              <w:left w:w="53" w:type="dxa"/>
              <w:right w:w="53" w:type="dxa"/>
            </w:tcMar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3" w:after="0" w:line="276" w:lineRule="auto"/>
              <w:jc w:val="right"/>
              <w:textAlignment w:val="auto"/>
              <w:rPr>
                <w:rFonts w:ascii="Arial" w:hAnsi="Arial" w:eastAsia="Arial" w:cs="Arial"/>
                <w:b/>
                <w:sz w:val="20"/>
                <w:u w:val="single"/>
                <w:lang w:val="en-US"/>
              </w:rPr>
            </w:pPr>
            <w:r>
              <w:rPr>
                <w:rFonts w:ascii="Arial" w:hAnsi="Arial" w:eastAsia="Arial" w:cs="Arial"/>
                <w:b/>
                <w:sz w:val="20"/>
                <w:u w:val="single"/>
                <w:lang w:val="en-US"/>
              </w:rPr>
              <w:t>Upravené</w:t>
            </w:r>
          </w:p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3" w:after="0" w:line="276" w:lineRule="auto"/>
              <w:jc w:val="right"/>
              <w:textAlignment w:val="auto"/>
              <w:rPr>
                <w:rFonts w:ascii="Arial" w:hAnsi="Arial" w:eastAsia="Arial" w:cs="Arial"/>
                <w:b/>
                <w:sz w:val="20"/>
                <w:u w:val="single"/>
                <w:lang w:val="en-US"/>
              </w:rPr>
            </w:pPr>
            <w:r>
              <w:rPr>
                <w:rFonts w:ascii="Arial" w:hAnsi="Arial" w:eastAsia="Arial" w:cs="Arial"/>
                <w:b/>
                <w:sz w:val="20"/>
                <w:u w:val="single"/>
                <w:lang w:val="en-US"/>
              </w:rPr>
              <w:t>4Q 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</w:trPr>
        <w:tc>
          <w:tcPr>
            <w:tcW w:w="2607" w:type="dxa"/>
            <w:tcBorders>
              <w:left w:val="single" w:color="000000" w:sz="8" w:space="0"/>
            </w:tcBorders>
            <w:tcMar>
              <w:left w:w="53" w:type="dxa"/>
              <w:right w:w="53" w:type="dxa"/>
            </w:tcMar>
          </w:tcPr>
          <w:p>
            <w:pPr>
              <w:keepNext/>
              <w:widowControl/>
              <w:spacing w:before="53" w:after="30" w:line="276" w:lineRule="auto"/>
              <w:jc w:val="left"/>
              <w:rPr>
                <w:lang w:val="en-US"/>
              </w:rPr>
            </w:pPr>
            <w:r>
              <w:rPr>
                <w:rFonts w:ascii="Arial" w:hAnsi="Arial" w:eastAsia="Arial" w:cs="Arial"/>
                <w:sz w:val="20"/>
                <w:lang w:val="en-US"/>
              </w:rPr>
              <w:t>Příjmy</w:t>
            </w:r>
          </w:p>
        </w:tc>
        <w:tc>
          <w:tcPr>
            <w:tcW w:w="1787" w:type="dxa"/>
            <w:tcMar>
              <w:right w:w="53" w:type="dxa"/>
            </w:tcMar>
          </w:tcPr>
          <w:p>
            <w:pPr>
              <w:keepNext/>
              <w:widowControl/>
              <w:spacing w:before="53" w:after="30" w:line="276" w:lineRule="auto"/>
              <w:jc w:val="right"/>
            </w:pPr>
            <w:r>
              <w:rPr>
                <w:rFonts w:ascii="Arial" w:hAnsi="Arial" w:eastAsia="Arial" w:cs="Arial"/>
                <w:color w:val="000000"/>
                <w:sz w:val="20"/>
              </w:rPr>
              <w:t>17</w:t>
            </w:r>
            <w:r>
              <w:rPr>
                <w:rFonts w:ascii="Arial" w:hAnsi="Arial" w:eastAsia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hAnsi="Arial" w:eastAsia="Arial" w:cs="Arial"/>
                <w:color w:val="000000"/>
                <w:sz w:val="20"/>
              </w:rPr>
              <w:t xml:space="preserve">697 </w:t>
            </w:r>
            <w:r>
              <w:rPr>
                <w:rFonts w:ascii="Arial" w:hAnsi="Arial" w:eastAsia="Arial" w:cs="Arial"/>
                <w:color w:val="000000"/>
                <w:sz w:val="20"/>
                <w:lang w:val="cs-CZ"/>
              </w:rPr>
              <w:t>mil.</w:t>
            </w:r>
            <w:r>
              <w:rPr>
                <w:rFonts w:ascii="Arial" w:hAnsi="Arial" w:eastAsia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hAnsi="Arial" w:eastAsia="Arial" w:cs="Arial"/>
                <w:color w:val="000000"/>
                <w:sz w:val="20"/>
                <w:lang w:val="cs-CZ"/>
              </w:rPr>
              <w:t>USD</w:t>
            </w:r>
          </w:p>
        </w:tc>
        <w:tc>
          <w:tcPr>
            <w:tcW w:w="1545" w:type="dxa"/>
            <w:vAlign w:val="bottom"/>
          </w:tcPr>
          <w:p>
            <w:pPr>
              <w:keepNext/>
              <w:widowControl/>
              <w:spacing w:before="0" w:after="0"/>
              <w:jc w:val="left"/>
            </w:pPr>
          </w:p>
        </w:tc>
        <w:tc>
          <w:tcPr>
            <w:tcW w:w="1545" w:type="dxa"/>
            <w:tcMar>
              <w:right w:w="53" w:type="dxa"/>
            </w:tcMar>
          </w:tcPr>
          <w:p>
            <w:pPr>
              <w:keepNext/>
              <w:widowControl/>
              <w:spacing w:before="53" w:after="30" w:line="276" w:lineRule="auto"/>
              <w:jc w:val="right"/>
            </w:pPr>
            <w:r>
              <w:rPr>
                <w:rFonts w:ascii="Arial" w:hAnsi="Arial" w:eastAsia="Arial" w:cs="Arial"/>
                <w:color w:val="000000"/>
                <w:sz w:val="20"/>
              </w:rPr>
              <w:t>15</w:t>
            </w:r>
            <w:r>
              <w:rPr>
                <w:rFonts w:ascii="Arial" w:hAnsi="Arial" w:eastAsia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hAnsi="Arial" w:eastAsia="Arial" w:cs="Arial"/>
                <w:color w:val="000000"/>
                <w:sz w:val="20"/>
              </w:rPr>
              <w:t xml:space="preserve">744 </w:t>
            </w:r>
            <w:r>
              <w:rPr>
                <w:rFonts w:ascii="Arial" w:hAnsi="Arial" w:eastAsia="Arial" w:cs="Arial"/>
                <w:color w:val="000000"/>
                <w:sz w:val="20"/>
                <w:lang w:val="cs-CZ"/>
              </w:rPr>
              <w:t>mil.</w:t>
            </w:r>
            <w:r>
              <w:rPr>
                <w:rFonts w:ascii="Arial" w:hAnsi="Arial" w:eastAsia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hAnsi="Arial" w:eastAsia="Arial" w:cs="Arial"/>
                <w:color w:val="000000"/>
                <w:sz w:val="20"/>
                <w:lang w:val="cs-CZ"/>
              </w:rPr>
              <w:t>USD</w:t>
            </w:r>
          </w:p>
        </w:tc>
        <w:tc>
          <w:tcPr>
            <w:tcW w:w="1546" w:type="dxa"/>
            <w:tcBorders>
              <w:right w:val="single" w:color="000000" w:sz="8" w:space="0"/>
            </w:tcBorders>
            <w:vAlign w:val="bottom"/>
          </w:tcPr>
          <w:p>
            <w:pPr>
              <w:keepNext/>
              <w:widowControl/>
              <w:spacing w:before="0" w:after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</w:trPr>
        <w:tc>
          <w:tcPr>
            <w:tcW w:w="2607" w:type="dxa"/>
            <w:tcBorders>
              <w:left w:val="single" w:color="000000" w:sz="8" w:space="0"/>
              <w:bottom w:val="single" w:color="000000" w:sz="8" w:space="0"/>
            </w:tcBorders>
            <w:tcMar>
              <w:left w:w="53" w:type="dxa"/>
              <w:right w:w="53" w:type="dxa"/>
            </w:tcMar>
          </w:tcPr>
          <w:p>
            <w:pPr>
              <w:widowControl/>
              <w:spacing w:before="53" w:after="30" w:line="276" w:lineRule="auto"/>
              <w:jc w:val="left"/>
              <w:rPr>
                <w:lang w:val="en-US"/>
              </w:rPr>
            </w:pPr>
            <w:r>
              <w:rPr>
                <w:rFonts w:ascii="Arial" w:hAnsi="Arial" w:eastAsia="Arial" w:cs="Arial"/>
                <w:sz w:val="20"/>
                <w:lang w:val="en-US"/>
              </w:rPr>
              <w:t>Provozní zisk</w:t>
            </w:r>
          </w:p>
        </w:tc>
        <w:tc>
          <w:tcPr>
            <w:tcW w:w="1787" w:type="dxa"/>
            <w:tcBorders>
              <w:bottom w:val="single" w:color="000000" w:sz="8" w:space="0"/>
            </w:tcBorders>
            <w:tcMar>
              <w:right w:w="53" w:type="dxa"/>
            </w:tcMar>
          </w:tcPr>
          <w:p>
            <w:pPr>
              <w:widowControl/>
              <w:spacing w:before="53" w:after="30" w:line="276" w:lineRule="auto"/>
              <w:jc w:val="right"/>
            </w:pPr>
            <w:r>
              <w:rPr>
                <w:rFonts w:ascii="Arial" w:hAnsi="Arial" w:eastAsia="Arial" w:cs="Arial"/>
                <w:color w:val="000000"/>
                <w:sz w:val="20"/>
              </w:rPr>
              <w:t>2</w:t>
            </w:r>
            <w:r>
              <w:rPr>
                <w:rFonts w:ascii="Arial" w:hAnsi="Arial" w:eastAsia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hAnsi="Arial" w:eastAsia="Arial" w:cs="Arial"/>
                <w:color w:val="000000"/>
                <w:sz w:val="20"/>
              </w:rPr>
              <w:t xml:space="preserve">103 </w:t>
            </w:r>
            <w:r>
              <w:rPr>
                <w:rFonts w:ascii="Arial" w:hAnsi="Arial" w:eastAsia="Arial" w:cs="Arial"/>
                <w:color w:val="000000"/>
                <w:sz w:val="20"/>
                <w:lang w:val="cs-CZ"/>
              </w:rPr>
              <w:t>mil.</w:t>
            </w:r>
            <w:r>
              <w:rPr>
                <w:rFonts w:ascii="Arial" w:hAnsi="Arial" w:eastAsia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hAnsi="Arial" w:eastAsia="Arial" w:cs="Arial"/>
                <w:color w:val="000000"/>
                <w:sz w:val="20"/>
                <w:lang w:val="cs-CZ"/>
              </w:rPr>
              <w:t>USD</w:t>
            </w:r>
          </w:p>
        </w:tc>
        <w:tc>
          <w:tcPr>
            <w:tcW w:w="1545" w:type="dxa"/>
            <w:tcBorders>
              <w:bottom w:val="single" w:color="000000" w:sz="8" w:space="0"/>
            </w:tcBorders>
            <w:tcMar>
              <w:right w:w="53" w:type="dxa"/>
            </w:tcMar>
          </w:tcPr>
          <w:p>
            <w:pPr>
              <w:widowControl/>
              <w:spacing w:before="53" w:after="30" w:line="276" w:lineRule="auto"/>
              <w:jc w:val="right"/>
            </w:pPr>
            <w:r>
              <w:rPr>
                <w:rFonts w:ascii="Arial" w:hAnsi="Arial" w:eastAsia="Arial" w:cs="Arial"/>
                <w:color w:val="000000"/>
                <w:sz w:val="20"/>
              </w:rPr>
              <w:t>2</w:t>
            </w:r>
            <w:r>
              <w:rPr>
                <w:rFonts w:ascii="Arial" w:hAnsi="Arial" w:eastAsia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hAnsi="Arial" w:eastAsia="Arial" w:cs="Arial"/>
                <w:color w:val="000000"/>
                <w:sz w:val="20"/>
              </w:rPr>
              <w:t xml:space="preserve">165 </w:t>
            </w:r>
            <w:r>
              <w:rPr>
                <w:rFonts w:ascii="Arial" w:hAnsi="Arial" w:eastAsia="Arial" w:cs="Arial"/>
                <w:color w:val="000000"/>
                <w:sz w:val="20"/>
                <w:lang w:val="cs-CZ"/>
              </w:rPr>
              <w:t>mil.</w:t>
            </w:r>
            <w:r>
              <w:rPr>
                <w:rFonts w:ascii="Arial" w:hAnsi="Arial" w:eastAsia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hAnsi="Arial" w:eastAsia="Arial" w:cs="Arial"/>
                <w:color w:val="000000"/>
                <w:sz w:val="20"/>
                <w:lang w:val="cs-CZ"/>
              </w:rPr>
              <w:t>USD</w:t>
            </w:r>
          </w:p>
        </w:tc>
        <w:tc>
          <w:tcPr>
            <w:tcW w:w="1545" w:type="dxa"/>
            <w:tcBorders>
              <w:bottom w:val="single" w:color="000000" w:sz="8" w:space="0"/>
            </w:tcBorders>
            <w:tcMar>
              <w:right w:w="53" w:type="dxa"/>
            </w:tcMar>
          </w:tcPr>
          <w:p>
            <w:pPr>
              <w:widowControl/>
              <w:spacing w:before="53" w:after="30" w:line="276" w:lineRule="auto"/>
              <w:jc w:val="right"/>
            </w:pPr>
            <w:r>
              <w:rPr>
                <w:rFonts w:ascii="Arial" w:hAnsi="Arial" w:eastAsia="Arial" w:cs="Arial"/>
                <w:color w:val="000000"/>
                <w:sz w:val="20"/>
              </w:rPr>
              <w:t>1</w:t>
            </w:r>
            <w:r>
              <w:rPr>
                <w:rFonts w:ascii="Arial" w:hAnsi="Arial" w:eastAsia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hAnsi="Arial" w:eastAsia="Arial" w:cs="Arial"/>
                <w:color w:val="000000"/>
                <w:sz w:val="20"/>
              </w:rPr>
              <w:t xml:space="preserve">247 </w:t>
            </w:r>
            <w:r>
              <w:rPr>
                <w:rFonts w:ascii="Arial" w:hAnsi="Arial" w:eastAsia="Arial" w:cs="Arial"/>
                <w:color w:val="000000"/>
                <w:sz w:val="20"/>
                <w:lang w:val="cs-CZ"/>
              </w:rPr>
              <w:t>mil.</w:t>
            </w:r>
            <w:r>
              <w:rPr>
                <w:rFonts w:ascii="Arial" w:hAnsi="Arial" w:eastAsia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hAnsi="Arial" w:eastAsia="Arial" w:cs="Arial"/>
                <w:color w:val="000000"/>
                <w:sz w:val="20"/>
                <w:lang w:val="cs-CZ"/>
              </w:rPr>
              <w:t>USD</w:t>
            </w:r>
          </w:p>
        </w:tc>
        <w:tc>
          <w:tcPr>
            <w:tcW w:w="1546" w:type="dxa"/>
            <w:tcBorders>
              <w:bottom w:val="single" w:color="000000" w:sz="8" w:space="0"/>
              <w:right w:val="single" w:color="000000" w:sz="8" w:space="0"/>
            </w:tcBorders>
            <w:tcMar>
              <w:right w:w="53" w:type="dxa"/>
            </w:tcMar>
          </w:tcPr>
          <w:p>
            <w:pPr>
              <w:widowControl/>
              <w:spacing w:before="53" w:after="30" w:line="276" w:lineRule="auto"/>
              <w:jc w:val="right"/>
            </w:pPr>
            <w:r>
              <w:rPr>
                <w:rFonts w:ascii="Arial" w:hAnsi="Arial" w:eastAsia="Arial" w:cs="Arial"/>
                <w:color w:val="000000"/>
                <w:sz w:val="20"/>
              </w:rPr>
              <w:t>1</w:t>
            </w:r>
            <w:r>
              <w:rPr>
                <w:rFonts w:ascii="Arial" w:hAnsi="Arial" w:eastAsia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hAnsi="Arial" w:eastAsia="Arial" w:cs="Arial"/>
                <w:color w:val="000000"/>
                <w:sz w:val="20"/>
              </w:rPr>
              <w:t xml:space="preserve">379 </w:t>
            </w:r>
            <w:r>
              <w:rPr>
                <w:rFonts w:ascii="Arial" w:hAnsi="Arial" w:eastAsia="Arial" w:cs="Arial"/>
                <w:color w:val="000000"/>
                <w:sz w:val="20"/>
                <w:lang w:val="cs-CZ"/>
              </w:rPr>
              <w:t>mil.</w:t>
            </w:r>
            <w:r>
              <w:rPr>
                <w:rFonts w:ascii="Arial" w:hAnsi="Arial" w:eastAsia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hAnsi="Arial" w:eastAsia="Arial" w:cs="Arial"/>
                <w:color w:val="000000"/>
                <w:sz w:val="20"/>
                <w:lang w:val="cs-CZ"/>
              </w:rPr>
              <w:t>USD</w:t>
            </w:r>
          </w:p>
        </w:tc>
      </w:tr>
    </w:tbl>
    <w:p>
      <w:pPr>
        <w:spacing w:line="288" w:lineRule="auto"/>
        <w:rPr>
          <w:rFonts w:ascii="Arial" w:hAnsi="Arial" w:eastAsia="Arial" w:cs="Arial"/>
          <w:sz w:val="22"/>
        </w:rPr>
      </w:pPr>
      <w:r>
        <w:rPr>
          <w:rFonts w:ascii="Arial" w:hAnsi="Arial" w:eastAsia="Arial" w:cs="Arial"/>
          <w:sz w:val="22"/>
        </w:rPr>
        <w:t xml:space="preserve"> </w:t>
      </w:r>
    </w:p>
    <w:p>
      <w:pPr>
        <w:pStyle w:val="13"/>
        <w:numPr>
          <w:ilvl w:val="0"/>
          <w:numId w:val="2"/>
        </w:numPr>
        <w:spacing w:line="288" w:lineRule="auto"/>
        <w:rPr>
          <w:rFonts w:ascii="Arial" w:hAnsi="Arial" w:eastAsia="Arial" w:cs="Arial"/>
          <w:bCs/>
          <w:sz w:val="22"/>
          <w:lang w:val="cs-CZ"/>
        </w:rPr>
      </w:pPr>
      <w:r>
        <w:rPr>
          <w:rFonts w:ascii="Arial" w:hAnsi="Arial" w:eastAsia="Arial" w:cs="Arial"/>
          <w:bCs/>
          <w:sz w:val="22"/>
          <w:lang w:val="cs-CZ"/>
        </w:rPr>
        <w:t xml:space="preserve">Tržby vzrostly o 12,4 % díky 10,5% nárůstu tržeb </w:t>
      </w:r>
      <w:r>
        <w:rPr>
          <w:rFonts w:ascii="Arial" w:hAnsi="Arial" w:eastAsia="Arial" w:cs="Arial"/>
          <w:bCs/>
          <w:sz w:val="22"/>
          <w:lang w:val="en-US"/>
        </w:rPr>
        <w:t>na zásilku.</w:t>
      </w:r>
    </w:p>
    <w:p>
      <w:pPr>
        <w:pStyle w:val="13"/>
        <w:numPr>
          <w:ilvl w:val="0"/>
          <w:numId w:val="2"/>
        </w:numPr>
        <w:spacing w:line="288" w:lineRule="auto"/>
        <w:rPr>
          <w:rFonts w:ascii="Arial" w:hAnsi="Arial" w:eastAsia="Arial" w:cs="Arial"/>
          <w:bCs/>
          <w:sz w:val="22"/>
          <w:lang w:val="cs-CZ"/>
        </w:rPr>
      </w:pPr>
      <w:r>
        <w:rPr>
          <w:rFonts w:ascii="Arial" w:hAnsi="Arial" w:eastAsia="Arial" w:cs="Arial"/>
          <w:bCs/>
          <w:sz w:val="22"/>
          <w:lang w:val="cs-CZ"/>
        </w:rPr>
        <w:t xml:space="preserve">Provozní marže </w:t>
      </w:r>
      <w:r>
        <w:rPr>
          <w:rFonts w:ascii="Arial" w:hAnsi="Arial" w:eastAsia="Arial" w:cs="Arial"/>
          <w:bCs/>
          <w:sz w:val="22"/>
          <w:lang w:val="en-US"/>
        </w:rPr>
        <w:t xml:space="preserve">dosáhla </w:t>
      </w:r>
      <w:r>
        <w:rPr>
          <w:rFonts w:ascii="Arial" w:hAnsi="Arial" w:eastAsia="Arial" w:cs="Arial"/>
          <w:bCs/>
          <w:sz w:val="22"/>
          <w:lang w:val="cs-CZ"/>
        </w:rPr>
        <w:t>11,9 %, upravená provozní marže 12,2 %.</w:t>
      </w:r>
    </w:p>
    <w:p>
      <w:pPr>
        <w:spacing w:line="276" w:lineRule="auto"/>
        <w:rPr>
          <w:rFonts w:ascii="Arial" w:hAnsi="Arial" w:eastAsia="Arial" w:cs="Arial"/>
        </w:rPr>
      </w:pPr>
    </w:p>
    <w:p>
      <w:pPr>
        <w:spacing w:line="237" w:lineRule="auto"/>
        <w:rPr>
          <w:b/>
          <w:sz w:val="20"/>
          <w:vertAlign w:val="subscript"/>
        </w:rPr>
      </w:pPr>
    </w:p>
    <w:p>
      <w:pPr>
        <w:spacing w:line="237" w:lineRule="auto"/>
        <w:rPr>
          <w:rFonts w:ascii="Arial" w:hAnsi="Arial" w:eastAsia="Arial" w:cs="Arial"/>
          <w:b/>
          <w:lang w:val="en-US"/>
        </w:rPr>
      </w:pPr>
      <w:r>
        <w:rPr>
          <w:rFonts w:ascii="Arial" w:hAnsi="Arial" w:eastAsia="Arial" w:cs="Arial"/>
          <w:b/>
          <w:lang w:val="en-US"/>
        </w:rPr>
        <w:t>Mezinárodní přeprava</w:t>
      </w:r>
    </w:p>
    <w:tbl>
      <w:tblPr>
        <w:tblStyle w:val="3"/>
        <w:tblW w:w="9030" w:type="dxa"/>
        <w:tblInd w:w="-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9"/>
        <w:gridCol w:w="1545"/>
        <w:gridCol w:w="1545"/>
        <w:gridCol w:w="1545"/>
        <w:gridCol w:w="15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exact"/>
        </w:trPr>
        <w:tc>
          <w:tcPr>
            <w:tcW w:w="2849" w:type="dxa"/>
            <w:tcBorders>
              <w:top w:val="single" w:color="000000" w:sz="8" w:space="0"/>
              <w:left w:val="single" w:color="000000" w:sz="8" w:space="0"/>
            </w:tcBorders>
            <w:vAlign w:val="bottom"/>
          </w:tcPr>
          <w:p>
            <w:pPr>
              <w:widowControl/>
              <w:spacing w:before="53" w:after="30" w:line="276" w:lineRule="auto"/>
              <w:jc w:val="left"/>
              <w:rPr>
                <w:rFonts w:ascii="Arial" w:hAnsi="Arial" w:eastAsia="Arial" w:cs="Arial"/>
                <w:color w:val="000000"/>
                <w:sz w:val="20"/>
                <w:lang w:val="en-US"/>
              </w:rPr>
            </w:pPr>
          </w:p>
        </w:tc>
        <w:tc>
          <w:tcPr>
            <w:tcW w:w="1545" w:type="dxa"/>
            <w:tcBorders>
              <w:top w:val="single" w:color="000000" w:sz="8" w:space="0"/>
            </w:tcBorders>
            <w:tcMar>
              <w:left w:w="53" w:type="dxa"/>
              <w:right w:w="53" w:type="dxa"/>
            </w:tcMar>
          </w:tcPr>
          <w:p>
            <w:pPr>
              <w:keepNext/>
              <w:widowControl/>
              <w:spacing w:before="33" w:after="0" w:line="276" w:lineRule="auto"/>
              <w:jc w:val="right"/>
              <w:rPr>
                <w:b/>
                <w:u w:val="single"/>
              </w:rPr>
            </w:pPr>
          </w:p>
          <w:p>
            <w:pPr>
              <w:widowControl/>
              <w:spacing w:before="0" w:after="30" w:line="276" w:lineRule="auto"/>
              <w:jc w:val="right"/>
              <w:rPr>
                <w:rFonts w:ascii="Arial" w:hAnsi="Arial" w:eastAsia="Arial" w:cs="Arial"/>
                <w:b/>
                <w:sz w:val="20"/>
                <w:u w:val="single"/>
              </w:rPr>
            </w:pPr>
            <w:r>
              <w:rPr>
                <w:rFonts w:ascii="Arial" w:hAnsi="Arial" w:eastAsia="Arial" w:cs="Arial"/>
                <w:b/>
                <w:sz w:val="20"/>
                <w:u w:val="single"/>
              </w:rPr>
              <w:t>4Q 2021</w:t>
            </w:r>
          </w:p>
        </w:tc>
        <w:tc>
          <w:tcPr>
            <w:tcW w:w="1545" w:type="dxa"/>
            <w:tcBorders>
              <w:top w:val="single" w:color="000000" w:sz="8" w:space="0"/>
            </w:tcBorders>
            <w:tcMar>
              <w:left w:w="53" w:type="dxa"/>
              <w:right w:w="53" w:type="dxa"/>
            </w:tcMar>
          </w:tcPr>
          <w:p>
            <w:pPr>
              <w:keepNext/>
              <w:widowControl/>
              <w:spacing w:before="33" w:after="0" w:line="276" w:lineRule="auto"/>
              <w:jc w:val="right"/>
              <w:rPr>
                <w:b/>
                <w:u w:val="single"/>
                <w:lang w:val="en-US"/>
              </w:rPr>
            </w:pPr>
            <w:r>
              <w:rPr>
                <w:rFonts w:ascii="Arial" w:hAnsi="Arial" w:eastAsia="Arial" w:cs="Arial"/>
                <w:b/>
                <w:sz w:val="20"/>
                <w:u w:val="single"/>
                <w:lang w:val="en-US"/>
              </w:rPr>
              <w:t>Upravené</w:t>
            </w:r>
          </w:p>
          <w:p>
            <w:pPr>
              <w:widowControl/>
              <w:spacing w:before="0" w:after="30" w:line="276" w:lineRule="auto"/>
              <w:jc w:val="right"/>
              <w:rPr>
                <w:b/>
                <w:u w:val="single"/>
              </w:rPr>
            </w:pPr>
            <w:r>
              <w:rPr>
                <w:rFonts w:ascii="Arial" w:hAnsi="Arial" w:eastAsia="Arial" w:cs="Arial"/>
                <w:b/>
                <w:sz w:val="20"/>
                <w:u w:val="single"/>
              </w:rPr>
              <w:t>4Q 2021</w:t>
            </w:r>
          </w:p>
        </w:tc>
        <w:tc>
          <w:tcPr>
            <w:tcW w:w="1545" w:type="dxa"/>
            <w:tcBorders>
              <w:top w:val="single" w:color="000000" w:sz="8" w:space="0"/>
            </w:tcBorders>
            <w:tcMar>
              <w:left w:w="53" w:type="dxa"/>
              <w:right w:w="53" w:type="dxa"/>
            </w:tcMar>
          </w:tcPr>
          <w:p>
            <w:pPr>
              <w:keepNext/>
              <w:widowControl/>
              <w:spacing w:before="33" w:after="0" w:line="276" w:lineRule="auto"/>
              <w:jc w:val="right"/>
              <w:rPr>
                <w:b/>
                <w:u w:val="single"/>
              </w:rPr>
            </w:pPr>
          </w:p>
          <w:p>
            <w:pPr>
              <w:widowControl/>
              <w:spacing w:before="0" w:after="30" w:line="276" w:lineRule="auto"/>
              <w:jc w:val="right"/>
              <w:rPr>
                <w:b/>
                <w:u w:val="single"/>
              </w:rPr>
            </w:pPr>
            <w:r>
              <w:rPr>
                <w:rFonts w:ascii="Arial" w:hAnsi="Arial" w:eastAsia="Arial" w:cs="Arial"/>
                <w:b/>
                <w:sz w:val="20"/>
                <w:u w:val="single"/>
              </w:rPr>
              <w:t>4Q 2020</w:t>
            </w:r>
          </w:p>
        </w:tc>
        <w:tc>
          <w:tcPr>
            <w:tcW w:w="1546" w:type="dxa"/>
            <w:tcBorders>
              <w:top w:val="single" w:color="000000" w:sz="8" w:space="0"/>
              <w:right w:val="single" w:color="000000" w:sz="8" w:space="0"/>
            </w:tcBorders>
            <w:tcMar>
              <w:left w:w="53" w:type="dxa"/>
              <w:right w:w="53" w:type="dxa"/>
            </w:tcMar>
          </w:tcPr>
          <w:p>
            <w:pPr>
              <w:keepNext/>
              <w:widowControl/>
              <w:spacing w:before="33" w:after="0" w:line="276" w:lineRule="auto"/>
              <w:jc w:val="right"/>
              <w:rPr>
                <w:b/>
                <w:u w:val="single"/>
                <w:lang w:val="en-US"/>
              </w:rPr>
            </w:pPr>
            <w:r>
              <w:rPr>
                <w:rFonts w:ascii="Arial" w:hAnsi="Arial" w:eastAsia="Arial" w:cs="Arial"/>
                <w:b/>
                <w:sz w:val="20"/>
                <w:u w:val="single"/>
                <w:lang w:val="en-US"/>
              </w:rPr>
              <w:t>Upravené</w:t>
            </w:r>
          </w:p>
          <w:p>
            <w:pPr>
              <w:widowControl/>
              <w:spacing w:before="0" w:after="30" w:line="276" w:lineRule="auto"/>
              <w:jc w:val="right"/>
              <w:rPr>
                <w:b/>
                <w:u w:val="single"/>
              </w:rPr>
            </w:pPr>
            <w:r>
              <w:rPr>
                <w:rFonts w:ascii="Arial" w:hAnsi="Arial" w:eastAsia="Arial" w:cs="Arial"/>
                <w:b/>
                <w:sz w:val="20"/>
                <w:u w:val="single"/>
              </w:rPr>
              <w:t>4Q 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</w:trPr>
        <w:tc>
          <w:tcPr>
            <w:tcW w:w="2849" w:type="dxa"/>
            <w:tcBorders>
              <w:left w:val="single" w:color="000000" w:sz="8" w:space="0"/>
            </w:tcBorders>
            <w:tcMar>
              <w:left w:w="53" w:type="dxa"/>
              <w:right w:w="53" w:type="dxa"/>
            </w:tcMar>
          </w:tcPr>
          <w:p>
            <w:pPr>
              <w:widowControl/>
              <w:spacing w:before="53" w:after="30" w:line="276" w:lineRule="auto"/>
              <w:jc w:val="left"/>
              <w:rPr>
                <w:rFonts w:ascii="Arial" w:hAnsi="Arial" w:eastAsia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eastAsia="Arial" w:cs="Arial"/>
                <w:color w:val="000000"/>
                <w:sz w:val="20"/>
                <w:lang w:val="en-US"/>
              </w:rPr>
              <w:t>Příjmy</w:t>
            </w:r>
          </w:p>
        </w:tc>
        <w:tc>
          <w:tcPr>
            <w:tcW w:w="1545" w:type="dxa"/>
            <w:tcMar>
              <w:right w:w="53" w:type="dxa"/>
            </w:tcMar>
          </w:tcPr>
          <w:p>
            <w:pPr>
              <w:keepNext/>
              <w:widowControl/>
              <w:spacing w:before="53" w:after="30" w:line="276" w:lineRule="auto"/>
              <w:jc w:val="right"/>
              <w:rPr>
                <w:lang w:val="en-US"/>
              </w:rPr>
            </w:pPr>
            <w:r>
              <w:rPr>
                <w:rFonts w:ascii="Arial" w:hAnsi="Arial" w:eastAsia="Arial" w:cs="Arial"/>
                <w:color w:val="000000"/>
                <w:sz w:val="20"/>
              </w:rPr>
              <w:t>5</w:t>
            </w:r>
            <w:r>
              <w:rPr>
                <w:rFonts w:ascii="Arial" w:hAnsi="Arial" w:eastAsia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hAnsi="Arial" w:eastAsia="Arial" w:cs="Arial"/>
                <w:color w:val="000000"/>
                <w:sz w:val="20"/>
              </w:rPr>
              <w:t xml:space="preserve">397 </w:t>
            </w:r>
            <w:r>
              <w:rPr>
                <w:rFonts w:ascii="Arial" w:hAnsi="Arial" w:eastAsia="Arial" w:cs="Arial"/>
                <w:color w:val="000000"/>
                <w:sz w:val="20"/>
                <w:lang w:val="en-US"/>
              </w:rPr>
              <w:t>mil. USD</w:t>
            </w:r>
          </w:p>
        </w:tc>
        <w:tc>
          <w:tcPr>
            <w:tcW w:w="1545" w:type="dxa"/>
            <w:vAlign w:val="bottom"/>
          </w:tcPr>
          <w:p>
            <w:pPr>
              <w:keepNext/>
              <w:widowControl/>
              <w:spacing w:before="0" w:after="0"/>
              <w:jc w:val="left"/>
            </w:pPr>
          </w:p>
        </w:tc>
        <w:tc>
          <w:tcPr>
            <w:tcW w:w="1545" w:type="dxa"/>
            <w:tcMar>
              <w:right w:w="53" w:type="dxa"/>
            </w:tcMar>
          </w:tcPr>
          <w:p>
            <w:pPr>
              <w:keepNext/>
              <w:widowControl/>
              <w:spacing w:before="53" w:after="30" w:line="276" w:lineRule="auto"/>
              <w:jc w:val="right"/>
              <w:rPr>
                <w:lang w:val="en-US"/>
              </w:rPr>
            </w:pPr>
            <w:r>
              <w:rPr>
                <w:rFonts w:ascii="Arial" w:hAnsi="Arial" w:eastAsia="Arial" w:cs="Arial"/>
                <w:color w:val="000000"/>
                <w:sz w:val="20"/>
              </w:rPr>
              <w:t>4</w:t>
            </w:r>
            <w:r>
              <w:rPr>
                <w:rFonts w:ascii="Arial" w:hAnsi="Arial" w:eastAsia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hAnsi="Arial" w:eastAsia="Arial" w:cs="Arial"/>
                <w:color w:val="000000"/>
                <w:sz w:val="20"/>
              </w:rPr>
              <w:t xml:space="preserve">770 </w:t>
            </w:r>
            <w:r>
              <w:rPr>
                <w:rFonts w:ascii="Arial" w:hAnsi="Arial" w:eastAsia="Arial" w:cs="Arial"/>
                <w:color w:val="000000"/>
                <w:sz w:val="20"/>
                <w:lang w:val="en-US"/>
              </w:rPr>
              <w:t>mil. USD</w:t>
            </w:r>
          </w:p>
        </w:tc>
        <w:tc>
          <w:tcPr>
            <w:tcW w:w="1546" w:type="dxa"/>
            <w:tcBorders>
              <w:right w:val="single" w:color="000000" w:sz="8" w:space="0"/>
            </w:tcBorders>
            <w:vAlign w:val="bottom"/>
          </w:tcPr>
          <w:p>
            <w:pPr>
              <w:keepNext/>
              <w:widowControl/>
              <w:spacing w:before="0" w:after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</w:trPr>
        <w:tc>
          <w:tcPr>
            <w:tcW w:w="2849" w:type="dxa"/>
            <w:tcBorders>
              <w:left w:val="single" w:color="000000" w:sz="8" w:space="0"/>
              <w:bottom w:val="single" w:color="000000" w:sz="8" w:space="0"/>
            </w:tcBorders>
            <w:tcMar>
              <w:left w:w="53" w:type="dxa"/>
              <w:right w:w="53" w:type="dxa"/>
            </w:tcMar>
          </w:tcPr>
          <w:p>
            <w:pPr>
              <w:widowControl/>
              <w:spacing w:before="53" w:after="30" w:line="276" w:lineRule="auto"/>
              <w:jc w:val="left"/>
              <w:rPr>
                <w:rFonts w:ascii="Arial" w:hAnsi="Arial" w:eastAsia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eastAsia="Arial" w:cs="Arial"/>
                <w:color w:val="000000"/>
                <w:sz w:val="20"/>
                <w:lang w:val="en-US"/>
              </w:rPr>
              <w:t>Provozní zisk</w:t>
            </w:r>
          </w:p>
        </w:tc>
        <w:tc>
          <w:tcPr>
            <w:tcW w:w="1545" w:type="dxa"/>
            <w:tcBorders>
              <w:bottom w:val="single" w:color="000000" w:sz="8" w:space="0"/>
            </w:tcBorders>
            <w:tcMar>
              <w:right w:w="53" w:type="dxa"/>
            </w:tcMar>
          </w:tcPr>
          <w:p>
            <w:pPr>
              <w:widowControl/>
              <w:spacing w:before="53" w:after="30" w:line="276" w:lineRule="auto"/>
              <w:jc w:val="right"/>
              <w:rPr>
                <w:lang w:val="en-US"/>
              </w:rPr>
            </w:pPr>
            <w:r>
              <w:rPr>
                <w:rFonts w:ascii="Arial" w:hAnsi="Arial" w:eastAsia="Arial" w:cs="Arial"/>
                <w:color w:val="000000"/>
                <w:sz w:val="20"/>
              </w:rPr>
              <w:t>1</w:t>
            </w:r>
            <w:r>
              <w:rPr>
                <w:rFonts w:ascii="Arial" w:hAnsi="Arial" w:eastAsia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hAnsi="Arial" w:eastAsia="Arial" w:cs="Arial"/>
                <w:color w:val="000000"/>
                <w:sz w:val="20"/>
              </w:rPr>
              <w:t xml:space="preserve">326 </w:t>
            </w:r>
            <w:r>
              <w:rPr>
                <w:rFonts w:ascii="Arial" w:hAnsi="Arial" w:eastAsia="Arial" w:cs="Arial"/>
                <w:color w:val="000000"/>
                <w:sz w:val="20"/>
                <w:lang w:val="en-US"/>
              </w:rPr>
              <w:t>mil. USD</w:t>
            </w:r>
          </w:p>
        </w:tc>
        <w:tc>
          <w:tcPr>
            <w:tcW w:w="1545" w:type="dxa"/>
            <w:tcBorders>
              <w:bottom w:val="single" w:color="000000" w:sz="8" w:space="0"/>
            </w:tcBorders>
            <w:tcMar>
              <w:right w:w="53" w:type="dxa"/>
            </w:tcMar>
          </w:tcPr>
          <w:p>
            <w:pPr>
              <w:widowControl/>
              <w:spacing w:before="53" w:after="30" w:line="276" w:lineRule="auto"/>
              <w:jc w:val="right"/>
              <w:rPr>
                <w:lang w:val="en-US"/>
              </w:rPr>
            </w:pPr>
            <w:r>
              <w:rPr>
                <w:rFonts w:ascii="Arial" w:hAnsi="Arial" w:eastAsia="Arial" w:cs="Arial"/>
                <w:color w:val="000000"/>
                <w:sz w:val="20"/>
              </w:rPr>
              <w:t>1</w:t>
            </w:r>
            <w:r>
              <w:rPr>
                <w:rFonts w:ascii="Arial" w:hAnsi="Arial" w:eastAsia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hAnsi="Arial" w:eastAsia="Arial" w:cs="Arial"/>
                <w:color w:val="000000"/>
                <w:sz w:val="20"/>
              </w:rPr>
              <w:t xml:space="preserve">331 </w:t>
            </w:r>
            <w:r>
              <w:rPr>
                <w:rFonts w:ascii="Arial" w:hAnsi="Arial" w:eastAsia="Arial" w:cs="Arial"/>
                <w:color w:val="000000"/>
                <w:sz w:val="20"/>
                <w:lang w:val="en-US"/>
              </w:rPr>
              <w:t>mil. USD</w:t>
            </w:r>
          </w:p>
        </w:tc>
        <w:tc>
          <w:tcPr>
            <w:tcW w:w="1545" w:type="dxa"/>
            <w:tcBorders>
              <w:bottom w:val="single" w:color="000000" w:sz="8" w:space="0"/>
            </w:tcBorders>
            <w:tcMar>
              <w:right w:w="53" w:type="dxa"/>
            </w:tcMar>
          </w:tcPr>
          <w:p>
            <w:pPr>
              <w:widowControl/>
              <w:spacing w:before="53" w:after="30" w:line="276" w:lineRule="auto"/>
              <w:jc w:val="right"/>
              <w:rPr>
                <w:lang w:val="en-US"/>
              </w:rPr>
            </w:pPr>
            <w:r>
              <w:rPr>
                <w:rFonts w:ascii="Arial" w:hAnsi="Arial" w:eastAsia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hAnsi="Arial" w:eastAsia="Arial" w:cs="Arial"/>
                <w:color w:val="000000"/>
                <w:sz w:val="20"/>
              </w:rPr>
              <w:t>1</w:t>
            </w:r>
            <w:r>
              <w:rPr>
                <w:rFonts w:ascii="Arial" w:hAnsi="Arial" w:eastAsia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hAnsi="Arial" w:eastAsia="Arial" w:cs="Arial"/>
                <w:color w:val="000000"/>
                <w:sz w:val="20"/>
              </w:rPr>
              <w:t xml:space="preserve">148 </w:t>
            </w:r>
            <w:r>
              <w:rPr>
                <w:rFonts w:ascii="Arial" w:hAnsi="Arial" w:eastAsia="Arial" w:cs="Arial"/>
                <w:color w:val="000000"/>
                <w:sz w:val="20"/>
                <w:lang w:val="en-US"/>
              </w:rPr>
              <w:t>mil. USD</w:t>
            </w:r>
          </w:p>
        </w:tc>
        <w:tc>
          <w:tcPr>
            <w:tcW w:w="1546" w:type="dxa"/>
            <w:tcBorders>
              <w:bottom w:val="single" w:color="000000" w:sz="8" w:space="0"/>
              <w:right w:val="single" w:color="000000" w:sz="8" w:space="0"/>
            </w:tcBorders>
            <w:tcMar>
              <w:right w:w="53" w:type="dxa"/>
            </w:tcMar>
          </w:tcPr>
          <w:p>
            <w:pPr>
              <w:widowControl/>
              <w:spacing w:before="53" w:after="30" w:line="276" w:lineRule="auto"/>
              <w:jc w:val="right"/>
              <w:rPr>
                <w:lang w:val="en-US"/>
              </w:rPr>
            </w:pPr>
            <w:r>
              <w:rPr>
                <w:rFonts w:ascii="Arial" w:hAnsi="Arial" w:eastAsia="Arial" w:cs="Arial"/>
                <w:color w:val="000000"/>
                <w:sz w:val="20"/>
              </w:rPr>
              <w:t>1</w:t>
            </w:r>
            <w:r>
              <w:rPr>
                <w:rFonts w:ascii="Arial" w:hAnsi="Arial" w:eastAsia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hAnsi="Arial" w:eastAsia="Arial" w:cs="Arial"/>
                <w:color w:val="000000"/>
                <w:sz w:val="20"/>
              </w:rPr>
              <w:t xml:space="preserve">160 </w:t>
            </w:r>
            <w:r>
              <w:rPr>
                <w:rFonts w:ascii="Arial" w:hAnsi="Arial" w:eastAsia="Arial" w:cs="Arial"/>
                <w:color w:val="000000"/>
                <w:sz w:val="20"/>
                <w:lang w:val="en-US"/>
              </w:rPr>
              <w:t>mil. USD</w:t>
            </w:r>
          </w:p>
        </w:tc>
      </w:tr>
    </w:tbl>
    <w:p>
      <w:pPr>
        <w:spacing w:line="276" w:lineRule="auto"/>
        <w:rPr>
          <w:rFonts w:ascii="Arial" w:hAnsi="Arial" w:eastAsia="Arial" w:cs="Arial"/>
          <w:sz w:val="22"/>
        </w:rPr>
      </w:pPr>
    </w:p>
    <w:p>
      <w:pPr>
        <w:pStyle w:val="13"/>
        <w:numPr>
          <w:ilvl w:val="0"/>
          <w:numId w:val="2"/>
        </w:numPr>
        <w:spacing w:line="288" w:lineRule="auto"/>
        <w:rPr>
          <w:rFonts w:ascii="Arial" w:hAnsi="Arial" w:eastAsia="Arial"/>
          <w:bCs/>
          <w:sz w:val="22"/>
          <w:lang w:val="cs-CZ"/>
        </w:rPr>
      </w:pPr>
      <w:r>
        <w:rPr>
          <w:rFonts w:ascii="Arial" w:hAnsi="Arial" w:eastAsia="Arial"/>
          <w:bCs/>
          <w:sz w:val="22"/>
          <w:lang w:val="cs-CZ"/>
        </w:rPr>
        <w:t xml:space="preserve">Tržby vzrostly o 13,1 % díky 16,4% nárůstu tržeb </w:t>
      </w:r>
      <w:r>
        <w:rPr>
          <w:rFonts w:ascii="Arial" w:hAnsi="Arial" w:eastAsia="Arial"/>
          <w:bCs/>
          <w:sz w:val="22"/>
          <w:lang w:val="en-US"/>
        </w:rPr>
        <w:t>na zásilku</w:t>
      </w:r>
      <w:r>
        <w:rPr>
          <w:rFonts w:ascii="Arial" w:hAnsi="Arial" w:eastAsia="Arial"/>
          <w:bCs/>
          <w:sz w:val="22"/>
          <w:lang w:val="cs-CZ"/>
        </w:rPr>
        <w:t>.</w:t>
      </w:r>
    </w:p>
    <w:p>
      <w:pPr>
        <w:pStyle w:val="13"/>
        <w:numPr>
          <w:ilvl w:val="0"/>
          <w:numId w:val="2"/>
        </w:numPr>
        <w:spacing w:line="288" w:lineRule="auto"/>
        <w:rPr>
          <w:rFonts w:ascii="Arial" w:hAnsi="Arial" w:eastAsia="Arial" w:cs="Arial"/>
          <w:bCs/>
          <w:sz w:val="22"/>
          <w:lang w:val="cs-CZ"/>
        </w:rPr>
      </w:pPr>
      <w:r>
        <w:rPr>
          <w:rFonts w:ascii="Arial" w:hAnsi="Arial" w:eastAsia="Arial"/>
          <w:bCs/>
          <w:sz w:val="22"/>
          <w:lang w:val="cs-CZ"/>
        </w:rPr>
        <w:t xml:space="preserve">Provozní marže dosáhla 24,6 %; upravená provozní marže </w:t>
      </w:r>
      <w:r>
        <w:rPr>
          <w:rFonts w:ascii="Arial" w:hAnsi="Arial" w:eastAsia="Arial"/>
          <w:bCs/>
          <w:sz w:val="22"/>
          <w:lang w:val="en-US"/>
        </w:rPr>
        <w:t xml:space="preserve">byla </w:t>
      </w:r>
      <w:r>
        <w:rPr>
          <w:rFonts w:ascii="Arial" w:hAnsi="Arial" w:eastAsia="Arial"/>
          <w:bCs/>
          <w:sz w:val="22"/>
          <w:lang w:val="cs-CZ"/>
        </w:rPr>
        <w:t>24,7 %.</w:t>
      </w:r>
    </w:p>
    <w:p>
      <w:pPr>
        <w:spacing w:line="276" w:lineRule="auto"/>
        <w:rPr>
          <w:rFonts w:ascii="Arial" w:hAnsi="Arial" w:eastAsia="Arial" w:cs="Arial"/>
          <w:sz w:val="22"/>
        </w:rPr>
      </w:pPr>
      <w:bookmarkStart w:id="0" w:name="_GoBack"/>
      <w:bookmarkEnd w:id="0"/>
    </w:p>
    <w:p>
      <w:pPr>
        <w:spacing w:line="237" w:lineRule="auto"/>
        <w:rPr>
          <w:b/>
          <w:sz w:val="20"/>
          <w:vertAlign w:val="subscript"/>
        </w:rPr>
      </w:pPr>
    </w:p>
    <w:p>
      <w:pPr>
        <w:spacing w:line="237" w:lineRule="auto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  <w:lang w:val="en-US"/>
        </w:rPr>
        <w:t>Dodavatelské řetězce a nákladní přeprava</w:t>
      </w:r>
      <w:r>
        <w:rPr>
          <w:rFonts w:ascii="Arial" w:hAnsi="Arial" w:eastAsia="Arial" w:cs="Arial"/>
          <w:b/>
          <w:sz w:val="18"/>
          <w:vertAlign w:val="superscript"/>
        </w:rPr>
        <w:t xml:space="preserve">1 </w:t>
      </w:r>
    </w:p>
    <w:tbl>
      <w:tblPr>
        <w:tblStyle w:val="3"/>
        <w:tblW w:w="9030" w:type="dxa"/>
        <w:tblInd w:w="-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9"/>
        <w:gridCol w:w="1545"/>
        <w:gridCol w:w="1545"/>
        <w:gridCol w:w="1545"/>
        <w:gridCol w:w="15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exact"/>
        </w:trPr>
        <w:tc>
          <w:tcPr>
            <w:tcW w:w="2849" w:type="dxa"/>
            <w:tcBorders>
              <w:top w:val="single" w:color="000000" w:sz="8" w:space="0"/>
              <w:left w:val="single" w:color="000000" w:sz="8" w:space="0"/>
            </w:tcBorders>
            <w:vAlign w:val="bottom"/>
          </w:tcPr>
          <w:p>
            <w:pPr>
              <w:keepNext/>
              <w:widowControl/>
              <w:spacing w:before="0" w:after="0"/>
              <w:jc w:val="left"/>
            </w:pPr>
          </w:p>
        </w:tc>
        <w:tc>
          <w:tcPr>
            <w:tcW w:w="1545" w:type="dxa"/>
            <w:tcBorders>
              <w:top w:val="single" w:color="000000" w:sz="8" w:space="0"/>
            </w:tcBorders>
            <w:tcMar>
              <w:left w:w="53" w:type="dxa"/>
              <w:right w:w="53" w:type="dxa"/>
            </w:tcMar>
          </w:tcPr>
          <w:p>
            <w:pPr>
              <w:keepNext/>
              <w:widowControl/>
              <w:spacing w:before="33" w:after="0" w:line="276" w:lineRule="auto"/>
              <w:jc w:val="right"/>
              <w:rPr>
                <w:b/>
                <w:u w:val="single"/>
              </w:rPr>
            </w:pPr>
          </w:p>
          <w:p>
            <w:pPr>
              <w:widowControl/>
              <w:spacing w:before="0" w:after="30" w:line="276" w:lineRule="auto"/>
              <w:jc w:val="right"/>
              <w:rPr>
                <w:b/>
                <w:u w:val="single"/>
              </w:rPr>
            </w:pPr>
            <w:r>
              <w:rPr>
                <w:rFonts w:ascii="Arial" w:hAnsi="Arial" w:eastAsia="Arial" w:cs="Arial"/>
                <w:b/>
                <w:sz w:val="20"/>
                <w:u w:val="single"/>
              </w:rPr>
              <w:t>4Q 2021</w:t>
            </w:r>
          </w:p>
        </w:tc>
        <w:tc>
          <w:tcPr>
            <w:tcW w:w="1545" w:type="dxa"/>
            <w:tcBorders>
              <w:top w:val="single" w:color="000000" w:sz="8" w:space="0"/>
            </w:tcBorders>
            <w:tcMar>
              <w:left w:w="53" w:type="dxa"/>
              <w:right w:w="53" w:type="dxa"/>
            </w:tcMar>
          </w:tcPr>
          <w:p>
            <w:pPr>
              <w:keepNext/>
              <w:widowControl/>
              <w:spacing w:before="33" w:after="0" w:line="276" w:lineRule="auto"/>
              <w:jc w:val="right"/>
              <w:rPr>
                <w:b/>
                <w:u w:val="single"/>
                <w:lang w:val="en-US"/>
              </w:rPr>
            </w:pPr>
            <w:r>
              <w:rPr>
                <w:rFonts w:ascii="Arial" w:hAnsi="Arial" w:eastAsia="Arial" w:cs="Arial"/>
                <w:b/>
                <w:sz w:val="20"/>
                <w:u w:val="single"/>
                <w:lang w:val="en-US"/>
              </w:rPr>
              <w:t>Upravené</w:t>
            </w:r>
          </w:p>
          <w:p>
            <w:pPr>
              <w:widowControl/>
              <w:spacing w:before="0" w:after="30" w:line="276" w:lineRule="auto"/>
              <w:jc w:val="right"/>
              <w:rPr>
                <w:b/>
                <w:u w:val="single"/>
              </w:rPr>
            </w:pPr>
            <w:r>
              <w:rPr>
                <w:rFonts w:ascii="Arial" w:hAnsi="Arial" w:eastAsia="Arial" w:cs="Arial"/>
                <w:b/>
                <w:sz w:val="20"/>
                <w:u w:val="single"/>
              </w:rPr>
              <w:t>4Q 2021</w:t>
            </w:r>
          </w:p>
        </w:tc>
        <w:tc>
          <w:tcPr>
            <w:tcW w:w="1545" w:type="dxa"/>
            <w:tcBorders>
              <w:top w:val="single" w:color="000000" w:sz="8" w:space="0"/>
            </w:tcBorders>
            <w:tcMar>
              <w:left w:w="53" w:type="dxa"/>
              <w:right w:w="53" w:type="dxa"/>
            </w:tcMar>
          </w:tcPr>
          <w:p>
            <w:pPr>
              <w:keepNext/>
              <w:widowControl/>
              <w:spacing w:before="33" w:after="0" w:line="276" w:lineRule="auto"/>
              <w:jc w:val="right"/>
              <w:rPr>
                <w:b/>
                <w:u w:val="single"/>
              </w:rPr>
            </w:pPr>
          </w:p>
          <w:p>
            <w:pPr>
              <w:widowControl/>
              <w:spacing w:before="0" w:after="30" w:line="276" w:lineRule="auto"/>
              <w:jc w:val="right"/>
              <w:rPr>
                <w:b/>
                <w:u w:val="single"/>
              </w:rPr>
            </w:pPr>
            <w:r>
              <w:rPr>
                <w:rFonts w:ascii="Arial" w:hAnsi="Arial" w:eastAsia="Arial" w:cs="Arial"/>
                <w:b/>
                <w:sz w:val="20"/>
                <w:u w:val="single"/>
              </w:rPr>
              <w:t>4Q 2020</w:t>
            </w:r>
          </w:p>
        </w:tc>
        <w:tc>
          <w:tcPr>
            <w:tcW w:w="1546" w:type="dxa"/>
            <w:tcBorders>
              <w:top w:val="single" w:color="000000" w:sz="8" w:space="0"/>
              <w:right w:val="single" w:color="000000" w:sz="8" w:space="0"/>
            </w:tcBorders>
            <w:tcMar>
              <w:left w:w="53" w:type="dxa"/>
              <w:right w:w="53" w:type="dxa"/>
            </w:tcMar>
          </w:tcPr>
          <w:p>
            <w:pPr>
              <w:keepNext/>
              <w:widowControl/>
              <w:spacing w:before="33" w:after="0" w:line="276" w:lineRule="auto"/>
              <w:jc w:val="right"/>
              <w:rPr>
                <w:b/>
                <w:u w:val="single"/>
                <w:lang w:val="en-US"/>
              </w:rPr>
            </w:pPr>
            <w:r>
              <w:rPr>
                <w:rFonts w:ascii="Arial" w:hAnsi="Arial" w:eastAsia="Arial" w:cs="Arial"/>
                <w:b/>
                <w:sz w:val="20"/>
                <w:u w:val="single"/>
                <w:lang w:val="en-US"/>
              </w:rPr>
              <w:t>Upravené</w:t>
            </w:r>
          </w:p>
          <w:p>
            <w:pPr>
              <w:widowControl/>
              <w:spacing w:before="0" w:after="30" w:line="276" w:lineRule="auto"/>
              <w:jc w:val="right"/>
              <w:rPr>
                <w:b/>
                <w:u w:val="single"/>
              </w:rPr>
            </w:pPr>
            <w:r>
              <w:rPr>
                <w:rFonts w:ascii="Arial" w:hAnsi="Arial" w:eastAsia="Arial" w:cs="Arial"/>
                <w:b/>
                <w:sz w:val="20"/>
                <w:u w:val="single"/>
              </w:rPr>
              <w:t>4Q 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</w:trPr>
        <w:tc>
          <w:tcPr>
            <w:tcW w:w="2849" w:type="dxa"/>
            <w:tcBorders>
              <w:left w:val="single" w:color="000000" w:sz="8" w:space="0"/>
            </w:tcBorders>
            <w:tcMar>
              <w:left w:w="53" w:type="dxa"/>
              <w:right w:w="53" w:type="dxa"/>
            </w:tcMar>
          </w:tcPr>
          <w:p>
            <w:pPr>
              <w:keepNext/>
              <w:widowControl/>
              <w:spacing w:before="53" w:after="30" w:line="276" w:lineRule="auto"/>
              <w:jc w:val="left"/>
              <w:rPr>
                <w:lang w:val="en-US"/>
              </w:rPr>
            </w:pPr>
            <w:r>
              <w:rPr>
                <w:rFonts w:ascii="Arial" w:hAnsi="Arial" w:eastAsia="Arial" w:cs="Arial"/>
                <w:sz w:val="20"/>
                <w:lang w:val="en-US"/>
              </w:rPr>
              <w:t>Příjmy</w:t>
            </w:r>
          </w:p>
        </w:tc>
        <w:tc>
          <w:tcPr>
            <w:tcW w:w="1545" w:type="dxa"/>
            <w:tcMar>
              <w:right w:w="53" w:type="dxa"/>
            </w:tcMar>
          </w:tcPr>
          <w:p>
            <w:pPr>
              <w:keepNext/>
              <w:widowControl/>
              <w:spacing w:before="53" w:after="30" w:line="276" w:lineRule="auto"/>
              <w:jc w:val="right"/>
              <w:rPr>
                <w:lang w:val="en-US"/>
              </w:rPr>
            </w:pPr>
            <w:r>
              <w:rPr>
                <w:rFonts w:ascii="Arial" w:hAnsi="Arial" w:eastAsia="Arial" w:cs="Arial"/>
                <w:color w:val="000000"/>
                <w:sz w:val="20"/>
              </w:rPr>
              <w:t>4</w:t>
            </w:r>
            <w:r>
              <w:rPr>
                <w:rFonts w:ascii="Arial" w:hAnsi="Arial" w:eastAsia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hAnsi="Arial" w:eastAsia="Arial" w:cs="Arial"/>
                <w:color w:val="000000"/>
                <w:sz w:val="20"/>
              </w:rPr>
              <w:t xml:space="preserve">677 </w:t>
            </w:r>
            <w:r>
              <w:rPr>
                <w:rFonts w:ascii="Arial" w:hAnsi="Arial" w:eastAsia="Arial" w:cs="Arial"/>
                <w:color w:val="000000"/>
                <w:sz w:val="20"/>
                <w:lang w:val="en-US"/>
              </w:rPr>
              <w:t>mil. USD</w:t>
            </w:r>
          </w:p>
        </w:tc>
        <w:tc>
          <w:tcPr>
            <w:tcW w:w="1545" w:type="dxa"/>
            <w:vAlign w:val="bottom"/>
          </w:tcPr>
          <w:p>
            <w:pPr>
              <w:keepNext/>
              <w:widowControl/>
              <w:spacing w:before="0" w:after="0"/>
              <w:jc w:val="left"/>
            </w:pPr>
          </w:p>
        </w:tc>
        <w:tc>
          <w:tcPr>
            <w:tcW w:w="1545" w:type="dxa"/>
            <w:tcMar>
              <w:right w:w="53" w:type="dxa"/>
            </w:tcMar>
          </w:tcPr>
          <w:p>
            <w:pPr>
              <w:keepNext/>
              <w:widowControl/>
              <w:spacing w:before="53" w:after="30" w:line="276" w:lineRule="auto"/>
              <w:jc w:val="right"/>
              <w:rPr>
                <w:rFonts w:ascii="Arial" w:hAnsi="Arial" w:eastAsia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eastAsia="Arial" w:cs="Arial"/>
                <w:color w:val="000000"/>
                <w:sz w:val="20"/>
              </w:rPr>
              <w:t>4</w:t>
            </w:r>
            <w:r>
              <w:rPr>
                <w:rFonts w:ascii="Arial" w:hAnsi="Arial" w:eastAsia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hAnsi="Arial" w:eastAsia="Arial" w:cs="Arial"/>
                <w:color w:val="000000"/>
                <w:sz w:val="20"/>
              </w:rPr>
              <w:t xml:space="preserve">382 </w:t>
            </w:r>
            <w:r>
              <w:rPr>
                <w:rFonts w:ascii="Arial" w:hAnsi="Arial" w:eastAsia="Arial" w:cs="Arial"/>
                <w:color w:val="000000"/>
                <w:sz w:val="20"/>
                <w:lang w:val="en-US"/>
              </w:rPr>
              <w:t>mil. USD</w:t>
            </w:r>
          </w:p>
        </w:tc>
        <w:tc>
          <w:tcPr>
            <w:tcW w:w="1546" w:type="dxa"/>
            <w:tcBorders>
              <w:right w:val="single" w:color="000000" w:sz="8" w:space="0"/>
            </w:tcBorders>
            <w:vAlign w:val="bottom"/>
          </w:tcPr>
          <w:p>
            <w:pPr>
              <w:keepNext/>
              <w:widowControl/>
              <w:spacing w:before="53" w:after="30" w:line="276" w:lineRule="auto"/>
              <w:jc w:val="right"/>
              <w:rPr>
                <w:rFonts w:ascii="Arial" w:hAnsi="Arial" w:eastAsia="Arial" w:cs="Arial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exact"/>
        </w:trPr>
        <w:tc>
          <w:tcPr>
            <w:tcW w:w="2849" w:type="dxa"/>
            <w:tcBorders>
              <w:left w:val="single" w:color="000000" w:sz="8" w:space="0"/>
              <w:bottom w:val="single" w:color="000000" w:sz="8" w:space="0"/>
            </w:tcBorders>
            <w:tcMar>
              <w:left w:w="53" w:type="dxa"/>
              <w:right w:w="53" w:type="dxa"/>
            </w:tcMar>
          </w:tcPr>
          <w:p>
            <w:pPr>
              <w:widowControl/>
              <w:spacing w:before="53" w:after="30" w:line="276" w:lineRule="auto"/>
              <w:jc w:val="left"/>
            </w:pPr>
            <w:r>
              <w:rPr>
                <w:rFonts w:ascii="Arial" w:hAnsi="Arial" w:eastAsia="Arial" w:cs="Arial"/>
                <w:sz w:val="20"/>
                <w:lang w:val="en-US"/>
              </w:rPr>
              <w:t xml:space="preserve">Provozní zisk </w:t>
            </w:r>
            <w:r>
              <w:rPr>
                <w:rFonts w:ascii="Arial" w:hAnsi="Arial" w:eastAsia="Arial" w:cs="Arial"/>
                <w:sz w:val="20"/>
              </w:rPr>
              <w:t>(</w:t>
            </w:r>
            <w:r>
              <w:rPr>
                <w:rFonts w:ascii="Arial" w:hAnsi="Arial" w:eastAsia="Arial" w:cs="Arial"/>
                <w:sz w:val="20"/>
                <w:lang w:val="en-US"/>
              </w:rPr>
              <w:t>ztráta</w:t>
            </w:r>
            <w:r>
              <w:rPr>
                <w:rFonts w:ascii="Arial" w:hAnsi="Arial" w:eastAsia="Arial" w:cs="Arial"/>
                <w:sz w:val="20"/>
              </w:rPr>
              <w:t>)</w:t>
            </w:r>
          </w:p>
        </w:tc>
        <w:tc>
          <w:tcPr>
            <w:tcW w:w="1545" w:type="dxa"/>
            <w:tcBorders>
              <w:bottom w:val="single" w:color="000000" w:sz="8" w:space="0"/>
            </w:tcBorders>
            <w:tcMar>
              <w:right w:w="53" w:type="dxa"/>
            </w:tcMar>
          </w:tcPr>
          <w:p>
            <w:pPr>
              <w:widowControl/>
              <w:spacing w:before="53" w:after="30" w:line="276" w:lineRule="auto"/>
              <w:jc w:val="right"/>
              <w:rPr>
                <w:lang w:val="en-US"/>
              </w:rPr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462 </w:t>
            </w:r>
            <w:r>
              <w:rPr>
                <w:rFonts w:ascii="Arial" w:hAnsi="Arial" w:eastAsia="Arial" w:cs="Arial"/>
                <w:color w:val="000000"/>
                <w:sz w:val="20"/>
                <w:lang w:val="en-US"/>
              </w:rPr>
              <w:t>mil. USD</w:t>
            </w:r>
          </w:p>
        </w:tc>
        <w:tc>
          <w:tcPr>
            <w:tcW w:w="1545" w:type="dxa"/>
            <w:tcBorders>
              <w:bottom w:val="single" w:color="000000" w:sz="8" w:space="0"/>
            </w:tcBorders>
            <w:tcMar>
              <w:right w:w="53" w:type="dxa"/>
            </w:tcMar>
          </w:tcPr>
          <w:p>
            <w:pPr>
              <w:widowControl/>
              <w:spacing w:before="53" w:after="30" w:line="276" w:lineRule="auto"/>
              <w:jc w:val="right"/>
              <w:rPr>
                <w:lang w:val="en-US"/>
              </w:rPr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456 </w:t>
            </w:r>
            <w:r>
              <w:rPr>
                <w:rFonts w:ascii="Arial" w:hAnsi="Arial" w:eastAsia="Arial" w:cs="Arial"/>
                <w:color w:val="000000"/>
                <w:sz w:val="20"/>
                <w:lang w:val="en-US"/>
              </w:rPr>
              <w:t>mil. USD</w:t>
            </w:r>
          </w:p>
        </w:tc>
        <w:tc>
          <w:tcPr>
            <w:tcW w:w="1545" w:type="dxa"/>
            <w:tcBorders>
              <w:bottom w:val="single" w:color="000000" w:sz="8" w:space="0"/>
            </w:tcBorders>
            <w:tcMar>
              <w:right w:w="53" w:type="dxa"/>
            </w:tcMar>
          </w:tcPr>
          <w:p>
            <w:pPr>
              <w:widowControl/>
              <w:spacing w:before="53" w:after="30" w:line="276" w:lineRule="auto"/>
              <w:jc w:val="right"/>
              <w:rPr>
                <w:lang w:val="en-US"/>
              </w:rPr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(358) </w:t>
            </w:r>
            <w:r>
              <w:rPr>
                <w:rFonts w:ascii="Arial" w:hAnsi="Arial" w:eastAsia="Arial" w:cs="Arial"/>
                <w:color w:val="000000"/>
                <w:sz w:val="20"/>
                <w:lang w:val="en-US"/>
              </w:rPr>
              <w:t>mil. USD</w:t>
            </w:r>
          </w:p>
        </w:tc>
        <w:tc>
          <w:tcPr>
            <w:tcW w:w="1546" w:type="dxa"/>
            <w:tcBorders>
              <w:bottom w:val="single" w:color="000000" w:sz="8" w:space="0"/>
              <w:right w:val="single" w:color="000000" w:sz="8" w:space="0"/>
            </w:tcBorders>
            <w:tcMar>
              <w:right w:w="53" w:type="dxa"/>
            </w:tcMar>
          </w:tcPr>
          <w:p>
            <w:pPr>
              <w:widowControl/>
              <w:spacing w:before="53" w:after="30" w:line="276" w:lineRule="auto"/>
              <w:jc w:val="right"/>
              <w:rPr>
                <w:lang w:val="en-US"/>
              </w:rPr>
            </w:pPr>
            <w:r>
              <w:rPr>
                <w:rFonts w:ascii="Arial" w:hAnsi="Arial" w:eastAsia="Arial" w:cs="Arial"/>
                <w:color w:val="000000"/>
                <w:sz w:val="20"/>
              </w:rPr>
              <w:t xml:space="preserve">331 </w:t>
            </w:r>
            <w:r>
              <w:rPr>
                <w:rFonts w:ascii="Arial" w:hAnsi="Arial" w:eastAsia="Arial" w:cs="Arial"/>
                <w:color w:val="000000"/>
                <w:sz w:val="20"/>
                <w:lang w:val="en-US"/>
              </w:rPr>
              <w:t>mil. USD</w:t>
            </w:r>
          </w:p>
        </w:tc>
      </w:tr>
    </w:tbl>
    <w:p>
      <w:pPr>
        <w:spacing w:line="268" w:lineRule="auto"/>
        <w:rPr>
          <w:rFonts w:ascii="Arial" w:hAnsi="Arial" w:eastAsia="Arial"/>
          <w:sz w:val="14"/>
        </w:rPr>
      </w:pPr>
      <w:r>
        <w:rPr>
          <w:rFonts w:ascii="Arial" w:hAnsi="Arial" w:eastAsia="Arial"/>
          <w:sz w:val="14"/>
        </w:rPr>
        <w:t>1 Zahrnuje nevykazované provozní segmenty, které nesplňují kritéria vykazovaného segmentu podle</w:t>
      </w:r>
      <w:r>
        <w:rPr>
          <w:rFonts w:ascii="Arial" w:hAnsi="Arial" w:eastAsia="Arial"/>
          <w:sz w:val="14"/>
          <w:lang w:val="en-US"/>
        </w:rPr>
        <w:t xml:space="preserve"> účetních standardů</w:t>
      </w:r>
      <w:r>
        <w:rPr>
          <w:rFonts w:ascii="Arial" w:hAnsi="Arial" w:eastAsia="Arial"/>
          <w:sz w:val="14"/>
        </w:rPr>
        <w:t xml:space="preserve"> ASC Topic 280 - Vykazování podle segmentů.</w:t>
      </w:r>
    </w:p>
    <w:p>
      <w:pPr>
        <w:spacing w:line="268" w:lineRule="auto"/>
        <w:rPr>
          <w:rFonts w:ascii="Arial" w:hAnsi="Arial" w:eastAsia="Arial" w:cs="Arial"/>
          <w:sz w:val="14"/>
          <w:vertAlign w:val="superscript"/>
        </w:rPr>
      </w:pPr>
    </w:p>
    <w:p>
      <w:pPr>
        <w:spacing w:line="268" w:lineRule="auto"/>
        <w:rPr>
          <w:rFonts w:ascii="Arial" w:hAnsi="Arial" w:eastAsia="Arial"/>
          <w:sz w:val="14"/>
        </w:rPr>
      </w:pPr>
    </w:p>
    <w:p>
      <w:pPr>
        <w:pStyle w:val="13"/>
        <w:numPr>
          <w:ilvl w:val="0"/>
          <w:numId w:val="2"/>
        </w:numPr>
        <w:spacing w:line="288" w:lineRule="auto"/>
        <w:rPr>
          <w:rFonts w:ascii="Arial" w:hAnsi="Arial" w:eastAsia="Arial"/>
          <w:bCs/>
          <w:sz w:val="22"/>
          <w:lang w:val="cs-CZ"/>
        </w:rPr>
      </w:pPr>
      <w:r>
        <w:rPr>
          <w:rFonts w:ascii="Arial" w:hAnsi="Arial" w:eastAsia="Arial"/>
          <w:bCs/>
          <w:sz w:val="22"/>
          <w:lang w:val="en-US"/>
        </w:rPr>
        <w:t>T</w:t>
      </w:r>
      <w:r>
        <w:rPr>
          <w:rFonts w:ascii="Arial" w:hAnsi="Arial" w:eastAsia="Arial"/>
          <w:bCs/>
          <w:sz w:val="22"/>
          <w:lang w:val="cs-CZ"/>
        </w:rPr>
        <w:t xml:space="preserve">ržby vzrostly o 6,7 %, </w:t>
      </w:r>
      <w:r>
        <w:rPr>
          <w:rFonts w:hint="default" w:ascii="Arial" w:hAnsi="Arial" w:eastAsia="Arial"/>
          <w:bCs/>
          <w:sz w:val="22"/>
          <w:lang w:val="en-US"/>
        </w:rPr>
        <w:t>v čele se segmentem</w:t>
      </w:r>
      <w:r>
        <w:rPr>
          <w:rFonts w:ascii="Arial" w:hAnsi="Arial" w:eastAsia="Arial"/>
          <w:bCs/>
          <w:sz w:val="22"/>
          <w:lang w:val="cs-CZ"/>
        </w:rPr>
        <w:t xml:space="preserve"> </w:t>
      </w:r>
      <w:r>
        <w:rPr>
          <w:rFonts w:hint="default" w:ascii="Arial" w:hAnsi="Arial" w:eastAsia="Arial"/>
          <w:bCs/>
          <w:sz w:val="22"/>
          <w:lang w:val="en-US"/>
        </w:rPr>
        <w:t>S</w:t>
      </w:r>
      <w:r>
        <w:rPr>
          <w:rFonts w:ascii="Arial" w:hAnsi="Arial" w:eastAsia="Arial"/>
          <w:bCs/>
          <w:sz w:val="22"/>
          <w:lang w:val="cs-CZ"/>
        </w:rPr>
        <w:t>pedi</w:t>
      </w:r>
      <w:r>
        <w:rPr>
          <w:rFonts w:hint="default" w:ascii="Arial" w:hAnsi="Arial" w:eastAsia="Arial"/>
          <w:bCs/>
          <w:sz w:val="22"/>
          <w:lang w:val="en-US"/>
        </w:rPr>
        <w:t>ce</w:t>
      </w:r>
      <w:r>
        <w:rPr>
          <w:rFonts w:ascii="Arial" w:hAnsi="Arial" w:eastAsia="Arial"/>
          <w:bCs/>
          <w:sz w:val="22"/>
          <w:lang w:val="cs-CZ"/>
        </w:rPr>
        <w:t xml:space="preserve"> a logistik</w:t>
      </w:r>
      <w:r>
        <w:rPr>
          <w:rFonts w:hint="default" w:ascii="Arial" w:hAnsi="Arial" w:eastAsia="Arial"/>
          <w:bCs/>
          <w:sz w:val="22"/>
          <w:lang w:val="en-US"/>
        </w:rPr>
        <w:t xml:space="preserve">a s růstem </w:t>
      </w:r>
      <w:r>
        <w:rPr>
          <w:rFonts w:ascii="Arial" w:hAnsi="Arial" w:eastAsia="Arial"/>
          <w:bCs/>
          <w:sz w:val="22"/>
          <w:lang w:val="cs-CZ"/>
        </w:rPr>
        <w:t>28 %.</w:t>
      </w:r>
    </w:p>
    <w:p>
      <w:pPr>
        <w:pStyle w:val="13"/>
        <w:numPr>
          <w:ilvl w:val="0"/>
          <w:numId w:val="2"/>
        </w:numPr>
        <w:spacing w:line="288" w:lineRule="auto"/>
        <w:rPr>
          <w:rFonts w:ascii="Arial" w:hAnsi="Arial" w:eastAsia="Arial" w:cs="Arial"/>
          <w:bCs/>
          <w:sz w:val="22"/>
          <w:lang w:val="cs-CZ"/>
        </w:rPr>
      </w:pPr>
      <w:r>
        <w:rPr>
          <w:rFonts w:ascii="Arial" w:hAnsi="Arial" w:eastAsia="Arial"/>
          <w:bCs/>
          <w:sz w:val="22"/>
          <w:lang w:val="cs-CZ"/>
        </w:rPr>
        <w:t xml:space="preserve">Provozní marže dosáhla 9,9 %; upravená provozní marže </w:t>
      </w:r>
      <w:r>
        <w:rPr>
          <w:rFonts w:ascii="Arial" w:hAnsi="Arial" w:eastAsia="Arial"/>
          <w:bCs/>
          <w:sz w:val="22"/>
          <w:lang w:val="en-US"/>
        </w:rPr>
        <w:t xml:space="preserve">byla </w:t>
      </w:r>
      <w:r>
        <w:rPr>
          <w:rFonts w:ascii="Arial" w:hAnsi="Arial" w:eastAsia="Arial"/>
          <w:bCs/>
          <w:sz w:val="22"/>
          <w:lang w:val="cs-CZ"/>
        </w:rPr>
        <w:t>9,7 %.</w:t>
      </w:r>
    </w:p>
    <w:p>
      <w:pPr>
        <w:pStyle w:val="13"/>
        <w:numPr>
          <w:ilvl w:val="0"/>
          <w:numId w:val="0"/>
        </w:numPr>
        <w:spacing w:before="0" w:after="0" w:line="288" w:lineRule="auto"/>
        <w:ind w:left="0" w:firstLine="0"/>
        <w:contextualSpacing/>
        <w:rPr>
          <w:rFonts w:ascii="Arial" w:hAnsi="Arial" w:eastAsia="Arial" w:cs="Arial"/>
          <w:bCs/>
          <w:sz w:val="22"/>
          <w:lang w:val="cs-CZ"/>
        </w:rPr>
      </w:pPr>
    </w:p>
    <w:p>
      <w:pPr>
        <w:spacing w:line="288" w:lineRule="auto"/>
        <w:rPr>
          <w:rFonts w:ascii="Arial" w:hAnsi="Arial" w:eastAsia="Arial"/>
          <w:b/>
          <w:bCs w:val="0"/>
          <w:sz w:val="22"/>
          <w:u w:val="single"/>
          <w:lang w:val="cs-CZ"/>
        </w:rPr>
      </w:pPr>
      <w:r>
        <w:rPr>
          <w:rFonts w:ascii="Arial" w:hAnsi="Arial" w:eastAsia="Arial"/>
          <w:b/>
          <w:bCs w:val="0"/>
          <w:sz w:val="22"/>
          <w:u w:val="single"/>
          <w:lang w:val="cs-CZ"/>
        </w:rPr>
        <w:t>Konsolidované výsledky za celý rok 2021</w:t>
      </w:r>
    </w:p>
    <w:p>
      <w:pPr>
        <w:pStyle w:val="13"/>
        <w:numPr>
          <w:ilvl w:val="0"/>
          <w:numId w:val="2"/>
        </w:numPr>
        <w:spacing w:line="288" w:lineRule="auto"/>
        <w:rPr>
          <w:rFonts w:ascii="Arial" w:hAnsi="Arial" w:eastAsia="Arial" w:cs="Arial"/>
          <w:bCs/>
          <w:sz w:val="22"/>
          <w:lang w:val="cs-CZ"/>
        </w:rPr>
      </w:pPr>
      <w:r>
        <w:rPr>
          <w:rFonts w:ascii="Arial" w:hAnsi="Arial" w:eastAsia="Arial" w:cs="Arial"/>
          <w:bCs/>
          <w:sz w:val="22"/>
          <w:lang w:val="cs-CZ"/>
        </w:rPr>
        <w:t xml:space="preserve">Tržby vzrostly o 15,0 % na 97,3 </w:t>
      </w:r>
      <w:r>
        <w:rPr>
          <w:rFonts w:ascii="Arial" w:hAnsi="Arial" w:eastAsia="Arial" w:cs="Arial"/>
          <w:bCs/>
          <w:sz w:val="22"/>
          <w:lang w:val="en-US"/>
        </w:rPr>
        <w:t xml:space="preserve">mld. </w:t>
      </w:r>
      <w:r>
        <w:rPr>
          <w:rFonts w:ascii="Arial" w:hAnsi="Arial" w:eastAsia="Arial" w:cs="Arial"/>
          <w:bCs/>
          <w:sz w:val="22"/>
          <w:lang w:val="cs-CZ"/>
        </w:rPr>
        <w:t>USD.</w:t>
      </w:r>
    </w:p>
    <w:p>
      <w:pPr>
        <w:pStyle w:val="13"/>
        <w:numPr>
          <w:ilvl w:val="0"/>
          <w:numId w:val="2"/>
        </w:numPr>
        <w:spacing w:line="288" w:lineRule="auto"/>
        <w:rPr>
          <w:rFonts w:ascii="Arial" w:hAnsi="Arial" w:eastAsia="Arial" w:cs="Arial"/>
          <w:bCs/>
          <w:sz w:val="22"/>
          <w:lang w:val="cs-CZ"/>
        </w:rPr>
      </w:pPr>
      <w:r>
        <w:rPr>
          <w:rFonts w:hint="default" w:ascii="Arial" w:hAnsi="Arial" w:eastAsia="Arial"/>
          <w:bCs/>
          <w:sz w:val="22"/>
          <w:lang w:val="en-US"/>
        </w:rPr>
        <w:t>Provozní zisk dosáhl výše 12,8 mld USD, u</w:t>
      </w:r>
      <w:r>
        <w:rPr>
          <w:rFonts w:ascii="Arial" w:hAnsi="Arial" w:eastAsia="Arial" w:cs="Arial"/>
          <w:bCs/>
          <w:sz w:val="22"/>
          <w:lang w:val="cs-CZ"/>
        </w:rPr>
        <w:t xml:space="preserve">pravený provozní zisk </w:t>
      </w:r>
      <w:r>
        <w:rPr>
          <w:rFonts w:hint="default" w:ascii="Arial" w:hAnsi="Arial" w:eastAsia="Arial" w:cs="Arial"/>
          <w:bCs/>
          <w:sz w:val="22"/>
          <w:lang w:val="en-US"/>
        </w:rPr>
        <w:t xml:space="preserve">byl </w:t>
      </w:r>
      <w:r>
        <w:rPr>
          <w:rFonts w:ascii="Arial" w:hAnsi="Arial" w:eastAsia="Arial" w:cs="Arial"/>
          <w:bCs/>
          <w:sz w:val="22"/>
          <w:lang w:val="cs-CZ"/>
        </w:rPr>
        <w:t xml:space="preserve">13,1 </w:t>
      </w:r>
      <w:r>
        <w:rPr>
          <w:rFonts w:ascii="Arial" w:hAnsi="Arial" w:eastAsia="Arial" w:cs="Arial"/>
          <w:bCs/>
          <w:sz w:val="22"/>
          <w:lang w:val="en-US"/>
        </w:rPr>
        <w:t xml:space="preserve">mld. </w:t>
      </w:r>
      <w:r>
        <w:rPr>
          <w:rFonts w:ascii="Arial" w:hAnsi="Arial" w:eastAsia="Arial" w:cs="Arial"/>
          <w:bCs/>
          <w:sz w:val="22"/>
          <w:lang w:val="cs-CZ"/>
        </w:rPr>
        <w:t>USD, což představuje nárůst o 50,8 %.</w:t>
      </w:r>
    </w:p>
    <w:p>
      <w:pPr>
        <w:pStyle w:val="13"/>
        <w:numPr>
          <w:ilvl w:val="0"/>
          <w:numId w:val="2"/>
        </w:numPr>
        <w:spacing w:line="288" w:lineRule="auto"/>
        <w:rPr>
          <w:rFonts w:ascii="Arial" w:hAnsi="Arial" w:eastAsia="Arial" w:cs="Arial"/>
          <w:bCs/>
          <w:sz w:val="22"/>
          <w:lang w:val="cs-CZ"/>
        </w:rPr>
      </w:pPr>
      <w:r>
        <w:rPr>
          <w:rFonts w:ascii="Arial" w:hAnsi="Arial" w:eastAsia="Arial" w:cs="Arial"/>
          <w:bCs/>
          <w:sz w:val="22"/>
          <w:lang w:val="cs-CZ"/>
        </w:rPr>
        <w:t xml:space="preserve">Provozní marže </w:t>
      </w:r>
      <w:r>
        <w:rPr>
          <w:rFonts w:ascii="Arial" w:hAnsi="Arial" w:eastAsia="Arial" w:cs="Arial"/>
          <w:bCs/>
          <w:sz w:val="22"/>
          <w:lang w:val="en-US"/>
        </w:rPr>
        <w:t xml:space="preserve">dosáhla </w:t>
      </w:r>
      <w:r>
        <w:rPr>
          <w:rFonts w:ascii="Arial" w:hAnsi="Arial" w:eastAsia="Arial" w:cs="Arial"/>
          <w:bCs/>
          <w:sz w:val="22"/>
          <w:lang w:val="cs-CZ"/>
        </w:rPr>
        <w:t>13,2 %; upravená provozní marže byla 13,5 %.</w:t>
      </w:r>
    </w:p>
    <w:p>
      <w:pPr>
        <w:pStyle w:val="13"/>
        <w:numPr>
          <w:ilvl w:val="0"/>
          <w:numId w:val="2"/>
        </w:numPr>
        <w:spacing w:line="288" w:lineRule="auto"/>
        <w:rPr>
          <w:rFonts w:ascii="Arial" w:hAnsi="Arial" w:eastAsia="Arial" w:cs="Arial"/>
          <w:bCs/>
          <w:sz w:val="22"/>
          <w:lang w:val="cs-CZ"/>
        </w:rPr>
      </w:pPr>
      <w:r>
        <w:rPr>
          <w:rFonts w:ascii="Arial" w:hAnsi="Arial" w:eastAsia="Arial" w:cs="Arial"/>
          <w:bCs/>
          <w:sz w:val="22"/>
          <w:lang w:val="cs-CZ"/>
        </w:rPr>
        <w:t xml:space="preserve">Zředěný zisk na akcii činil 14,68 USD; upravený zředěný zisk na akcii byl 12,13 USD, </w:t>
      </w:r>
      <w:r>
        <w:rPr>
          <w:rFonts w:hint="default" w:ascii="Arial" w:hAnsi="Arial" w:eastAsia="Arial" w:cs="Arial"/>
          <w:bCs/>
          <w:sz w:val="22"/>
          <w:lang w:val="en-US"/>
        </w:rPr>
        <w:t xml:space="preserve">jež </w:t>
      </w:r>
      <w:r>
        <w:rPr>
          <w:rFonts w:ascii="Arial" w:hAnsi="Arial" w:eastAsia="Arial" w:cs="Arial"/>
          <w:bCs/>
          <w:sz w:val="22"/>
          <w:lang w:val="cs-CZ"/>
        </w:rPr>
        <w:t xml:space="preserve">nezahrnoval dopady zisku penzijního připojištění </w:t>
      </w:r>
      <w:r>
        <w:rPr>
          <w:rFonts w:ascii="Arial" w:hAnsi="Arial" w:eastAsia="Arial" w:cs="Arial"/>
          <w:bCs/>
          <w:sz w:val="22"/>
          <w:lang w:val="en-US"/>
        </w:rPr>
        <w:t xml:space="preserve">při tržním přecenění (MTM) </w:t>
      </w:r>
      <w:r>
        <w:rPr>
          <w:rFonts w:hint="default" w:ascii="Arial" w:hAnsi="Arial" w:eastAsia="Arial" w:cs="Arial"/>
          <w:bCs/>
          <w:sz w:val="22"/>
          <w:lang w:val="en-US"/>
        </w:rPr>
        <w:t>a</w:t>
      </w:r>
      <w:r>
        <w:rPr>
          <w:rFonts w:ascii="Arial" w:hAnsi="Arial" w:eastAsia="Arial" w:cs="Arial"/>
          <w:bCs/>
          <w:sz w:val="22"/>
          <w:lang w:val="cs-CZ"/>
        </w:rPr>
        <w:t xml:space="preserve"> transformačních a jiných </w:t>
      </w:r>
      <w:r>
        <w:rPr>
          <w:rFonts w:ascii="Arial" w:hAnsi="Arial" w:eastAsia="Arial" w:cs="Arial"/>
          <w:bCs/>
          <w:sz w:val="22"/>
          <w:lang w:val="en-US"/>
        </w:rPr>
        <w:t>poplatků</w:t>
      </w:r>
      <w:r>
        <w:rPr>
          <w:rFonts w:ascii="Arial" w:hAnsi="Arial" w:eastAsia="Arial" w:cs="Arial"/>
          <w:bCs/>
          <w:sz w:val="22"/>
          <w:lang w:val="cs-CZ"/>
        </w:rPr>
        <w:t>.</w:t>
      </w:r>
    </w:p>
    <w:p>
      <w:pPr>
        <w:pStyle w:val="13"/>
        <w:numPr>
          <w:ilvl w:val="0"/>
          <w:numId w:val="2"/>
        </w:numPr>
        <w:spacing w:line="288" w:lineRule="auto"/>
        <w:rPr>
          <w:rFonts w:ascii="Arial" w:hAnsi="Arial" w:eastAsia="Arial" w:cs="Arial"/>
          <w:bCs/>
          <w:sz w:val="22"/>
          <w:lang w:val="cs-CZ"/>
        </w:rPr>
      </w:pPr>
      <w:r>
        <w:rPr>
          <w:rFonts w:ascii="Arial" w:hAnsi="Arial" w:eastAsia="Arial" w:cs="Arial"/>
          <w:bCs/>
          <w:sz w:val="22"/>
          <w:lang w:val="cs-CZ"/>
        </w:rPr>
        <w:t xml:space="preserve">Návratnost investovaného kapitálu </w:t>
      </w:r>
      <w:r>
        <w:rPr>
          <w:rFonts w:ascii="Arial" w:hAnsi="Arial" w:eastAsia="Arial" w:cs="Arial"/>
          <w:bCs/>
          <w:sz w:val="22"/>
          <w:lang w:val="en-US"/>
        </w:rPr>
        <w:t xml:space="preserve">dosáhla </w:t>
      </w:r>
      <w:r>
        <w:rPr>
          <w:rFonts w:ascii="Arial" w:hAnsi="Arial" w:eastAsia="Arial" w:cs="Arial"/>
          <w:bCs/>
          <w:sz w:val="22"/>
          <w:lang w:val="cs-CZ"/>
        </w:rPr>
        <w:t xml:space="preserve">30,8 %, </w:t>
      </w:r>
      <w:r>
        <w:rPr>
          <w:rFonts w:ascii="Arial" w:hAnsi="Arial" w:eastAsia="Arial" w:cs="Arial"/>
          <w:bCs/>
          <w:sz w:val="22"/>
          <w:lang w:val="en-US"/>
        </w:rPr>
        <w:t xml:space="preserve">a </w:t>
      </w:r>
      <w:r>
        <w:rPr>
          <w:rFonts w:ascii="Arial" w:hAnsi="Arial" w:eastAsia="Arial" w:cs="Arial"/>
          <w:bCs/>
          <w:sz w:val="22"/>
          <w:lang w:val="cs-CZ"/>
        </w:rPr>
        <w:t>překročil</w:t>
      </w:r>
      <w:r>
        <w:rPr>
          <w:rFonts w:ascii="Arial" w:hAnsi="Arial" w:eastAsia="Arial" w:cs="Arial"/>
          <w:bCs/>
          <w:sz w:val="22"/>
          <w:lang w:val="en-US"/>
        </w:rPr>
        <w:t>a</w:t>
      </w:r>
      <w:r>
        <w:rPr>
          <w:rFonts w:ascii="Arial" w:hAnsi="Arial" w:eastAsia="Arial" w:cs="Arial"/>
          <w:bCs/>
          <w:sz w:val="22"/>
          <w:lang w:val="cs-CZ"/>
        </w:rPr>
        <w:t xml:space="preserve"> </w:t>
      </w:r>
      <w:r>
        <w:rPr>
          <w:rFonts w:ascii="Arial" w:hAnsi="Arial" w:eastAsia="Arial" w:cs="Arial"/>
          <w:bCs/>
          <w:sz w:val="22"/>
          <w:lang w:val="en-US"/>
        </w:rPr>
        <w:t xml:space="preserve">tak </w:t>
      </w:r>
      <w:r>
        <w:rPr>
          <w:rFonts w:ascii="Arial" w:hAnsi="Arial" w:eastAsia="Arial" w:cs="Arial"/>
          <w:bCs/>
          <w:sz w:val="22"/>
          <w:lang w:val="cs-CZ"/>
        </w:rPr>
        <w:t xml:space="preserve">cíl společnosti pro rok 2023. </w:t>
      </w:r>
    </w:p>
    <w:p>
      <w:pPr>
        <w:pStyle w:val="13"/>
        <w:numPr>
          <w:ilvl w:val="0"/>
          <w:numId w:val="2"/>
        </w:numPr>
        <w:spacing w:line="288" w:lineRule="auto"/>
        <w:rPr>
          <w:rFonts w:ascii="Arial" w:hAnsi="Arial" w:eastAsia="Arial" w:cs="Arial"/>
          <w:bCs/>
          <w:sz w:val="22"/>
          <w:lang w:val="cs-CZ"/>
        </w:rPr>
      </w:pPr>
      <w:r>
        <w:rPr>
          <w:rFonts w:ascii="Arial" w:hAnsi="Arial" w:eastAsia="Arial" w:cs="Arial"/>
          <w:bCs/>
          <w:sz w:val="22"/>
          <w:lang w:val="en-US"/>
        </w:rPr>
        <w:t xml:space="preserve">Peněžní prostředky </w:t>
      </w:r>
      <w:r>
        <w:rPr>
          <w:rFonts w:ascii="Arial" w:hAnsi="Arial" w:eastAsia="Arial" w:cs="Arial"/>
          <w:bCs/>
          <w:sz w:val="22"/>
          <w:lang w:val="cs-CZ"/>
        </w:rPr>
        <w:t xml:space="preserve">z provozní činnosti </w:t>
      </w:r>
      <w:r>
        <w:rPr>
          <w:rFonts w:ascii="Arial" w:hAnsi="Arial" w:eastAsia="Arial" w:cs="Arial"/>
          <w:bCs/>
          <w:sz w:val="22"/>
          <w:lang w:val="en-US"/>
        </w:rPr>
        <w:t xml:space="preserve">dosáhly </w:t>
      </w:r>
      <w:r>
        <w:rPr>
          <w:rFonts w:ascii="Arial" w:hAnsi="Arial" w:eastAsia="Arial" w:cs="Arial"/>
          <w:bCs/>
          <w:sz w:val="22"/>
          <w:lang w:val="cs-CZ"/>
        </w:rPr>
        <w:t xml:space="preserve">15,0 </w:t>
      </w:r>
      <w:r>
        <w:rPr>
          <w:rFonts w:ascii="Arial" w:hAnsi="Arial" w:eastAsia="Arial" w:cs="Arial"/>
          <w:bCs/>
          <w:sz w:val="22"/>
          <w:lang w:val="en-US"/>
        </w:rPr>
        <w:t xml:space="preserve">mld. </w:t>
      </w:r>
      <w:r>
        <w:rPr>
          <w:rFonts w:ascii="Arial" w:hAnsi="Arial" w:eastAsia="Arial" w:cs="Arial"/>
          <w:bCs/>
          <w:sz w:val="22"/>
          <w:lang w:val="cs-CZ"/>
        </w:rPr>
        <w:t xml:space="preserve">USD a volný peněžní tok 10,9 </w:t>
      </w:r>
      <w:r>
        <w:rPr>
          <w:rFonts w:ascii="Arial" w:hAnsi="Arial" w:eastAsia="Arial" w:cs="Arial"/>
          <w:bCs/>
          <w:sz w:val="22"/>
          <w:lang w:val="en-US"/>
        </w:rPr>
        <w:t xml:space="preserve">mld. </w:t>
      </w:r>
      <w:r>
        <w:rPr>
          <w:rFonts w:ascii="Arial" w:hAnsi="Arial" w:eastAsia="Arial" w:cs="Arial"/>
          <w:bCs/>
          <w:sz w:val="22"/>
          <w:lang w:val="cs-CZ"/>
        </w:rPr>
        <w:t>USD.</w:t>
      </w:r>
    </w:p>
    <w:p>
      <w:pPr>
        <w:spacing w:line="288" w:lineRule="auto"/>
        <w:rPr>
          <w:rFonts w:ascii="Arial" w:hAnsi="Arial" w:eastAsia="Arial"/>
          <w:bCs/>
          <w:sz w:val="22"/>
          <w:lang w:val="cs-CZ"/>
        </w:rPr>
      </w:pPr>
    </w:p>
    <w:p>
      <w:pPr>
        <w:spacing w:line="288" w:lineRule="auto"/>
        <w:rPr>
          <w:rFonts w:ascii="Arial" w:hAnsi="Arial" w:eastAsia="Arial"/>
          <w:b/>
          <w:bCs w:val="0"/>
          <w:sz w:val="22"/>
          <w:u w:val="single"/>
          <w:lang w:val="cs-CZ"/>
        </w:rPr>
      </w:pPr>
      <w:r>
        <w:rPr>
          <w:rFonts w:ascii="Arial" w:hAnsi="Arial" w:eastAsia="Arial"/>
          <w:b/>
          <w:bCs w:val="0"/>
          <w:sz w:val="22"/>
          <w:u w:val="single"/>
          <w:lang w:val="cs-CZ"/>
        </w:rPr>
        <w:t>Vyhlášení dividendy</w:t>
      </w:r>
    </w:p>
    <w:p>
      <w:pPr>
        <w:spacing w:line="288" w:lineRule="auto"/>
        <w:rPr>
          <w:rFonts w:ascii="Arial" w:hAnsi="Arial" w:eastAsia="Arial"/>
          <w:bCs/>
          <w:sz w:val="22"/>
          <w:lang w:val="cs-CZ"/>
        </w:rPr>
      </w:pPr>
      <w:r>
        <w:rPr>
          <w:rFonts w:ascii="Arial" w:hAnsi="Arial" w:eastAsia="Arial"/>
          <w:bCs/>
          <w:sz w:val="22"/>
          <w:lang w:val="cs-CZ"/>
        </w:rPr>
        <w:t xml:space="preserve">Společnost UPS vyplatí v prvním čtvrtletí roku 2022 dividendu ve výši 1,52 USD na akcii </w:t>
      </w:r>
      <w:r>
        <w:rPr>
          <w:rFonts w:hint="default" w:ascii="Arial" w:hAnsi="Arial" w:eastAsia="Arial"/>
          <w:bCs/>
          <w:sz w:val="22"/>
          <w:lang w:val="en-US"/>
        </w:rPr>
        <w:t xml:space="preserve">u </w:t>
      </w:r>
      <w:r>
        <w:rPr>
          <w:rFonts w:ascii="Arial" w:hAnsi="Arial" w:eastAsia="Arial"/>
          <w:bCs/>
          <w:sz w:val="22"/>
          <w:lang w:val="cs-CZ"/>
        </w:rPr>
        <w:t xml:space="preserve">všech akcií třídy A a B. Dividenda je splatná 10. března 2022 </w:t>
      </w:r>
      <w:r>
        <w:rPr>
          <w:rFonts w:ascii="Arial" w:hAnsi="Arial" w:eastAsia="Arial"/>
          <w:bCs/>
          <w:sz w:val="22"/>
          <w:lang w:val="en-US"/>
        </w:rPr>
        <w:t xml:space="preserve">a </w:t>
      </w:r>
      <w:r>
        <w:rPr>
          <w:rFonts w:ascii="Arial" w:hAnsi="Arial" w:eastAsia="Arial"/>
          <w:bCs/>
          <w:sz w:val="22"/>
          <w:lang w:val="cs-CZ"/>
        </w:rPr>
        <w:t xml:space="preserve">rozhodným dnem </w:t>
      </w:r>
      <w:r>
        <w:rPr>
          <w:rFonts w:ascii="Arial" w:hAnsi="Arial" w:eastAsia="Arial"/>
          <w:bCs/>
          <w:sz w:val="22"/>
          <w:lang w:val="en-US"/>
        </w:rPr>
        <w:t xml:space="preserve">pro uplatnění práva na dividendu je </w:t>
      </w:r>
      <w:r>
        <w:rPr>
          <w:rFonts w:ascii="Arial" w:hAnsi="Arial" w:eastAsia="Arial"/>
          <w:bCs/>
          <w:sz w:val="22"/>
          <w:lang w:val="cs-CZ"/>
        </w:rPr>
        <w:t>22. únor 2022.</w:t>
      </w:r>
    </w:p>
    <w:p>
      <w:pPr>
        <w:spacing w:line="288" w:lineRule="auto"/>
        <w:rPr>
          <w:rFonts w:ascii="Arial" w:hAnsi="Arial" w:eastAsia="Arial"/>
          <w:bCs/>
          <w:sz w:val="22"/>
          <w:lang w:val="cs-CZ"/>
        </w:rPr>
      </w:pPr>
    </w:p>
    <w:p>
      <w:pPr>
        <w:spacing w:line="288" w:lineRule="auto"/>
        <w:rPr>
          <w:rFonts w:ascii="Arial" w:hAnsi="Arial" w:eastAsia="Arial"/>
          <w:b/>
          <w:bCs w:val="0"/>
          <w:sz w:val="22"/>
          <w:u w:val="single"/>
          <w:lang w:val="cs-CZ"/>
        </w:rPr>
      </w:pPr>
      <w:r>
        <w:rPr>
          <w:rFonts w:ascii="Arial" w:hAnsi="Arial" w:eastAsia="Arial"/>
          <w:b/>
          <w:bCs w:val="0"/>
          <w:sz w:val="22"/>
          <w:u w:val="single"/>
          <w:lang w:val="cs-CZ"/>
        </w:rPr>
        <w:t>Výhled na rok 2022</w:t>
      </w:r>
    </w:p>
    <w:p>
      <w:pPr>
        <w:spacing w:line="288" w:lineRule="auto"/>
        <w:rPr>
          <w:rFonts w:ascii="Arial" w:hAnsi="Arial" w:eastAsia="Arial"/>
          <w:bCs/>
          <w:sz w:val="22"/>
          <w:lang w:val="cs-CZ"/>
        </w:rPr>
      </w:pPr>
      <w:r>
        <w:rPr>
          <w:rFonts w:ascii="Arial" w:hAnsi="Arial" w:eastAsia="Arial"/>
          <w:bCs/>
          <w:sz w:val="22"/>
          <w:lang w:val="cs-CZ"/>
        </w:rPr>
        <w:t>Společnost poskytuje výhled na základě upravených</w:t>
      </w:r>
      <w:r>
        <w:rPr>
          <w:rFonts w:ascii="Arial" w:hAnsi="Arial" w:eastAsia="Arial"/>
          <w:bCs/>
          <w:sz w:val="22"/>
          <w:lang w:val="en-US"/>
        </w:rPr>
        <w:t xml:space="preserve"> </w:t>
      </w:r>
      <w:r>
        <w:rPr>
          <w:rFonts w:ascii="Arial" w:hAnsi="Arial" w:eastAsia="Arial"/>
          <w:bCs/>
          <w:sz w:val="22"/>
          <w:lang w:val="cs-CZ"/>
        </w:rPr>
        <w:t>výsledků (</w:t>
      </w:r>
      <w:r>
        <w:rPr>
          <w:rFonts w:ascii="Arial" w:hAnsi="Arial" w:eastAsia="Arial"/>
          <w:bCs/>
          <w:sz w:val="22"/>
          <w:lang w:val="en-US"/>
        </w:rPr>
        <w:t xml:space="preserve">bez ohledu na účetní zásady </w:t>
      </w:r>
      <w:r>
        <w:rPr>
          <w:rFonts w:ascii="Arial" w:hAnsi="Arial" w:eastAsia="Arial"/>
          <w:bCs/>
          <w:sz w:val="22"/>
          <w:lang w:val="cs-CZ"/>
        </w:rPr>
        <w:t>GAAP)</w:t>
      </w:r>
      <w:r>
        <w:rPr>
          <w:rFonts w:ascii="Arial" w:hAnsi="Arial" w:eastAsia="Arial"/>
          <w:bCs/>
          <w:sz w:val="22"/>
          <w:lang w:val="en-US"/>
        </w:rPr>
        <w:t xml:space="preserve">. Není totiž </w:t>
      </w:r>
      <w:r>
        <w:rPr>
          <w:rFonts w:ascii="Arial" w:hAnsi="Arial" w:eastAsia="Arial"/>
          <w:bCs/>
          <w:sz w:val="22"/>
          <w:lang w:val="cs-CZ"/>
        </w:rPr>
        <w:t xml:space="preserve">možné předvídat nebo </w:t>
      </w:r>
      <w:r>
        <w:rPr>
          <w:rFonts w:ascii="Arial" w:hAnsi="Arial" w:eastAsia="Arial"/>
          <w:bCs/>
          <w:sz w:val="22"/>
          <w:lang w:val="en-US"/>
        </w:rPr>
        <w:t xml:space="preserve">poskytnout sesouhlasení </w:t>
      </w:r>
      <w:r>
        <w:rPr>
          <w:rFonts w:ascii="Arial" w:hAnsi="Arial" w:eastAsia="Arial"/>
          <w:bCs/>
          <w:sz w:val="22"/>
          <w:lang w:val="cs-CZ"/>
        </w:rPr>
        <w:t xml:space="preserve">odrážející dopad budoucích úprav penzijních fondů na tržní </w:t>
      </w:r>
      <w:r>
        <w:rPr>
          <w:rFonts w:ascii="Arial" w:hAnsi="Arial" w:eastAsia="Arial"/>
          <w:bCs/>
          <w:sz w:val="22"/>
          <w:lang w:val="en-US"/>
        </w:rPr>
        <w:t xml:space="preserve">ocenění </w:t>
      </w:r>
      <w:r>
        <w:rPr>
          <w:rFonts w:ascii="Arial" w:hAnsi="Arial" w:eastAsia="Arial"/>
          <w:bCs/>
          <w:sz w:val="22"/>
          <w:lang w:val="cs-CZ"/>
        </w:rPr>
        <w:t>nebo jiných neočekávaných událostí, které by byly zahrnuty do vykazovaných (GAAP) výsledků a mohly by být významné.</w:t>
      </w:r>
    </w:p>
    <w:p>
      <w:pPr>
        <w:spacing w:line="288" w:lineRule="auto"/>
        <w:rPr>
          <w:rFonts w:ascii="Arial" w:hAnsi="Arial" w:eastAsia="Arial"/>
          <w:bCs/>
          <w:sz w:val="22"/>
          <w:lang w:val="cs-CZ"/>
        </w:rPr>
      </w:pPr>
    </w:p>
    <w:p>
      <w:pPr>
        <w:spacing w:line="288" w:lineRule="auto"/>
        <w:rPr>
          <w:rFonts w:ascii="Arial" w:hAnsi="Arial" w:eastAsia="Arial"/>
          <w:bCs/>
          <w:sz w:val="22"/>
          <w:lang w:val="cs-CZ"/>
        </w:rPr>
      </w:pPr>
      <w:r>
        <w:rPr>
          <w:rFonts w:ascii="Arial" w:hAnsi="Arial" w:eastAsia="Arial"/>
          <w:bCs/>
          <w:sz w:val="22"/>
          <w:lang w:val="cs-CZ"/>
        </w:rPr>
        <w:t xml:space="preserve">Společnost UPS očekává, že dosáhne svých cílů v oblasti konsolidovaných výnosů a provozní marže pro rok 2023 o rok dříve. Pro celý rok 2022 </w:t>
      </w:r>
      <w:r>
        <w:rPr>
          <w:rFonts w:ascii="Arial" w:hAnsi="Arial" w:eastAsia="Arial"/>
          <w:bCs/>
          <w:sz w:val="22"/>
          <w:lang w:val="en-US"/>
        </w:rPr>
        <w:t xml:space="preserve">firma </w:t>
      </w:r>
      <w:r>
        <w:rPr>
          <w:rFonts w:ascii="Arial" w:hAnsi="Arial" w:eastAsia="Arial"/>
          <w:bCs/>
          <w:sz w:val="22"/>
          <w:lang w:val="cs-CZ"/>
        </w:rPr>
        <w:t xml:space="preserve">očekává konsolidované tržby ve výši přibližně 102 </w:t>
      </w:r>
      <w:r>
        <w:rPr>
          <w:rFonts w:ascii="Arial" w:hAnsi="Arial" w:eastAsia="Arial"/>
          <w:bCs/>
          <w:sz w:val="22"/>
          <w:lang w:val="en-US"/>
        </w:rPr>
        <w:t xml:space="preserve">mld. </w:t>
      </w:r>
      <w:r>
        <w:rPr>
          <w:rFonts w:ascii="Arial" w:hAnsi="Arial" w:eastAsia="Arial"/>
          <w:bCs/>
          <w:sz w:val="22"/>
          <w:lang w:val="cs-CZ"/>
        </w:rPr>
        <w:t xml:space="preserve">USD, upravenou provozní marži přibližně 13,7 % a upravenou návratnost investovaného kapitálu nad 30 %. </w:t>
      </w:r>
    </w:p>
    <w:p>
      <w:pPr>
        <w:spacing w:line="288" w:lineRule="auto"/>
        <w:rPr>
          <w:rFonts w:ascii="Arial" w:hAnsi="Arial" w:eastAsia="Arial"/>
          <w:bCs/>
          <w:sz w:val="22"/>
          <w:lang w:val="cs-CZ"/>
        </w:rPr>
      </w:pPr>
    </w:p>
    <w:p>
      <w:pPr>
        <w:spacing w:line="288" w:lineRule="auto"/>
        <w:rPr>
          <w:rFonts w:ascii="Arial" w:hAnsi="Arial" w:eastAsia="Arial"/>
          <w:bCs/>
          <w:sz w:val="22"/>
          <w:lang w:val="cs-CZ"/>
        </w:rPr>
      </w:pPr>
      <w:r>
        <w:rPr>
          <w:rFonts w:ascii="Arial" w:hAnsi="Arial" w:eastAsia="Arial"/>
          <w:bCs/>
          <w:sz w:val="22"/>
          <w:lang w:val="cs-CZ"/>
        </w:rPr>
        <w:t xml:space="preserve">Společnost plánuje kapitálové výdaje ve výši 5,4 % tržeb, tj. přibližně 5,5 </w:t>
      </w:r>
      <w:r>
        <w:rPr>
          <w:rFonts w:ascii="Arial" w:hAnsi="Arial" w:eastAsia="Arial"/>
          <w:bCs/>
          <w:sz w:val="22"/>
          <w:lang w:val="en-US"/>
        </w:rPr>
        <w:t xml:space="preserve">mld. </w:t>
      </w:r>
      <w:r>
        <w:rPr>
          <w:rFonts w:ascii="Arial" w:hAnsi="Arial" w:eastAsia="Arial"/>
          <w:bCs/>
          <w:sz w:val="22"/>
          <w:lang w:val="cs-CZ"/>
        </w:rPr>
        <w:t xml:space="preserve">USD, výplatu dividend ve výši přibližně 5,2 </w:t>
      </w:r>
      <w:r>
        <w:rPr>
          <w:rFonts w:ascii="Arial" w:hAnsi="Arial" w:eastAsia="Arial"/>
          <w:bCs/>
          <w:sz w:val="22"/>
          <w:lang w:val="en-US"/>
        </w:rPr>
        <w:t xml:space="preserve">mld. </w:t>
      </w:r>
      <w:r>
        <w:rPr>
          <w:rFonts w:ascii="Arial" w:hAnsi="Arial" w:eastAsia="Arial"/>
          <w:bCs/>
          <w:sz w:val="22"/>
          <w:lang w:val="cs-CZ"/>
        </w:rPr>
        <w:t xml:space="preserve">USD, která podléhá schválení představenstvem, a zpětný odkup akcií ve výši nejméně 1,0 </w:t>
      </w:r>
      <w:r>
        <w:rPr>
          <w:rFonts w:ascii="Arial" w:hAnsi="Arial" w:eastAsia="Arial"/>
          <w:bCs/>
          <w:sz w:val="22"/>
          <w:lang w:val="en-US"/>
        </w:rPr>
        <w:t xml:space="preserve">mld. </w:t>
      </w:r>
      <w:r>
        <w:rPr>
          <w:rFonts w:ascii="Arial" w:hAnsi="Arial" w:eastAsia="Arial"/>
          <w:bCs/>
          <w:sz w:val="22"/>
          <w:lang w:val="cs-CZ"/>
        </w:rPr>
        <w:t>USD. Efektivní daňová sazba se očekává ve výši přibližně 23,0 %.</w:t>
      </w:r>
    </w:p>
    <w:p>
      <w:pPr>
        <w:spacing w:line="288" w:lineRule="auto"/>
        <w:rPr>
          <w:rFonts w:ascii="Arial" w:hAnsi="Arial" w:eastAsia="Arial"/>
          <w:bCs/>
          <w:sz w:val="22"/>
          <w:lang w:val="cs-CZ"/>
        </w:rPr>
      </w:pPr>
    </w:p>
    <w:p>
      <w:pPr>
        <w:rPr>
          <w:rFonts w:ascii="Arial" w:hAnsi="Arial" w:cs="Arial"/>
          <w:bCs/>
          <w:sz w:val="18"/>
          <w:szCs w:val="18"/>
          <w:vertAlign w:val="subscript"/>
          <w:lang w:val="cs-CZ"/>
        </w:rPr>
      </w:pPr>
      <w:r>
        <w:rPr>
          <w:rFonts w:ascii="Arial" w:hAnsi="Arial" w:cs="Arial"/>
          <w:bCs/>
          <w:sz w:val="18"/>
          <w:szCs w:val="18"/>
          <w:vertAlign w:val="subscript"/>
          <w:lang w:val="cs-CZ"/>
        </w:rPr>
        <w:t xml:space="preserve">* „Upravené“ položky </w:t>
      </w:r>
      <w:r>
        <w:rPr>
          <w:rFonts w:ascii="Arial" w:hAnsi="Arial" w:cs="Arial"/>
          <w:bCs/>
          <w:sz w:val="18"/>
          <w:szCs w:val="18"/>
          <w:vertAlign w:val="subscript"/>
          <w:lang w:val="en-US"/>
        </w:rPr>
        <w:t xml:space="preserve">a volné peněžní toky </w:t>
      </w:r>
      <w:r>
        <w:rPr>
          <w:rFonts w:ascii="Arial" w:hAnsi="Arial" w:cs="Arial"/>
          <w:bCs/>
          <w:sz w:val="18"/>
          <w:szCs w:val="18"/>
          <w:vertAlign w:val="subscript"/>
          <w:lang w:val="cs-CZ"/>
        </w:rPr>
        <w:t xml:space="preserve">jsou zpracovány bez ohledu na účetní zásady GAAP. </w:t>
      </w:r>
      <w:bookmarkStart w:id="1" w:name="_Hlk536731412"/>
      <w:r>
        <w:rPr>
          <w:rFonts w:ascii="Arial" w:hAnsi="Arial" w:cs="Arial"/>
          <w:bCs/>
          <w:sz w:val="18"/>
          <w:szCs w:val="18"/>
          <w:vertAlign w:val="subscript"/>
          <w:lang w:val="cs-CZ"/>
        </w:rPr>
        <w:t xml:space="preserve">Viz příloha tiskové zprávy </w:t>
      </w:r>
      <w:r>
        <w:rPr>
          <w:rFonts w:ascii="Arial" w:hAnsi="Arial" w:cs="Arial"/>
          <w:bCs/>
          <w:sz w:val="18"/>
          <w:szCs w:val="18"/>
          <w:vertAlign w:val="subscript"/>
          <w:lang w:val="en-US"/>
        </w:rPr>
        <w:t>s</w:t>
      </w:r>
      <w:r>
        <w:rPr>
          <w:rFonts w:ascii="Arial" w:hAnsi="Arial" w:cs="Arial"/>
          <w:bCs/>
          <w:sz w:val="18"/>
          <w:szCs w:val="18"/>
          <w:vertAlign w:val="subscript"/>
          <w:lang w:val="cs-CZ"/>
        </w:rPr>
        <w:t xml:space="preserve"> </w:t>
      </w:r>
      <w:r>
        <w:rPr>
          <w:rFonts w:ascii="Arial" w:hAnsi="Arial" w:cs="Arial"/>
          <w:bCs/>
          <w:sz w:val="18"/>
          <w:szCs w:val="18"/>
          <w:vertAlign w:val="subscript"/>
          <w:lang w:val="en-US"/>
        </w:rPr>
        <w:t xml:space="preserve">pojednáním o </w:t>
      </w:r>
      <w:r>
        <w:rPr>
          <w:rFonts w:ascii="Arial" w:hAnsi="Arial" w:cs="Arial"/>
          <w:bCs/>
          <w:sz w:val="18"/>
          <w:szCs w:val="18"/>
          <w:vertAlign w:val="subscript"/>
          <w:lang w:val="cs-CZ"/>
        </w:rPr>
        <w:t xml:space="preserve">finančních metrikách, jiných než podle </w:t>
      </w:r>
      <w:r>
        <w:rPr>
          <w:rFonts w:ascii="Arial" w:hAnsi="Arial" w:cs="Arial"/>
          <w:bCs/>
          <w:sz w:val="18"/>
          <w:szCs w:val="18"/>
          <w:vertAlign w:val="subscript"/>
          <w:lang w:val="en-US"/>
        </w:rPr>
        <w:t xml:space="preserve">účetních </w:t>
      </w:r>
      <w:r>
        <w:rPr>
          <w:rFonts w:ascii="Arial" w:hAnsi="Arial" w:cs="Arial"/>
          <w:bCs/>
          <w:sz w:val="18"/>
          <w:szCs w:val="18"/>
          <w:vertAlign w:val="subscript"/>
          <w:lang w:val="cs-CZ"/>
        </w:rPr>
        <w:t xml:space="preserve">zásad GAAP, </w:t>
      </w:r>
      <w:bookmarkEnd w:id="1"/>
      <w:r>
        <w:rPr>
          <w:rFonts w:ascii="Arial" w:hAnsi="Arial" w:cs="Arial"/>
          <w:bCs/>
          <w:sz w:val="18"/>
          <w:szCs w:val="18"/>
          <w:vertAlign w:val="subscript"/>
          <w:lang w:val="en-US"/>
        </w:rPr>
        <w:t xml:space="preserve">jež zahrnují </w:t>
      </w:r>
      <w:r>
        <w:rPr>
          <w:rFonts w:ascii="Arial" w:hAnsi="Arial" w:cs="Arial"/>
          <w:bCs/>
          <w:sz w:val="18"/>
          <w:szCs w:val="18"/>
          <w:vertAlign w:val="subscript"/>
          <w:lang w:val="cs-CZ"/>
        </w:rPr>
        <w:t>sladění, která se snaží uvedeným zásadám co nejvíce přiblížit.</w:t>
      </w:r>
    </w:p>
    <w:p>
      <w:pPr>
        <w:spacing w:line="288" w:lineRule="auto"/>
        <w:rPr>
          <w:rFonts w:ascii="Arial" w:hAnsi="Arial" w:eastAsia="Arial"/>
          <w:bCs/>
          <w:sz w:val="22"/>
          <w:lang w:val="cs-CZ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ascii="Arial" w:hAnsi="Arial" w:eastAsia="Arial"/>
          <w:bCs/>
          <w:sz w:val="22"/>
          <w:lang w:val="cs-CZ"/>
        </w:rPr>
      </w:pPr>
    </w:p>
    <w:p>
      <w:pPr>
        <w:keepNext w:val="0"/>
        <w:keepLines w:val="0"/>
        <w:pageBreakBefore w:val="0"/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Arial" w:hAnsi="Arial" w:cs="Arial"/>
          <w:b/>
          <w:bCs/>
          <w:color w:val="000000"/>
          <w:sz w:val="22"/>
          <w:szCs w:val="22"/>
          <w:u w:val="single"/>
          <w:lang w:val="cs-CZ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  <w:lang w:val="cs-CZ"/>
        </w:rPr>
        <w:t>Společnost UPS</w:t>
      </w:r>
    </w:p>
    <w:p>
      <w:pPr>
        <w:keepNext w:val="0"/>
        <w:keepLines w:val="0"/>
        <w:pageBreakBefore w:val="0"/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Arial" w:hAnsi="Arial" w:cs="Arial"/>
          <w:color w:val="000000"/>
          <w:sz w:val="22"/>
          <w:szCs w:val="22"/>
          <w:lang w:val="cs-CZ"/>
        </w:rPr>
      </w:pPr>
    </w:p>
    <w:p>
      <w:pPr>
        <w:keepNext w:val="0"/>
        <w:keepLines w:val="0"/>
        <w:pageBreakBefore w:val="0"/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ascii="Arial" w:hAnsi="Arial" w:cs="Arial"/>
          <w:color w:val="000000"/>
          <w:sz w:val="22"/>
          <w:szCs w:val="22"/>
          <w:lang w:val="cs-CZ"/>
        </w:rPr>
      </w:pPr>
      <w:r>
        <w:rPr>
          <w:rFonts w:ascii="Arial" w:hAnsi="Arial" w:eastAsia="Arial" w:cs="Arial"/>
          <w:sz w:val="22"/>
          <w:lang w:val="cs-CZ"/>
        </w:rPr>
        <w:t>Společnost UPS (NYSE:UPS) je jedna z největších pře</w:t>
      </w:r>
      <w:bookmarkStart w:id="2" w:name="_GoBack"/>
      <w:bookmarkEnd w:id="2"/>
      <w:r>
        <w:rPr>
          <w:rFonts w:ascii="Arial" w:hAnsi="Arial" w:eastAsia="Arial" w:cs="Arial"/>
          <w:sz w:val="22"/>
          <w:lang w:val="cs-CZ"/>
        </w:rPr>
        <w:t xml:space="preserve">pravních firem na světě, s příjmy ve výši </w:t>
      </w:r>
      <w:r>
        <w:rPr>
          <w:rFonts w:ascii="Arial" w:hAnsi="Arial" w:eastAsia="Arial" w:cs="Arial"/>
          <w:sz w:val="22"/>
          <w:lang w:val="en-US"/>
        </w:rPr>
        <w:t>97,3</w:t>
      </w:r>
      <w:r>
        <w:rPr>
          <w:rFonts w:ascii="Arial" w:hAnsi="Arial" w:eastAsia="Arial" w:cs="Arial"/>
          <w:sz w:val="22"/>
          <w:lang w:val="cs-CZ"/>
        </w:rPr>
        <w:t xml:space="preserve"> mld. USD. Zákazníkům nabízí širokou škálu integrovaných logistických řešení ve více než 220 zemích a teritoriích světa. </w:t>
      </w:r>
      <w:r>
        <w:rPr>
          <w:rFonts w:ascii="Arial" w:hAnsi="Arial" w:eastAsia="Arial" w:cs="Arial"/>
          <w:sz w:val="22"/>
          <w:lang w:val="en-US"/>
        </w:rPr>
        <w:t>Cílem společnosti je “</w:t>
      </w:r>
      <w:r>
        <w:rPr>
          <w:rFonts w:ascii="Arial" w:hAnsi="Arial" w:eastAsia="Arial"/>
          <w:sz w:val="22"/>
          <w:lang w:val="en-US"/>
        </w:rPr>
        <w:t xml:space="preserve">Posouvat svět kupředu doručováním toho, na čem záleží". </w:t>
      </w:r>
      <w:r>
        <w:rPr>
          <w:rFonts w:ascii="Arial" w:hAnsi="Arial" w:eastAsia="Arial" w:cs="Arial"/>
          <w:sz w:val="22"/>
          <w:lang w:val="cs-CZ"/>
        </w:rPr>
        <w:t>S </w:t>
      </w:r>
      <w:r>
        <w:rPr>
          <w:rFonts w:ascii="Arial" w:hAnsi="Arial" w:eastAsia="Arial" w:cs="Arial"/>
          <w:sz w:val="22"/>
          <w:lang w:val="en-US"/>
        </w:rPr>
        <w:t xml:space="preserve">přispěním svých </w:t>
      </w:r>
      <w:r>
        <w:rPr>
          <w:rFonts w:ascii="Arial" w:hAnsi="Arial" w:eastAsia="Arial" w:cs="Arial"/>
          <w:sz w:val="22"/>
          <w:lang w:val="cs-CZ"/>
        </w:rPr>
        <w:t>5</w:t>
      </w:r>
      <w:r>
        <w:rPr>
          <w:rFonts w:ascii="Arial" w:hAnsi="Arial" w:eastAsia="Arial" w:cs="Arial"/>
          <w:sz w:val="22"/>
          <w:lang w:val="en-US"/>
        </w:rPr>
        <w:t>34</w:t>
      </w:r>
      <w:r>
        <w:rPr>
          <w:rFonts w:ascii="Arial" w:hAnsi="Arial" w:eastAsia="Arial" w:cs="Arial"/>
          <w:sz w:val="22"/>
          <w:lang w:val="cs-CZ"/>
        </w:rPr>
        <w:t xml:space="preserve"> tisíc zaměstnanců UPS důsledně prosazuje jednoduchou firemní strategii: Se zákazníkem na prvním místě, vedená lidmi, poháněná inovacemi. UPS se zavázala snížit svůj dopad na životní prostředí a podporovat komunity na celém světě. Společnost zaujímá také pevný a nekompromisní postoj k podpoře</w:t>
      </w:r>
      <w:r>
        <w:rPr>
          <w:rFonts w:ascii="Arial" w:hAnsi="Arial" w:cs="Arial"/>
          <w:color w:val="000000"/>
          <w:sz w:val="22"/>
          <w:szCs w:val="22"/>
          <w:lang w:val="cs-CZ"/>
        </w:rPr>
        <w:t xml:space="preserve"> diverzity, rovnosti a začleňování. 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Více </w:t>
      </w:r>
      <w:r>
        <w:rPr>
          <w:rFonts w:ascii="Arial" w:hAnsi="Arial" w:cs="Arial"/>
          <w:color w:val="000000"/>
          <w:sz w:val="22"/>
          <w:szCs w:val="22"/>
          <w:lang w:val="cs-CZ"/>
        </w:rPr>
        <w:t>Informac</w:t>
      </w:r>
      <w:r>
        <w:rPr>
          <w:rFonts w:ascii="Arial" w:hAnsi="Arial" w:cs="Arial"/>
          <w:color w:val="000000"/>
          <w:sz w:val="22"/>
          <w:szCs w:val="22"/>
          <w:lang w:val="en-US"/>
        </w:rPr>
        <w:t>í</w:t>
      </w:r>
      <w:r>
        <w:rPr>
          <w:rFonts w:ascii="Arial" w:hAnsi="Arial" w:cs="Arial"/>
          <w:color w:val="000000"/>
          <w:sz w:val="22"/>
          <w:szCs w:val="22"/>
          <w:lang w:val="cs-CZ"/>
        </w:rPr>
        <w:t xml:space="preserve"> o společnosti naleznete na </w:t>
      </w:r>
      <w:r>
        <w:fldChar w:fldCharType="begin"/>
      </w:r>
      <w:r>
        <w:instrText xml:space="preserve"> HYPERLINK "http://www.ups.com/" \h </w:instrText>
      </w:r>
      <w:r>
        <w:fldChar w:fldCharType="separate"/>
      </w:r>
      <w:r>
        <w:rPr>
          <w:rStyle w:val="10"/>
          <w:rFonts w:ascii="Arial" w:hAnsi="Arial" w:cs="Arial"/>
          <w:color w:val="4F81BD" w:themeColor="accent1"/>
          <w:sz w:val="22"/>
          <w:szCs w:val="22"/>
          <w:lang w:val="cs-CZ"/>
          <w14:textFill>
            <w14:solidFill>
              <w14:schemeClr w14:val="accent1"/>
            </w14:solidFill>
          </w14:textFill>
        </w:rPr>
        <w:t>ups.com</w:t>
      </w:r>
      <w:r>
        <w:rPr>
          <w:rStyle w:val="10"/>
          <w:rFonts w:ascii="Arial" w:hAnsi="Arial" w:cs="Arial"/>
          <w:color w:val="4F81BD" w:themeColor="accent1"/>
          <w:sz w:val="22"/>
          <w:szCs w:val="22"/>
          <w:lang w:val="cs-CZ"/>
          <w14:textFill>
            <w14:solidFill>
              <w14:schemeClr w14:val="accent1"/>
            </w14:solidFill>
          </w14:textFill>
        </w:rPr>
        <w:fldChar w:fldCharType="end"/>
      </w:r>
      <w:r>
        <w:rPr>
          <w:rFonts w:ascii="Arial" w:hAnsi="Arial" w:cs="Arial"/>
          <w:color w:val="000000"/>
          <w:sz w:val="22"/>
          <w:szCs w:val="22"/>
          <w:lang w:val="cs-CZ"/>
        </w:rPr>
        <w:t>,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>
        <w:fldChar w:fldCharType="begin"/>
      </w:r>
      <w:r>
        <w:instrText xml:space="preserve"> HYPERLINK "https://about.ups.com/us/en/home.html" \h </w:instrText>
      </w:r>
      <w:r>
        <w:fldChar w:fldCharType="separate"/>
      </w:r>
      <w:r>
        <w:rPr>
          <w:rStyle w:val="10"/>
          <w:rFonts w:ascii="Arial" w:hAnsi="Arial" w:cs="Arial"/>
          <w:color w:val="000000"/>
          <w:sz w:val="22"/>
          <w:szCs w:val="22"/>
          <w:lang w:val="cs-CZ"/>
        </w:rPr>
        <w:t>about.ups.com</w:t>
      </w:r>
      <w:r>
        <w:rPr>
          <w:rStyle w:val="10"/>
          <w:rFonts w:ascii="Arial" w:hAnsi="Arial" w:cs="Arial"/>
          <w:color w:val="000000"/>
          <w:sz w:val="22"/>
          <w:szCs w:val="22"/>
          <w:lang w:val="cs-CZ"/>
        </w:rPr>
        <w:fldChar w:fldCharType="end"/>
      </w:r>
      <w:r>
        <w:rPr>
          <w:rFonts w:ascii="Arial" w:hAnsi="Arial" w:cs="Arial"/>
          <w:color w:val="000000"/>
          <w:sz w:val="22"/>
          <w:szCs w:val="22"/>
          <w:lang w:val="cs-CZ"/>
        </w:rPr>
        <w:t xml:space="preserve"> a </w:t>
      </w:r>
      <w:r>
        <w:fldChar w:fldCharType="begin"/>
      </w:r>
      <w:r>
        <w:instrText xml:space="preserve"> HYPERLINK "http://www.investors.ups.com/" \h </w:instrText>
      </w:r>
      <w:r>
        <w:fldChar w:fldCharType="separate"/>
      </w:r>
      <w:r>
        <w:rPr>
          <w:rStyle w:val="10"/>
          <w:rFonts w:ascii="Arial" w:hAnsi="Arial" w:cs="Arial"/>
          <w:color w:val="4F81BD" w:themeColor="accent1"/>
          <w:sz w:val="22"/>
          <w:szCs w:val="22"/>
          <w:lang w:val="cs-CZ"/>
          <w14:textFill>
            <w14:solidFill>
              <w14:schemeClr w14:val="accent1"/>
            </w14:solidFill>
          </w14:textFill>
        </w:rPr>
        <w:t>investors.ups.com</w:t>
      </w:r>
      <w:r>
        <w:rPr>
          <w:rStyle w:val="10"/>
          <w:rFonts w:ascii="Arial" w:hAnsi="Arial" w:cs="Arial"/>
          <w:color w:val="4F81BD" w:themeColor="accent1"/>
          <w:sz w:val="22"/>
          <w:szCs w:val="22"/>
          <w:lang w:val="cs-CZ"/>
          <w14:textFill>
            <w14:solidFill>
              <w14:schemeClr w14:val="accent1"/>
            </w14:solidFill>
          </w14:textFill>
        </w:rPr>
        <w:fldChar w:fldCharType="end"/>
      </w:r>
      <w:r>
        <w:rPr>
          <w:rFonts w:ascii="Arial" w:hAnsi="Arial" w:cs="Arial"/>
          <w:color w:val="000000"/>
          <w:sz w:val="22"/>
          <w:szCs w:val="22"/>
          <w:lang w:val="cs-CZ"/>
        </w:rPr>
        <w:t xml:space="preserve">. </w:t>
      </w:r>
    </w:p>
    <w:p>
      <w:pPr>
        <w:spacing w:line="288" w:lineRule="auto"/>
        <w:rPr>
          <w:rFonts w:ascii="Arial" w:hAnsi="Arial" w:eastAsia="Arial" w:cs="Arial"/>
          <w:color w:val="auto"/>
          <w:sz w:val="22"/>
        </w:rPr>
      </w:pPr>
    </w:p>
    <w:p>
      <w:pPr>
        <w:spacing w:line="288" w:lineRule="auto"/>
        <w:jc w:val="center"/>
        <w:rPr>
          <w:rFonts w:hint="default" w:ascii="Arial" w:hAnsi="Arial" w:eastAsia="Arial" w:cs="Arial"/>
          <w:color w:val="auto"/>
          <w:sz w:val="22"/>
          <w:lang w:val="en-US"/>
        </w:rPr>
      </w:pPr>
      <w:r>
        <w:rPr>
          <w:rFonts w:hint="default" w:ascii="Arial" w:hAnsi="Arial" w:eastAsia="Arial" w:cs="Arial"/>
          <w:color w:val="auto"/>
          <w:sz w:val="22"/>
          <w:lang w:val="en-US"/>
        </w:rPr>
        <w:t># # #</w:t>
      </w:r>
    </w:p>
    <w:p>
      <w:pPr>
        <w:spacing w:line="288" w:lineRule="auto"/>
        <w:rPr>
          <w:color w:val="auto"/>
          <w:sz w:val="20"/>
        </w:rPr>
      </w:pPr>
    </w:p>
    <w:sectPr>
      <w:headerReference r:id="rId4" w:type="default"/>
      <w:footerReference r:id="rId5" w:type="default"/>
      <w:pgSz w:w="12240" w:h="15840"/>
      <w:pgMar w:top="1440" w:right="1170" w:bottom="1440" w:left="1170" w:header="270" w:footer="270" w:gutter="0"/>
      <w:pgNumType w:fmt="decimal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ans">
    <w:panose1 w:val="020B0604020202020204"/>
    <w:charset w:val="01"/>
    <w:family w:val="swiss"/>
    <w:pitch w:val="default"/>
    <w:sig w:usb0="E0000AFF" w:usb1="500078FF" w:usb2="00000021" w:usb3="00000000" w:csb0="600001BF" w:csb1="DFF70000"/>
  </w:font>
  <w:font w:name="Noto Sans CJK SC">
    <w:altName w:val="Noto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to Sans">
    <w:panose1 w:val="020B0502040504020204"/>
    <w:charset w:val="00"/>
    <w:family w:val="auto"/>
    <w:pitch w:val="default"/>
    <w:sig w:usb0="E00002FF" w:usb1="4000001F" w:usb2="08000029" w:usb3="00100000" w:csb0="00000000" w:csb1="00000000"/>
  </w:font>
  <w:font w:name="Noto Sans Devanagari">
    <w:altName w:val="Noto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1"/>
    <w:family w:val="auto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88" w:lineRule="auto"/>
      <w:rPr>
        <w:rFonts w:ascii="Arial" w:hAnsi="Arial" w:eastAsia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88" w:lineRule="auto"/>
      <w:rPr>
        <w:rFonts w:ascii="Arial" w:hAnsi="Arial" w:eastAsia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•"/>
      <w:lvlJc w:val="left"/>
      <w:pPr>
        <w:tabs>
          <w:tab w:val="left" w:pos="720"/>
        </w:tabs>
        <w:ind w:left="720" w:hanging="360"/>
      </w:pPr>
      <w:rPr>
        <w:rFonts w:eastAsia="Arial" w:cs="Arial"/>
        <w:color w:val="000000"/>
        <w:sz w:val="22"/>
      </w:rPr>
    </w:lvl>
    <w:lvl w:ilvl="1" w:tentative="0">
      <w:start w:val="1"/>
      <w:numFmt w:val="lowerLetter"/>
      <w:lvlText w:val="◦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▪"/>
      <w:lvlJc w:val="lef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•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◦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▪"/>
      <w:lvlJc w:val="lef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•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◦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▪"/>
      <w:lvlJc w:val="left"/>
      <w:pPr>
        <w:tabs>
          <w:tab w:val="left" w:pos="6480"/>
        </w:tabs>
        <w:ind w:left="6480" w:hanging="180"/>
      </w:pPr>
    </w:lvl>
  </w:abstractNum>
  <w:abstractNum w:abstractNumId="1">
    <w:nsid w:val="03D62ECE"/>
    <w:multiLevelType w:val="multilevel"/>
    <w:tmpl w:val="03D62ECE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hint="default" w:ascii="Symbol" w:hAnsi="Symbol" w:cs="Symbol"/>
      </w:rPr>
    </w:lvl>
    <w:lvl w:ilvl="1" w:tentative="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hint="default"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doNotDisplayPageBoundaries w:val="1"/>
  <w:documentProtection w:enforcement="0"/>
  <w:defaultTabStop w:val="720"/>
  <w:autoHyphenation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052176"/>
    <w:rsid w:val="33A14C94"/>
    <w:rsid w:val="67C04EF3"/>
    <w:rsid w:val="7A4B72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spacing w:before="0" w:after="140" w:line="276" w:lineRule="auto"/>
    </w:p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6">
    <w:name w:val="footer"/>
    <w:basedOn w:val="7"/>
    <w:uiPriority w:val="0"/>
  </w:style>
  <w:style w:type="paragraph" w:customStyle="1" w:styleId="7">
    <w:name w:val="Záhlaví a zápatí"/>
    <w:basedOn w:val="1"/>
    <w:qFormat/>
    <w:uiPriority w:val="0"/>
  </w:style>
  <w:style w:type="paragraph" w:styleId="8">
    <w:name w:val="header"/>
    <w:basedOn w:val="7"/>
    <w:uiPriority w:val="0"/>
  </w:style>
  <w:style w:type="paragraph" w:styleId="9">
    <w:name w:val="List"/>
    <w:basedOn w:val="4"/>
    <w:uiPriority w:val="0"/>
    <w:rPr>
      <w:rFonts w:cs="Noto Sans Devanagari"/>
    </w:rPr>
  </w:style>
  <w:style w:type="character" w:customStyle="1" w:styleId="10">
    <w:name w:val="Internetový odkaz"/>
    <w:basedOn w:val="2"/>
    <w:semiHidden/>
    <w:unhideWhenUsed/>
    <w:qFormat/>
    <w:uiPriority w:val="99"/>
    <w:rPr>
      <w:color w:val="0563C1"/>
      <w:u w:val="single"/>
    </w:rPr>
  </w:style>
  <w:style w:type="paragraph" w:customStyle="1" w:styleId="11">
    <w:name w:val="Nadpis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customStyle="1" w:styleId="12">
    <w:name w:val="Rejstřík"/>
    <w:basedOn w:val="1"/>
    <w:qFormat/>
    <w:uiPriority w:val="0"/>
    <w:pPr>
      <w:suppressLineNumbers/>
    </w:pPr>
    <w:rPr>
      <w:rFonts w:cs="Noto Sans Devanagari"/>
    </w:rPr>
  </w:style>
  <w:style w:type="paragraph" w:styleId="13">
    <w:name w:val="List Paragraph"/>
    <w:basedOn w:val="1"/>
    <w:qFormat/>
    <w:uiPriority w:val="34"/>
    <w:pPr>
      <w:spacing w:before="0" w:after="0"/>
      <w:ind w:left="720" w:firstLine="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1756</Words>
  <Characters>9114</Characters>
  <Paragraphs>162</Paragraphs>
  <TotalTime>43</TotalTime>
  <ScaleCrop>false</ScaleCrop>
  <LinksUpToDate>false</LinksUpToDate>
  <CharactersWithSpaces>10708</CharactersWithSpaces>
  <Application>WPS Office_11.2.0.10463_F1E327BC-269C-435d-A152-05C5408002CA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2022-01-31T21:32:00Z</dcterms:created>
  <dc:creator>Suing Cameron (ZPN1DKH)</dc:creator>
  <cp:lastModifiedBy>karla.krejci</cp:lastModifiedBy>
  <dcterms:modified xsi:type="dcterms:W3CDTF">2022-02-01T14:57:53Z</dcterms:modified>
  <dc:title>4Q-2021 Earnings Release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200E1A14F79F4A408B819190288458C2</vt:lpwstr>
  </property>
  <property fmtid="{D5CDD505-2E9C-101B-9397-08002B2CF9AE}" pid="3" name="KSOProductBuildVer">
    <vt:lpwstr>1033-11.2.0.10463</vt:lpwstr>
  </property>
</Properties>
</file>