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29" w:rsidRDefault="00926E29">
      <w:pPr>
        <w:rPr>
          <w:rFonts w:ascii="Arial" w:hAnsi="Arial" w:cs="Arial"/>
          <w:sz w:val="20"/>
          <w:szCs w:val="20"/>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6in;margin-top:2.3pt;width:45pt;height:54pt;z-index:251658240;visibility:visible">
            <v:imagedata r:id="rId7" o:title=""/>
            <w10:wrap type="square"/>
          </v:shape>
        </w:pict>
      </w:r>
    </w:p>
    <w:p w:rsidR="00926E29" w:rsidRPr="00B85CCD" w:rsidRDefault="00926E29" w:rsidP="005C42B5">
      <w:pPr>
        <w:rPr>
          <w:rFonts w:ascii="Arial" w:hAnsi="Arial" w:cs="Arial"/>
          <w:b/>
        </w:rPr>
      </w:pPr>
      <w:r>
        <w:rPr>
          <w:rFonts w:ascii="Arial" w:hAnsi="Arial" w:cs="Arial"/>
          <w:sz w:val="20"/>
          <w:szCs w:val="20"/>
        </w:rPr>
        <w:t>Contacts</w:t>
      </w:r>
      <w:r w:rsidRPr="00B85CCD">
        <w:rPr>
          <w:rFonts w:ascii="Arial" w:hAnsi="Arial" w:cs="Arial"/>
          <w:sz w:val="20"/>
          <w:szCs w:val="20"/>
        </w:rPr>
        <w:t>:</w:t>
      </w:r>
      <w:r w:rsidRPr="00B85CCD">
        <w:rPr>
          <w:rFonts w:ascii="Arial" w:hAnsi="Arial" w:cs="Arial"/>
          <w:sz w:val="16"/>
        </w:rPr>
        <w:tab/>
      </w:r>
      <w:r>
        <w:rPr>
          <w:rFonts w:ascii="Arial" w:hAnsi="Arial" w:cs="Arial"/>
          <w:sz w:val="20"/>
          <w:szCs w:val="20"/>
        </w:rPr>
        <w:t>Steve Gaut,</w:t>
      </w:r>
      <w:r w:rsidRPr="00B85CCD">
        <w:rPr>
          <w:rFonts w:ascii="Arial" w:hAnsi="Arial" w:cs="Arial"/>
          <w:sz w:val="20"/>
          <w:szCs w:val="20"/>
        </w:rPr>
        <w:t xml:space="preserve"> Public Relations</w:t>
      </w:r>
    </w:p>
    <w:p w:rsidR="00926E29" w:rsidRPr="00B85CCD" w:rsidRDefault="00926E29" w:rsidP="005C42B5">
      <w:pPr>
        <w:rPr>
          <w:rFonts w:ascii="Arial" w:hAnsi="Arial" w:cs="Arial"/>
          <w:b/>
        </w:rPr>
      </w:pPr>
      <w:r w:rsidRPr="00B85CCD">
        <w:rPr>
          <w:rFonts w:ascii="Arial" w:hAnsi="Arial" w:cs="Arial"/>
          <w:sz w:val="20"/>
          <w:szCs w:val="20"/>
        </w:rPr>
        <w:tab/>
      </w:r>
      <w:r w:rsidRPr="00B85CCD">
        <w:rPr>
          <w:rFonts w:ascii="Arial" w:hAnsi="Arial" w:cs="Arial"/>
          <w:sz w:val="20"/>
          <w:szCs w:val="20"/>
        </w:rPr>
        <w:tab/>
      </w:r>
      <w:r>
        <w:rPr>
          <w:rFonts w:ascii="Arial" w:hAnsi="Arial" w:cs="Arial"/>
          <w:sz w:val="20"/>
          <w:szCs w:val="20"/>
        </w:rPr>
        <w:t xml:space="preserve">+1 </w:t>
      </w:r>
      <w:r w:rsidRPr="00B85CCD">
        <w:rPr>
          <w:rFonts w:ascii="Arial" w:hAnsi="Arial" w:cs="Arial"/>
          <w:sz w:val="20"/>
          <w:szCs w:val="20"/>
        </w:rPr>
        <w:t>404-828-</w:t>
      </w:r>
      <w:r>
        <w:rPr>
          <w:rFonts w:ascii="Arial" w:hAnsi="Arial" w:cs="Arial"/>
          <w:sz w:val="20"/>
          <w:szCs w:val="20"/>
        </w:rPr>
        <w:t>8787</w:t>
      </w:r>
    </w:p>
    <w:p w:rsidR="00926E29" w:rsidRPr="00E57561" w:rsidRDefault="00926E29">
      <w:pPr>
        <w:pStyle w:val="Heading4"/>
        <w:spacing w:before="0" w:after="0"/>
        <w:ind w:left="720" w:firstLine="720"/>
        <w:rPr>
          <w:rFonts w:ascii="Arial" w:hAnsi="Arial" w:cs="Arial"/>
          <w:b w:val="0"/>
          <w:sz w:val="16"/>
          <w:szCs w:val="16"/>
        </w:rPr>
      </w:pPr>
    </w:p>
    <w:p w:rsidR="00926E29" w:rsidRPr="00B85CCD" w:rsidRDefault="00926E29">
      <w:pPr>
        <w:pStyle w:val="Heading4"/>
        <w:spacing w:before="0" w:after="0"/>
        <w:ind w:left="720" w:firstLine="720"/>
        <w:rPr>
          <w:rFonts w:ascii="Arial" w:hAnsi="Arial" w:cs="Arial"/>
          <w:b w:val="0"/>
          <w:sz w:val="20"/>
          <w:szCs w:val="20"/>
        </w:rPr>
      </w:pPr>
      <w:r>
        <w:rPr>
          <w:rFonts w:ascii="Arial" w:hAnsi="Arial" w:cs="Arial"/>
          <w:b w:val="0"/>
          <w:sz w:val="20"/>
          <w:szCs w:val="20"/>
        </w:rPr>
        <w:t>Scott Childress</w:t>
      </w:r>
      <w:r w:rsidRPr="00B85CCD">
        <w:rPr>
          <w:rFonts w:ascii="Arial" w:hAnsi="Arial" w:cs="Arial"/>
          <w:b w:val="0"/>
          <w:sz w:val="20"/>
          <w:szCs w:val="20"/>
        </w:rPr>
        <w:t>, Investor Relations</w:t>
      </w:r>
    </w:p>
    <w:p w:rsidR="00926E29" w:rsidRDefault="00926E29">
      <w:pPr>
        <w:rPr>
          <w:rFonts w:ascii="Arial" w:hAnsi="Arial" w:cs="Arial"/>
          <w:sz w:val="20"/>
          <w:szCs w:val="20"/>
        </w:rPr>
      </w:pPr>
      <w:r w:rsidRPr="00B85CCD">
        <w:rPr>
          <w:rFonts w:ascii="Arial" w:hAnsi="Arial" w:cs="Arial"/>
          <w:sz w:val="20"/>
          <w:szCs w:val="20"/>
        </w:rPr>
        <w:tab/>
      </w:r>
      <w:r w:rsidRPr="00B85CCD">
        <w:rPr>
          <w:rFonts w:ascii="Arial" w:hAnsi="Arial" w:cs="Arial"/>
          <w:sz w:val="20"/>
          <w:szCs w:val="20"/>
        </w:rPr>
        <w:tab/>
      </w:r>
      <w:r>
        <w:rPr>
          <w:rFonts w:ascii="Arial" w:hAnsi="Arial" w:cs="Arial"/>
          <w:sz w:val="20"/>
          <w:szCs w:val="20"/>
        </w:rPr>
        <w:t xml:space="preserve">+1 </w:t>
      </w:r>
      <w:r w:rsidRPr="00B85CCD">
        <w:rPr>
          <w:rFonts w:ascii="Arial" w:hAnsi="Arial" w:cs="Arial"/>
          <w:sz w:val="20"/>
          <w:szCs w:val="20"/>
        </w:rPr>
        <w:t>404-828-</w:t>
      </w:r>
      <w:r>
        <w:rPr>
          <w:rFonts w:ascii="Arial" w:hAnsi="Arial" w:cs="Arial"/>
          <w:sz w:val="20"/>
          <w:szCs w:val="20"/>
        </w:rPr>
        <w:t>7957</w:t>
      </w:r>
    </w:p>
    <w:p w:rsidR="00926E29" w:rsidRPr="00E71984" w:rsidRDefault="00926E29" w:rsidP="00E71984">
      <w:pPr>
        <w:pStyle w:val="Heading4"/>
        <w:spacing w:before="0" w:after="0"/>
        <w:ind w:left="720" w:firstLine="720"/>
        <w:rPr>
          <w:rFonts w:ascii="Arial" w:hAnsi="Arial" w:cs="Arial"/>
          <w:b w:val="0"/>
          <w:sz w:val="16"/>
          <w:szCs w:val="16"/>
        </w:rPr>
      </w:pPr>
    </w:p>
    <w:p w:rsidR="00926E29" w:rsidRDefault="00926E29" w:rsidP="00E71984">
      <w:pPr>
        <w:pStyle w:val="msonospacing0"/>
        <w:ind w:left="720" w:firstLine="720"/>
        <w:rPr>
          <w:rFonts w:ascii="Arial" w:hAnsi="Arial" w:cs="Arial"/>
          <w:sz w:val="20"/>
          <w:szCs w:val="20"/>
        </w:rPr>
      </w:pPr>
      <w:r>
        <w:rPr>
          <w:rFonts w:ascii="Arial" w:hAnsi="Arial" w:cs="Arial"/>
          <w:sz w:val="20"/>
          <w:szCs w:val="20"/>
        </w:rPr>
        <w:t>Karla Krejci, Donath Business &amp; Media</w:t>
      </w:r>
    </w:p>
    <w:p w:rsidR="00926E29" w:rsidRDefault="00926E29" w:rsidP="00E71984">
      <w:pPr>
        <w:pStyle w:val="Heading4"/>
        <w:keepNext w:val="0"/>
        <w:spacing w:before="0" w:after="0"/>
        <w:ind w:left="1440"/>
        <w:rPr>
          <w:rFonts w:ascii="Arial" w:hAnsi="Arial" w:cs="Arial"/>
          <w:sz w:val="20"/>
          <w:szCs w:val="20"/>
        </w:rPr>
      </w:pPr>
      <w:r>
        <w:rPr>
          <w:rFonts w:ascii="Arial" w:hAnsi="Arial" w:cs="Arial"/>
          <w:b w:val="0"/>
          <w:sz w:val="20"/>
          <w:szCs w:val="20"/>
          <w:lang w:val="cs-CZ"/>
        </w:rPr>
        <w:t>+420 224 211 220</w:t>
      </w:r>
    </w:p>
    <w:p w:rsidR="00926E29" w:rsidRDefault="00926E29" w:rsidP="00E71984">
      <w:pPr>
        <w:ind w:left="589" w:firstLine="851"/>
        <w:rPr>
          <w:rFonts w:ascii="Arial" w:hAnsi="Arial" w:cs="Arial"/>
          <w:sz w:val="20"/>
          <w:szCs w:val="20"/>
          <w:lang w:val="cs-CZ"/>
        </w:rPr>
      </w:pPr>
      <w:hyperlink r:id="rId8" w:history="1">
        <w:r>
          <w:rPr>
            <w:rStyle w:val="Hyperlink"/>
            <w:rFonts w:ascii="Arial" w:hAnsi="Arial" w:cs="Arial"/>
            <w:sz w:val="20"/>
            <w:szCs w:val="20"/>
          </w:rPr>
          <w:t>karla.krejci@dbm.cz</w:t>
        </w:r>
      </w:hyperlink>
    </w:p>
    <w:p w:rsidR="00926E29" w:rsidRPr="00EF7421" w:rsidRDefault="00926E29">
      <w:pPr>
        <w:rPr>
          <w:rFonts w:ascii="Arial" w:hAnsi="Arial" w:cs="Arial"/>
          <w:szCs w:val="20"/>
        </w:rPr>
      </w:pPr>
    </w:p>
    <w:p w:rsidR="00926E29" w:rsidRPr="001D3F51" w:rsidRDefault="00926E29" w:rsidP="007B357E">
      <w:pPr>
        <w:rPr>
          <w:rFonts w:ascii="Arial" w:hAnsi="Arial" w:cs="Arial"/>
          <w:sz w:val="18"/>
          <w:szCs w:val="22"/>
        </w:rPr>
      </w:pPr>
    </w:p>
    <w:p w:rsidR="00926E29" w:rsidRPr="001D3F51" w:rsidRDefault="00926E29" w:rsidP="001D3F51">
      <w:pPr>
        <w:ind w:left="180"/>
        <w:jc w:val="center"/>
        <w:rPr>
          <w:rFonts w:ascii="Arial" w:hAnsi="Arial" w:cs="Arial"/>
          <w:b/>
          <w:sz w:val="32"/>
          <w:szCs w:val="44"/>
        </w:rPr>
      </w:pPr>
      <w:r w:rsidRPr="001D3F51">
        <w:rPr>
          <w:rFonts w:ascii="Arial" w:hAnsi="Arial" w:cs="Arial"/>
          <w:b/>
          <w:sz w:val="32"/>
          <w:szCs w:val="44"/>
        </w:rPr>
        <w:t xml:space="preserve">UPS REVENUE ACCELERATES IN 4Q AND PRODUCES </w:t>
      </w:r>
      <w:r>
        <w:rPr>
          <w:rFonts w:ascii="Arial" w:hAnsi="Arial" w:cs="Arial"/>
          <w:b/>
          <w:sz w:val="32"/>
          <w:szCs w:val="44"/>
        </w:rPr>
        <w:t xml:space="preserve">RECORD </w:t>
      </w:r>
      <w:r w:rsidRPr="001D3F51">
        <w:rPr>
          <w:rFonts w:ascii="Arial" w:hAnsi="Arial" w:cs="Arial"/>
          <w:b/>
          <w:sz w:val="32"/>
          <w:szCs w:val="44"/>
        </w:rPr>
        <w:t>$6</w:t>
      </w:r>
      <w:r>
        <w:rPr>
          <w:rFonts w:ascii="Arial" w:hAnsi="Arial" w:cs="Arial"/>
          <w:b/>
          <w:sz w:val="32"/>
          <w:szCs w:val="44"/>
        </w:rPr>
        <w:t>1</w:t>
      </w:r>
      <w:r w:rsidRPr="001D3F51">
        <w:rPr>
          <w:rFonts w:ascii="Arial" w:hAnsi="Arial" w:cs="Arial"/>
          <w:b/>
          <w:sz w:val="32"/>
          <w:szCs w:val="44"/>
        </w:rPr>
        <w:t xml:space="preserve"> BILLION FOR </w:t>
      </w:r>
      <w:r>
        <w:rPr>
          <w:rFonts w:ascii="Arial" w:hAnsi="Arial" w:cs="Arial"/>
          <w:b/>
          <w:sz w:val="32"/>
          <w:szCs w:val="44"/>
        </w:rPr>
        <w:t>2016</w:t>
      </w:r>
    </w:p>
    <w:p w:rsidR="00926E29" w:rsidRPr="001D3F51" w:rsidRDefault="00926E29" w:rsidP="001D3F51">
      <w:pPr>
        <w:ind w:left="180"/>
        <w:jc w:val="center"/>
        <w:rPr>
          <w:rFonts w:ascii="Arial" w:hAnsi="Arial" w:cs="Arial"/>
          <w:b/>
          <w:sz w:val="22"/>
          <w:szCs w:val="44"/>
        </w:rPr>
      </w:pPr>
    </w:p>
    <w:p w:rsidR="00926E29" w:rsidRDefault="00926E29" w:rsidP="00365000">
      <w:pPr>
        <w:pStyle w:val="ListParagraph"/>
        <w:numPr>
          <w:ilvl w:val="0"/>
          <w:numId w:val="35"/>
        </w:numPr>
        <w:ind w:left="540"/>
        <w:rPr>
          <w:rFonts w:ascii="Arial" w:hAnsi="Arial" w:cs="Arial"/>
          <w:b/>
          <w:i/>
        </w:rPr>
      </w:pPr>
      <w:r>
        <w:rPr>
          <w:rFonts w:ascii="Arial" w:hAnsi="Arial" w:cs="Arial"/>
          <w:b/>
          <w:i/>
        </w:rPr>
        <w:t>US Domestic 4Q Revenue Climbs 6.3%, Driven by Ecommerce</w:t>
      </w:r>
    </w:p>
    <w:p w:rsidR="00926E29" w:rsidRPr="001D3F51" w:rsidRDefault="00926E29" w:rsidP="00523B11">
      <w:pPr>
        <w:pStyle w:val="ListParagraph"/>
        <w:numPr>
          <w:ilvl w:val="0"/>
          <w:numId w:val="35"/>
        </w:numPr>
        <w:ind w:left="540"/>
        <w:rPr>
          <w:rFonts w:ascii="Arial" w:hAnsi="Arial" w:cs="Arial"/>
          <w:b/>
          <w:i/>
        </w:rPr>
      </w:pPr>
      <w:r>
        <w:rPr>
          <w:rFonts w:ascii="Arial" w:hAnsi="Arial" w:cs="Arial"/>
          <w:b/>
          <w:i/>
        </w:rPr>
        <w:t>International Export Shipments Soar 8.4%, Led by Asia and Europe Regions</w:t>
      </w:r>
    </w:p>
    <w:p w:rsidR="00926E29" w:rsidRDefault="00926E29" w:rsidP="00E84F4E">
      <w:pPr>
        <w:pStyle w:val="ListParagraph"/>
        <w:numPr>
          <w:ilvl w:val="0"/>
          <w:numId w:val="35"/>
        </w:numPr>
        <w:ind w:left="540"/>
        <w:rPr>
          <w:rFonts w:ascii="Arial" w:hAnsi="Arial" w:cs="Arial"/>
          <w:b/>
          <w:i/>
        </w:rPr>
      </w:pPr>
      <w:r>
        <w:rPr>
          <w:rFonts w:ascii="Arial" w:hAnsi="Arial" w:cs="Arial"/>
          <w:b/>
          <w:i/>
        </w:rPr>
        <w:t>4Q EPS of -$0.27, due to Mark-to-Market Pension Charge</w:t>
      </w:r>
    </w:p>
    <w:p w:rsidR="00926E29" w:rsidRPr="00950D38" w:rsidRDefault="00926E29" w:rsidP="00E84F4E">
      <w:pPr>
        <w:pStyle w:val="ListParagraph"/>
        <w:numPr>
          <w:ilvl w:val="0"/>
          <w:numId w:val="35"/>
        </w:numPr>
        <w:ind w:left="540"/>
        <w:rPr>
          <w:rFonts w:ascii="Arial" w:hAnsi="Arial" w:cs="Arial"/>
          <w:b/>
          <w:i/>
        </w:rPr>
      </w:pPr>
      <w:r>
        <w:rPr>
          <w:rFonts w:ascii="Arial" w:hAnsi="Arial" w:cs="Arial"/>
          <w:b/>
          <w:i/>
        </w:rPr>
        <w:t>Adjusted 4Q EPS of $1.63, Driven by International Segment</w:t>
      </w:r>
    </w:p>
    <w:p w:rsidR="00926E29" w:rsidRPr="00B06280" w:rsidRDefault="00926E29" w:rsidP="00B06280">
      <w:pPr>
        <w:pStyle w:val="ListParagraph"/>
        <w:numPr>
          <w:ilvl w:val="0"/>
          <w:numId w:val="35"/>
        </w:numPr>
        <w:ind w:left="540"/>
        <w:rPr>
          <w:rFonts w:ascii="Arial" w:hAnsi="Arial" w:cs="Arial"/>
          <w:b/>
          <w:i/>
        </w:rPr>
      </w:pPr>
      <w:r w:rsidRPr="00B06280">
        <w:rPr>
          <w:rFonts w:ascii="Arial" w:hAnsi="Arial" w:cs="Arial"/>
          <w:b/>
          <w:i/>
        </w:rPr>
        <w:t>2016 EPS of $3.87</w:t>
      </w:r>
      <w:r>
        <w:rPr>
          <w:rFonts w:ascii="Arial" w:hAnsi="Arial" w:cs="Arial"/>
          <w:b/>
          <w:i/>
        </w:rPr>
        <w:t xml:space="preserve">; </w:t>
      </w:r>
      <w:r w:rsidRPr="00B06280">
        <w:rPr>
          <w:rFonts w:ascii="Arial" w:hAnsi="Arial" w:cs="Arial"/>
          <w:b/>
          <w:i/>
        </w:rPr>
        <w:t>Adjusted 2016 EPS of $5.75</w:t>
      </w:r>
    </w:p>
    <w:p w:rsidR="00926E29" w:rsidRDefault="00926E29">
      <w:pPr>
        <w:pStyle w:val="ListParagraph"/>
        <w:numPr>
          <w:ilvl w:val="0"/>
          <w:numId w:val="35"/>
        </w:numPr>
        <w:ind w:left="540"/>
        <w:rPr>
          <w:rFonts w:ascii="Arial" w:hAnsi="Arial" w:cs="Arial"/>
          <w:b/>
          <w:i/>
        </w:rPr>
      </w:pPr>
      <w:r>
        <w:rPr>
          <w:rFonts w:ascii="Arial" w:hAnsi="Arial" w:cs="Arial"/>
          <w:b/>
          <w:i/>
        </w:rPr>
        <w:t>Company Produces $6.5 Billion in Cash from Operations in 2016</w:t>
      </w:r>
    </w:p>
    <w:p w:rsidR="00926E29" w:rsidRPr="004F5D76" w:rsidRDefault="00926E29">
      <w:pPr>
        <w:pStyle w:val="ListParagraph"/>
        <w:numPr>
          <w:ilvl w:val="0"/>
          <w:numId w:val="35"/>
        </w:numPr>
        <w:ind w:left="540"/>
        <w:rPr>
          <w:rFonts w:ascii="Arial" w:hAnsi="Arial" w:cs="Arial"/>
          <w:b/>
          <w:i/>
        </w:rPr>
      </w:pPr>
      <w:r w:rsidRPr="004F5D76">
        <w:rPr>
          <w:rFonts w:ascii="Arial" w:hAnsi="Arial" w:cs="Arial"/>
          <w:b/>
          <w:i/>
        </w:rPr>
        <w:t>Announces Full-Year 201</w:t>
      </w:r>
      <w:r>
        <w:rPr>
          <w:rFonts w:ascii="Arial" w:hAnsi="Arial" w:cs="Arial"/>
          <w:b/>
          <w:i/>
        </w:rPr>
        <w:t>7</w:t>
      </w:r>
      <w:r w:rsidRPr="004F5D76">
        <w:rPr>
          <w:rFonts w:ascii="Arial" w:hAnsi="Arial" w:cs="Arial"/>
          <w:b/>
          <w:i/>
        </w:rPr>
        <w:t xml:space="preserve"> </w:t>
      </w:r>
      <w:r>
        <w:rPr>
          <w:rFonts w:ascii="Arial" w:hAnsi="Arial" w:cs="Arial"/>
          <w:b/>
          <w:i/>
        </w:rPr>
        <w:t>Adjusted</w:t>
      </w:r>
      <w:r w:rsidRPr="004F5D76">
        <w:rPr>
          <w:rFonts w:ascii="Arial" w:hAnsi="Arial" w:cs="Arial"/>
          <w:b/>
          <w:i/>
        </w:rPr>
        <w:t xml:space="preserve"> EPS Guidance</w:t>
      </w:r>
    </w:p>
    <w:p w:rsidR="00926E29" w:rsidRPr="004F5D76" w:rsidRDefault="00926E29">
      <w:pPr>
        <w:ind w:left="540" w:firstLine="720"/>
        <w:rPr>
          <w:rFonts w:ascii="Arial" w:hAnsi="Arial" w:cs="Arial"/>
          <w:b/>
          <w:szCs w:val="20"/>
        </w:rPr>
      </w:pPr>
    </w:p>
    <w:p w:rsidR="00926E29" w:rsidRPr="004F5D76" w:rsidRDefault="00926E29" w:rsidP="0096556F">
      <w:pPr>
        <w:ind w:firstLine="720"/>
        <w:rPr>
          <w:rFonts w:ascii="Arial" w:hAnsi="Arial" w:cs="Arial"/>
          <w:b/>
          <w:szCs w:val="20"/>
        </w:rPr>
      </w:pPr>
    </w:p>
    <w:p w:rsidR="00926E29" w:rsidRPr="004F5D76" w:rsidRDefault="00926E29" w:rsidP="00AD3A86">
      <w:pPr>
        <w:ind w:firstLine="720"/>
        <w:rPr>
          <w:rFonts w:ascii="Arial" w:hAnsi="Arial" w:cs="Arial"/>
          <w:sz w:val="22"/>
          <w:szCs w:val="22"/>
        </w:rPr>
      </w:pPr>
      <w:r w:rsidRPr="004F5D76">
        <w:rPr>
          <w:rFonts w:ascii="Arial" w:hAnsi="Arial" w:cs="Arial"/>
          <w:b/>
        </w:rPr>
        <w:t xml:space="preserve">ATLANTA, </w:t>
      </w:r>
      <w:r>
        <w:rPr>
          <w:rFonts w:ascii="Arial" w:hAnsi="Arial" w:cs="Arial"/>
          <w:b/>
        </w:rPr>
        <w:t>Jan. 31</w:t>
      </w:r>
      <w:r w:rsidRPr="004F5D76">
        <w:rPr>
          <w:rFonts w:ascii="Arial" w:hAnsi="Arial" w:cs="Arial"/>
          <w:b/>
        </w:rPr>
        <w:t>, 201</w:t>
      </w:r>
      <w:r>
        <w:rPr>
          <w:rFonts w:ascii="Arial" w:hAnsi="Arial" w:cs="Arial"/>
          <w:b/>
        </w:rPr>
        <w:t>7</w:t>
      </w:r>
      <w:r w:rsidRPr="004F5D76">
        <w:rPr>
          <w:rFonts w:ascii="Arial" w:hAnsi="Arial" w:cs="Arial"/>
          <w:sz w:val="22"/>
        </w:rPr>
        <w:t xml:space="preserve"> – UPS (NYSE:UPS) today announced fourth-quarter 201</w:t>
      </w:r>
      <w:r>
        <w:rPr>
          <w:rFonts w:ascii="Arial" w:hAnsi="Arial" w:cs="Arial"/>
          <w:sz w:val="22"/>
        </w:rPr>
        <w:t>6</w:t>
      </w:r>
      <w:r w:rsidRPr="004F5D76">
        <w:rPr>
          <w:rFonts w:ascii="Arial" w:hAnsi="Arial" w:cs="Arial"/>
          <w:sz w:val="22"/>
        </w:rPr>
        <w:t xml:space="preserve"> operating results.  </w:t>
      </w:r>
      <w:r w:rsidRPr="004F5D76">
        <w:rPr>
          <w:rFonts w:ascii="Arial" w:hAnsi="Arial" w:cs="Arial"/>
          <w:sz w:val="22"/>
          <w:szCs w:val="22"/>
        </w:rPr>
        <w:t>“</w:t>
      </w:r>
      <w:r>
        <w:rPr>
          <w:rFonts w:ascii="Arial" w:hAnsi="Arial" w:cs="Arial"/>
          <w:sz w:val="22"/>
          <w:szCs w:val="22"/>
        </w:rPr>
        <w:t>Revenue and volume growth accelerated for UPS during the holiday season and we provided high service levels for our customers</w:t>
      </w:r>
      <w:r w:rsidRPr="004F5D76">
        <w:rPr>
          <w:rFonts w:ascii="Arial" w:hAnsi="Arial" w:cs="Arial"/>
          <w:sz w:val="22"/>
          <w:szCs w:val="22"/>
        </w:rPr>
        <w:t xml:space="preserve">,” said David Abney, UPS </w:t>
      </w:r>
      <w:r>
        <w:rPr>
          <w:rFonts w:ascii="Arial" w:hAnsi="Arial" w:cs="Arial"/>
          <w:sz w:val="22"/>
          <w:szCs w:val="22"/>
        </w:rPr>
        <w:t>chairman and CEO</w:t>
      </w:r>
      <w:r w:rsidRPr="004F5D76">
        <w:rPr>
          <w:rFonts w:ascii="Arial" w:hAnsi="Arial" w:cs="Arial"/>
          <w:sz w:val="22"/>
          <w:szCs w:val="22"/>
        </w:rPr>
        <w:t>.  “</w:t>
      </w:r>
      <w:r>
        <w:rPr>
          <w:rFonts w:ascii="Arial" w:hAnsi="Arial" w:cs="Arial"/>
          <w:sz w:val="22"/>
          <w:szCs w:val="22"/>
        </w:rPr>
        <w:t>The International segment delivered another extraordinary performance, while the U.S. managed through considerable changes in product mix.  Our strategies and initiatives are creating long-term value for both UPS customers and shareowners</w:t>
      </w:r>
      <w:r>
        <w:rPr>
          <w:rFonts w:ascii="Arial" w:hAnsi="Arial" w:cs="Arial"/>
          <w:sz w:val="22"/>
        </w:rPr>
        <w:t>.”</w:t>
      </w:r>
    </w:p>
    <w:p w:rsidR="00926E29" w:rsidRDefault="00926E29" w:rsidP="003B365C">
      <w:pPr>
        <w:ind w:firstLine="720"/>
        <w:rPr>
          <w:rFonts w:ascii="Arial" w:hAnsi="Arial" w:cs="Arial"/>
          <w:b/>
          <w:sz w:val="22"/>
          <w:szCs w:val="22"/>
        </w:rPr>
      </w:pPr>
    </w:p>
    <w:tbl>
      <w:tblPr>
        <w:tblW w:w="8928" w:type="dxa"/>
        <w:tblInd w:w="-90" w:type="dxa"/>
        <w:tblLook w:val="00A0" w:firstRow="1" w:lastRow="0" w:firstColumn="1" w:lastColumn="0" w:noHBand="0" w:noVBand="0"/>
      </w:tblPr>
      <w:tblGrid>
        <w:gridCol w:w="3168"/>
        <w:gridCol w:w="1440"/>
        <w:gridCol w:w="1440"/>
        <w:gridCol w:w="1440"/>
        <w:gridCol w:w="1440"/>
      </w:tblGrid>
      <w:tr w:rsidR="00926E29" w:rsidRPr="001E1EB6" w:rsidTr="00C95293">
        <w:tc>
          <w:tcPr>
            <w:tcW w:w="3168" w:type="dxa"/>
          </w:tcPr>
          <w:p w:rsidR="00926E29" w:rsidRPr="00C95293" w:rsidRDefault="00926E29" w:rsidP="004872C4">
            <w:pPr>
              <w:rPr>
                <w:rFonts w:ascii="Arial" w:hAnsi="Arial" w:cs="Arial"/>
                <w:b/>
                <w:sz w:val="20"/>
                <w:u w:val="single"/>
              </w:rPr>
            </w:pPr>
          </w:p>
          <w:p w:rsidR="00926E29" w:rsidRPr="00C95293" w:rsidRDefault="00926E29" w:rsidP="004872C4">
            <w:pPr>
              <w:rPr>
                <w:rFonts w:ascii="Arial" w:hAnsi="Arial" w:cs="Arial"/>
                <w:b/>
                <w:sz w:val="20"/>
                <w:u w:val="single"/>
              </w:rPr>
            </w:pPr>
            <w:r w:rsidRPr="00C95293">
              <w:rPr>
                <w:rFonts w:ascii="Arial" w:hAnsi="Arial" w:cs="Arial"/>
                <w:b/>
                <w:sz w:val="20"/>
                <w:szCs w:val="22"/>
                <w:u w:val="single"/>
              </w:rPr>
              <w:t>Consolidated Results</w:t>
            </w:r>
          </w:p>
        </w:tc>
        <w:tc>
          <w:tcPr>
            <w:tcW w:w="1440" w:type="dxa"/>
          </w:tcPr>
          <w:p w:rsidR="00926E29" w:rsidRPr="00C95293" w:rsidRDefault="00926E29" w:rsidP="00C95293">
            <w:pPr>
              <w:jc w:val="right"/>
              <w:rPr>
                <w:rFonts w:ascii="Arial" w:hAnsi="Arial" w:cs="Arial"/>
                <w:b/>
                <w:sz w:val="20"/>
                <w:u w:val="single"/>
              </w:rPr>
            </w:pP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2016</w:t>
            </w:r>
          </w:p>
        </w:tc>
        <w:tc>
          <w:tcPr>
            <w:tcW w:w="1440" w:type="dxa"/>
          </w:tcPr>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Adjusted</w:t>
            </w: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2016</w:t>
            </w:r>
          </w:p>
        </w:tc>
        <w:tc>
          <w:tcPr>
            <w:tcW w:w="1440" w:type="dxa"/>
          </w:tcPr>
          <w:p w:rsidR="00926E29" w:rsidRPr="00C95293" w:rsidRDefault="00926E29" w:rsidP="00C95293">
            <w:pPr>
              <w:jc w:val="right"/>
              <w:rPr>
                <w:rFonts w:ascii="Arial" w:hAnsi="Arial" w:cs="Arial"/>
                <w:b/>
                <w:sz w:val="20"/>
                <w:u w:val="single"/>
              </w:rPr>
            </w:pP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2015</w:t>
            </w:r>
          </w:p>
        </w:tc>
        <w:tc>
          <w:tcPr>
            <w:tcW w:w="1440" w:type="dxa"/>
          </w:tcPr>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Adjusted</w:t>
            </w: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2015</w:t>
            </w:r>
          </w:p>
        </w:tc>
      </w:tr>
      <w:tr w:rsidR="00926E29" w:rsidRPr="001E1EB6" w:rsidTr="00C95293">
        <w:tc>
          <w:tcPr>
            <w:tcW w:w="3168" w:type="dxa"/>
          </w:tcPr>
          <w:p w:rsidR="00926E29" w:rsidRPr="00C95293" w:rsidRDefault="00926E29" w:rsidP="009318E1">
            <w:pPr>
              <w:rPr>
                <w:rFonts w:ascii="Arial" w:hAnsi="Arial" w:cs="Arial"/>
                <w:sz w:val="20"/>
              </w:rPr>
            </w:pPr>
            <w:r w:rsidRPr="00C95293">
              <w:rPr>
                <w:rFonts w:ascii="Arial" w:hAnsi="Arial" w:cs="Arial"/>
                <w:sz w:val="20"/>
                <w:szCs w:val="22"/>
              </w:rPr>
              <w:t>Revenue</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$16,931 M</w:t>
            </w:r>
          </w:p>
        </w:tc>
        <w:tc>
          <w:tcPr>
            <w:tcW w:w="1440" w:type="dxa"/>
          </w:tcPr>
          <w:p w:rsidR="00926E29" w:rsidRPr="00C95293" w:rsidRDefault="00926E29" w:rsidP="00C95293">
            <w:pPr>
              <w:jc w:val="right"/>
              <w:rPr>
                <w:rFonts w:ascii="Arial" w:hAnsi="Arial" w:cs="Arial"/>
                <w:sz w:val="20"/>
              </w:rPr>
            </w:pP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$16,054 M</w:t>
            </w:r>
          </w:p>
        </w:tc>
        <w:tc>
          <w:tcPr>
            <w:tcW w:w="1440" w:type="dxa"/>
          </w:tcPr>
          <w:p w:rsidR="00926E29" w:rsidRPr="00C95293" w:rsidRDefault="00926E29" w:rsidP="00C95293">
            <w:pPr>
              <w:jc w:val="right"/>
              <w:rPr>
                <w:rFonts w:ascii="Arial" w:hAnsi="Arial" w:cs="Arial"/>
                <w:sz w:val="20"/>
              </w:rPr>
            </w:pPr>
          </w:p>
        </w:tc>
      </w:tr>
      <w:tr w:rsidR="00926E29" w:rsidRPr="001E1EB6" w:rsidTr="00C95293">
        <w:tc>
          <w:tcPr>
            <w:tcW w:w="3168" w:type="dxa"/>
          </w:tcPr>
          <w:p w:rsidR="00926E29" w:rsidRPr="00C95293" w:rsidRDefault="00926E29" w:rsidP="009318E1">
            <w:pPr>
              <w:rPr>
                <w:rFonts w:ascii="Arial" w:hAnsi="Arial" w:cs="Arial"/>
                <w:sz w:val="20"/>
              </w:rPr>
            </w:pPr>
            <w:r w:rsidRPr="00C95293">
              <w:rPr>
                <w:rFonts w:ascii="Arial" w:hAnsi="Arial" w:cs="Arial"/>
                <w:sz w:val="20"/>
                <w:szCs w:val="22"/>
              </w:rPr>
              <w:t>Operating profit (loss)</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$(428)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$2,223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$2,051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$2,169 M</w:t>
            </w:r>
          </w:p>
        </w:tc>
      </w:tr>
      <w:tr w:rsidR="00926E29" w:rsidRPr="001E1EB6" w:rsidTr="00C95293">
        <w:tc>
          <w:tcPr>
            <w:tcW w:w="3168" w:type="dxa"/>
          </w:tcPr>
          <w:p w:rsidR="00926E29" w:rsidRPr="00C95293" w:rsidRDefault="00926E29" w:rsidP="009318E1">
            <w:pPr>
              <w:rPr>
                <w:rFonts w:ascii="Arial" w:hAnsi="Arial" w:cs="Arial"/>
                <w:sz w:val="20"/>
              </w:rPr>
            </w:pPr>
            <w:r w:rsidRPr="00C95293">
              <w:rPr>
                <w:rFonts w:ascii="Arial" w:hAnsi="Arial" w:cs="Arial"/>
                <w:sz w:val="20"/>
                <w:szCs w:val="22"/>
              </w:rPr>
              <w:t>Diluted earnings (loss) per share</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$(0.27)</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$1.63</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$1.48</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$1.57</w:t>
            </w:r>
          </w:p>
        </w:tc>
      </w:tr>
    </w:tbl>
    <w:p w:rsidR="00926E29" w:rsidRDefault="00926E29" w:rsidP="004872C4">
      <w:pPr>
        <w:ind w:firstLine="720"/>
        <w:rPr>
          <w:rFonts w:ascii="Arial" w:hAnsi="Arial" w:cs="Arial"/>
          <w:sz w:val="22"/>
          <w:szCs w:val="22"/>
        </w:rPr>
      </w:pPr>
    </w:p>
    <w:p w:rsidR="00926E29" w:rsidRPr="004F5D76" w:rsidRDefault="00926E29" w:rsidP="00DA5007">
      <w:pPr>
        <w:ind w:firstLine="720"/>
        <w:rPr>
          <w:rFonts w:ascii="Arial" w:hAnsi="Arial" w:cs="Arial"/>
          <w:sz w:val="22"/>
        </w:rPr>
      </w:pPr>
      <w:r>
        <w:rPr>
          <w:rFonts w:ascii="Arial" w:hAnsi="Arial" w:cs="Arial"/>
          <w:sz w:val="22"/>
        </w:rPr>
        <w:t>Full-year and f</w:t>
      </w:r>
      <w:r w:rsidRPr="004F5D76">
        <w:rPr>
          <w:rFonts w:ascii="Arial" w:hAnsi="Arial" w:cs="Arial"/>
          <w:sz w:val="22"/>
        </w:rPr>
        <w:t>ourth</w:t>
      </w:r>
      <w:r>
        <w:rPr>
          <w:rFonts w:ascii="Arial" w:hAnsi="Arial" w:cs="Arial"/>
          <w:sz w:val="22"/>
        </w:rPr>
        <w:t>-</w:t>
      </w:r>
      <w:r w:rsidRPr="004F5D76">
        <w:rPr>
          <w:rFonts w:ascii="Arial" w:hAnsi="Arial" w:cs="Arial"/>
          <w:sz w:val="22"/>
        </w:rPr>
        <w:t>quarter 201</w:t>
      </w:r>
      <w:r>
        <w:rPr>
          <w:rFonts w:ascii="Arial" w:hAnsi="Arial" w:cs="Arial"/>
          <w:sz w:val="22"/>
        </w:rPr>
        <w:t>6 results include a</w:t>
      </w:r>
      <w:r w:rsidRPr="00AD3A86">
        <w:rPr>
          <w:rFonts w:ascii="Arial" w:hAnsi="Arial" w:cs="Arial"/>
          <w:color w:val="FF0000"/>
          <w:sz w:val="22"/>
        </w:rPr>
        <w:t xml:space="preserve"> </w:t>
      </w:r>
      <w:r w:rsidRPr="004F5D76">
        <w:rPr>
          <w:rFonts w:ascii="Arial" w:hAnsi="Arial" w:cs="Arial"/>
          <w:sz w:val="22"/>
        </w:rPr>
        <w:t>non-cash, after-tax, mark-to-market pension charge</w:t>
      </w:r>
      <w:r>
        <w:rPr>
          <w:rFonts w:ascii="Arial" w:hAnsi="Arial" w:cs="Arial"/>
          <w:sz w:val="22"/>
        </w:rPr>
        <w:t xml:space="preserve"> of </w:t>
      </w:r>
      <w:r w:rsidRPr="00246AB8">
        <w:rPr>
          <w:rFonts w:ascii="Arial" w:hAnsi="Arial" w:cs="Arial"/>
          <w:sz w:val="22"/>
        </w:rPr>
        <w:t>$1.90 per diluted share</w:t>
      </w:r>
      <w:r>
        <w:rPr>
          <w:rFonts w:ascii="Arial" w:hAnsi="Arial" w:cs="Arial"/>
          <w:sz w:val="22"/>
        </w:rPr>
        <w:t>.</w:t>
      </w:r>
      <w:r w:rsidRPr="004F5D76">
        <w:rPr>
          <w:rFonts w:ascii="Arial" w:hAnsi="Arial" w:cs="Arial"/>
          <w:sz w:val="22"/>
        </w:rPr>
        <w:t xml:space="preserve">  In the prior-year period, the company reported non-cash, after-tax charges of </w:t>
      </w:r>
      <w:r>
        <w:rPr>
          <w:rFonts w:ascii="Arial" w:hAnsi="Arial" w:cs="Arial"/>
          <w:sz w:val="22"/>
        </w:rPr>
        <w:t>$0.09 per diluted share</w:t>
      </w:r>
      <w:r w:rsidRPr="004F5D76">
        <w:rPr>
          <w:rFonts w:ascii="Arial" w:hAnsi="Arial" w:cs="Arial"/>
          <w:sz w:val="22"/>
        </w:rPr>
        <w:t xml:space="preserve"> related to pension mark-to-market charges</w:t>
      </w:r>
      <w:r>
        <w:rPr>
          <w:rFonts w:ascii="Arial" w:hAnsi="Arial" w:cs="Arial"/>
          <w:sz w:val="22"/>
        </w:rPr>
        <w:t>.</w:t>
      </w:r>
      <w:r w:rsidRPr="004F5D76">
        <w:rPr>
          <w:rFonts w:ascii="Arial" w:hAnsi="Arial" w:cs="Arial"/>
          <w:sz w:val="22"/>
        </w:rPr>
        <w:t xml:space="preserve">  </w:t>
      </w:r>
    </w:p>
    <w:p w:rsidR="00926E29" w:rsidRPr="004F5D76" w:rsidRDefault="00926E29" w:rsidP="00744658">
      <w:pPr>
        <w:rPr>
          <w:rFonts w:ascii="Arial" w:hAnsi="Arial" w:cs="Arial"/>
          <w:sz w:val="22"/>
        </w:rPr>
      </w:pPr>
    </w:p>
    <w:p w:rsidR="00926E29" w:rsidRDefault="00926E29" w:rsidP="004A0D82">
      <w:pPr>
        <w:pStyle w:val="ListParagraph"/>
        <w:numPr>
          <w:ilvl w:val="0"/>
          <w:numId w:val="37"/>
        </w:numPr>
        <w:ind w:left="360"/>
        <w:rPr>
          <w:rFonts w:ascii="Arial" w:hAnsi="Arial" w:cs="Arial"/>
          <w:sz w:val="22"/>
        </w:rPr>
      </w:pPr>
      <w:r>
        <w:rPr>
          <w:rFonts w:ascii="Arial" w:hAnsi="Arial" w:cs="Arial"/>
          <w:sz w:val="22"/>
        </w:rPr>
        <w:t>4Q 2016 d</w:t>
      </w:r>
      <w:r w:rsidRPr="004A0D82">
        <w:rPr>
          <w:rFonts w:ascii="Arial" w:hAnsi="Arial" w:cs="Arial"/>
          <w:sz w:val="22"/>
        </w:rPr>
        <w:t>iluted EPS of -$0.27;</w:t>
      </w:r>
      <w:r>
        <w:rPr>
          <w:rFonts w:ascii="Arial" w:hAnsi="Arial" w:cs="Arial"/>
          <w:sz w:val="22"/>
        </w:rPr>
        <w:t xml:space="preserve"> a</w:t>
      </w:r>
      <w:r w:rsidRPr="004A0D82">
        <w:rPr>
          <w:rFonts w:ascii="Arial" w:hAnsi="Arial" w:cs="Arial"/>
          <w:sz w:val="22"/>
        </w:rPr>
        <w:t>djusted diluted EPS of $1.63</w:t>
      </w:r>
      <w:r w:rsidRPr="0079098A">
        <w:rPr>
          <w:rFonts w:ascii="Arial" w:hAnsi="Arial" w:cs="Arial"/>
          <w:sz w:val="22"/>
        </w:rPr>
        <w:t>.</w:t>
      </w:r>
    </w:p>
    <w:p w:rsidR="00926E29" w:rsidRPr="004A0D82" w:rsidRDefault="00926E29">
      <w:pPr>
        <w:pStyle w:val="ListParagraph"/>
        <w:numPr>
          <w:ilvl w:val="0"/>
          <w:numId w:val="37"/>
        </w:numPr>
        <w:ind w:left="360"/>
        <w:rPr>
          <w:rFonts w:ascii="Arial" w:hAnsi="Arial" w:cs="Arial"/>
          <w:sz w:val="22"/>
        </w:rPr>
      </w:pPr>
      <w:r>
        <w:rPr>
          <w:rFonts w:ascii="Arial" w:hAnsi="Arial" w:cs="Arial"/>
          <w:sz w:val="22"/>
        </w:rPr>
        <w:t>Adjusted diluted EPS excludes the impact of non-cash, mark-to-market pension charge.</w:t>
      </w:r>
    </w:p>
    <w:p w:rsidR="00926E29" w:rsidRPr="004F5D76" w:rsidRDefault="00926E29" w:rsidP="00FB4FFD">
      <w:pPr>
        <w:pStyle w:val="ListParagraph"/>
        <w:numPr>
          <w:ilvl w:val="0"/>
          <w:numId w:val="37"/>
        </w:numPr>
        <w:ind w:left="360"/>
        <w:rPr>
          <w:rFonts w:ascii="Arial" w:hAnsi="Arial" w:cs="Arial"/>
          <w:sz w:val="22"/>
        </w:rPr>
      </w:pPr>
      <w:r>
        <w:rPr>
          <w:rFonts w:ascii="Arial" w:hAnsi="Arial" w:cs="Arial"/>
          <w:sz w:val="22"/>
        </w:rPr>
        <w:t>During the quarter, the company delivered 1.4 billion packages, up 7.1% over last year.</w:t>
      </w:r>
    </w:p>
    <w:p w:rsidR="00926E29" w:rsidRDefault="00926E29" w:rsidP="00CC424D">
      <w:pPr>
        <w:rPr>
          <w:rFonts w:ascii="Arial" w:hAnsi="Arial" w:cs="Arial"/>
          <w:sz w:val="22"/>
        </w:rPr>
      </w:pPr>
    </w:p>
    <w:tbl>
      <w:tblPr>
        <w:tblW w:w="8784" w:type="dxa"/>
        <w:tblInd w:w="-90" w:type="dxa"/>
        <w:tblLook w:val="00A0" w:firstRow="1" w:lastRow="0" w:firstColumn="1" w:lastColumn="0" w:noHBand="0" w:noVBand="0"/>
      </w:tblPr>
      <w:tblGrid>
        <w:gridCol w:w="3024"/>
        <w:gridCol w:w="1440"/>
        <w:gridCol w:w="1440"/>
        <w:gridCol w:w="1440"/>
        <w:gridCol w:w="1440"/>
      </w:tblGrid>
      <w:tr w:rsidR="00926E29" w:rsidRPr="001E1EB6" w:rsidTr="00C95293">
        <w:tc>
          <w:tcPr>
            <w:tcW w:w="3024" w:type="dxa"/>
          </w:tcPr>
          <w:p w:rsidR="00926E29" w:rsidRPr="00C95293" w:rsidRDefault="00926E29" w:rsidP="004A559B">
            <w:pPr>
              <w:rPr>
                <w:rFonts w:ascii="Arial" w:hAnsi="Arial" w:cs="Arial"/>
                <w:b/>
                <w:sz w:val="20"/>
                <w:u w:val="single"/>
              </w:rPr>
            </w:pPr>
          </w:p>
          <w:p w:rsidR="00926E29" w:rsidRPr="00C95293" w:rsidRDefault="00926E29">
            <w:pPr>
              <w:rPr>
                <w:rFonts w:ascii="Arial" w:hAnsi="Arial" w:cs="Arial"/>
                <w:b/>
                <w:sz w:val="20"/>
                <w:u w:val="single"/>
              </w:rPr>
            </w:pPr>
            <w:r w:rsidRPr="00C95293">
              <w:rPr>
                <w:rFonts w:ascii="Arial" w:hAnsi="Arial" w:cs="Arial"/>
                <w:b/>
                <w:sz w:val="20"/>
                <w:szCs w:val="22"/>
                <w:u w:val="single"/>
              </w:rPr>
              <w:t>U.S. Domestic Segment</w:t>
            </w:r>
          </w:p>
        </w:tc>
        <w:tc>
          <w:tcPr>
            <w:tcW w:w="1440" w:type="dxa"/>
          </w:tcPr>
          <w:p w:rsidR="00926E29" w:rsidRPr="00C95293" w:rsidRDefault="00926E29" w:rsidP="00C95293">
            <w:pPr>
              <w:jc w:val="right"/>
              <w:rPr>
                <w:rFonts w:ascii="Arial" w:hAnsi="Arial" w:cs="Arial"/>
                <w:b/>
                <w:sz w:val="20"/>
                <w:u w:val="single"/>
              </w:rPr>
            </w:pP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2016</w:t>
            </w:r>
          </w:p>
        </w:tc>
        <w:tc>
          <w:tcPr>
            <w:tcW w:w="1440" w:type="dxa"/>
          </w:tcPr>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Adjusted</w:t>
            </w: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2016</w:t>
            </w:r>
          </w:p>
        </w:tc>
        <w:tc>
          <w:tcPr>
            <w:tcW w:w="1440" w:type="dxa"/>
          </w:tcPr>
          <w:p w:rsidR="00926E29" w:rsidRPr="00C95293" w:rsidRDefault="00926E29" w:rsidP="00C95293">
            <w:pPr>
              <w:jc w:val="right"/>
              <w:rPr>
                <w:rFonts w:ascii="Arial" w:hAnsi="Arial" w:cs="Arial"/>
                <w:b/>
                <w:sz w:val="20"/>
                <w:u w:val="single"/>
              </w:rPr>
            </w:pP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2015</w:t>
            </w:r>
          </w:p>
        </w:tc>
        <w:tc>
          <w:tcPr>
            <w:tcW w:w="1440" w:type="dxa"/>
          </w:tcPr>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Adjusted</w:t>
            </w: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2015</w:t>
            </w:r>
          </w:p>
        </w:tc>
      </w:tr>
      <w:tr w:rsidR="00926E29" w:rsidRPr="001E1EB6" w:rsidTr="00C95293">
        <w:tc>
          <w:tcPr>
            <w:tcW w:w="3024" w:type="dxa"/>
          </w:tcPr>
          <w:p w:rsidR="00926E29" w:rsidRPr="00C95293" w:rsidRDefault="00926E29" w:rsidP="009318E1">
            <w:pPr>
              <w:rPr>
                <w:rFonts w:ascii="Arial" w:hAnsi="Arial" w:cs="Arial"/>
                <w:sz w:val="20"/>
              </w:rPr>
            </w:pPr>
            <w:r w:rsidRPr="00C95293">
              <w:rPr>
                <w:rFonts w:ascii="Arial" w:hAnsi="Arial" w:cs="Arial"/>
                <w:sz w:val="20"/>
                <w:szCs w:val="22"/>
              </w:rPr>
              <w:t>Revenue</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$10,913 M</w:t>
            </w:r>
          </w:p>
        </w:tc>
        <w:tc>
          <w:tcPr>
            <w:tcW w:w="1440" w:type="dxa"/>
          </w:tcPr>
          <w:p w:rsidR="00926E29" w:rsidRPr="00C95293" w:rsidRDefault="00926E29" w:rsidP="00C95293">
            <w:pPr>
              <w:jc w:val="right"/>
              <w:rPr>
                <w:rFonts w:ascii="Arial" w:hAnsi="Arial" w:cs="Arial"/>
                <w:sz w:val="20"/>
              </w:rPr>
            </w:pP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$10,265 M</w:t>
            </w:r>
          </w:p>
        </w:tc>
        <w:tc>
          <w:tcPr>
            <w:tcW w:w="1440" w:type="dxa"/>
          </w:tcPr>
          <w:p w:rsidR="00926E29" w:rsidRPr="00C95293" w:rsidRDefault="00926E29" w:rsidP="00C95293">
            <w:pPr>
              <w:jc w:val="right"/>
              <w:rPr>
                <w:rFonts w:ascii="Arial" w:hAnsi="Arial" w:cs="Arial"/>
                <w:sz w:val="20"/>
              </w:rPr>
            </w:pPr>
          </w:p>
        </w:tc>
      </w:tr>
      <w:tr w:rsidR="00926E29" w:rsidRPr="001E1EB6" w:rsidTr="00C95293">
        <w:tc>
          <w:tcPr>
            <w:tcW w:w="3024" w:type="dxa"/>
          </w:tcPr>
          <w:p w:rsidR="00926E29" w:rsidRPr="00C95293" w:rsidRDefault="00926E29" w:rsidP="009318E1">
            <w:pPr>
              <w:rPr>
                <w:rFonts w:ascii="Arial" w:hAnsi="Arial" w:cs="Arial"/>
                <w:sz w:val="20"/>
              </w:rPr>
            </w:pPr>
            <w:r w:rsidRPr="00C95293">
              <w:rPr>
                <w:rFonts w:ascii="Arial" w:hAnsi="Arial" w:cs="Arial"/>
                <w:sz w:val="20"/>
                <w:szCs w:val="22"/>
              </w:rPr>
              <w:t>Operating profit (loss)</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$(570)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$1,338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$1,284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$1,346 M</w:t>
            </w:r>
          </w:p>
        </w:tc>
      </w:tr>
    </w:tbl>
    <w:p w:rsidR="00926E29" w:rsidRDefault="00926E29" w:rsidP="00FC1818">
      <w:pPr>
        <w:ind w:firstLine="720"/>
        <w:rPr>
          <w:rFonts w:ascii="Arial" w:hAnsi="Arial" w:cs="Arial"/>
          <w:sz w:val="22"/>
        </w:rPr>
      </w:pPr>
    </w:p>
    <w:p w:rsidR="00926E29" w:rsidRPr="004F5D76" w:rsidRDefault="00926E29" w:rsidP="00FB4FFD">
      <w:pPr>
        <w:pStyle w:val="ListParagraph"/>
        <w:numPr>
          <w:ilvl w:val="0"/>
          <w:numId w:val="37"/>
        </w:numPr>
        <w:ind w:left="360"/>
        <w:rPr>
          <w:rFonts w:ascii="Arial" w:hAnsi="Arial" w:cs="Arial"/>
          <w:sz w:val="22"/>
        </w:rPr>
      </w:pPr>
      <w:r w:rsidRPr="004F5D76">
        <w:rPr>
          <w:rFonts w:ascii="Arial" w:hAnsi="Arial" w:cs="Arial"/>
          <w:sz w:val="22"/>
        </w:rPr>
        <w:t>Revenue increased $</w:t>
      </w:r>
      <w:r>
        <w:rPr>
          <w:rFonts w:ascii="Arial" w:hAnsi="Arial" w:cs="Arial"/>
          <w:sz w:val="22"/>
        </w:rPr>
        <w:t>648</w:t>
      </w:r>
      <w:r w:rsidRPr="004F5D76">
        <w:rPr>
          <w:rFonts w:ascii="Arial" w:hAnsi="Arial" w:cs="Arial"/>
          <w:sz w:val="22"/>
        </w:rPr>
        <w:t xml:space="preserve"> million to $10.</w:t>
      </w:r>
      <w:r>
        <w:rPr>
          <w:rFonts w:ascii="Arial" w:hAnsi="Arial" w:cs="Arial"/>
          <w:sz w:val="22"/>
        </w:rPr>
        <w:t>9</w:t>
      </w:r>
      <w:r w:rsidRPr="004F5D76">
        <w:rPr>
          <w:rFonts w:ascii="Arial" w:hAnsi="Arial" w:cs="Arial"/>
          <w:sz w:val="22"/>
        </w:rPr>
        <w:t xml:space="preserve"> billion, a </w:t>
      </w:r>
      <w:r>
        <w:rPr>
          <w:rFonts w:ascii="Arial" w:hAnsi="Arial" w:cs="Arial"/>
          <w:sz w:val="22"/>
        </w:rPr>
        <w:t>6.3</w:t>
      </w:r>
      <w:r w:rsidRPr="004F5D76">
        <w:rPr>
          <w:rFonts w:ascii="Arial" w:hAnsi="Arial" w:cs="Arial"/>
          <w:sz w:val="22"/>
        </w:rPr>
        <w:t>% increase over 4Q1</w:t>
      </w:r>
      <w:r>
        <w:rPr>
          <w:rFonts w:ascii="Arial" w:hAnsi="Arial" w:cs="Arial"/>
          <w:sz w:val="22"/>
        </w:rPr>
        <w:t>5</w:t>
      </w:r>
      <w:r w:rsidRPr="004F5D76">
        <w:rPr>
          <w:rFonts w:ascii="Arial" w:hAnsi="Arial" w:cs="Arial"/>
          <w:sz w:val="22"/>
        </w:rPr>
        <w:t>.</w:t>
      </w:r>
    </w:p>
    <w:p w:rsidR="00926E29" w:rsidRPr="001737D8" w:rsidRDefault="00926E29">
      <w:pPr>
        <w:pStyle w:val="ListParagraph"/>
        <w:numPr>
          <w:ilvl w:val="0"/>
          <w:numId w:val="37"/>
        </w:numPr>
        <w:ind w:left="360"/>
        <w:rPr>
          <w:rFonts w:ascii="Arial" w:hAnsi="Arial" w:cs="Arial"/>
          <w:sz w:val="22"/>
        </w:rPr>
      </w:pPr>
      <w:r w:rsidRPr="001737D8">
        <w:rPr>
          <w:rFonts w:ascii="Arial" w:hAnsi="Arial" w:cs="Arial"/>
          <w:sz w:val="22"/>
        </w:rPr>
        <w:t>Average daily shipments increased 5.0% to 19.6 million.</w:t>
      </w:r>
    </w:p>
    <w:p w:rsidR="00926E29" w:rsidRDefault="00926E29">
      <w:pPr>
        <w:pStyle w:val="ListParagraph"/>
        <w:numPr>
          <w:ilvl w:val="0"/>
          <w:numId w:val="37"/>
        </w:numPr>
        <w:ind w:left="360"/>
        <w:rPr>
          <w:rFonts w:ascii="Arial" w:hAnsi="Arial" w:cs="Arial"/>
          <w:sz w:val="22"/>
        </w:rPr>
      </w:pPr>
      <w:r>
        <w:rPr>
          <w:rFonts w:ascii="Arial" w:hAnsi="Arial" w:cs="Arial"/>
          <w:sz w:val="22"/>
        </w:rPr>
        <w:t>4Q 2016 o</w:t>
      </w:r>
      <w:r w:rsidRPr="00621A24">
        <w:rPr>
          <w:rFonts w:ascii="Arial" w:hAnsi="Arial" w:cs="Arial"/>
          <w:sz w:val="22"/>
        </w:rPr>
        <w:t xml:space="preserve">perating </w:t>
      </w:r>
      <w:r>
        <w:rPr>
          <w:rFonts w:ascii="Arial" w:hAnsi="Arial" w:cs="Arial"/>
          <w:sz w:val="22"/>
        </w:rPr>
        <w:t>loss of $570 million;</w:t>
      </w:r>
      <w:r w:rsidRPr="004A0D82">
        <w:rPr>
          <w:rFonts w:ascii="Arial" w:hAnsi="Arial" w:cs="Arial"/>
          <w:sz w:val="22"/>
        </w:rPr>
        <w:t xml:space="preserve"> </w:t>
      </w:r>
      <w:r>
        <w:rPr>
          <w:rFonts w:ascii="Arial" w:hAnsi="Arial" w:cs="Arial"/>
          <w:sz w:val="22"/>
        </w:rPr>
        <w:t>a</w:t>
      </w:r>
      <w:r w:rsidRPr="00621A24">
        <w:rPr>
          <w:rFonts w:ascii="Arial" w:hAnsi="Arial" w:cs="Arial"/>
          <w:sz w:val="22"/>
        </w:rPr>
        <w:t>djusted</w:t>
      </w:r>
      <w:r>
        <w:rPr>
          <w:rFonts w:ascii="Arial" w:hAnsi="Arial" w:cs="Arial"/>
          <w:sz w:val="22"/>
        </w:rPr>
        <w:t xml:space="preserve"> </w:t>
      </w:r>
      <w:r w:rsidRPr="00621A24">
        <w:rPr>
          <w:rFonts w:ascii="Arial" w:hAnsi="Arial" w:cs="Arial"/>
          <w:sz w:val="22"/>
        </w:rPr>
        <w:t xml:space="preserve">operating profit </w:t>
      </w:r>
      <w:r>
        <w:rPr>
          <w:rFonts w:ascii="Arial" w:hAnsi="Arial" w:cs="Arial"/>
          <w:sz w:val="22"/>
        </w:rPr>
        <w:t>was $1.3 b</w:t>
      </w:r>
      <w:r w:rsidRPr="00621A24">
        <w:rPr>
          <w:rFonts w:ascii="Arial" w:hAnsi="Arial" w:cs="Arial"/>
          <w:sz w:val="22"/>
        </w:rPr>
        <w:t>illion</w:t>
      </w:r>
      <w:r>
        <w:rPr>
          <w:rFonts w:ascii="Arial" w:hAnsi="Arial" w:cs="Arial"/>
          <w:sz w:val="22"/>
        </w:rPr>
        <w:t>.</w:t>
      </w:r>
    </w:p>
    <w:p w:rsidR="00926E29" w:rsidRPr="0079098A" w:rsidRDefault="00926E29">
      <w:pPr>
        <w:pStyle w:val="ListParagraph"/>
        <w:numPr>
          <w:ilvl w:val="0"/>
          <w:numId w:val="37"/>
        </w:numPr>
        <w:ind w:left="360"/>
        <w:rPr>
          <w:rFonts w:ascii="Arial" w:hAnsi="Arial" w:cs="Arial"/>
          <w:sz w:val="22"/>
        </w:rPr>
      </w:pPr>
      <w:r>
        <w:rPr>
          <w:rFonts w:ascii="Arial" w:hAnsi="Arial" w:cs="Arial"/>
          <w:sz w:val="22"/>
        </w:rPr>
        <w:t xml:space="preserve">Adjusted operating profit excludes </w:t>
      </w:r>
      <w:r w:rsidRPr="0079098A">
        <w:rPr>
          <w:rFonts w:ascii="Arial" w:hAnsi="Arial" w:cs="Arial"/>
          <w:sz w:val="22"/>
        </w:rPr>
        <w:t xml:space="preserve">the mark-to-market pension </w:t>
      </w:r>
      <w:r>
        <w:rPr>
          <w:rFonts w:ascii="Arial" w:hAnsi="Arial" w:cs="Arial"/>
          <w:sz w:val="22"/>
        </w:rPr>
        <w:t>charge</w:t>
      </w:r>
      <w:r w:rsidRPr="0079098A">
        <w:rPr>
          <w:rFonts w:ascii="Arial" w:hAnsi="Arial" w:cs="Arial"/>
          <w:sz w:val="22"/>
        </w:rPr>
        <w:t xml:space="preserve">. </w:t>
      </w:r>
    </w:p>
    <w:p w:rsidR="00926E29" w:rsidRDefault="00926E29" w:rsidP="00D12477">
      <w:pPr>
        <w:pStyle w:val="ListParagraph"/>
        <w:numPr>
          <w:ilvl w:val="0"/>
          <w:numId w:val="37"/>
        </w:numPr>
        <w:ind w:left="360"/>
        <w:rPr>
          <w:rFonts w:ascii="Arial" w:hAnsi="Arial" w:cs="Arial"/>
          <w:sz w:val="22"/>
        </w:rPr>
      </w:pPr>
      <w:r>
        <w:rPr>
          <w:rFonts w:ascii="Arial" w:hAnsi="Arial" w:cs="Arial"/>
          <w:sz w:val="22"/>
        </w:rPr>
        <w:t xml:space="preserve">Benefits from ORION and automation initiatives offset most of the impact from the faster pace of residential and SurePost growth. </w:t>
      </w:r>
      <w:r w:rsidRPr="00621A24">
        <w:rPr>
          <w:rFonts w:ascii="Arial" w:hAnsi="Arial" w:cs="Arial"/>
          <w:sz w:val="22"/>
        </w:rPr>
        <w:t xml:space="preserve"> </w:t>
      </w:r>
    </w:p>
    <w:p w:rsidR="00926E29" w:rsidRDefault="00926E29" w:rsidP="00D12477">
      <w:pPr>
        <w:rPr>
          <w:rFonts w:ascii="Arial" w:hAnsi="Arial" w:cs="Arial"/>
          <w:sz w:val="22"/>
        </w:rPr>
      </w:pPr>
    </w:p>
    <w:tbl>
      <w:tblPr>
        <w:tblW w:w="8784" w:type="dxa"/>
        <w:tblInd w:w="-90" w:type="dxa"/>
        <w:tblLook w:val="00A0" w:firstRow="1" w:lastRow="0" w:firstColumn="1" w:lastColumn="0" w:noHBand="0" w:noVBand="0"/>
      </w:tblPr>
      <w:tblGrid>
        <w:gridCol w:w="3024"/>
        <w:gridCol w:w="1440"/>
        <w:gridCol w:w="1440"/>
        <w:gridCol w:w="1440"/>
        <w:gridCol w:w="1440"/>
      </w:tblGrid>
      <w:tr w:rsidR="00926E29" w:rsidRPr="001E1EB6" w:rsidTr="00C95293">
        <w:tc>
          <w:tcPr>
            <w:tcW w:w="3024" w:type="dxa"/>
          </w:tcPr>
          <w:p w:rsidR="00926E29" w:rsidRPr="00C95293" w:rsidRDefault="00926E29" w:rsidP="006D739A">
            <w:pPr>
              <w:rPr>
                <w:rFonts w:ascii="Arial" w:hAnsi="Arial" w:cs="Arial"/>
                <w:b/>
                <w:sz w:val="20"/>
                <w:u w:val="single"/>
              </w:rPr>
            </w:pPr>
          </w:p>
          <w:p w:rsidR="00926E29" w:rsidRPr="00C95293" w:rsidRDefault="00926E29" w:rsidP="006D739A">
            <w:pPr>
              <w:rPr>
                <w:rFonts w:ascii="Arial" w:hAnsi="Arial" w:cs="Arial"/>
                <w:b/>
                <w:sz w:val="20"/>
                <w:u w:val="single"/>
              </w:rPr>
            </w:pPr>
            <w:r w:rsidRPr="00C95293">
              <w:rPr>
                <w:rFonts w:ascii="Arial" w:hAnsi="Arial" w:cs="Arial"/>
                <w:b/>
                <w:sz w:val="20"/>
                <w:szCs w:val="22"/>
                <w:u w:val="single"/>
              </w:rPr>
              <w:t>International Segment</w:t>
            </w:r>
          </w:p>
        </w:tc>
        <w:tc>
          <w:tcPr>
            <w:tcW w:w="1440" w:type="dxa"/>
          </w:tcPr>
          <w:p w:rsidR="00926E29" w:rsidRPr="00C95293" w:rsidRDefault="00926E29" w:rsidP="00C95293">
            <w:pPr>
              <w:jc w:val="right"/>
              <w:rPr>
                <w:rFonts w:ascii="Arial" w:hAnsi="Arial" w:cs="Arial"/>
                <w:b/>
                <w:sz w:val="20"/>
                <w:u w:val="single"/>
              </w:rPr>
            </w:pP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2016</w:t>
            </w:r>
          </w:p>
        </w:tc>
        <w:tc>
          <w:tcPr>
            <w:tcW w:w="1440" w:type="dxa"/>
          </w:tcPr>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Adjusted</w:t>
            </w: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2016</w:t>
            </w:r>
          </w:p>
        </w:tc>
        <w:tc>
          <w:tcPr>
            <w:tcW w:w="1440" w:type="dxa"/>
          </w:tcPr>
          <w:p w:rsidR="00926E29" w:rsidRPr="00C95293" w:rsidRDefault="00926E29" w:rsidP="00C95293">
            <w:pPr>
              <w:jc w:val="right"/>
              <w:rPr>
                <w:rFonts w:ascii="Arial" w:hAnsi="Arial" w:cs="Arial"/>
                <w:b/>
                <w:sz w:val="20"/>
                <w:u w:val="single"/>
              </w:rPr>
            </w:pP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2015</w:t>
            </w:r>
          </w:p>
        </w:tc>
        <w:tc>
          <w:tcPr>
            <w:tcW w:w="1440" w:type="dxa"/>
          </w:tcPr>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Adjusted</w:t>
            </w: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2015</w:t>
            </w:r>
          </w:p>
        </w:tc>
      </w:tr>
      <w:tr w:rsidR="00926E29" w:rsidRPr="001E1EB6" w:rsidTr="00C95293">
        <w:tc>
          <w:tcPr>
            <w:tcW w:w="3024" w:type="dxa"/>
          </w:tcPr>
          <w:p w:rsidR="00926E29" w:rsidRPr="00C95293" w:rsidRDefault="00926E29" w:rsidP="009318E1">
            <w:pPr>
              <w:rPr>
                <w:rFonts w:ascii="Arial" w:hAnsi="Arial" w:cs="Arial"/>
                <w:sz w:val="20"/>
              </w:rPr>
            </w:pPr>
            <w:r w:rsidRPr="00C95293">
              <w:rPr>
                <w:rFonts w:ascii="Arial" w:hAnsi="Arial" w:cs="Arial"/>
                <w:sz w:val="20"/>
                <w:szCs w:val="22"/>
              </w:rPr>
              <w:t>Revenue</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$3,335 M</w:t>
            </w:r>
          </w:p>
        </w:tc>
        <w:tc>
          <w:tcPr>
            <w:tcW w:w="1440" w:type="dxa"/>
          </w:tcPr>
          <w:p w:rsidR="00926E29" w:rsidRPr="00C95293" w:rsidRDefault="00926E29" w:rsidP="00C95293">
            <w:pPr>
              <w:jc w:val="right"/>
              <w:rPr>
                <w:rFonts w:ascii="Arial" w:hAnsi="Arial" w:cs="Arial"/>
                <w:sz w:val="20"/>
              </w:rPr>
            </w:pP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$3,175 M</w:t>
            </w:r>
          </w:p>
        </w:tc>
        <w:tc>
          <w:tcPr>
            <w:tcW w:w="1440" w:type="dxa"/>
          </w:tcPr>
          <w:p w:rsidR="00926E29" w:rsidRPr="00C95293" w:rsidRDefault="00926E29" w:rsidP="00C95293">
            <w:pPr>
              <w:jc w:val="right"/>
              <w:rPr>
                <w:rFonts w:ascii="Arial" w:hAnsi="Arial" w:cs="Arial"/>
                <w:sz w:val="20"/>
              </w:rPr>
            </w:pPr>
          </w:p>
        </w:tc>
      </w:tr>
      <w:tr w:rsidR="00926E29" w:rsidRPr="001E1EB6" w:rsidTr="00C95293">
        <w:tc>
          <w:tcPr>
            <w:tcW w:w="3024" w:type="dxa"/>
          </w:tcPr>
          <w:p w:rsidR="00926E29" w:rsidRPr="00C95293" w:rsidRDefault="00926E29" w:rsidP="009318E1">
            <w:pPr>
              <w:rPr>
                <w:rFonts w:ascii="Arial" w:hAnsi="Arial" w:cs="Arial"/>
                <w:sz w:val="20"/>
              </w:rPr>
            </w:pPr>
            <w:r w:rsidRPr="00C95293">
              <w:rPr>
                <w:rFonts w:ascii="Arial" w:hAnsi="Arial" w:cs="Arial"/>
                <w:sz w:val="20"/>
                <w:szCs w:val="22"/>
              </w:rPr>
              <w:t>Operating profit</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$281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$706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$580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$624 M</w:t>
            </w:r>
          </w:p>
        </w:tc>
      </w:tr>
    </w:tbl>
    <w:p w:rsidR="00926E29" w:rsidRPr="00175464" w:rsidRDefault="00926E29" w:rsidP="00512620">
      <w:pPr>
        <w:ind w:left="720" w:hanging="720"/>
        <w:rPr>
          <w:rFonts w:ascii="Arial" w:hAnsi="Arial" w:cs="Arial"/>
          <w:szCs w:val="22"/>
        </w:rPr>
      </w:pPr>
    </w:p>
    <w:p w:rsidR="00926E29" w:rsidRDefault="00926E29" w:rsidP="00FB4FFD">
      <w:pPr>
        <w:pStyle w:val="ListParagraph"/>
        <w:numPr>
          <w:ilvl w:val="0"/>
          <w:numId w:val="37"/>
        </w:numPr>
        <w:ind w:left="360"/>
        <w:rPr>
          <w:rFonts w:ascii="Arial" w:hAnsi="Arial" w:cs="Arial"/>
          <w:sz w:val="22"/>
        </w:rPr>
      </w:pPr>
      <w:r>
        <w:rPr>
          <w:rFonts w:ascii="Arial" w:hAnsi="Arial" w:cs="Arial"/>
          <w:sz w:val="22"/>
        </w:rPr>
        <w:t>International segment produced strong volume growth across all major products.</w:t>
      </w:r>
    </w:p>
    <w:p w:rsidR="00926E29" w:rsidRDefault="00926E29" w:rsidP="00FB4FFD">
      <w:pPr>
        <w:pStyle w:val="ListParagraph"/>
        <w:numPr>
          <w:ilvl w:val="0"/>
          <w:numId w:val="37"/>
        </w:numPr>
        <w:ind w:left="360"/>
        <w:rPr>
          <w:rFonts w:ascii="Arial" w:hAnsi="Arial" w:cs="Arial"/>
          <w:sz w:val="22"/>
        </w:rPr>
      </w:pPr>
      <w:r w:rsidRPr="004F5D76">
        <w:rPr>
          <w:rFonts w:ascii="Arial" w:hAnsi="Arial" w:cs="Arial"/>
          <w:sz w:val="22"/>
        </w:rPr>
        <w:t xml:space="preserve">Revenue </w:t>
      </w:r>
      <w:r>
        <w:rPr>
          <w:rFonts w:ascii="Arial" w:hAnsi="Arial" w:cs="Arial"/>
          <w:sz w:val="22"/>
        </w:rPr>
        <w:t>increased 5.0</w:t>
      </w:r>
      <w:r w:rsidRPr="004F5D76">
        <w:rPr>
          <w:rFonts w:ascii="Arial" w:hAnsi="Arial" w:cs="Arial"/>
          <w:sz w:val="22"/>
        </w:rPr>
        <w:t>%</w:t>
      </w:r>
      <w:r>
        <w:rPr>
          <w:rFonts w:ascii="Arial" w:hAnsi="Arial" w:cs="Arial"/>
          <w:sz w:val="22"/>
        </w:rPr>
        <w:t>,</w:t>
      </w:r>
      <w:r w:rsidRPr="004F5D76">
        <w:rPr>
          <w:rFonts w:ascii="Arial" w:hAnsi="Arial" w:cs="Arial"/>
          <w:sz w:val="22"/>
        </w:rPr>
        <w:t xml:space="preserve"> </w:t>
      </w:r>
      <w:r>
        <w:rPr>
          <w:rFonts w:ascii="Arial" w:hAnsi="Arial" w:cs="Arial"/>
          <w:sz w:val="22"/>
        </w:rPr>
        <w:t>driven by an 8.4% jump in daily Export shipments</w:t>
      </w:r>
      <w:r w:rsidRPr="004F5D76">
        <w:rPr>
          <w:rFonts w:ascii="Arial" w:hAnsi="Arial" w:cs="Arial"/>
          <w:sz w:val="22"/>
        </w:rPr>
        <w:t>.</w:t>
      </w:r>
    </w:p>
    <w:p w:rsidR="00926E29" w:rsidRPr="004F5D76" w:rsidRDefault="00926E29" w:rsidP="00FB4FFD">
      <w:pPr>
        <w:pStyle w:val="ListParagraph"/>
        <w:numPr>
          <w:ilvl w:val="0"/>
          <w:numId w:val="37"/>
        </w:numPr>
        <w:ind w:left="360"/>
        <w:rPr>
          <w:rFonts w:ascii="Arial" w:hAnsi="Arial" w:cs="Arial"/>
          <w:sz w:val="22"/>
        </w:rPr>
      </w:pPr>
      <w:r>
        <w:rPr>
          <w:rFonts w:ascii="Arial" w:hAnsi="Arial" w:cs="Arial"/>
          <w:sz w:val="22"/>
        </w:rPr>
        <w:t>Currency-neutral revenue increased 6.2% over the prior year.</w:t>
      </w:r>
      <w:r w:rsidRPr="004F5D76">
        <w:rPr>
          <w:rFonts w:ascii="Arial" w:hAnsi="Arial" w:cs="Arial"/>
          <w:sz w:val="22"/>
        </w:rPr>
        <w:t xml:space="preserve"> </w:t>
      </w:r>
    </w:p>
    <w:p w:rsidR="00926E29" w:rsidRPr="0079098A" w:rsidRDefault="00926E29" w:rsidP="00D10893">
      <w:pPr>
        <w:pStyle w:val="ListParagraph"/>
        <w:numPr>
          <w:ilvl w:val="0"/>
          <w:numId w:val="37"/>
        </w:numPr>
        <w:ind w:left="360"/>
        <w:rPr>
          <w:rFonts w:ascii="Arial" w:hAnsi="Arial" w:cs="Arial"/>
          <w:sz w:val="22"/>
        </w:rPr>
      </w:pPr>
      <w:r>
        <w:rPr>
          <w:rFonts w:ascii="Arial" w:hAnsi="Arial" w:cs="Arial"/>
          <w:sz w:val="22"/>
        </w:rPr>
        <w:t>4Q 2016 o</w:t>
      </w:r>
      <w:r w:rsidRPr="0079098A">
        <w:rPr>
          <w:rFonts w:ascii="Arial" w:hAnsi="Arial" w:cs="Arial"/>
          <w:sz w:val="22"/>
        </w:rPr>
        <w:t>perating profit was $281 million</w:t>
      </w:r>
      <w:r>
        <w:rPr>
          <w:rFonts w:ascii="Arial" w:hAnsi="Arial" w:cs="Arial"/>
          <w:sz w:val="22"/>
        </w:rPr>
        <w:t>; adjusted operating</w:t>
      </w:r>
      <w:r w:rsidRPr="0079098A">
        <w:rPr>
          <w:rFonts w:ascii="Arial" w:hAnsi="Arial" w:cs="Arial"/>
          <w:sz w:val="22"/>
        </w:rPr>
        <w:t xml:space="preserve"> </w:t>
      </w:r>
      <w:r>
        <w:rPr>
          <w:rFonts w:ascii="Arial" w:hAnsi="Arial" w:cs="Arial"/>
          <w:sz w:val="22"/>
        </w:rPr>
        <w:t>p</w:t>
      </w:r>
      <w:r w:rsidRPr="0079098A">
        <w:rPr>
          <w:rFonts w:ascii="Arial" w:hAnsi="Arial" w:cs="Arial"/>
          <w:sz w:val="22"/>
        </w:rPr>
        <w:t>rofit was $706 million</w:t>
      </w:r>
      <w:r>
        <w:rPr>
          <w:rFonts w:ascii="Arial" w:hAnsi="Arial" w:cs="Arial"/>
          <w:sz w:val="22"/>
        </w:rPr>
        <w:t>.</w:t>
      </w:r>
      <w:r w:rsidRPr="0079098A">
        <w:rPr>
          <w:rFonts w:ascii="Arial" w:hAnsi="Arial" w:cs="Arial"/>
          <w:sz w:val="22"/>
        </w:rPr>
        <w:t xml:space="preserve"> </w:t>
      </w:r>
    </w:p>
    <w:p w:rsidR="00926E29" w:rsidRPr="0079098A" w:rsidRDefault="00926E29" w:rsidP="00666CFA">
      <w:pPr>
        <w:pStyle w:val="ListParagraph"/>
        <w:numPr>
          <w:ilvl w:val="0"/>
          <w:numId w:val="37"/>
        </w:numPr>
        <w:ind w:left="360"/>
        <w:rPr>
          <w:rFonts w:ascii="Arial" w:hAnsi="Arial" w:cs="Arial"/>
          <w:sz w:val="22"/>
        </w:rPr>
      </w:pPr>
      <w:r>
        <w:rPr>
          <w:rFonts w:ascii="Arial" w:hAnsi="Arial" w:cs="Arial"/>
          <w:sz w:val="22"/>
        </w:rPr>
        <w:t xml:space="preserve">Adjusted operating profit excludes </w:t>
      </w:r>
      <w:r w:rsidRPr="0079098A">
        <w:rPr>
          <w:rFonts w:ascii="Arial" w:hAnsi="Arial" w:cs="Arial"/>
          <w:sz w:val="22"/>
        </w:rPr>
        <w:t xml:space="preserve">the mark-to-market pension </w:t>
      </w:r>
      <w:r>
        <w:rPr>
          <w:rFonts w:ascii="Arial" w:hAnsi="Arial" w:cs="Arial"/>
          <w:sz w:val="22"/>
        </w:rPr>
        <w:t>charge</w:t>
      </w:r>
      <w:r w:rsidRPr="0079098A">
        <w:rPr>
          <w:rFonts w:ascii="Arial" w:hAnsi="Arial" w:cs="Arial"/>
          <w:sz w:val="22"/>
        </w:rPr>
        <w:t xml:space="preserve">. </w:t>
      </w:r>
    </w:p>
    <w:p w:rsidR="00926E29" w:rsidRDefault="00926E29" w:rsidP="00212D58">
      <w:pPr>
        <w:rPr>
          <w:rFonts w:ascii="Arial" w:hAnsi="Arial" w:cs="Arial"/>
          <w:sz w:val="22"/>
          <w:szCs w:val="22"/>
        </w:rPr>
      </w:pPr>
    </w:p>
    <w:tbl>
      <w:tblPr>
        <w:tblW w:w="8784" w:type="dxa"/>
        <w:tblInd w:w="-90" w:type="dxa"/>
        <w:tblLook w:val="00A0" w:firstRow="1" w:lastRow="0" w:firstColumn="1" w:lastColumn="0" w:noHBand="0" w:noVBand="0"/>
      </w:tblPr>
      <w:tblGrid>
        <w:gridCol w:w="3024"/>
        <w:gridCol w:w="1440"/>
        <w:gridCol w:w="1440"/>
        <w:gridCol w:w="1440"/>
        <w:gridCol w:w="1440"/>
      </w:tblGrid>
      <w:tr w:rsidR="00926E29" w:rsidRPr="001E1EB6" w:rsidTr="00C95293">
        <w:tc>
          <w:tcPr>
            <w:tcW w:w="3024" w:type="dxa"/>
          </w:tcPr>
          <w:p w:rsidR="00926E29" w:rsidRPr="00C95293" w:rsidRDefault="00926E29" w:rsidP="006D739A">
            <w:pPr>
              <w:rPr>
                <w:rFonts w:ascii="Arial" w:hAnsi="Arial" w:cs="Arial"/>
                <w:b/>
                <w:sz w:val="20"/>
                <w:u w:val="single"/>
              </w:rPr>
            </w:pPr>
          </w:p>
          <w:p w:rsidR="00926E29" w:rsidRPr="00C95293" w:rsidRDefault="00926E29" w:rsidP="006D739A">
            <w:pPr>
              <w:rPr>
                <w:rFonts w:ascii="Arial" w:hAnsi="Arial" w:cs="Arial"/>
                <w:b/>
                <w:sz w:val="20"/>
                <w:u w:val="single"/>
              </w:rPr>
            </w:pPr>
            <w:r w:rsidRPr="00C95293">
              <w:rPr>
                <w:rFonts w:ascii="Arial" w:hAnsi="Arial" w:cs="Arial"/>
                <w:b/>
                <w:sz w:val="20"/>
                <w:szCs w:val="22"/>
                <w:u w:val="single"/>
              </w:rPr>
              <w:t>Supply Chain &amp; Freight</w:t>
            </w:r>
          </w:p>
        </w:tc>
        <w:tc>
          <w:tcPr>
            <w:tcW w:w="1440" w:type="dxa"/>
          </w:tcPr>
          <w:p w:rsidR="00926E29" w:rsidRPr="00C95293" w:rsidRDefault="00926E29" w:rsidP="00C95293">
            <w:pPr>
              <w:jc w:val="right"/>
              <w:rPr>
                <w:rFonts w:ascii="Arial" w:hAnsi="Arial" w:cs="Arial"/>
                <w:b/>
                <w:sz w:val="20"/>
                <w:u w:val="single"/>
              </w:rPr>
            </w:pP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2016</w:t>
            </w:r>
          </w:p>
        </w:tc>
        <w:tc>
          <w:tcPr>
            <w:tcW w:w="1440" w:type="dxa"/>
          </w:tcPr>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Adjusted</w:t>
            </w: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2016</w:t>
            </w:r>
          </w:p>
        </w:tc>
        <w:tc>
          <w:tcPr>
            <w:tcW w:w="1440" w:type="dxa"/>
          </w:tcPr>
          <w:p w:rsidR="00926E29" w:rsidRPr="00C95293" w:rsidRDefault="00926E29" w:rsidP="00C95293">
            <w:pPr>
              <w:jc w:val="right"/>
              <w:rPr>
                <w:rFonts w:ascii="Arial" w:hAnsi="Arial" w:cs="Arial"/>
                <w:b/>
                <w:sz w:val="20"/>
                <w:u w:val="single"/>
              </w:rPr>
            </w:pP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2015</w:t>
            </w:r>
          </w:p>
        </w:tc>
        <w:tc>
          <w:tcPr>
            <w:tcW w:w="1440" w:type="dxa"/>
          </w:tcPr>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Adjusted</w:t>
            </w:r>
          </w:p>
          <w:p w:rsidR="00926E29" w:rsidRPr="00C95293" w:rsidRDefault="00926E29" w:rsidP="00C95293">
            <w:pPr>
              <w:jc w:val="right"/>
              <w:rPr>
                <w:rFonts w:ascii="Arial" w:hAnsi="Arial" w:cs="Arial"/>
                <w:b/>
                <w:sz w:val="20"/>
                <w:u w:val="single"/>
              </w:rPr>
            </w:pPr>
            <w:r w:rsidRPr="00C95293">
              <w:rPr>
                <w:rFonts w:ascii="Arial" w:hAnsi="Arial" w:cs="Arial"/>
                <w:b/>
                <w:sz w:val="20"/>
                <w:szCs w:val="22"/>
                <w:u w:val="single"/>
              </w:rPr>
              <w:t>4Q 2015</w:t>
            </w:r>
          </w:p>
        </w:tc>
      </w:tr>
      <w:tr w:rsidR="00926E29" w:rsidRPr="001E1EB6" w:rsidTr="00C95293">
        <w:tc>
          <w:tcPr>
            <w:tcW w:w="3024" w:type="dxa"/>
          </w:tcPr>
          <w:p w:rsidR="00926E29" w:rsidRPr="00C95293" w:rsidRDefault="00926E29" w:rsidP="009318E1">
            <w:pPr>
              <w:rPr>
                <w:rFonts w:ascii="Arial" w:hAnsi="Arial" w:cs="Arial"/>
                <w:sz w:val="20"/>
              </w:rPr>
            </w:pPr>
            <w:r w:rsidRPr="00C95293">
              <w:rPr>
                <w:rFonts w:ascii="Arial" w:hAnsi="Arial" w:cs="Arial"/>
                <w:sz w:val="20"/>
                <w:szCs w:val="22"/>
              </w:rPr>
              <w:t>Revenue</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$2,683 M</w:t>
            </w:r>
          </w:p>
        </w:tc>
        <w:tc>
          <w:tcPr>
            <w:tcW w:w="1440" w:type="dxa"/>
          </w:tcPr>
          <w:p w:rsidR="00926E29" w:rsidRPr="00C95293" w:rsidRDefault="00926E29" w:rsidP="00C95293">
            <w:pPr>
              <w:jc w:val="right"/>
              <w:rPr>
                <w:rFonts w:ascii="Arial" w:hAnsi="Arial" w:cs="Arial"/>
                <w:sz w:val="20"/>
              </w:rPr>
            </w:pP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$2,614 M</w:t>
            </w:r>
          </w:p>
        </w:tc>
        <w:tc>
          <w:tcPr>
            <w:tcW w:w="1440" w:type="dxa"/>
          </w:tcPr>
          <w:p w:rsidR="00926E29" w:rsidRPr="00C95293" w:rsidRDefault="00926E29" w:rsidP="00C95293">
            <w:pPr>
              <w:jc w:val="right"/>
              <w:rPr>
                <w:rFonts w:ascii="Arial" w:hAnsi="Arial" w:cs="Arial"/>
                <w:sz w:val="20"/>
              </w:rPr>
            </w:pPr>
          </w:p>
        </w:tc>
      </w:tr>
      <w:tr w:rsidR="00926E29" w:rsidRPr="001E1EB6" w:rsidTr="00C95293">
        <w:tc>
          <w:tcPr>
            <w:tcW w:w="3024" w:type="dxa"/>
          </w:tcPr>
          <w:p w:rsidR="00926E29" w:rsidRPr="00C95293" w:rsidRDefault="00926E29" w:rsidP="009318E1">
            <w:pPr>
              <w:rPr>
                <w:rFonts w:ascii="Arial" w:hAnsi="Arial" w:cs="Arial"/>
                <w:sz w:val="20"/>
              </w:rPr>
            </w:pPr>
            <w:r w:rsidRPr="00C95293">
              <w:rPr>
                <w:rFonts w:ascii="Arial" w:hAnsi="Arial" w:cs="Arial"/>
                <w:sz w:val="20"/>
                <w:szCs w:val="22"/>
              </w:rPr>
              <w:t>Operating profit (loss)</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$(139)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$179M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$187 M</w:t>
            </w:r>
          </w:p>
        </w:tc>
        <w:tc>
          <w:tcPr>
            <w:tcW w:w="1440" w:type="dxa"/>
          </w:tcPr>
          <w:p w:rsidR="00926E29" w:rsidRPr="00C95293" w:rsidRDefault="00926E29" w:rsidP="00C95293">
            <w:pPr>
              <w:jc w:val="right"/>
              <w:rPr>
                <w:rFonts w:ascii="Arial" w:hAnsi="Arial" w:cs="Arial"/>
                <w:sz w:val="20"/>
              </w:rPr>
            </w:pPr>
            <w:r w:rsidRPr="00C95293">
              <w:rPr>
                <w:rFonts w:ascii="Arial" w:hAnsi="Arial" w:cs="Arial"/>
                <w:sz w:val="20"/>
                <w:szCs w:val="22"/>
              </w:rPr>
              <w:t>$199 M</w:t>
            </w:r>
          </w:p>
        </w:tc>
      </w:tr>
    </w:tbl>
    <w:p w:rsidR="00926E29" w:rsidRDefault="00926E29" w:rsidP="00212D58">
      <w:pPr>
        <w:rPr>
          <w:rFonts w:ascii="Arial" w:hAnsi="Arial" w:cs="Arial"/>
          <w:sz w:val="22"/>
          <w:szCs w:val="22"/>
        </w:rPr>
      </w:pPr>
    </w:p>
    <w:p w:rsidR="00926E29" w:rsidRPr="004F5D76" w:rsidRDefault="00926E29">
      <w:pPr>
        <w:pStyle w:val="ListParagraph"/>
        <w:numPr>
          <w:ilvl w:val="0"/>
          <w:numId w:val="37"/>
        </w:numPr>
        <w:ind w:left="360"/>
        <w:rPr>
          <w:rFonts w:ascii="Arial" w:hAnsi="Arial" w:cs="Arial"/>
          <w:sz w:val="22"/>
        </w:rPr>
      </w:pPr>
      <w:r w:rsidRPr="00666CFA">
        <w:rPr>
          <w:rFonts w:ascii="Arial" w:hAnsi="Arial" w:cs="Arial"/>
          <w:sz w:val="22"/>
        </w:rPr>
        <w:t>Revenue increased 2.6% over 4Q15, to $2.7 billion.</w:t>
      </w:r>
    </w:p>
    <w:p w:rsidR="00926E29" w:rsidRPr="007D7949" w:rsidRDefault="00926E29" w:rsidP="007D7949">
      <w:pPr>
        <w:pStyle w:val="ListParagraph"/>
        <w:numPr>
          <w:ilvl w:val="0"/>
          <w:numId w:val="37"/>
        </w:numPr>
        <w:ind w:left="360"/>
        <w:rPr>
          <w:rFonts w:ascii="Arial" w:hAnsi="Arial" w:cs="Arial"/>
          <w:sz w:val="22"/>
        </w:rPr>
      </w:pPr>
      <w:r>
        <w:rPr>
          <w:rFonts w:ascii="Arial" w:hAnsi="Arial" w:cs="Arial"/>
          <w:sz w:val="22"/>
        </w:rPr>
        <w:t>4Q 2016 operating</w:t>
      </w:r>
      <w:r w:rsidRPr="00666CFA">
        <w:rPr>
          <w:rFonts w:ascii="Arial" w:hAnsi="Arial" w:cs="Arial"/>
          <w:sz w:val="22"/>
        </w:rPr>
        <w:t xml:space="preserve"> loss of $139 million</w:t>
      </w:r>
      <w:r>
        <w:rPr>
          <w:rFonts w:ascii="Arial" w:hAnsi="Arial" w:cs="Arial"/>
          <w:sz w:val="22"/>
        </w:rPr>
        <w:t>;</w:t>
      </w:r>
      <w:r w:rsidRPr="00666CFA">
        <w:rPr>
          <w:rFonts w:ascii="Arial" w:hAnsi="Arial" w:cs="Arial"/>
          <w:sz w:val="22"/>
        </w:rPr>
        <w:t xml:space="preserve"> </w:t>
      </w:r>
      <w:r>
        <w:rPr>
          <w:rFonts w:ascii="Arial" w:hAnsi="Arial" w:cs="Arial"/>
          <w:sz w:val="22"/>
        </w:rPr>
        <w:t>a</w:t>
      </w:r>
      <w:r w:rsidRPr="007D7949">
        <w:rPr>
          <w:rFonts w:ascii="Arial" w:hAnsi="Arial" w:cs="Arial"/>
          <w:sz w:val="22"/>
        </w:rPr>
        <w:t>djusted operating profit was $179 million.</w:t>
      </w:r>
    </w:p>
    <w:p w:rsidR="00926E29" w:rsidRPr="00F8001F" w:rsidRDefault="00926E29" w:rsidP="007D7949">
      <w:pPr>
        <w:pStyle w:val="ListParagraph"/>
        <w:numPr>
          <w:ilvl w:val="0"/>
          <w:numId w:val="37"/>
        </w:numPr>
        <w:ind w:left="360"/>
        <w:rPr>
          <w:rFonts w:ascii="Arial" w:hAnsi="Arial" w:cs="Arial"/>
          <w:sz w:val="22"/>
        </w:rPr>
      </w:pPr>
      <w:r w:rsidRPr="00666CFA">
        <w:rPr>
          <w:rFonts w:ascii="Arial" w:hAnsi="Arial" w:cs="Arial"/>
          <w:sz w:val="22"/>
        </w:rPr>
        <w:t xml:space="preserve">Adjusted operating profit excludes the mark-to-market pension </w:t>
      </w:r>
      <w:r>
        <w:rPr>
          <w:rFonts w:ascii="Arial" w:hAnsi="Arial" w:cs="Arial"/>
          <w:sz w:val="22"/>
        </w:rPr>
        <w:t>charge</w:t>
      </w:r>
      <w:r w:rsidRPr="00666CFA">
        <w:rPr>
          <w:rFonts w:ascii="Arial" w:hAnsi="Arial" w:cs="Arial"/>
          <w:sz w:val="22"/>
        </w:rPr>
        <w:t xml:space="preserve">. </w:t>
      </w:r>
    </w:p>
    <w:p w:rsidR="00926E29" w:rsidRDefault="00926E29" w:rsidP="00E71984">
      <w:pPr>
        <w:rPr>
          <w:rFonts w:ascii="Arial" w:hAnsi="Arial" w:cs="Arial"/>
          <w:sz w:val="22"/>
          <w:szCs w:val="22"/>
        </w:rPr>
      </w:pPr>
    </w:p>
    <w:p w:rsidR="00926E29" w:rsidRDefault="00926E29" w:rsidP="00E71984">
      <w:pPr>
        <w:rPr>
          <w:rFonts w:ascii="Arial" w:hAnsi="Arial" w:cs="Arial"/>
          <w:sz w:val="22"/>
          <w:szCs w:val="22"/>
        </w:rPr>
      </w:pPr>
    </w:p>
    <w:p w:rsidR="00926E29" w:rsidRPr="00DD386B" w:rsidRDefault="00926E29" w:rsidP="000F2FEA">
      <w:pPr>
        <w:rPr>
          <w:rFonts w:ascii="Arial" w:hAnsi="Arial" w:cs="Arial"/>
          <w:b/>
          <w:sz w:val="22"/>
          <w:u w:val="single"/>
        </w:rPr>
      </w:pPr>
      <w:r>
        <w:rPr>
          <w:rFonts w:ascii="Arial" w:hAnsi="Arial" w:cs="Arial"/>
          <w:b/>
          <w:sz w:val="22"/>
          <w:u w:val="single"/>
        </w:rPr>
        <w:t>Full-year</w:t>
      </w:r>
      <w:r w:rsidRPr="00DD386B">
        <w:rPr>
          <w:rFonts w:ascii="Arial" w:hAnsi="Arial" w:cs="Arial"/>
          <w:b/>
          <w:sz w:val="22"/>
          <w:u w:val="single"/>
        </w:rPr>
        <w:t xml:space="preserve"> 201</w:t>
      </w:r>
      <w:r>
        <w:rPr>
          <w:rFonts w:ascii="Arial" w:hAnsi="Arial" w:cs="Arial"/>
          <w:b/>
          <w:sz w:val="22"/>
          <w:u w:val="single"/>
        </w:rPr>
        <w:t>6</w:t>
      </w:r>
      <w:r w:rsidRPr="00DD386B">
        <w:rPr>
          <w:rFonts w:ascii="Arial" w:hAnsi="Arial" w:cs="Arial"/>
          <w:b/>
          <w:sz w:val="22"/>
          <w:u w:val="single"/>
        </w:rPr>
        <w:t xml:space="preserve"> </w:t>
      </w:r>
      <w:r>
        <w:rPr>
          <w:rFonts w:ascii="Arial" w:hAnsi="Arial" w:cs="Arial"/>
          <w:b/>
          <w:sz w:val="22"/>
          <w:u w:val="single"/>
        </w:rPr>
        <w:t xml:space="preserve">Consolidated </w:t>
      </w:r>
      <w:r w:rsidRPr="00DD386B">
        <w:rPr>
          <w:rFonts w:ascii="Arial" w:hAnsi="Arial" w:cs="Arial"/>
          <w:b/>
          <w:sz w:val="22"/>
          <w:u w:val="single"/>
        </w:rPr>
        <w:t>Results</w:t>
      </w:r>
    </w:p>
    <w:p w:rsidR="00926E29" w:rsidRPr="00CC424D" w:rsidRDefault="00926E29" w:rsidP="000F2FEA">
      <w:pPr>
        <w:rPr>
          <w:rFonts w:ascii="Arial" w:hAnsi="Arial" w:cs="Arial"/>
          <w:sz w:val="22"/>
        </w:rPr>
      </w:pPr>
    </w:p>
    <w:p w:rsidR="00926E29" w:rsidRDefault="00926E29">
      <w:pPr>
        <w:pStyle w:val="ListParagraph"/>
        <w:numPr>
          <w:ilvl w:val="0"/>
          <w:numId w:val="37"/>
        </w:numPr>
        <w:ind w:left="360"/>
        <w:rPr>
          <w:rFonts w:ascii="Arial" w:hAnsi="Arial" w:cs="Arial"/>
          <w:sz w:val="22"/>
        </w:rPr>
      </w:pPr>
      <w:r w:rsidRPr="0079098A">
        <w:rPr>
          <w:rFonts w:ascii="Arial" w:hAnsi="Arial" w:cs="Arial"/>
          <w:sz w:val="22"/>
        </w:rPr>
        <w:t xml:space="preserve">Full-year </w:t>
      </w:r>
      <w:r>
        <w:rPr>
          <w:rFonts w:ascii="Arial" w:hAnsi="Arial" w:cs="Arial"/>
          <w:sz w:val="22"/>
        </w:rPr>
        <w:t xml:space="preserve">2016 </w:t>
      </w:r>
      <w:r w:rsidRPr="0079098A">
        <w:rPr>
          <w:rFonts w:ascii="Arial" w:hAnsi="Arial" w:cs="Arial"/>
          <w:sz w:val="22"/>
        </w:rPr>
        <w:t>diluted EPS of $3.87</w:t>
      </w:r>
      <w:r>
        <w:rPr>
          <w:rFonts w:ascii="Arial" w:hAnsi="Arial" w:cs="Arial"/>
          <w:sz w:val="22"/>
        </w:rPr>
        <w:t>;</w:t>
      </w:r>
      <w:r w:rsidRPr="00666CFA">
        <w:rPr>
          <w:rFonts w:ascii="Arial" w:hAnsi="Arial" w:cs="Arial"/>
          <w:sz w:val="22"/>
        </w:rPr>
        <w:t xml:space="preserve"> </w:t>
      </w:r>
      <w:r>
        <w:rPr>
          <w:rFonts w:ascii="Arial" w:hAnsi="Arial" w:cs="Arial"/>
          <w:sz w:val="22"/>
        </w:rPr>
        <w:t>a</w:t>
      </w:r>
      <w:r w:rsidRPr="00666CFA">
        <w:rPr>
          <w:rFonts w:ascii="Arial" w:hAnsi="Arial" w:cs="Arial"/>
          <w:sz w:val="22"/>
        </w:rPr>
        <w:t>djusted diluted EPS was $5.75.</w:t>
      </w:r>
    </w:p>
    <w:p w:rsidR="00926E29" w:rsidRPr="0079098A" w:rsidRDefault="00926E29">
      <w:pPr>
        <w:pStyle w:val="ListParagraph"/>
        <w:numPr>
          <w:ilvl w:val="0"/>
          <w:numId w:val="37"/>
        </w:numPr>
        <w:ind w:left="360"/>
        <w:rPr>
          <w:rFonts w:ascii="Arial" w:hAnsi="Arial" w:cs="Arial"/>
          <w:sz w:val="22"/>
        </w:rPr>
      </w:pPr>
      <w:r w:rsidRPr="00666CFA">
        <w:rPr>
          <w:rFonts w:ascii="Arial" w:hAnsi="Arial" w:cs="Arial"/>
          <w:sz w:val="22"/>
        </w:rPr>
        <w:t>Adjusted diluted EPS excludes the impact of non-cash, mark-to-market pension charge.</w:t>
      </w:r>
    </w:p>
    <w:p w:rsidR="00926E29" w:rsidRPr="004F5D76" w:rsidRDefault="00926E29" w:rsidP="000F2FEA">
      <w:pPr>
        <w:pStyle w:val="ListParagraph"/>
        <w:numPr>
          <w:ilvl w:val="0"/>
          <w:numId w:val="37"/>
        </w:numPr>
        <w:ind w:left="360"/>
        <w:rPr>
          <w:rFonts w:ascii="Arial" w:hAnsi="Arial" w:cs="Arial"/>
          <w:sz w:val="22"/>
        </w:rPr>
      </w:pPr>
      <w:r w:rsidRPr="004F5D76">
        <w:rPr>
          <w:rFonts w:ascii="Arial" w:hAnsi="Arial" w:cs="Arial"/>
          <w:sz w:val="22"/>
        </w:rPr>
        <w:t>Generated $</w:t>
      </w:r>
      <w:r>
        <w:rPr>
          <w:rFonts w:ascii="Arial" w:hAnsi="Arial" w:cs="Arial"/>
          <w:sz w:val="22"/>
        </w:rPr>
        <w:t>6.5</w:t>
      </w:r>
      <w:r w:rsidRPr="004F5D76">
        <w:rPr>
          <w:rFonts w:ascii="Arial" w:hAnsi="Arial" w:cs="Arial"/>
          <w:sz w:val="22"/>
        </w:rPr>
        <w:t xml:space="preserve"> billion in cash from operations.  </w:t>
      </w:r>
    </w:p>
    <w:p w:rsidR="00926E29" w:rsidRDefault="00926E29" w:rsidP="000F2FEA">
      <w:pPr>
        <w:pStyle w:val="ListParagraph"/>
        <w:numPr>
          <w:ilvl w:val="0"/>
          <w:numId w:val="37"/>
        </w:numPr>
        <w:ind w:left="360"/>
        <w:rPr>
          <w:rFonts w:ascii="Arial" w:hAnsi="Arial" w:cs="Arial"/>
          <w:sz w:val="22"/>
        </w:rPr>
      </w:pPr>
      <w:r>
        <w:rPr>
          <w:rFonts w:ascii="Arial" w:hAnsi="Arial" w:cs="Arial"/>
          <w:sz w:val="22"/>
        </w:rPr>
        <w:t>Company made capital expenditures of nearly $3.0 billion during the year.</w:t>
      </w:r>
    </w:p>
    <w:p w:rsidR="00926E29" w:rsidRPr="004F5D76" w:rsidRDefault="00926E29" w:rsidP="000F2FEA">
      <w:pPr>
        <w:pStyle w:val="ListParagraph"/>
        <w:numPr>
          <w:ilvl w:val="0"/>
          <w:numId w:val="37"/>
        </w:numPr>
        <w:ind w:left="360"/>
        <w:rPr>
          <w:rFonts w:ascii="Arial" w:hAnsi="Arial" w:cs="Arial"/>
          <w:sz w:val="22"/>
        </w:rPr>
      </w:pPr>
      <w:r w:rsidRPr="004F5D76">
        <w:rPr>
          <w:rFonts w:ascii="Arial" w:hAnsi="Arial" w:cs="Arial"/>
          <w:sz w:val="22"/>
        </w:rPr>
        <w:t>Paid dividends of $</w:t>
      </w:r>
      <w:r>
        <w:rPr>
          <w:rFonts w:ascii="Arial" w:hAnsi="Arial" w:cs="Arial"/>
          <w:sz w:val="22"/>
        </w:rPr>
        <w:t>2.8</w:t>
      </w:r>
      <w:r w:rsidRPr="004F5D76">
        <w:rPr>
          <w:rFonts w:ascii="Arial" w:hAnsi="Arial" w:cs="Arial"/>
          <w:sz w:val="22"/>
        </w:rPr>
        <w:t xml:space="preserve"> billion, an increase of </w:t>
      </w:r>
      <w:r>
        <w:rPr>
          <w:rFonts w:ascii="Arial" w:hAnsi="Arial" w:cs="Arial"/>
          <w:sz w:val="22"/>
        </w:rPr>
        <w:t>6.8</w:t>
      </w:r>
      <w:r w:rsidRPr="004F5D76">
        <w:rPr>
          <w:rFonts w:ascii="Arial" w:hAnsi="Arial" w:cs="Arial"/>
          <w:sz w:val="22"/>
        </w:rPr>
        <w:t xml:space="preserve">% per share over the prior year.  </w:t>
      </w:r>
    </w:p>
    <w:p w:rsidR="00926E29" w:rsidRPr="00EF7A83" w:rsidRDefault="00926E29" w:rsidP="009318E1">
      <w:pPr>
        <w:pStyle w:val="ListParagraph"/>
        <w:numPr>
          <w:ilvl w:val="0"/>
          <w:numId w:val="37"/>
        </w:numPr>
        <w:ind w:left="360"/>
        <w:rPr>
          <w:rFonts w:ascii="Arial" w:hAnsi="Arial" w:cs="Arial"/>
          <w:sz w:val="22"/>
          <w:szCs w:val="22"/>
        </w:rPr>
      </w:pPr>
      <w:r w:rsidRPr="009318E1">
        <w:rPr>
          <w:rFonts w:ascii="Arial" w:hAnsi="Arial" w:cs="Arial"/>
          <w:sz w:val="22"/>
        </w:rPr>
        <w:t>Repurchased 2</w:t>
      </w:r>
      <w:r>
        <w:rPr>
          <w:rFonts w:ascii="Arial" w:hAnsi="Arial" w:cs="Arial"/>
          <w:sz w:val="22"/>
        </w:rPr>
        <w:t>5.5</w:t>
      </w:r>
      <w:r w:rsidRPr="009318E1">
        <w:rPr>
          <w:rFonts w:ascii="Arial" w:hAnsi="Arial" w:cs="Arial"/>
          <w:sz w:val="22"/>
        </w:rPr>
        <w:t xml:space="preserve"> million shares f</w:t>
      </w:r>
      <w:r>
        <w:rPr>
          <w:rFonts w:ascii="Arial" w:hAnsi="Arial" w:cs="Arial"/>
          <w:sz w:val="22"/>
        </w:rPr>
        <w:t xml:space="preserve">or approximately $2.7 billion. </w:t>
      </w:r>
    </w:p>
    <w:p w:rsidR="00926E29" w:rsidRDefault="00926E29" w:rsidP="00EF7A83">
      <w:pPr>
        <w:pStyle w:val="ListParagraph"/>
        <w:ind w:left="0"/>
        <w:rPr>
          <w:rFonts w:ascii="Arial" w:hAnsi="Arial" w:cs="Arial"/>
          <w:sz w:val="22"/>
          <w:szCs w:val="22"/>
        </w:rPr>
      </w:pPr>
    </w:p>
    <w:p w:rsidR="00926E29" w:rsidRPr="009318E1" w:rsidRDefault="00926E29" w:rsidP="00EF7A83">
      <w:pPr>
        <w:pStyle w:val="ListParagraph"/>
        <w:ind w:left="0"/>
        <w:rPr>
          <w:rFonts w:ascii="Arial" w:hAnsi="Arial" w:cs="Arial"/>
          <w:sz w:val="22"/>
          <w:szCs w:val="22"/>
        </w:rPr>
      </w:pPr>
    </w:p>
    <w:p w:rsidR="00926E29" w:rsidRPr="00EC663B" w:rsidRDefault="00926E29" w:rsidP="009318E1">
      <w:pPr>
        <w:rPr>
          <w:rFonts w:ascii="Arial" w:hAnsi="Arial" w:cs="Arial"/>
          <w:b/>
          <w:u w:val="single"/>
        </w:rPr>
      </w:pPr>
      <w:r w:rsidRPr="00EC663B">
        <w:rPr>
          <w:rFonts w:ascii="Arial" w:hAnsi="Arial" w:cs="Arial"/>
          <w:b/>
          <w:u w:val="single"/>
        </w:rPr>
        <w:t>Outlook</w:t>
      </w:r>
    </w:p>
    <w:p w:rsidR="00926E29" w:rsidRDefault="00926E29" w:rsidP="009318E1">
      <w:pPr>
        <w:ind w:firstLine="720"/>
        <w:rPr>
          <w:rFonts w:ascii="Arial" w:hAnsi="Arial" w:cs="Arial"/>
        </w:rPr>
      </w:pPr>
    </w:p>
    <w:p w:rsidR="00926E29" w:rsidRPr="004F5D76" w:rsidRDefault="00926E29" w:rsidP="009318E1">
      <w:pPr>
        <w:ind w:firstLine="720"/>
        <w:rPr>
          <w:rFonts w:ascii="Arial" w:hAnsi="Arial" w:cs="Arial"/>
          <w:sz w:val="22"/>
          <w:szCs w:val="22"/>
        </w:rPr>
      </w:pPr>
      <w:r w:rsidRPr="004F5D76">
        <w:rPr>
          <w:rFonts w:ascii="Arial" w:hAnsi="Arial" w:cs="Arial"/>
          <w:sz w:val="22"/>
          <w:szCs w:val="22"/>
        </w:rPr>
        <w:t xml:space="preserve">The company provides guidance on an adjusted (non-GAAP) basis because it is not possible to predict or provide a reconciliation reflecting the impact of </w:t>
      </w:r>
      <w:r>
        <w:rPr>
          <w:rFonts w:ascii="Arial" w:hAnsi="Arial" w:cs="Arial"/>
          <w:sz w:val="22"/>
          <w:szCs w:val="22"/>
        </w:rPr>
        <w:t xml:space="preserve">future </w:t>
      </w:r>
      <w:r w:rsidRPr="004F5D76">
        <w:rPr>
          <w:rFonts w:ascii="Arial" w:hAnsi="Arial" w:cs="Arial"/>
          <w:sz w:val="22"/>
          <w:szCs w:val="22"/>
        </w:rPr>
        <w:t>pension mark-to-market adjustments, which would be included in reported (GAAP) results and could be material.</w:t>
      </w:r>
    </w:p>
    <w:p w:rsidR="00926E29" w:rsidRDefault="00926E29" w:rsidP="009318E1">
      <w:pPr>
        <w:ind w:firstLine="720"/>
        <w:rPr>
          <w:rFonts w:ascii="Arial" w:hAnsi="Arial" w:cs="Arial"/>
          <w:sz w:val="22"/>
          <w:szCs w:val="22"/>
        </w:rPr>
      </w:pPr>
    </w:p>
    <w:p w:rsidR="00926E29" w:rsidRDefault="00926E29" w:rsidP="009318E1">
      <w:pPr>
        <w:ind w:firstLine="720"/>
        <w:rPr>
          <w:rFonts w:ascii="Arial" w:hAnsi="Arial" w:cs="Arial"/>
          <w:sz w:val="22"/>
        </w:rPr>
      </w:pPr>
      <w:r w:rsidRPr="004A031D">
        <w:rPr>
          <w:rFonts w:ascii="Arial" w:hAnsi="Arial" w:cs="Arial"/>
          <w:sz w:val="22"/>
        </w:rPr>
        <w:t>“</w:t>
      </w:r>
      <w:r>
        <w:rPr>
          <w:rFonts w:ascii="Arial" w:hAnsi="Arial" w:cs="Arial"/>
          <w:sz w:val="22"/>
        </w:rPr>
        <w:t>The investments in ORION and automation provided benefits during the quarter</w:t>
      </w:r>
      <w:r>
        <w:rPr>
          <w:rFonts w:ascii="Arial" w:hAnsi="Arial" w:cs="Arial"/>
          <w:sz w:val="22"/>
          <w:szCs w:val="22"/>
        </w:rPr>
        <w:t>,</w:t>
      </w:r>
      <w:r w:rsidRPr="004A031D">
        <w:rPr>
          <w:rFonts w:ascii="Arial" w:hAnsi="Arial" w:cs="Arial"/>
          <w:sz w:val="22"/>
        </w:rPr>
        <w:t xml:space="preserve">” said Richard Peretz, UPS chief financial officer.  </w:t>
      </w:r>
      <w:r>
        <w:rPr>
          <w:rFonts w:ascii="Arial" w:hAnsi="Arial" w:cs="Arial"/>
          <w:sz w:val="22"/>
        </w:rPr>
        <w:t>“However, bottom-line results were challenged by</w:t>
      </w:r>
      <w:r>
        <w:rPr>
          <w:rFonts w:ascii="Arial" w:hAnsi="Arial" w:cs="Arial"/>
          <w:sz w:val="22"/>
          <w:szCs w:val="22"/>
        </w:rPr>
        <w:t xml:space="preserve"> a shift in product mix and the continued softness in industrial production.  </w:t>
      </w:r>
      <w:r>
        <w:rPr>
          <w:rFonts w:ascii="Arial" w:hAnsi="Arial" w:cs="Arial"/>
          <w:sz w:val="22"/>
        </w:rPr>
        <w:t>Strong growth, combined with our network investments, provide UPS with great opportunities for many years to come</w:t>
      </w:r>
      <w:r w:rsidRPr="004F5D76">
        <w:rPr>
          <w:rFonts w:ascii="Arial" w:hAnsi="Arial" w:cs="Arial"/>
          <w:sz w:val="22"/>
          <w:szCs w:val="22"/>
        </w:rPr>
        <w:t>.”</w:t>
      </w:r>
      <w:r>
        <w:rPr>
          <w:rFonts w:ascii="Arial" w:hAnsi="Arial" w:cs="Arial"/>
          <w:sz w:val="22"/>
        </w:rPr>
        <w:t xml:space="preserve"> </w:t>
      </w:r>
    </w:p>
    <w:p w:rsidR="00926E29" w:rsidRPr="004F5D76" w:rsidRDefault="00926E29" w:rsidP="009318E1">
      <w:pPr>
        <w:ind w:firstLine="720"/>
        <w:rPr>
          <w:rFonts w:ascii="Arial" w:hAnsi="Arial" w:cs="Arial"/>
          <w:sz w:val="22"/>
          <w:szCs w:val="22"/>
        </w:rPr>
      </w:pPr>
    </w:p>
    <w:p w:rsidR="00926E29" w:rsidRDefault="00926E29" w:rsidP="008632C2">
      <w:pPr>
        <w:pStyle w:val="ListParagraph"/>
        <w:numPr>
          <w:ilvl w:val="0"/>
          <w:numId w:val="37"/>
        </w:numPr>
        <w:ind w:left="360"/>
        <w:rPr>
          <w:rFonts w:ascii="Arial" w:hAnsi="Arial" w:cs="Arial"/>
          <w:sz w:val="22"/>
        </w:rPr>
      </w:pPr>
      <w:r>
        <w:rPr>
          <w:rFonts w:ascii="Arial" w:hAnsi="Arial" w:cs="Arial"/>
          <w:sz w:val="22"/>
        </w:rPr>
        <w:t xml:space="preserve">UPS expects </w:t>
      </w:r>
      <w:r w:rsidRPr="000346B8">
        <w:rPr>
          <w:rFonts w:ascii="Arial" w:hAnsi="Arial" w:cs="Arial"/>
          <w:sz w:val="22"/>
        </w:rPr>
        <w:t xml:space="preserve">2017 adjusted diluted EPS to be $5.80 to $6.10, </w:t>
      </w:r>
      <w:r>
        <w:rPr>
          <w:rFonts w:ascii="Arial" w:hAnsi="Arial" w:cs="Arial"/>
          <w:sz w:val="22"/>
        </w:rPr>
        <w:t xml:space="preserve">which </w:t>
      </w:r>
      <w:r w:rsidRPr="000346B8">
        <w:rPr>
          <w:rFonts w:ascii="Arial" w:hAnsi="Arial" w:cs="Arial"/>
          <w:sz w:val="22"/>
        </w:rPr>
        <w:t>includes $</w:t>
      </w:r>
      <w:r>
        <w:rPr>
          <w:rFonts w:ascii="Arial" w:hAnsi="Arial" w:cs="Arial"/>
          <w:sz w:val="22"/>
        </w:rPr>
        <w:t>400</w:t>
      </w:r>
      <w:r w:rsidRPr="000346B8">
        <w:rPr>
          <w:rFonts w:ascii="Arial" w:hAnsi="Arial" w:cs="Arial"/>
          <w:sz w:val="22"/>
        </w:rPr>
        <w:t xml:space="preserve"> million of </w:t>
      </w:r>
      <w:r>
        <w:rPr>
          <w:rFonts w:ascii="Arial" w:hAnsi="Arial" w:cs="Arial"/>
          <w:sz w:val="22"/>
        </w:rPr>
        <w:t xml:space="preserve">pre-tax </w:t>
      </w:r>
      <w:r w:rsidRPr="000346B8">
        <w:rPr>
          <w:rFonts w:ascii="Arial" w:hAnsi="Arial" w:cs="Arial"/>
          <w:sz w:val="22"/>
        </w:rPr>
        <w:t>currency headwinds.</w:t>
      </w:r>
      <w:r>
        <w:rPr>
          <w:rFonts w:ascii="Arial" w:hAnsi="Arial" w:cs="Arial"/>
          <w:sz w:val="22"/>
        </w:rPr>
        <w:t xml:space="preserve">  </w:t>
      </w:r>
      <w:r w:rsidRPr="006F2FBF">
        <w:rPr>
          <w:rFonts w:ascii="Arial" w:hAnsi="Arial" w:cs="Arial"/>
          <w:sz w:val="22"/>
        </w:rPr>
        <w:t xml:space="preserve"> </w:t>
      </w:r>
    </w:p>
    <w:p w:rsidR="00926E29" w:rsidRDefault="00926E29" w:rsidP="000346B8">
      <w:pPr>
        <w:pStyle w:val="ListParagraph"/>
        <w:numPr>
          <w:ilvl w:val="0"/>
          <w:numId w:val="37"/>
        </w:numPr>
        <w:ind w:left="720"/>
        <w:rPr>
          <w:rFonts w:ascii="Arial" w:hAnsi="Arial" w:cs="Arial"/>
          <w:sz w:val="22"/>
        </w:rPr>
      </w:pPr>
      <w:r w:rsidRPr="001D476F">
        <w:rPr>
          <w:rFonts w:ascii="Arial" w:hAnsi="Arial" w:cs="Arial"/>
          <w:sz w:val="22"/>
        </w:rPr>
        <w:t xml:space="preserve">Further, the currency drag lowers the adjusted diluted EPS </w:t>
      </w:r>
      <w:r>
        <w:rPr>
          <w:rFonts w:ascii="Arial" w:hAnsi="Arial" w:cs="Arial"/>
          <w:sz w:val="22"/>
        </w:rPr>
        <w:t xml:space="preserve">by $0.30 in 2017, and decreases the EPS </w:t>
      </w:r>
      <w:r w:rsidRPr="001D476F">
        <w:rPr>
          <w:rFonts w:ascii="Arial" w:hAnsi="Arial" w:cs="Arial"/>
          <w:sz w:val="22"/>
        </w:rPr>
        <w:t>growth rates by approximately 500 basis points</w:t>
      </w:r>
      <w:r>
        <w:rPr>
          <w:rFonts w:ascii="Arial" w:hAnsi="Arial" w:cs="Arial"/>
          <w:sz w:val="22"/>
        </w:rPr>
        <w:t>.</w:t>
      </w:r>
      <w:r w:rsidRPr="001D476F">
        <w:rPr>
          <w:rFonts w:ascii="Arial" w:hAnsi="Arial" w:cs="Arial"/>
          <w:sz w:val="22"/>
        </w:rPr>
        <w:t xml:space="preserve"> </w:t>
      </w:r>
    </w:p>
    <w:p w:rsidR="00926E29" w:rsidRDefault="00926E29" w:rsidP="00E71984">
      <w:pPr>
        <w:autoSpaceDE w:val="0"/>
        <w:autoSpaceDN w:val="0"/>
        <w:adjustRightInd w:val="0"/>
        <w:rPr>
          <w:rFonts w:ascii="Arial" w:hAnsi="Arial" w:cs="Arial"/>
          <w:color w:val="003436"/>
          <w:sz w:val="22"/>
          <w:szCs w:val="22"/>
        </w:rPr>
      </w:pPr>
    </w:p>
    <w:p w:rsidR="00926E29" w:rsidRPr="00D12477" w:rsidRDefault="00926E29" w:rsidP="00E71984">
      <w:pPr>
        <w:autoSpaceDE w:val="0"/>
        <w:autoSpaceDN w:val="0"/>
        <w:adjustRightInd w:val="0"/>
        <w:rPr>
          <w:rFonts w:ascii="Arial" w:hAnsi="Arial" w:cs="Arial"/>
          <w:color w:val="003436"/>
          <w:sz w:val="22"/>
          <w:szCs w:val="22"/>
        </w:rPr>
      </w:pPr>
    </w:p>
    <w:p w:rsidR="00926E29" w:rsidRDefault="00926E29" w:rsidP="00E71984">
      <w:pPr>
        <w:keepNext/>
        <w:rPr>
          <w:rFonts w:ascii="Arial" w:hAnsi="Arial" w:cs="Arial"/>
          <w:b/>
          <w:sz w:val="22"/>
          <w:szCs w:val="22"/>
        </w:rPr>
      </w:pPr>
      <w:r>
        <w:rPr>
          <w:rFonts w:ascii="Arial" w:hAnsi="Arial" w:cs="Arial"/>
          <w:b/>
          <w:sz w:val="22"/>
          <w:szCs w:val="22"/>
        </w:rPr>
        <w:t>About UPS</w:t>
      </w:r>
    </w:p>
    <w:p w:rsidR="00926E29" w:rsidRDefault="00926E29" w:rsidP="00E71984">
      <w:pPr>
        <w:keepNext/>
        <w:autoSpaceDE w:val="0"/>
        <w:autoSpaceDN w:val="0"/>
        <w:adjustRightInd w:val="0"/>
        <w:ind w:firstLine="720"/>
        <w:rPr>
          <w:rFonts w:ascii="Arial" w:hAnsi="Arial" w:cs="Arial"/>
          <w:color w:val="003436"/>
          <w:sz w:val="22"/>
          <w:szCs w:val="22"/>
        </w:rPr>
      </w:pPr>
      <w:r w:rsidRPr="00A85056">
        <w:rPr>
          <w:rFonts w:ascii="Arial" w:hAnsi="Arial" w:cs="Arial"/>
          <w:sz w:val="22"/>
          <w:szCs w:val="22"/>
        </w:rPr>
        <w:t>UPS (NYSE: UPS) is a global leader in logistics, offering a broad range of solutions including the transportation of packages and freight; the facilitation of international trade, and the deployment of advanced technology to more efficiently manage the world of business. Headquartered in Atlanta,</w:t>
      </w:r>
      <w:r>
        <w:rPr>
          <w:rFonts w:ascii="Arial" w:hAnsi="Arial" w:cs="Arial"/>
          <w:sz w:val="22"/>
          <w:szCs w:val="22"/>
        </w:rPr>
        <w:t xml:space="preserve"> USA,</w:t>
      </w:r>
      <w:r w:rsidRPr="00A85056">
        <w:rPr>
          <w:rFonts w:ascii="Arial" w:hAnsi="Arial" w:cs="Arial"/>
          <w:sz w:val="22"/>
          <w:szCs w:val="22"/>
        </w:rPr>
        <w:t xml:space="preserve"> UPS serves more than 220 countries and territories worldwide. The company can be found on the Web at ups.com</w:t>
      </w:r>
      <w:r w:rsidRPr="00A85056">
        <w:rPr>
          <w:rFonts w:ascii="Arial" w:hAnsi="Arial" w:cs="Arial"/>
          <w:sz w:val="22"/>
          <w:szCs w:val="22"/>
          <w:vertAlign w:val="superscript"/>
          <w:lang w:val="en"/>
        </w:rPr>
        <w:t>®</w:t>
      </w:r>
      <w:r w:rsidRPr="00A85056">
        <w:rPr>
          <w:rFonts w:ascii="Arial" w:hAnsi="Arial" w:cs="Arial"/>
          <w:sz w:val="22"/>
          <w:szCs w:val="22"/>
        </w:rPr>
        <w:t xml:space="preserve"> and its corporate blog can be found at </w:t>
      </w:r>
      <w:hyperlink r:id="rId9" w:history="1">
        <w:r w:rsidRPr="00A85056">
          <w:rPr>
            <w:rStyle w:val="Hyperlink"/>
            <w:rFonts w:ascii="Arial" w:hAnsi="Arial" w:cs="Arial"/>
            <w:sz w:val="22"/>
            <w:szCs w:val="22"/>
          </w:rPr>
          <w:t>Longitudes.ups.com</w:t>
        </w:r>
      </w:hyperlink>
      <w:r w:rsidRPr="00A85056">
        <w:rPr>
          <w:rFonts w:ascii="Arial" w:hAnsi="Arial" w:cs="Arial"/>
          <w:color w:val="003436"/>
          <w:sz w:val="22"/>
          <w:szCs w:val="22"/>
        </w:rPr>
        <w:t>.</w:t>
      </w:r>
      <w:r w:rsidRPr="00A85056">
        <w:rPr>
          <w:rFonts w:ascii="Arial" w:hAnsi="Arial" w:cs="Arial"/>
          <w:sz w:val="22"/>
          <w:szCs w:val="22"/>
        </w:rPr>
        <w:t xml:space="preserve"> To get UPS news direct</w:t>
      </w:r>
      <w:r>
        <w:rPr>
          <w:rFonts w:ascii="Arial" w:hAnsi="Arial" w:cs="Arial"/>
          <w:sz w:val="22"/>
          <w:szCs w:val="22"/>
        </w:rPr>
        <w:t>ly</w:t>
      </w:r>
      <w:r w:rsidRPr="00A85056">
        <w:rPr>
          <w:rFonts w:ascii="Arial" w:hAnsi="Arial" w:cs="Arial"/>
          <w:sz w:val="22"/>
          <w:szCs w:val="22"/>
        </w:rPr>
        <w:t xml:space="preserve">, visit </w:t>
      </w:r>
      <w:hyperlink r:id="rId10" w:history="1">
        <w:r w:rsidRPr="00A85056">
          <w:rPr>
            <w:rStyle w:val="Hyperlink"/>
            <w:rFonts w:ascii="Arial" w:hAnsi="Arial" w:cs="Arial"/>
            <w:sz w:val="22"/>
            <w:szCs w:val="22"/>
          </w:rPr>
          <w:t>pressroom.ups.com/RSS</w:t>
        </w:r>
      </w:hyperlink>
      <w:r w:rsidRPr="00A85056">
        <w:rPr>
          <w:rFonts w:ascii="Arial" w:hAnsi="Arial" w:cs="Arial"/>
          <w:color w:val="003436"/>
          <w:sz w:val="22"/>
          <w:szCs w:val="22"/>
        </w:rPr>
        <w:t>.</w:t>
      </w:r>
    </w:p>
    <w:p w:rsidR="00926E29" w:rsidRDefault="00926E29" w:rsidP="00E71984">
      <w:pPr>
        <w:autoSpaceDE w:val="0"/>
        <w:autoSpaceDN w:val="0"/>
        <w:adjustRightInd w:val="0"/>
        <w:rPr>
          <w:rFonts w:ascii="Arial" w:hAnsi="Arial" w:cs="Arial"/>
          <w:color w:val="003436"/>
          <w:sz w:val="22"/>
          <w:szCs w:val="22"/>
        </w:rPr>
      </w:pPr>
    </w:p>
    <w:p w:rsidR="00926E29" w:rsidRDefault="00926E29" w:rsidP="00E71984">
      <w:pPr>
        <w:autoSpaceDE w:val="0"/>
        <w:autoSpaceDN w:val="0"/>
        <w:adjustRightInd w:val="0"/>
        <w:rPr>
          <w:rFonts w:ascii="Arial" w:hAnsi="Arial" w:cs="Arial"/>
          <w:color w:val="003436"/>
          <w:sz w:val="22"/>
          <w:szCs w:val="22"/>
        </w:rPr>
      </w:pPr>
    </w:p>
    <w:p w:rsidR="00926E29" w:rsidRPr="00B50A8C" w:rsidRDefault="00926E29" w:rsidP="001F60BC">
      <w:pPr>
        <w:rPr>
          <w:rFonts w:ascii="Arial" w:hAnsi="Arial" w:cs="Arial"/>
          <w:sz w:val="22"/>
          <w:szCs w:val="22"/>
          <w:u w:val="single"/>
        </w:rPr>
      </w:pPr>
      <w:r w:rsidRPr="00B50A8C">
        <w:rPr>
          <w:rFonts w:ascii="Arial" w:hAnsi="Arial" w:cs="Arial"/>
          <w:b/>
          <w:sz w:val="22"/>
          <w:szCs w:val="22"/>
          <w:u w:val="single"/>
        </w:rPr>
        <w:t>Forward-Looking Statements</w:t>
      </w:r>
    </w:p>
    <w:p w:rsidR="00926E29" w:rsidRDefault="00926E29" w:rsidP="001F60BC">
      <w:pPr>
        <w:ind w:firstLine="720"/>
        <w:rPr>
          <w:rFonts w:ascii="Arial" w:hAnsi="Arial" w:cs="Arial"/>
          <w:sz w:val="22"/>
          <w:szCs w:val="22"/>
        </w:rPr>
      </w:pPr>
    </w:p>
    <w:p w:rsidR="00926E29" w:rsidRDefault="00926E29" w:rsidP="001F60BC">
      <w:pPr>
        <w:ind w:firstLine="720"/>
        <w:rPr>
          <w:rFonts w:ascii="Arial" w:hAnsi="Arial" w:cs="Arial"/>
          <w:sz w:val="22"/>
          <w:szCs w:val="22"/>
        </w:rPr>
      </w:pPr>
      <w:r w:rsidRPr="00A85056">
        <w:rPr>
          <w:rFonts w:ascii="Arial" w:hAnsi="Arial" w:cs="Arial"/>
          <w:sz w:val="22"/>
          <w:szCs w:val="22"/>
        </w:rPr>
        <w:t>Except for historical information contained herein, the statements made in this release constitute forward-looking statements within the meaning of Section 27A of the Securities Act of 1933 and Section 21E of the Securities Exchange Act of 1934. Such forward-looking</w:t>
      </w:r>
      <w:r>
        <w:rPr>
          <w:rFonts w:ascii="Arial" w:hAnsi="Arial" w:cs="Arial"/>
          <w:sz w:val="22"/>
          <w:szCs w:val="22"/>
        </w:rPr>
        <w:t xml:space="preserve"> </w:t>
      </w:r>
      <w:r w:rsidRPr="00A85056">
        <w:rPr>
          <w:rFonts w:ascii="Arial" w:hAnsi="Arial" w:cs="Arial"/>
          <w:sz w:val="22"/>
          <w:szCs w:val="22"/>
        </w:rPr>
        <w:t xml:space="preserve">statements, including statements regarding the intent, belief or current expectations of UPS and its management regarding the company's strategic directions, prospects and future results, involve certain risks and uncertainties. </w:t>
      </w:r>
    </w:p>
    <w:p w:rsidR="00926E29" w:rsidRDefault="00926E29" w:rsidP="001F60BC">
      <w:pPr>
        <w:rPr>
          <w:rFonts w:ascii="Arial" w:hAnsi="Arial" w:cs="Arial"/>
          <w:sz w:val="22"/>
          <w:szCs w:val="22"/>
        </w:rPr>
      </w:pPr>
    </w:p>
    <w:p w:rsidR="00926E29" w:rsidRDefault="00926E29" w:rsidP="001F60BC">
      <w:pPr>
        <w:ind w:firstLine="720"/>
        <w:rPr>
          <w:rFonts w:ascii="Arial" w:hAnsi="Arial" w:cs="Arial"/>
          <w:sz w:val="22"/>
          <w:szCs w:val="22"/>
        </w:rPr>
      </w:pPr>
      <w:r w:rsidRPr="00A85056">
        <w:rPr>
          <w:rFonts w:ascii="Arial" w:hAnsi="Arial" w:cs="Arial"/>
          <w:sz w:val="22"/>
          <w:szCs w:val="22"/>
        </w:rPr>
        <w:t>Certain factors may cause actual results to differ materially from those contained in the forward-looking statements, including economic and other conditions in the markets in which we operate, governmental regulations, our competitive environment, negotiation and ratification of labor contracts, strikes, work stoppages and 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rsidR="00926E29" w:rsidRDefault="00926E29" w:rsidP="001F60BC">
      <w:pPr>
        <w:autoSpaceDE w:val="0"/>
        <w:autoSpaceDN w:val="0"/>
        <w:adjustRightInd w:val="0"/>
        <w:rPr>
          <w:rFonts w:ascii="Arial" w:hAnsi="Arial" w:cs="Arial"/>
          <w:color w:val="003436"/>
          <w:sz w:val="22"/>
          <w:szCs w:val="22"/>
        </w:rPr>
      </w:pPr>
    </w:p>
    <w:p w:rsidR="00926E29" w:rsidRPr="00B50A8C" w:rsidRDefault="00926E29" w:rsidP="001F60BC">
      <w:pPr>
        <w:autoSpaceDE w:val="0"/>
        <w:autoSpaceDN w:val="0"/>
        <w:adjustRightInd w:val="0"/>
        <w:rPr>
          <w:rFonts w:ascii="Arial" w:hAnsi="Arial" w:cs="Arial"/>
          <w:b/>
          <w:sz w:val="22"/>
          <w:szCs w:val="22"/>
          <w:u w:val="single"/>
        </w:rPr>
      </w:pPr>
      <w:r w:rsidRPr="00B50A8C">
        <w:rPr>
          <w:rFonts w:ascii="Arial" w:hAnsi="Arial" w:cs="Arial"/>
          <w:b/>
          <w:sz w:val="22"/>
          <w:szCs w:val="22"/>
          <w:u w:val="single"/>
        </w:rPr>
        <w:t xml:space="preserve">Reconciliation of GAAP and </w:t>
      </w:r>
      <w:r>
        <w:rPr>
          <w:rFonts w:ascii="Arial" w:hAnsi="Arial" w:cs="Arial"/>
          <w:b/>
          <w:sz w:val="22"/>
          <w:szCs w:val="22"/>
          <w:u w:val="single"/>
        </w:rPr>
        <w:t>n</w:t>
      </w:r>
      <w:r w:rsidRPr="00B50A8C">
        <w:rPr>
          <w:rFonts w:ascii="Arial" w:hAnsi="Arial" w:cs="Arial"/>
          <w:b/>
          <w:sz w:val="22"/>
          <w:szCs w:val="22"/>
          <w:u w:val="single"/>
        </w:rPr>
        <w:t>on-GAAP Financial Measures</w:t>
      </w:r>
    </w:p>
    <w:p w:rsidR="00926E29" w:rsidRPr="00D12477" w:rsidRDefault="00926E29" w:rsidP="001F60BC">
      <w:pPr>
        <w:autoSpaceDE w:val="0"/>
        <w:autoSpaceDN w:val="0"/>
        <w:adjustRightInd w:val="0"/>
        <w:rPr>
          <w:rFonts w:ascii="Arial" w:hAnsi="Arial" w:cs="Arial"/>
          <w:color w:val="003436"/>
          <w:sz w:val="22"/>
          <w:szCs w:val="22"/>
        </w:rPr>
      </w:pPr>
    </w:p>
    <w:p w:rsidR="00926E29" w:rsidRDefault="00926E29" w:rsidP="001F60BC">
      <w:pPr>
        <w:ind w:firstLine="720"/>
        <w:rPr>
          <w:rFonts w:ascii="Arial" w:hAnsi="Arial" w:cs="Arial"/>
          <w:sz w:val="22"/>
          <w:szCs w:val="22"/>
        </w:rPr>
      </w:pPr>
      <w:r w:rsidRPr="008113AF">
        <w:rPr>
          <w:rFonts w:ascii="Arial" w:hAnsi="Arial" w:cs="Arial"/>
          <w:sz w:val="22"/>
          <w:szCs w:val="22"/>
        </w:rPr>
        <w:t xml:space="preserve">We supplement the reporting of our financial information determined under generally accepted accounting principles ("GAAP") with certain </w:t>
      </w:r>
      <w:r>
        <w:rPr>
          <w:rFonts w:ascii="Arial" w:hAnsi="Arial" w:cs="Arial"/>
          <w:sz w:val="22"/>
          <w:szCs w:val="22"/>
        </w:rPr>
        <w:t>n</w:t>
      </w:r>
      <w:r w:rsidRPr="008113AF">
        <w:rPr>
          <w:rFonts w:ascii="Arial" w:hAnsi="Arial" w:cs="Arial"/>
          <w:sz w:val="22"/>
          <w:szCs w:val="22"/>
        </w:rPr>
        <w:t>on-GAAP financial measures, including, as applicable, "as adjusted" operating profit, operating margin, pre-tax income, net income and earnings per share. The equivalent measures determined in accordance with GAAP are also referred to as "reported" or "unadjusted.” Additionally, we disclose free cash flow</w:t>
      </w:r>
      <w:r>
        <w:rPr>
          <w:rFonts w:ascii="Arial" w:hAnsi="Arial" w:cs="Arial"/>
          <w:sz w:val="22"/>
          <w:szCs w:val="22"/>
        </w:rPr>
        <w:t xml:space="preserve"> </w:t>
      </w:r>
      <w:r w:rsidRPr="008113AF">
        <w:rPr>
          <w:rFonts w:ascii="Arial" w:hAnsi="Arial" w:cs="Arial"/>
          <w:sz w:val="22"/>
          <w:szCs w:val="22"/>
        </w:rPr>
        <w:t xml:space="preserve">as well as </w:t>
      </w:r>
      <w:r>
        <w:rPr>
          <w:rFonts w:ascii="Arial" w:hAnsi="Arial" w:cs="Arial"/>
          <w:sz w:val="22"/>
          <w:szCs w:val="22"/>
        </w:rPr>
        <w:t xml:space="preserve">currency-neutral revenue and revenue per piece. </w:t>
      </w:r>
    </w:p>
    <w:p w:rsidR="00926E29" w:rsidRDefault="00926E29" w:rsidP="001F60BC">
      <w:pPr>
        <w:ind w:firstLine="720"/>
        <w:rPr>
          <w:rFonts w:ascii="Arial" w:hAnsi="Arial" w:cs="Arial"/>
          <w:sz w:val="22"/>
          <w:szCs w:val="22"/>
        </w:rPr>
      </w:pPr>
    </w:p>
    <w:p w:rsidR="00926E29" w:rsidRDefault="00926E29" w:rsidP="001F60BC">
      <w:pPr>
        <w:ind w:firstLine="720"/>
        <w:rPr>
          <w:rFonts w:ascii="Arial" w:hAnsi="Arial" w:cs="Arial"/>
          <w:sz w:val="22"/>
          <w:szCs w:val="22"/>
        </w:rPr>
      </w:pPr>
      <w:r w:rsidRPr="008113AF">
        <w:rPr>
          <w:rFonts w:ascii="Arial" w:hAnsi="Arial" w:cs="Arial"/>
          <w:sz w:val="22"/>
          <w:szCs w:val="22"/>
        </w:rPr>
        <w:t xml:space="preserve">We believe that these </w:t>
      </w:r>
      <w:r>
        <w:rPr>
          <w:rFonts w:ascii="Arial" w:hAnsi="Arial" w:cs="Arial"/>
          <w:sz w:val="22"/>
          <w:szCs w:val="22"/>
        </w:rPr>
        <w:t>non-GAAP</w:t>
      </w:r>
      <w:r w:rsidRPr="008113AF">
        <w:rPr>
          <w:rFonts w:ascii="Arial" w:hAnsi="Arial" w:cs="Arial"/>
          <w:sz w:val="22"/>
          <w:szCs w:val="22"/>
        </w:rPr>
        <w:t xml:space="preserve"> measures provide </w:t>
      </w:r>
      <w:r>
        <w:rPr>
          <w:rFonts w:ascii="Arial" w:hAnsi="Arial" w:cs="Arial"/>
          <w:sz w:val="22"/>
          <w:szCs w:val="22"/>
        </w:rPr>
        <w:t xml:space="preserve">additional </w:t>
      </w:r>
      <w:r w:rsidRPr="008113AF">
        <w:rPr>
          <w:rFonts w:ascii="Arial" w:hAnsi="Arial" w:cs="Arial"/>
          <w:sz w:val="22"/>
          <w:szCs w:val="22"/>
        </w:rPr>
        <w:t xml:space="preserve">meaningful information to assist </w:t>
      </w:r>
      <w:r>
        <w:rPr>
          <w:rFonts w:ascii="Arial" w:hAnsi="Arial" w:cs="Arial"/>
          <w:sz w:val="22"/>
          <w:szCs w:val="22"/>
        </w:rPr>
        <w:t>users of our financial statements</w:t>
      </w:r>
      <w:r w:rsidRPr="008113AF">
        <w:rPr>
          <w:rFonts w:ascii="Arial" w:hAnsi="Arial" w:cs="Arial"/>
          <w:sz w:val="22"/>
          <w:szCs w:val="22"/>
        </w:rPr>
        <w:t xml:space="preserve"> in understanding our financial results and assessing our </w:t>
      </w:r>
      <w:r>
        <w:rPr>
          <w:rFonts w:ascii="Arial" w:hAnsi="Arial" w:cs="Arial"/>
          <w:sz w:val="22"/>
          <w:szCs w:val="22"/>
        </w:rPr>
        <w:t xml:space="preserve">ongoing performance because they </w:t>
      </w:r>
      <w:r w:rsidRPr="008113AF">
        <w:rPr>
          <w:rFonts w:ascii="Arial" w:hAnsi="Arial" w:cs="Arial"/>
          <w:sz w:val="22"/>
          <w:szCs w:val="22"/>
        </w:rPr>
        <w:t xml:space="preserve">exclude items that may not be indicative of, or are unrelated to, our </w:t>
      </w:r>
      <w:r>
        <w:rPr>
          <w:rFonts w:ascii="Arial" w:hAnsi="Arial" w:cs="Arial"/>
          <w:sz w:val="22"/>
          <w:szCs w:val="22"/>
        </w:rPr>
        <w:t xml:space="preserve">underlying operations </w:t>
      </w:r>
      <w:r w:rsidRPr="008113AF">
        <w:rPr>
          <w:rFonts w:ascii="Arial" w:hAnsi="Arial" w:cs="Arial"/>
          <w:sz w:val="22"/>
          <w:szCs w:val="22"/>
        </w:rPr>
        <w:t xml:space="preserve">and </w:t>
      </w:r>
      <w:r>
        <w:rPr>
          <w:rFonts w:ascii="Arial" w:hAnsi="Arial" w:cs="Arial"/>
          <w:sz w:val="22"/>
          <w:szCs w:val="22"/>
        </w:rPr>
        <w:t xml:space="preserve">may </w:t>
      </w:r>
      <w:r w:rsidRPr="008113AF">
        <w:rPr>
          <w:rFonts w:ascii="Arial" w:hAnsi="Arial" w:cs="Arial"/>
          <w:sz w:val="22"/>
          <w:szCs w:val="22"/>
        </w:rPr>
        <w:t xml:space="preserve">provide a </w:t>
      </w:r>
      <w:r>
        <w:rPr>
          <w:rFonts w:ascii="Arial" w:hAnsi="Arial" w:cs="Arial"/>
          <w:sz w:val="22"/>
          <w:szCs w:val="22"/>
        </w:rPr>
        <w:t>useful</w:t>
      </w:r>
      <w:r w:rsidRPr="008113AF">
        <w:rPr>
          <w:rFonts w:ascii="Arial" w:hAnsi="Arial" w:cs="Arial"/>
          <w:sz w:val="22"/>
          <w:szCs w:val="22"/>
        </w:rPr>
        <w:t xml:space="preserve"> baseline for analyzing trends in our underlying businesses. </w:t>
      </w:r>
      <w:r>
        <w:rPr>
          <w:rFonts w:ascii="Arial" w:hAnsi="Arial" w:cs="Arial"/>
          <w:sz w:val="22"/>
          <w:szCs w:val="22"/>
        </w:rPr>
        <w:t xml:space="preserve">Management uses these non-GAAP financial measures in making financial, operating and planning decisions. We also use certain of these measures </w:t>
      </w:r>
      <w:r w:rsidRPr="008113AF">
        <w:rPr>
          <w:rFonts w:ascii="Arial" w:hAnsi="Arial" w:cs="Arial"/>
          <w:sz w:val="22"/>
          <w:szCs w:val="22"/>
        </w:rPr>
        <w:t xml:space="preserve">for the </w:t>
      </w:r>
      <w:r>
        <w:rPr>
          <w:rFonts w:ascii="Arial" w:hAnsi="Arial" w:cs="Arial"/>
          <w:sz w:val="22"/>
          <w:szCs w:val="22"/>
        </w:rPr>
        <w:t xml:space="preserve">determination of </w:t>
      </w:r>
      <w:r w:rsidRPr="008113AF">
        <w:rPr>
          <w:rFonts w:ascii="Arial" w:hAnsi="Arial" w:cs="Arial"/>
          <w:sz w:val="22"/>
          <w:szCs w:val="22"/>
        </w:rPr>
        <w:t>incentive compensation award</w:t>
      </w:r>
      <w:r>
        <w:rPr>
          <w:rFonts w:ascii="Arial" w:hAnsi="Arial" w:cs="Arial"/>
          <w:sz w:val="22"/>
          <w:szCs w:val="22"/>
        </w:rPr>
        <w:t xml:space="preserve"> results. </w:t>
      </w:r>
    </w:p>
    <w:p w:rsidR="00926E29" w:rsidRDefault="00926E29" w:rsidP="001F60BC">
      <w:pPr>
        <w:ind w:firstLine="720"/>
        <w:rPr>
          <w:rFonts w:ascii="Arial" w:hAnsi="Arial" w:cs="Arial"/>
          <w:sz w:val="22"/>
          <w:szCs w:val="22"/>
        </w:rPr>
      </w:pPr>
    </w:p>
    <w:p w:rsidR="00926E29" w:rsidRPr="008113AF" w:rsidRDefault="00926E29" w:rsidP="001F60BC">
      <w:pPr>
        <w:ind w:firstLine="720"/>
        <w:rPr>
          <w:rFonts w:ascii="Arial" w:hAnsi="Arial" w:cs="Arial"/>
          <w:sz w:val="22"/>
          <w:szCs w:val="22"/>
        </w:rPr>
      </w:pPr>
      <w:r>
        <w:rPr>
          <w:rFonts w:ascii="Arial" w:hAnsi="Arial" w:cs="Arial"/>
          <w:sz w:val="22"/>
          <w:szCs w:val="22"/>
        </w:rPr>
        <w:t xml:space="preserve">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 </w:t>
      </w:r>
    </w:p>
    <w:p w:rsidR="00926E29" w:rsidRDefault="00926E29" w:rsidP="001F60BC">
      <w:pPr>
        <w:ind w:firstLine="720"/>
        <w:rPr>
          <w:rFonts w:ascii="Arial" w:hAnsi="Arial" w:cs="Arial"/>
          <w:sz w:val="22"/>
          <w:szCs w:val="22"/>
        </w:rPr>
      </w:pPr>
    </w:p>
    <w:p w:rsidR="00926E29" w:rsidRPr="00B50A8C" w:rsidRDefault="00926E29" w:rsidP="001F60BC">
      <w:pPr>
        <w:rPr>
          <w:rFonts w:ascii="Arial" w:hAnsi="Arial" w:cs="Arial"/>
          <w:i/>
          <w:sz w:val="22"/>
          <w:szCs w:val="22"/>
        </w:rPr>
      </w:pPr>
      <w:r w:rsidRPr="00B50A8C">
        <w:rPr>
          <w:rFonts w:ascii="Arial" w:hAnsi="Arial" w:cs="Arial"/>
          <w:i/>
          <w:sz w:val="22"/>
          <w:szCs w:val="22"/>
        </w:rPr>
        <w:t xml:space="preserve">Mark-To-Market Pension </w:t>
      </w:r>
      <w:r>
        <w:rPr>
          <w:rFonts w:ascii="Arial" w:hAnsi="Arial" w:cs="Arial"/>
          <w:i/>
          <w:sz w:val="22"/>
          <w:szCs w:val="22"/>
        </w:rPr>
        <w:t xml:space="preserve">and Post-Retirement </w:t>
      </w:r>
      <w:r w:rsidRPr="00B50A8C">
        <w:rPr>
          <w:rFonts w:ascii="Arial" w:hAnsi="Arial" w:cs="Arial"/>
          <w:i/>
          <w:sz w:val="22"/>
          <w:szCs w:val="22"/>
        </w:rPr>
        <w:t>Adjustments</w:t>
      </w:r>
    </w:p>
    <w:p w:rsidR="00926E29" w:rsidRDefault="00926E29" w:rsidP="001F60BC">
      <w:pPr>
        <w:ind w:firstLine="720"/>
        <w:rPr>
          <w:rFonts w:ascii="Arial" w:hAnsi="Arial" w:cs="Arial"/>
          <w:sz w:val="22"/>
          <w:szCs w:val="22"/>
        </w:rPr>
      </w:pPr>
    </w:p>
    <w:p w:rsidR="00926E29" w:rsidRDefault="00926E29" w:rsidP="001F60BC">
      <w:pPr>
        <w:ind w:firstLine="720"/>
        <w:rPr>
          <w:rFonts w:ascii="Arial" w:hAnsi="Arial" w:cs="Arial"/>
          <w:sz w:val="22"/>
          <w:szCs w:val="22"/>
        </w:rPr>
      </w:pPr>
      <w:r>
        <w:rPr>
          <w:rFonts w:ascii="Arial" w:hAnsi="Arial" w:cs="Arial"/>
          <w:sz w:val="22"/>
          <w:szCs w:val="22"/>
        </w:rPr>
        <w:t>W</w:t>
      </w:r>
      <w:r w:rsidRPr="008113AF">
        <w:rPr>
          <w:rFonts w:ascii="Arial" w:hAnsi="Arial" w:cs="Arial"/>
          <w:sz w:val="22"/>
          <w:szCs w:val="22"/>
        </w:rPr>
        <w:t xml:space="preserve">e recognize changes in the fair value of plan assets and net actuarial gains and losses in excess of a 10% corridor for company-sponsored pension and post-retirement liabilities immediately as part of net periodic benefit cost. </w:t>
      </w:r>
      <w:r>
        <w:rPr>
          <w:rFonts w:ascii="Arial" w:hAnsi="Arial" w:cs="Arial"/>
          <w:sz w:val="22"/>
          <w:szCs w:val="22"/>
        </w:rPr>
        <w:t>W</w:t>
      </w:r>
      <w:r w:rsidRPr="008113AF">
        <w:rPr>
          <w:rFonts w:ascii="Arial" w:hAnsi="Arial" w:cs="Arial"/>
          <w:sz w:val="22"/>
          <w:szCs w:val="22"/>
        </w:rPr>
        <w:t xml:space="preserve">e supplement the presentation of our operating profit, operating margin, pre-tax income, net income and earnings per share with similar </w:t>
      </w:r>
      <w:r>
        <w:rPr>
          <w:rFonts w:ascii="Arial" w:hAnsi="Arial" w:cs="Arial"/>
          <w:sz w:val="22"/>
          <w:szCs w:val="22"/>
        </w:rPr>
        <w:t xml:space="preserve">non-GAAP </w:t>
      </w:r>
      <w:r w:rsidRPr="008113AF">
        <w:rPr>
          <w:rFonts w:ascii="Arial" w:hAnsi="Arial" w:cs="Arial"/>
          <w:sz w:val="22"/>
          <w:szCs w:val="22"/>
        </w:rPr>
        <w:t>measures that exclude the impact of the portion of net periodic benefit cost represented by the gains and losses recognized in excess of the 10% corridor</w:t>
      </w:r>
      <w:r>
        <w:rPr>
          <w:rFonts w:ascii="Arial" w:hAnsi="Arial" w:cs="Arial"/>
          <w:sz w:val="22"/>
          <w:szCs w:val="22"/>
        </w:rPr>
        <w:t xml:space="preserve"> and the related income tax effects</w:t>
      </w:r>
      <w:r w:rsidRPr="008113AF">
        <w:rPr>
          <w:rFonts w:ascii="Arial" w:hAnsi="Arial" w:cs="Arial"/>
          <w:sz w:val="22"/>
          <w:szCs w:val="22"/>
        </w:rPr>
        <w:t xml:space="preserve">. </w:t>
      </w:r>
    </w:p>
    <w:p w:rsidR="00926E29" w:rsidRDefault="00926E29" w:rsidP="001F60BC">
      <w:pPr>
        <w:ind w:firstLine="720"/>
        <w:rPr>
          <w:rFonts w:ascii="Arial" w:hAnsi="Arial" w:cs="Arial"/>
          <w:sz w:val="22"/>
          <w:szCs w:val="22"/>
        </w:rPr>
      </w:pPr>
    </w:p>
    <w:p w:rsidR="00926E29" w:rsidRDefault="00926E29" w:rsidP="001F60BC">
      <w:pPr>
        <w:ind w:firstLine="720"/>
        <w:rPr>
          <w:rFonts w:ascii="Arial" w:hAnsi="Arial" w:cs="Arial"/>
          <w:sz w:val="22"/>
          <w:szCs w:val="22"/>
        </w:rPr>
      </w:pPr>
      <w:r w:rsidRPr="008113AF">
        <w:rPr>
          <w:rFonts w:ascii="Arial" w:hAnsi="Arial" w:cs="Arial"/>
          <w:sz w:val="22"/>
          <w:szCs w:val="22"/>
        </w:rPr>
        <w:t>This adjusted net periodic benefit cost is comparable to the accounting for our defined benefit plans in our quarterly reporting under U.S. GAAP, and reflects assumptions utilizing the expected return on plan assets</w:t>
      </w:r>
      <w:r>
        <w:rPr>
          <w:rFonts w:ascii="Arial" w:hAnsi="Arial" w:cs="Arial"/>
          <w:sz w:val="22"/>
          <w:szCs w:val="22"/>
        </w:rPr>
        <w:t xml:space="preserve"> ($2,580 million in 2016 and $2,567 million in 2015)  </w:t>
      </w:r>
      <w:r w:rsidRPr="008113AF">
        <w:rPr>
          <w:rFonts w:ascii="Arial" w:hAnsi="Arial" w:cs="Arial"/>
          <w:sz w:val="22"/>
          <w:szCs w:val="22"/>
        </w:rPr>
        <w:t>and the discount rate used for determining net periodic benefit cost (the non-adjusted net periodic benefit cost reflects the actual return on plan assets</w:t>
      </w:r>
      <w:r>
        <w:rPr>
          <w:rFonts w:ascii="Arial" w:hAnsi="Arial" w:cs="Arial"/>
          <w:sz w:val="22"/>
          <w:szCs w:val="22"/>
        </w:rPr>
        <w:t xml:space="preserve">($1,846 million in 2016 and $110 million in 2015)  </w:t>
      </w:r>
      <w:r w:rsidRPr="008113AF">
        <w:rPr>
          <w:rFonts w:ascii="Arial" w:hAnsi="Arial" w:cs="Arial"/>
          <w:sz w:val="22"/>
          <w:szCs w:val="22"/>
        </w:rPr>
        <w:t xml:space="preserve">and the discount rate used for measuring the projected benefit obligation). We believe this adjusted net periodic benefit cost provides important supplemental information that reflects the anticipated long-term cost of our defined benefit plans, and provides a benchmark for historical defined benefit cost trends that </w:t>
      </w:r>
      <w:r>
        <w:rPr>
          <w:rFonts w:ascii="Arial" w:hAnsi="Arial" w:cs="Arial"/>
          <w:sz w:val="22"/>
          <w:szCs w:val="22"/>
        </w:rPr>
        <w:t>may provide</w:t>
      </w:r>
      <w:r w:rsidRPr="008113AF">
        <w:rPr>
          <w:rFonts w:ascii="Arial" w:hAnsi="Arial" w:cs="Arial"/>
          <w:sz w:val="22"/>
          <w:szCs w:val="22"/>
        </w:rPr>
        <w:t xml:space="preserve"> </w:t>
      </w:r>
      <w:r>
        <w:rPr>
          <w:rFonts w:ascii="Arial" w:hAnsi="Arial" w:cs="Arial"/>
          <w:sz w:val="22"/>
          <w:szCs w:val="22"/>
        </w:rPr>
        <w:t>useful</w:t>
      </w:r>
      <w:r w:rsidRPr="008113AF">
        <w:rPr>
          <w:rFonts w:ascii="Arial" w:hAnsi="Arial" w:cs="Arial"/>
          <w:sz w:val="22"/>
          <w:szCs w:val="22"/>
        </w:rPr>
        <w:t xml:space="preserve"> compar</w:t>
      </w:r>
      <w:r>
        <w:rPr>
          <w:rFonts w:ascii="Arial" w:hAnsi="Arial" w:cs="Arial"/>
          <w:sz w:val="22"/>
          <w:szCs w:val="22"/>
        </w:rPr>
        <w:t>ison of</w:t>
      </w:r>
      <w:r w:rsidRPr="008113AF">
        <w:rPr>
          <w:rFonts w:ascii="Arial" w:hAnsi="Arial" w:cs="Arial"/>
          <w:sz w:val="22"/>
          <w:szCs w:val="22"/>
        </w:rPr>
        <w:t xml:space="preserve"> year-to-year financial performance without considering the short-term impact of changes in market interest rates, equity prices, and similar factors.</w:t>
      </w:r>
    </w:p>
    <w:p w:rsidR="00926E29" w:rsidRDefault="00926E29" w:rsidP="001F60BC">
      <w:pPr>
        <w:ind w:firstLine="720"/>
        <w:rPr>
          <w:rFonts w:ascii="Arial" w:hAnsi="Arial" w:cs="Arial"/>
          <w:sz w:val="22"/>
          <w:szCs w:val="22"/>
        </w:rPr>
      </w:pPr>
    </w:p>
    <w:p w:rsidR="00926E29" w:rsidRDefault="00926E29" w:rsidP="001F60BC">
      <w:pPr>
        <w:ind w:firstLine="720"/>
        <w:rPr>
          <w:rFonts w:ascii="Arial" w:hAnsi="Arial" w:cs="Arial"/>
          <w:sz w:val="22"/>
          <w:szCs w:val="22"/>
        </w:rPr>
      </w:pPr>
    </w:p>
    <w:p w:rsidR="00926E29" w:rsidRDefault="00926E29" w:rsidP="00B534DA">
      <w:pPr>
        <w:ind w:firstLine="720"/>
        <w:rPr>
          <w:rFonts w:ascii="Arial" w:hAnsi="Arial" w:cs="Arial"/>
          <w:sz w:val="22"/>
          <w:szCs w:val="22"/>
        </w:rPr>
      </w:pPr>
      <w:r w:rsidRPr="00B534DA">
        <w:rPr>
          <w:rFonts w:ascii="Arial" w:hAnsi="Arial" w:cs="Arial"/>
          <w:sz w:val="22"/>
          <w:szCs w:val="22"/>
        </w:rPr>
        <w:t>The deferred income tax effects of these mark-to-market pension and postretirement adjustments are calculated by multiplying the statutory tax rates applicable in each tax jurisdiction, including the U.S. federal jurisdiction and various U.S. state and non-U.S. jurisdictions, by the adjustments. The blended average of the applicable statutory tax rates in 2016 and 2015 were 36.9% and 33.1%, respectively.</w:t>
      </w:r>
    </w:p>
    <w:p w:rsidR="00926E29" w:rsidRPr="002D5B4B" w:rsidRDefault="00926E29" w:rsidP="001F60BC">
      <w:pPr>
        <w:rPr>
          <w:sz w:val="22"/>
          <w:szCs w:val="22"/>
        </w:rPr>
      </w:pPr>
    </w:p>
    <w:p w:rsidR="00926E29" w:rsidRPr="00B50A8C" w:rsidRDefault="00926E29" w:rsidP="001F60BC">
      <w:pPr>
        <w:rPr>
          <w:rFonts w:ascii="Arial" w:hAnsi="Arial" w:cs="Arial"/>
          <w:i/>
          <w:sz w:val="22"/>
          <w:szCs w:val="22"/>
        </w:rPr>
      </w:pPr>
      <w:r w:rsidRPr="00B50A8C">
        <w:rPr>
          <w:rFonts w:ascii="Arial" w:hAnsi="Arial" w:cs="Arial"/>
          <w:i/>
          <w:sz w:val="22"/>
          <w:szCs w:val="22"/>
        </w:rPr>
        <w:t xml:space="preserve">Weighted-Average Shares Outstanding </w:t>
      </w:r>
      <w:r>
        <w:rPr>
          <w:rFonts w:ascii="Arial" w:hAnsi="Arial" w:cs="Arial"/>
          <w:i/>
          <w:sz w:val="22"/>
          <w:szCs w:val="22"/>
        </w:rPr>
        <w:t xml:space="preserve">and Diluted Earnings per Share </w:t>
      </w:r>
    </w:p>
    <w:p w:rsidR="00926E29" w:rsidRDefault="00926E29" w:rsidP="001F60BC">
      <w:pPr>
        <w:ind w:firstLine="720"/>
        <w:rPr>
          <w:rFonts w:ascii="Arial" w:hAnsi="Arial" w:cs="Arial"/>
          <w:sz w:val="22"/>
          <w:szCs w:val="22"/>
        </w:rPr>
      </w:pPr>
    </w:p>
    <w:p w:rsidR="00926E29" w:rsidRDefault="00926E29" w:rsidP="001F60BC">
      <w:pPr>
        <w:ind w:firstLine="720"/>
        <w:rPr>
          <w:rFonts w:ascii="Arial" w:hAnsi="Arial" w:cs="Arial"/>
          <w:sz w:val="22"/>
          <w:szCs w:val="22"/>
        </w:rPr>
      </w:pPr>
      <w:r>
        <w:rPr>
          <w:rFonts w:ascii="Arial" w:hAnsi="Arial" w:cs="Arial"/>
          <w:sz w:val="22"/>
          <w:szCs w:val="22"/>
        </w:rPr>
        <w:t xml:space="preserve">The computation of weighted-average shares outstanding and diluted earnings per share for the fourth quarter of 2016 excludes the effect of certain incentive compensation awards because they were anti-dilutive in consideration of our reported net loss. Adjusted diluted earnings per share for this period includes the dilutive effect of these same shares because we are reporting adjusted net income after excluding the mark-to-market pension and postretirement adjustment. </w:t>
      </w:r>
    </w:p>
    <w:p w:rsidR="00926E29" w:rsidRPr="00B50A8C" w:rsidRDefault="00926E29" w:rsidP="001F60BC">
      <w:pPr>
        <w:ind w:firstLine="720"/>
        <w:rPr>
          <w:rFonts w:ascii="Arial" w:hAnsi="Arial" w:cs="Arial"/>
          <w:i/>
          <w:sz w:val="22"/>
          <w:szCs w:val="22"/>
        </w:rPr>
      </w:pPr>
    </w:p>
    <w:p w:rsidR="00926E29" w:rsidRPr="00494067" w:rsidRDefault="00926E29" w:rsidP="001F60BC">
      <w:pPr>
        <w:rPr>
          <w:rFonts w:ascii="Arial" w:hAnsi="Arial" w:cs="Arial"/>
          <w:i/>
          <w:sz w:val="22"/>
          <w:szCs w:val="22"/>
        </w:rPr>
      </w:pPr>
      <w:r>
        <w:rPr>
          <w:rFonts w:ascii="Arial" w:hAnsi="Arial" w:cs="Arial"/>
          <w:i/>
          <w:sz w:val="22"/>
          <w:szCs w:val="22"/>
        </w:rPr>
        <w:t>Currency-Neutral</w:t>
      </w:r>
      <w:r w:rsidRPr="00B50A8C">
        <w:rPr>
          <w:rFonts w:ascii="Arial" w:hAnsi="Arial" w:cs="Arial"/>
          <w:i/>
          <w:sz w:val="22"/>
          <w:szCs w:val="22"/>
        </w:rPr>
        <w:t xml:space="preserve"> Revenue and Revenue </w:t>
      </w:r>
      <w:r>
        <w:rPr>
          <w:rFonts w:ascii="Arial" w:hAnsi="Arial" w:cs="Arial"/>
          <w:i/>
          <w:sz w:val="22"/>
          <w:szCs w:val="22"/>
        </w:rPr>
        <w:t>per</w:t>
      </w:r>
      <w:r w:rsidRPr="00B50A8C">
        <w:rPr>
          <w:rFonts w:ascii="Arial" w:hAnsi="Arial" w:cs="Arial"/>
          <w:i/>
          <w:sz w:val="22"/>
          <w:szCs w:val="22"/>
        </w:rPr>
        <w:t xml:space="preserve"> Piece</w:t>
      </w:r>
    </w:p>
    <w:p w:rsidR="00926E29" w:rsidRPr="00B50A8C" w:rsidRDefault="00926E29" w:rsidP="001F60BC">
      <w:pPr>
        <w:rPr>
          <w:rFonts w:ascii="Arial" w:hAnsi="Arial" w:cs="Arial"/>
          <w:i/>
          <w:sz w:val="22"/>
          <w:szCs w:val="22"/>
        </w:rPr>
      </w:pPr>
    </w:p>
    <w:p w:rsidR="00926E29" w:rsidRDefault="00926E29" w:rsidP="001F60BC">
      <w:pPr>
        <w:ind w:firstLine="720"/>
        <w:rPr>
          <w:rFonts w:ascii="Arial" w:hAnsi="Arial" w:cs="Arial"/>
          <w:sz w:val="22"/>
          <w:szCs w:val="22"/>
        </w:rPr>
      </w:pPr>
      <w:r w:rsidRPr="00EA3C00">
        <w:rPr>
          <w:rFonts w:ascii="Arial" w:hAnsi="Arial" w:cs="Arial"/>
          <w:sz w:val="22"/>
          <w:szCs w:val="22"/>
        </w:rPr>
        <w:t xml:space="preserve">We </w:t>
      </w:r>
      <w:r>
        <w:rPr>
          <w:rFonts w:ascii="Arial" w:hAnsi="Arial" w:cs="Arial"/>
          <w:sz w:val="22"/>
          <w:szCs w:val="22"/>
        </w:rPr>
        <w:t>supplement the reporting of our revenue and revenue per piece with similar non-GAAP measures that exclude the period-over-period impact of foreign currency exchange rate changes and hedging activities. We believe currency-neutral revenue</w:t>
      </w:r>
      <w:r w:rsidRPr="00EA3C00">
        <w:rPr>
          <w:rFonts w:ascii="Arial" w:hAnsi="Arial" w:cs="Arial"/>
          <w:sz w:val="22"/>
          <w:szCs w:val="22"/>
        </w:rPr>
        <w:t xml:space="preserve"> </w:t>
      </w:r>
      <w:r>
        <w:rPr>
          <w:rFonts w:ascii="Arial" w:hAnsi="Arial" w:cs="Arial"/>
          <w:sz w:val="22"/>
          <w:szCs w:val="22"/>
        </w:rPr>
        <w:t>and revenue per piece information allows users of our financial statements to understand growth trends in our products and results. We evaluate the performance of our International Package business on a currency-neutral basis.</w:t>
      </w:r>
    </w:p>
    <w:p w:rsidR="00926E29" w:rsidRDefault="00926E29" w:rsidP="001F60BC">
      <w:pPr>
        <w:ind w:firstLine="720"/>
        <w:rPr>
          <w:rFonts w:ascii="Arial" w:hAnsi="Arial" w:cs="Arial"/>
          <w:sz w:val="22"/>
          <w:szCs w:val="22"/>
        </w:rPr>
      </w:pPr>
    </w:p>
    <w:p w:rsidR="00926E29" w:rsidRDefault="00926E29" w:rsidP="001F60BC">
      <w:pPr>
        <w:ind w:firstLine="720"/>
        <w:rPr>
          <w:rFonts w:ascii="Arial" w:hAnsi="Arial" w:cs="Arial"/>
          <w:sz w:val="22"/>
          <w:szCs w:val="22"/>
        </w:rPr>
      </w:pPr>
      <w:r>
        <w:rPr>
          <w:rFonts w:ascii="Arial" w:hAnsi="Arial" w:cs="Arial"/>
          <w:sz w:val="22"/>
          <w:szCs w:val="22"/>
        </w:rPr>
        <w:t>Currency-neutral</w:t>
      </w:r>
      <w:r w:rsidRPr="008113AF">
        <w:rPr>
          <w:rFonts w:ascii="Arial" w:hAnsi="Arial" w:cs="Arial"/>
          <w:sz w:val="22"/>
          <w:szCs w:val="22"/>
        </w:rPr>
        <w:t xml:space="preserve"> revenue and revenue per piece are calculated by multiplying prior period reported U.S. dollar revenue and revenue per piece by the prior period average exchange rates to derive prior period local currency revenue and revenue per piece. The derived prior period local currency revenue and revenue per piece are then divided by the average foreign currency exchange rates used to translate the company's financial statements in the comparable current year. The difference between the prior period reported U.S. dollar revenue and revenue per piece and the derived prior period U.S. dollar revenue and revenue per piece (including the impact of current period </w:t>
      </w:r>
      <w:r>
        <w:rPr>
          <w:rFonts w:ascii="Arial" w:hAnsi="Arial" w:cs="Arial"/>
          <w:sz w:val="22"/>
          <w:szCs w:val="22"/>
        </w:rPr>
        <w:t xml:space="preserve">foreign </w:t>
      </w:r>
      <w:r w:rsidRPr="008113AF">
        <w:rPr>
          <w:rFonts w:ascii="Arial" w:hAnsi="Arial" w:cs="Arial"/>
          <w:sz w:val="22"/>
          <w:szCs w:val="22"/>
        </w:rPr>
        <w:t xml:space="preserve">currency hedging activities) is added to the current period reported U.S. dollar revenue and revenue per piece to derive current period </w:t>
      </w:r>
      <w:r>
        <w:rPr>
          <w:rFonts w:ascii="Arial" w:hAnsi="Arial" w:cs="Arial"/>
          <w:sz w:val="22"/>
          <w:szCs w:val="22"/>
        </w:rPr>
        <w:t>currency-neutral</w:t>
      </w:r>
      <w:r w:rsidRPr="008113AF">
        <w:rPr>
          <w:rFonts w:ascii="Arial" w:hAnsi="Arial" w:cs="Arial"/>
          <w:sz w:val="22"/>
          <w:szCs w:val="22"/>
        </w:rPr>
        <w:t xml:space="preserve"> U.S. dollar revenue and revenue per piece</w:t>
      </w:r>
      <w:r>
        <w:rPr>
          <w:rFonts w:ascii="Arial" w:hAnsi="Arial" w:cs="Arial"/>
          <w:sz w:val="22"/>
          <w:szCs w:val="22"/>
        </w:rPr>
        <w:t>.</w:t>
      </w:r>
    </w:p>
    <w:p w:rsidR="00926E29" w:rsidRDefault="00926E29" w:rsidP="001F60BC">
      <w:pPr>
        <w:ind w:firstLine="720"/>
        <w:rPr>
          <w:rFonts w:ascii="Arial" w:hAnsi="Arial" w:cs="Arial"/>
          <w:sz w:val="22"/>
          <w:szCs w:val="22"/>
        </w:rPr>
      </w:pPr>
    </w:p>
    <w:p w:rsidR="00926E29" w:rsidRPr="00B50A8C" w:rsidRDefault="00926E29" w:rsidP="00E71984">
      <w:pPr>
        <w:keepNext/>
        <w:rPr>
          <w:rFonts w:ascii="Arial" w:hAnsi="Arial" w:cs="Arial"/>
          <w:i/>
          <w:sz w:val="22"/>
          <w:szCs w:val="22"/>
        </w:rPr>
      </w:pPr>
      <w:r w:rsidRPr="00B50A8C">
        <w:rPr>
          <w:rFonts w:ascii="Arial" w:hAnsi="Arial" w:cs="Arial"/>
          <w:i/>
          <w:sz w:val="22"/>
          <w:szCs w:val="22"/>
        </w:rPr>
        <w:t>Free Cash Flow</w:t>
      </w:r>
    </w:p>
    <w:p w:rsidR="00926E29" w:rsidRPr="008113AF" w:rsidRDefault="00926E29" w:rsidP="00E71984">
      <w:pPr>
        <w:keepNext/>
        <w:ind w:firstLine="720"/>
        <w:rPr>
          <w:rFonts w:ascii="Arial" w:hAnsi="Arial" w:cs="Arial"/>
          <w:sz w:val="22"/>
          <w:szCs w:val="22"/>
        </w:rPr>
      </w:pPr>
    </w:p>
    <w:p w:rsidR="00926E29" w:rsidRPr="00A85056" w:rsidRDefault="00926E29" w:rsidP="00E71984">
      <w:pPr>
        <w:keepNext/>
        <w:ind w:firstLine="720"/>
        <w:rPr>
          <w:rFonts w:ascii="Arial" w:hAnsi="Arial" w:cs="Arial"/>
          <w:sz w:val="22"/>
          <w:szCs w:val="22"/>
        </w:rPr>
      </w:pPr>
      <w:r>
        <w:rPr>
          <w:rFonts w:ascii="Arial" w:hAnsi="Arial" w:cs="Arial"/>
          <w:sz w:val="22"/>
          <w:szCs w:val="22"/>
        </w:rPr>
        <w:t xml:space="preserve">We supplement the reporting of cash flows from operating activities with free cash flow, a non-GAAP liquidity measure. </w:t>
      </w:r>
      <w:r w:rsidRPr="008113AF">
        <w:rPr>
          <w:rFonts w:ascii="Arial" w:hAnsi="Arial" w:cs="Arial"/>
          <w:sz w:val="22"/>
          <w:szCs w:val="22"/>
        </w:rPr>
        <w:t xml:space="preserve">We believe </w:t>
      </w:r>
      <w:r>
        <w:rPr>
          <w:rFonts w:ascii="Arial" w:hAnsi="Arial" w:cs="Arial"/>
          <w:sz w:val="22"/>
          <w:szCs w:val="22"/>
        </w:rPr>
        <w:t>free cash flow</w:t>
      </w:r>
      <w:r w:rsidRPr="008113AF">
        <w:rPr>
          <w:rFonts w:ascii="Arial" w:hAnsi="Arial" w:cs="Arial"/>
          <w:sz w:val="22"/>
          <w:szCs w:val="22"/>
        </w:rPr>
        <w:t xml:space="preserve"> is an important indicator of how much cash is generated by regular business operations and we use it as a measure of </w:t>
      </w:r>
      <w:r>
        <w:rPr>
          <w:rFonts w:ascii="Arial" w:hAnsi="Arial" w:cs="Arial"/>
          <w:sz w:val="22"/>
          <w:szCs w:val="22"/>
        </w:rPr>
        <w:t xml:space="preserve">incremental </w:t>
      </w:r>
      <w:r w:rsidRPr="008113AF">
        <w:rPr>
          <w:rFonts w:ascii="Arial" w:hAnsi="Arial" w:cs="Arial"/>
          <w:sz w:val="22"/>
          <w:szCs w:val="22"/>
        </w:rPr>
        <w:t xml:space="preserve">cash available to </w:t>
      </w:r>
      <w:r>
        <w:rPr>
          <w:rFonts w:ascii="Arial" w:hAnsi="Arial" w:cs="Arial"/>
          <w:sz w:val="22"/>
          <w:szCs w:val="22"/>
        </w:rPr>
        <w:t xml:space="preserve">invest in our business, </w:t>
      </w:r>
      <w:r w:rsidRPr="008113AF">
        <w:rPr>
          <w:rFonts w:ascii="Arial" w:hAnsi="Arial" w:cs="Arial"/>
          <w:sz w:val="22"/>
          <w:szCs w:val="22"/>
        </w:rPr>
        <w:t xml:space="preserve">meet </w:t>
      </w:r>
      <w:r>
        <w:rPr>
          <w:rFonts w:ascii="Arial" w:hAnsi="Arial" w:cs="Arial"/>
          <w:sz w:val="22"/>
          <w:szCs w:val="22"/>
        </w:rPr>
        <w:t xml:space="preserve">our </w:t>
      </w:r>
      <w:r w:rsidRPr="008113AF">
        <w:rPr>
          <w:rFonts w:ascii="Arial" w:hAnsi="Arial" w:cs="Arial"/>
          <w:sz w:val="22"/>
          <w:szCs w:val="22"/>
        </w:rPr>
        <w:t>debt obligations and return cash to shareowners.</w:t>
      </w:r>
      <w:r>
        <w:rPr>
          <w:rFonts w:ascii="Arial" w:hAnsi="Arial" w:cs="Arial"/>
          <w:sz w:val="22"/>
          <w:szCs w:val="22"/>
        </w:rPr>
        <w:t xml:space="preserve"> We calculate free cash flow</w:t>
      </w:r>
      <w:r w:rsidRPr="008113AF">
        <w:rPr>
          <w:rFonts w:ascii="Arial" w:hAnsi="Arial" w:cs="Arial"/>
          <w:sz w:val="22"/>
          <w:szCs w:val="22"/>
        </w:rPr>
        <w:t xml:space="preserve"> as </w:t>
      </w:r>
      <w:r>
        <w:rPr>
          <w:rFonts w:ascii="Arial" w:hAnsi="Arial" w:cs="Arial"/>
          <w:sz w:val="22"/>
          <w:szCs w:val="22"/>
        </w:rPr>
        <w:t>cash flows from operating activities</w:t>
      </w:r>
      <w:r w:rsidRPr="008113AF">
        <w:rPr>
          <w:rFonts w:ascii="Arial" w:hAnsi="Arial" w:cs="Arial"/>
          <w:sz w:val="22"/>
          <w:szCs w:val="22"/>
        </w:rPr>
        <w:t xml:space="preserve"> less capital expenditures, proceeds from disposals of property, plant and equipment, </w:t>
      </w:r>
      <w:r>
        <w:rPr>
          <w:rFonts w:ascii="Arial" w:hAnsi="Arial" w:cs="Arial"/>
          <w:sz w:val="22"/>
          <w:szCs w:val="22"/>
        </w:rPr>
        <w:t xml:space="preserve">and plus or minus the </w:t>
      </w:r>
      <w:r w:rsidRPr="008113AF">
        <w:rPr>
          <w:rFonts w:ascii="Arial" w:hAnsi="Arial" w:cs="Arial"/>
          <w:sz w:val="22"/>
          <w:szCs w:val="22"/>
        </w:rPr>
        <w:t>net change</w:t>
      </w:r>
      <w:r>
        <w:rPr>
          <w:rFonts w:ascii="Arial" w:hAnsi="Arial" w:cs="Arial"/>
          <w:sz w:val="22"/>
          <w:szCs w:val="22"/>
        </w:rPr>
        <w:t>s</w:t>
      </w:r>
      <w:r w:rsidRPr="008113AF">
        <w:rPr>
          <w:rFonts w:ascii="Arial" w:hAnsi="Arial" w:cs="Arial"/>
          <w:sz w:val="22"/>
          <w:szCs w:val="22"/>
        </w:rPr>
        <w:t xml:space="preserve"> in finance receivables and other investing activities. </w:t>
      </w:r>
    </w:p>
    <w:p w:rsidR="00926E29" w:rsidRDefault="00926E29" w:rsidP="001F60BC">
      <w:pPr>
        <w:rPr>
          <w:rFonts w:ascii="Arial" w:hAnsi="Arial" w:cs="Arial"/>
          <w:sz w:val="18"/>
          <w:szCs w:val="20"/>
        </w:rPr>
      </w:pPr>
    </w:p>
    <w:p w:rsidR="00926E29" w:rsidRDefault="00926E29" w:rsidP="001F60BC">
      <w:pPr>
        <w:rPr>
          <w:rFonts w:ascii="Arial" w:hAnsi="Arial" w:cs="Arial"/>
          <w:sz w:val="18"/>
          <w:szCs w:val="20"/>
        </w:rPr>
      </w:pPr>
    </w:p>
    <w:p w:rsidR="00926E29" w:rsidRPr="00D12477" w:rsidRDefault="00926E29" w:rsidP="00233258">
      <w:pPr>
        <w:jc w:val="center"/>
        <w:rPr>
          <w:rFonts w:ascii="Arial" w:hAnsi="Arial" w:cs="Arial"/>
          <w:b/>
          <w:sz w:val="20"/>
          <w:szCs w:val="20"/>
        </w:rPr>
      </w:pPr>
      <w:r w:rsidRPr="00D12477">
        <w:rPr>
          <w:rFonts w:ascii="Arial" w:hAnsi="Arial" w:cs="Arial"/>
          <w:b/>
          <w:sz w:val="20"/>
          <w:szCs w:val="20"/>
        </w:rPr>
        <w:t xml:space="preserve">Reconciliation of GAAP and </w:t>
      </w:r>
      <w:r>
        <w:rPr>
          <w:rFonts w:ascii="Arial" w:hAnsi="Arial" w:cs="Arial"/>
          <w:b/>
          <w:sz w:val="20"/>
          <w:szCs w:val="20"/>
        </w:rPr>
        <w:t>n</w:t>
      </w:r>
      <w:r w:rsidRPr="00D12477">
        <w:rPr>
          <w:rFonts w:ascii="Arial" w:hAnsi="Arial" w:cs="Arial"/>
          <w:b/>
          <w:sz w:val="20"/>
          <w:szCs w:val="20"/>
        </w:rPr>
        <w:t xml:space="preserve">on-GAAP Income Statement Data (in </w:t>
      </w:r>
      <w:r>
        <w:rPr>
          <w:rFonts w:ascii="Arial" w:hAnsi="Arial" w:cs="Arial"/>
          <w:b/>
          <w:sz w:val="20"/>
          <w:szCs w:val="20"/>
        </w:rPr>
        <w:t>m</w:t>
      </w:r>
      <w:r w:rsidRPr="00D12477">
        <w:rPr>
          <w:rFonts w:ascii="Arial" w:hAnsi="Arial" w:cs="Arial"/>
          <w:b/>
          <w:sz w:val="20"/>
          <w:szCs w:val="20"/>
        </w:rPr>
        <w:t>illions, except EPS amounts):</w:t>
      </w:r>
    </w:p>
    <w:p w:rsidR="00926E29" w:rsidRDefault="00926E29" w:rsidP="00233258">
      <w:pPr>
        <w:rPr>
          <w:rFonts w:ascii="Arial" w:hAnsi="Arial" w:cs="Arial"/>
          <w:sz w:val="18"/>
          <w:szCs w:val="20"/>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864"/>
        <w:gridCol w:w="1575"/>
        <w:gridCol w:w="1597"/>
        <w:gridCol w:w="1598"/>
        <w:gridCol w:w="756"/>
      </w:tblGrid>
      <w:tr w:rsidR="00926E29" w:rsidTr="00C95293">
        <w:tc>
          <w:tcPr>
            <w:tcW w:w="9625" w:type="dxa"/>
            <w:gridSpan w:val="6"/>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Three Months Ended December 31, 2016</w:t>
            </w:r>
          </w:p>
        </w:tc>
      </w:tr>
      <w:tr w:rsidR="00926E29" w:rsidTr="00C95293">
        <w:trPr>
          <w:gridAfter w:val="1"/>
          <w:wAfter w:w="756" w:type="dxa"/>
        </w:trPr>
        <w:tc>
          <w:tcPr>
            <w:tcW w:w="3235" w:type="dxa"/>
            <w:tcBorders>
              <w:left w:val="nil"/>
              <w:bottom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864" w:type="dxa"/>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75" w:type="dxa"/>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center"/>
              <w:rPr>
                <w:rFonts w:ascii="Arial" w:hAnsi="Arial" w:cs="Arial"/>
                <w:b/>
                <w:sz w:val="18"/>
                <w:szCs w:val="20"/>
              </w:rPr>
            </w:pPr>
          </w:p>
        </w:tc>
        <w:tc>
          <w:tcPr>
            <w:tcW w:w="1598" w:type="dxa"/>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7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As-Reported (GAAP</w:t>
            </w:r>
          </w:p>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Measure)</w:t>
            </w:r>
          </w:p>
        </w:tc>
        <w:tc>
          <w:tcPr>
            <w:tcW w:w="1597"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Defined Benefit Plans MTM Charges</w:t>
            </w:r>
          </w:p>
        </w:tc>
        <w:tc>
          <w:tcPr>
            <w:tcW w:w="1598"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As-Adjusted (non-GAAP Measure)</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Operating profit (loss):</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U.S. Domestic Package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(570)</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1,908</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1,338</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International Package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281</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425</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706</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Supply Chain &amp; Freight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(139)</w:t>
            </w:r>
          </w:p>
        </w:tc>
        <w:tc>
          <w:tcPr>
            <w:tcW w:w="1597"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318</w:t>
            </w:r>
          </w:p>
        </w:tc>
        <w:tc>
          <w:tcPr>
            <w:tcW w:w="1598"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179</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Total operating profit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left w:val="nil"/>
              <w:bottom w:val="nil"/>
              <w:right w:val="nil"/>
            </w:tcBorders>
          </w:tcPr>
          <w:p w:rsidR="00926E29" w:rsidRPr="00C95293" w:rsidRDefault="00926E29" w:rsidP="00C95293">
            <w:pPr>
              <w:jc w:val="right"/>
              <w:rPr>
                <w:rFonts w:ascii="Arial" w:hAnsi="Arial" w:cs="Arial"/>
                <w:sz w:val="18"/>
                <w:szCs w:val="20"/>
              </w:rPr>
            </w:pPr>
            <w:r w:rsidRPr="00C95293">
              <w:rPr>
                <w:rFonts w:ascii="Arial" w:hAnsi="Arial" w:cs="Arial"/>
                <w:sz w:val="18"/>
                <w:szCs w:val="20"/>
              </w:rPr>
              <w:t>$   (428)</w:t>
            </w:r>
          </w:p>
        </w:tc>
        <w:tc>
          <w:tcPr>
            <w:tcW w:w="1597"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2,651</w:t>
            </w:r>
          </w:p>
        </w:tc>
        <w:tc>
          <w:tcPr>
            <w:tcW w:w="1598"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2,223</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Income Taxes</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(277)</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978</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701</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Net income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jc w:val="right"/>
              <w:rPr>
                <w:rFonts w:ascii="Arial" w:hAnsi="Arial" w:cs="Arial"/>
                <w:sz w:val="18"/>
                <w:szCs w:val="20"/>
              </w:rPr>
            </w:pPr>
            <w:r w:rsidRPr="00C95293">
              <w:rPr>
                <w:rFonts w:ascii="Arial" w:hAnsi="Arial" w:cs="Arial"/>
                <w:sz w:val="18"/>
                <w:szCs w:val="20"/>
              </w:rPr>
              <w:t>$   (239)</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1,673</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1,434</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Diluted weighted avg. shares</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876</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5</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881</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Diluted earnings per share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(0.27)</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1.90</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1.63</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864"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c>
          <w:tcPr>
            <w:tcW w:w="9625" w:type="dxa"/>
            <w:gridSpan w:val="6"/>
            <w:vAlign w:val="center"/>
          </w:tcPr>
          <w:p w:rsidR="00926E29" w:rsidRPr="00C95293" w:rsidRDefault="00926E29" w:rsidP="00C95293">
            <w:pPr>
              <w:autoSpaceDE w:val="0"/>
              <w:autoSpaceDN w:val="0"/>
              <w:adjustRightInd w:val="0"/>
              <w:jc w:val="center"/>
              <w:rPr>
                <w:rFonts w:ascii="Arial" w:hAnsi="Arial" w:cs="Arial"/>
                <w:sz w:val="18"/>
                <w:szCs w:val="20"/>
              </w:rPr>
            </w:pPr>
            <w:r w:rsidRPr="00C95293">
              <w:rPr>
                <w:rFonts w:ascii="Arial" w:hAnsi="Arial" w:cs="Arial"/>
                <w:b/>
                <w:sz w:val="18"/>
                <w:szCs w:val="20"/>
              </w:rPr>
              <w:t>Three Months Ended December 31, 2015</w:t>
            </w:r>
          </w:p>
        </w:tc>
      </w:tr>
      <w:tr w:rsidR="00926E29" w:rsidTr="00C95293">
        <w:trPr>
          <w:gridAfter w:val="1"/>
          <w:wAfter w:w="756" w:type="dxa"/>
        </w:trPr>
        <w:tc>
          <w:tcPr>
            <w:tcW w:w="3235" w:type="dxa"/>
            <w:tcBorders>
              <w:left w:val="nil"/>
              <w:bottom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864"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75"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97"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98"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864" w:type="dxa"/>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sz w:val="18"/>
                <w:szCs w:val="20"/>
              </w:rPr>
            </w:pPr>
          </w:p>
        </w:tc>
        <w:tc>
          <w:tcPr>
            <w:tcW w:w="157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As-Reported (GAAP</w:t>
            </w:r>
          </w:p>
          <w:p w:rsidR="00926E29" w:rsidRPr="00C95293" w:rsidRDefault="00926E29" w:rsidP="00C95293">
            <w:pPr>
              <w:autoSpaceDE w:val="0"/>
              <w:autoSpaceDN w:val="0"/>
              <w:adjustRightInd w:val="0"/>
              <w:jc w:val="center"/>
              <w:rPr>
                <w:rFonts w:ascii="Arial" w:hAnsi="Arial" w:cs="Arial"/>
                <w:sz w:val="18"/>
                <w:szCs w:val="20"/>
              </w:rPr>
            </w:pPr>
            <w:r w:rsidRPr="00C95293">
              <w:rPr>
                <w:rFonts w:ascii="Arial" w:hAnsi="Arial" w:cs="Arial"/>
                <w:b/>
                <w:sz w:val="18"/>
                <w:szCs w:val="20"/>
              </w:rPr>
              <w:t>Measure)</w:t>
            </w:r>
          </w:p>
        </w:tc>
        <w:tc>
          <w:tcPr>
            <w:tcW w:w="1597"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sz w:val="18"/>
                <w:szCs w:val="20"/>
              </w:rPr>
            </w:pPr>
            <w:r w:rsidRPr="00C95293">
              <w:rPr>
                <w:rFonts w:ascii="Arial" w:hAnsi="Arial" w:cs="Arial"/>
                <w:b/>
                <w:sz w:val="18"/>
                <w:szCs w:val="20"/>
              </w:rPr>
              <w:t>Defined Benefit Plans MTM Charges</w:t>
            </w:r>
          </w:p>
        </w:tc>
        <w:tc>
          <w:tcPr>
            <w:tcW w:w="1598"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sz w:val="18"/>
                <w:szCs w:val="20"/>
              </w:rPr>
            </w:pPr>
            <w:r w:rsidRPr="00C95293">
              <w:rPr>
                <w:rFonts w:ascii="Arial" w:hAnsi="Arial" w:cs="Arial"/>
                <w:b/>
                <w:sz w:val="18"/>
                <w:szCs w:val="20"/>
              </w:rPr>
              <w:t>As-Adjusted (non-GAAP Measure)</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Operating profit: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U.S. Domestic Package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1,284</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62</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1,346</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International Package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580</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44</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624</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Supply Chain &amp; Freight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187</w:t>
            </w:r>
          </w:p>
        </w:tc>
        <w:tc>
          <w:tcPr>
            <w:tcW w:w="1597"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12</w:t>
            </w:r>
          </w:p>
        </w:tc>
        <w:tc>
          <w:tcPr>
            <w:tcW w:w="1598"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199</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Total operating profit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2,051</w:t>
            </w:r>
          </w:p>
        </w:tc>
        <w:tc>
          <w:tcPr>
            <w:tcW w:w="1597"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118</w:t>
            </w:r>
          </w:p>
        </w:tc>
        <w:tc>
          <w:tcPr>
            <w:tcW w:w="1598"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2,169</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Income Taxes</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638</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39</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xml:space="preserve"> $      677</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Net income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1,331</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79</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1,410</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Diluted earnings per share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1.48</w:t>
            </w:r>
          </w:p>
        </w:tc>
        <w:tc>
          <w:tcPr>
            <w:tcW w:w="1597"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0.09</w:t>
            </w:r>
          </w:p>
        </w:tc>
        <w:tc>
          <w:tcPr>
            <w:tcW w:w="1598"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1.57</w:t>
            </w:r>
          </w:p>
        </w:tc>
      </w:tr>
    </w:tbl>
    <w:p w:rsidR="00926E29" w:rsidRDefault="00926E29" w:rsidP="00233258">
      <w:pPr>
        <w:autoSpaceDE w:val="0"/>
        <w:autoSpaceDN w:val="0"/>
        <w:adjustRightInd w:val="0"/>
        <w:ind w:firstLine="720"/>
        <w:rPr>
          <w:rFonts w:ascii="Arial" w:hAnsi="Arial" w:cs="Arial"/>
          <w:sz w:val="18"/>
          <w:szCs w:val="20"/>
        </w:rPr>
      </w:pPr>
    </w:p>
    <w:p w:rsidR="00926E29" w:rsidRPr="00D12477" w:rsidRDefault="00926E29" w:rsidP="00233258">
      <w:pPr>
        <w:rPr>
          <w:rFonts w:ascii="Arial" w:hAnsi="Arial" w:cs="Arial"/>
          <w:i/>
          <w:sz w:val="16"/>
          <w:szCs w:val="16"/>
        </w:rPr>
      </w:pPr>
      <w:r w:rsidRPr="00D12477">
        <w:rPr>
          <w:rFonts w:ascii="Arial" w:hAnsi="Arial" w:cs="Arial"/>
          <w:i/>
          <w:sz w:val="16"/>
          <w:szCs w:val="16"/>
        </w:rPr>
        <w:t xml:space="preserve">Note: Certain amounts may not </w:t>
      </w:r>
      <w:r>
        <w:rPr>
          <w:rFonts w:ascii="Arial" w:hAnsi="Arial" w:cs="Arial"/>
          <w:i/>
          <w:sz w:val="16"/>
          <w:szCs w:val="16"/>
        </w:rPr>
        <w:t>compute</w:t>
      </w:r>
      <w:r w:rsidRPr="00D12477">
        <w:rPr>
          <w:rFonts w:ascii="Arial" w:hAnsi="Arial" w:cs="Arial"/>
          <w:i/>
          <w:sz w:val="16"/>
          <w:szCs w:val="16"/>
        </w:rPr>
        <w:t xml:space="preserve"> due to rounding. </w:t>
      </w:r>
      <w:r w:rsidRPr="00D12477">
        <w:rPr>
          <w:rFonts w:ascii="Arial" w:hAnsi="Arial" w:cs="Arial"/>
          <w:i/>
          <w:sz w:val="16"/>
          <w:szCs w:val="16"/>
        </w:rPr>
        <w:br w:type="page"/>
      </w:r>
    </w:p>
    <w:p w:rsidR="00926E29" w:rsidRDefault="00926E29" w:rsidP="00233258">
      <w:pPr>
        <w:jc w:val="center"/>
        <w:rPr>
          <w:rFonts w:ascii="Arial" w:hAnsi="Arial" w:cs="Arial"/>
          <w:b/>
          <w:sz w:val="20"/>
          <w:szCs w:val="20"/>
        </w:rPr>
      </w:pPr>
    </w:p>
    <w:p w:rsidR="00926E29" w:rsidRDefault="00926E29" w:rsidP="00233258">
      <w:pPr>
        <w:jc w:val="center"/>
        <w:rPr>
          <w:rFonts w:ascii="Arial" w:hAnsi="Arial" w:cs="Arial"/>
          <w:b/>
          <w:sz w:val="20"/>
          <w:szCs w:val="20"/>
        </w:rPr>
      </w:pPr>
    </w:p>
    <w:p w:rsidR="00926E29" w:rsidRPr="0025209D" w:rsidRDefault="00926E29" w:rsidP="00233258">
      <w:pPr>
        <w:jc w:val="center"/>
        <w:rPr>
          <w:rFonts w:ascii="Arial" w:hAnsi="Arial" w:cs="Arial"/>
          <w:b/>
          <w:sz w:val="20"/>
          <w:szCs w:val="20"/>
        </w:rPr>
      </w:pPr>
      <w:r w:rsidRPr="0025209D">
        <w:rPr>
          <w:rFonts w:ascii="Arial" w:hAnsi="Arial" w:cs="Arial"/>
          <w:b/>
          <w:sz w:val="20"/>
          <w:szCs w:val="20"/>
        </w:rPr>
        <w:t xml:space="preserve">Reconciliation of GAAP and </w:t>
      </w:r>
      <w:r>
        <w:rPr>
          <w:rFonts w:ascii="Arial" w:hAnsi="Arial" w:cs="Arial"/>
          <w:b/>
          <w:sz w:val="20"/>
          <w:szCs w:val="20"/>
        </w:rPr>
        <w:t>n</w:t>
      </w:r>
      <w:r w:rsidRPr="0025209D">
        <w:rPr>
          <w:rFonts w:ascii="Arial" w:hAnsi="Arial" w:cs="Arial"/>
          <w:b/>
          <w:sz w:val="20"/>
          <w:szCs w:val="20"/>
        </w:rPr>
        <w:t xml:space="preserve">on-GAAP Income Statement Data (in </w:t>
      </w:r>
      <w:r>
        <w:rPr>
          <w:rFonts w:ascii="Arial" w:hAnsi="Arial" w:cs="Arial"/>
          <w:b/>
          <w:sz w:val="20"/>
          <w:szCs w:val="20"/>
        </w:rPr>
        <w:t>m</w:t>
      </w:r>
      <w:r w:rsidRPr="0025209D">
        <w:rPr>
          <w:rFonts w:ascii="Arial" w:hAnsi="Arial" w:cs="Arial"/>
          <w:b/>
          <w:sz w:val="20"/>
          <w:szCs w:val="20"/>
        </w:rPr>
        <w:t>illions, except EPS amounts):</w:t>
      </w:r>
    </w:p>
    <w:p w:rsidR="00926E29" w:rsidRDefault="00926E29" w:rsidP="00233258">
      <w:pPr>
        <w:rPr>
          <w:rFonts w:ascii="Arial" w:hAnsi="Arial" w:cs="Arial"/>
          <w:sz w:val="18"/>
          <w:szCs w:val="20"/>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864"/>
        <w:gridCol w:w="756"/>
        <w:gridCol w:w="819"/>
        <w:gridCol w:w="756"/>
        <w:gridCol w:w="841"/>
        <w:gridCol w:w="756"/>
        <w:gridCol w:w="842"/>
        <w:gridCol w:w="756"/>
      </w:tblGrid>
      <w:tr w:rsidR="00926E29" w:rsidTr="00C95293">
        <w:tc>
          <w:tcPr>
            <w:tcW w:w="9625" w:type="dxa"/>
            <w:gridSpan w:val="9"/>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Year Ended December 31, 2016</w:t>
            </w:r>
          </w:p>
        </w:tc>
      </w:tr>
      <w:tr w:rsidR="00926E29" w:rsidTr="00C95293">
        <w:tc>
          <w:tcPr>
            <w:tcW w:w="3235" w:type="dxa"/>
            <w:tcBorders>
              <w:left w:val="nil"/>
              <w:bottom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1620" w:type="dxa"/>
            <w:gridSpan w:val="2"/>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75" w:type="dxa"/>
            <w:gridSpan w:val="2"/>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center"/>
              <w:rPr>
                <w:rFonts w:ascii="Arial" w:hAnsi="Arial" w:cs="Arial"/>
                <w:b/>
                <w:sz w:val="18"/>
                <w:szCs w:val="20"/>
              </w:rPr>
            </w:pPr>
          </w:p>
        </w:tc>
        <w:tc>
          <w:tcPr>
            <w:tcW w:w="1598" w:type="dxa"/>
            <w:gridSpan w:val="2"/>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75"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As-Reported (GAAP</w:t>
            </w:r>
          </w:p>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Measure)</w:t>
            </w:r>
          </w:p>
        </w:tc>
        <w:tc>
          <w:tcPr>
            <w:tcW w:w="1597"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Defined Benefit Plans MTM Charges</w:t>
            </w:r>
          </w:p>
        </w:tc>
        <w:tc>
          <w:tcPr>
            <w:tcW w:w="1598"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As-Adjusted (non-GAAP Measure)</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Operating profit: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U.S. Domestic Package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3,017</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1,908</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4,925</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International Package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2,044</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425</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2,469</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Supply Chain &amp; Freight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406</w:t>
            </w:r>
          </w:p>
        </w:tc>
        <w:tc>
          <w:tcPr>
            <w:tcW w:w="1597"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318</w:t>
            </w:r>
          </w:p>
        </w:tc>
        <w:tc>
          <w:tcPr>
            <w:tcW w:w="1598"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724</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Total operating profit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5,467</w:t>
            </w:r>
          </w:p>
        </w:tc>
        <w:tc>
          <w:tcPr>
            <w:tcW w:w="1597"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2,651</w:t>
            </w:r>
          </w:p>
        </w:tc>
        <w:tc>
          <w:tcPr>
            <w:tcW w:w="1598"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8,118</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Income Taxes</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1,705</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978</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2,683</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Net income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3,431</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1,673</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5,104</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Diluted earnings per share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3.87</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1.88</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5.75</w:t>
            </w:r>
          </w:p>
        </w:tc>
      </w:tr>
      <w:tr w:rsidR="00926E29" w:rsidTr="00C95293">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1620"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c>
          <w:tcPr>
            <w:tcW w:w="3235" w:type="dxa"/>
            <w:tcBorders>
              <w:top w:val="nil"/>
              <w:left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1620"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c>
          <w:tcPr>
            <w:tcW w:w="9625" w:type="dxa"/>
            <w:gridSpan w:val="9"/>
            <w:vAlign w:val="center"/>
          </w:tcPr>
          <w:p w:rsidR="00926E29" w:rsidRPr="00C95293" w:rsidRDefault="00926E29" w:rsidP="00C95293">
            <w:pPr>
              <w:autoSpaceDE w:val="0"/>
              <w:autoSpaceDN w:val="0"/>
              <w:adjustRightInd w:val="0"/>
              <w:jc w:val="center"/>
              <w:rPr>
                <w:rFonts w:ascii="Arial" w:hAnsi="Arial" w:cs="Arial"/>
                <w:sz w:val="18"/>
                <w:szCs w:val="20"/>
              </w:rPr>
            </w:pPr>
            <w:r w:rsidRPr="00C95293">
              <w:rPr>
                <w:rFonts w:ascii="Arial" w:hAnsi="Arial" w:cs="Arial"/>
                <w:b/>
                <w:sz w:val="18"/>
                <w:szCs w:val="20"/>
              </w:rPr>
              <w:t>Year Ended December 31, 2015</w:t>
            </w:r>
          </w:p>
        </w:tc>
      </w:tr>
      <w:tr w:rsidR="00926E29" w:rsidTr="00C95293">
        <w:tc>
          <w:tcPr>
            <w:tcW w:w="3235" w:type="dxa"/>
            <w:tcBorders>
              <w:left w:val="nil"/>
              <w:bottom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1620" w:type="dxa"/>
            <w:gridSpan w:val="2"/>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75" w:type="dxa"/>
            <w:gridSpan w:val="2"/>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97" w:type="dxa"/>
            <w:gridSpan w:val="2"/>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98" w:type="dxa"/>
            <w:gridSpan w:val="2"/>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sz w:val="18"/>
                <w:szCs w:val="20"/>
              </w:rPr>
            </w:pPr>
          </w:p>
        </w:tc>
        <w:tc>
          <w:tcPr>
            <w:tcW w:w="1575"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As-Reported (GAAP</w:t>
            </w:r>
          </w:p>
          <w:p w:rsidR="00926E29" w:rsidRPr="00C95293" w:rsidRDefault="00926E29" w:rsidP="00C95293">
            <w:pPr>
              <w:autoSpaceDE w:val="0"/>
              <w:autoSpaceDN w:val="0"/>
              <w:adjustRightInd w:val="0"/>
              <w:jc w:val="center"/>
              <w:rPr>
                <w:rFonts w:ascii="Arial" w:hAnsi="Arial" w:cs="Arial"/>
                <w:sz w:val="18"/>
                <w:szCs w:val="20"/>
              </w:rPr>
            </w:pPr>
            <w:r w:rsidRPr="00C95293">
              <w:rPr>
                <w:rFonts w:ascii="Arial" w:hAnsi="Arial" w:cs="Arial"/>
                <w:b/>
                <w:sz w:val="18"/>
                <w:szCs w:val="20"/>
              </w:rPr>
              <w:t>Measure)</w:t>
            </w:r>
          </w:p>
        </w:tc>
        <w:tc>
          <w:tcPr>
            <w:tcW w:w="1597"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sz w:val="18"/>
                <w:szCs w:val="20"/>
              </w:rPr>
            </w:pPr>
            <w:r w:rsidRPr="00C95293">
              <w:rPr>
                <w:rFonts w:ascii="Arial" w:hAnsi="Arial" w:cs="Arial"/>
                <w:b/>
                <w:sz w:val="18"/>
                <w:szCs w:val="20"/>
              </w:rPr>
              <w:t>Defined Benefit Plans MTM Charges</w:t>
            </w:r>
          </w:p>
        </w:tc>
        <w:tc>
          <w:tcPr>
            <w:tcW w:w="1598"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sz w:val="18"/>
                <w:szCs w:val="20"/>
              </w:rPr>
            </w:pPr>
            <w:r w:rsidRPr="00C95293">
              <w:rPr>
                <w:rFonts w:ascii="Arial" w:hAnsi="Arial" w:cs="Arial"/>
                <w:b/>
                <w:sz w:val="18"/>
                <w:szCs w:val="20"/>
              </w:rPr>
              <w:t>As-Adjusted (non-GAAP Measure)</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Operating profit: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U.S. Domestic Package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4,767</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62</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4,829</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International Package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2,137</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44</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2,181</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Supply Chain &amp; Freight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764</w:t>
            </w:r>
          </w:p>
        </w:tc>
        <w:tc>
          <w:tcPr>
            <w:tcW w:w="1597"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12</w:t>
            </w:r>
          </w:p>
        </w:tc>
        <w:tc>
          <w:tcPr>
            <w:tcW w:w="1598"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776</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Total operating profit</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7,668</w:t>
            </w:r>
          </w:p>
        </w:tc>
        <w:tc>
          <w:tcPr>
            <w:tcW w:w="1597"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118</w:t>
            </w:r>
          </w:p>
        </w:tc>
        <w:tc>
          <w:tcPr>
            <w:tcW w:w="1598"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7,786</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 xml:space="preserve">       </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Income Taxes</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2,498</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39</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2,537</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Net income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4,844</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79</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xml:space="preserve"> $   4,923</w:t>
            </w: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r>
      <w:tr w:rsidR="00926E29" w:rsidTr="00C95293">
        <w:trPr>
          <w:gridAfter w:val="1"/>
          <w:wAfter w:w="756" w:type="dxa"/>
        </w:trPr>
        <w:tc>
          <w:tcPr>
            <w:tcW w:w="3235" w:type="dxa"/>
            <w:tcBorders>
              <w:top w:val="nil"/>
              <w:left w:val="nil"/>
              <w:bottom w:val="nil"/>
              <w:right w:val="nil"/>
            </w:tcBorders>
          </w:tcPr>
          <w:p w:rsidR="00926E29" w:rsidRPr="00C95293" w:rsidRDefault="00926E29" w:rsidP="00C95293">
            <w:pPr>
              <w:autoSpaceDE w:val="0"/>
              <w:autoSpaceDN w:val="0"/>
              <w:adjustRightInd w:val="0"/>
              <w:ind w:left="422"/>
              <w:rPr>
                <w:rFonts w:ascii="Arial" w:hAnsi="Arial" w:cs="Arial"/>
                <w:sz w:val="18"/>
                <w:szCs w:val="20"/>
              </w:rPr>
            </w:pPr>
            <w:r w:rsidRPr="00C95293">
              <w:rPr>
                <w:rFonts w:ascii="Arial" w:hAnsi="Arial" w:cs="Arial"/>
                <w:sz w:val="18"/>
                <w:szCs w:val="20"/>
              </w:rPr>
              <w:t>Diluted earnings per share</w:t>
            </w:r>
          </w:p>
        </w:tc>
        <w:tc>
          <w:tcPr>
            <w:tcW w:w="864"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p>
        </w:tc>
        <w:tc>
          <w:tcPr>
            <w:tcW w:w="157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5.35</w:t>
            </w: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$ 0.08</w:t>
            </w:r>
          </w:p>
        </w:tc>
        <w:tc>
          <w:tcPr>
            <w:tcW w:w="1598"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8"/>
                <w:szCs w:val="20"/>
              </w:rPr>
            </w:pPr>
            <w:r w:rsidRPr="00C95293">
              <w:rPr>
                <w:rFonts w:ascii="Arial" w:hAnsi="Arial" w:cs="Arial"/>
                <w:sz w:val="18"/>
                <w:szCs w:val="20"/>
              </w:rPr>
              <w:t>$     5.43</w:t>
            </w:r>
          </w:p>
        </w:tc>
      </w:tr>
    </w:tbl>
    <w:p w:rsidR="00926E29" w:rsidRDefault="00926E29" w:rsidP="00233258">
      <w:pPr>
        <w:autoSpaceDE w:val="0"/>
        <w:autoSpaceDN w:val="0"/>
        <w:adjustRightInd w:val="0"/>
        <w:ind w:firstLine="720"/>
        <w:rPr>
          <w:rFonts w:ascii="Arial" w:hAnsi="Arial" w:cs="Arial"/>
          <w:sz w:val="18"/>
          <w:szCs w:val="20"/>
        </w:rPr>
      </w:pPr>
    </w:p>
    <w:p w:rsidR="00926E29" w:rsidRDefault="00926E29" w:rsidP="00233258">
      <w:pPr>
        <w:rPr>
          <w:rFonts w:ascii="Arial" w:hAnsi="Arial" w:cs="Arial"/>
          <w:sz w:val="18"/>
          <w:szCs w:val="20"/>
        </w:rPr>
      </w:pPr>
      <w:r w:rsidRPr="00C171A6">
        <w:rPr>
          <w:rFonts w:ascii="Arial" w:hAnsi="Arial" w:cs="Arial"/>
          <w:i/>
          <w:sz w:val="16"/>
          <w:szCs w:val="16"/>
        </w:rPr>
        <w:t xml:space="preserve">Note: Certain amounts may not </w:t>
      </w:r>
      <w:r>
        <w:rPr>
          <w:rFonts w:ascii="Arial" w:hAnsi="Arial" w:cs="Arial"/>
          <w:i/>
          <w:sz w:val="16"/>
          <w:szCs w:val="16"/>
        </w:rPr>
        <w:t>compute</w:t>
      </w:r>
      <w:r w:rsidRPr="00C171A6">
        <w:rPr>
          <w:rFonts w:ascii="Arial" w:hAnsi="Arial" w:cs="Arial"/>
          <w:i/>
          <w:sz w:val="16"/>
          <w:szCs w:val="16"/>
        </w:rPr>
        <w:t xml:space="preserve"> due to rounding.</w:t>
      </w:r>
    </w:p>
    <w:p w:rsidR="00926E29" w:rsidRDefault="00926E29" w:rsidP="00233258">
      <w:pPr>
        <w:rPr>
          <w:rFonts w:ascii="Arial" w:hAnsi="Arial" w:cs="Arial"/>
          <w:b/>
          <w:sz w:val="18"/>
          <w:szCs w:val="20"/>
        </w:rPr>
      </w:pPr>
      <w:r>
        <w:rPr>
          <w:rFonts w:ascii="Arial" w:hAnsi="Arial" w:cs="Arial"/>
          <w:sz w:val="18"/>
          <w:szCs w:val="20"/>
        </w:rPr>
        <w:br w:type="page"/>
      </w:r>
    </w:p>
    <w:p w:rsidR="00926E29" w:rsidRDefault="00926E29" w:rsidP="00233258">
      <w:pPr>
        <w:rPr>
          <w:rFonts w:ascii="Arial" w:hAnsi="Arial" w:cs="Arial"/>
          <w:b/>
          <w:sz w:val="18"/>
          <w:szCs w:val="20"/>
        </w:rPr>
      </w:pPr>
    </w:p>
    <w:p w:rsidR="00926E29" w:rsidRPr="00D12477" w:rsidRDefault="00926E29" w:rsidP="00233258">
      <w:pPr>
        <w:jc w:val="center"/>
        <w:rPr>
          <w:rFonts w:ascii="Arial" w:hAnsi="Arial" w:cs="Arial"/>
          <w:b/>
          <w:sz w:val="20"/>
          <w:szCs w:val="20"/>
        </w:rPr>
      </w:pPr>
      <w:r w:rsidRPr="00D12477">
        <w:rPr>
          <w:rFonts w:ascii="Arial" w:hAnsi="Arial" w:cs="Arial"/>
          <w:b/>
          <w:sz w:val="20"/>
          <w:szCs w:val="20"/>
        </w:rPr>
        <w:t xml:space="preserve">Reconciliation of GAAP and </w:t>
      </w:r>
      <w:r>
        <w:rPr>
          <w:rFonts w:ascii="Arial" w:hAnsi="Arial" w:cs="Arial"/>
          <w:b/>
          <w:sz w:val="20"/>
          <w:szCs w:val="20"/>
        </w:rPr>
        <w:t>n</w:t>
      </w:r>
      <w:r w:rsidRPr="00D12477">
        <w:rPr>
          <w:rFonts w:ascii="Arial" w:hAnsi="Arial" w:cs="Arial"/>
          <w:b/>
          <w:sz w:val="20"/>
          <w:szCs w:val="20"/>
        </w:rPr>
        <w:t xml:space="preserve">on-GAAP Revenue and Revenue </w:t>
      </w:r>
      <w:r>
        <w:rPr>
          <w:rFonts w:ascii="Arial" w:hAnsi="Arial" w:cs="Arial"/>
          <w:b/>
          <w:sz w:val="20"/>
          <w:szCs w:val="20"/>
        </w:rPr>
        <w:t>per</w:t>
      </w:r>
      <w:r w:rsidRPr="00D12477">
        <w:rPr>
          <w:rFonts w:ascii="Arial" w:hAnsi="Arial" w:cs="Arial"/>
          <w:b/>
          <w:sz w:val="20"/>
          <w:szCs w:val="20"/>
        </w:rPr>
        <w:t xml:space="preserve"> Piece (in </w:t>
      </w:r>
      <w:r>
        <w:rPr>
          <w:rFonts w:ascii="Arial" w:hAnsi="Arial" w:cs="Arial"/>
          <w:b/>
          <w:sz w:val="20"/>
          <w:szCs w:val="20"/>
        </w:rPr>
        <w:t>m</w:t>
      </w:r>
      <w:r w:rsidRPr="00D12477">
        <w:rPr>
          <w:rFonts w:ascii="Arial" w:hAnsi="Arial" w:cs="Arial"/>
          <w:b/>
          <w:sz w:val="20"/>
          <w:szCs w:val="20"/>
        </w:rPr>
        <w:t xml:space="preserve">illions, except </w:t>
      </w:r>
      <w:r>
        <w:rPr>
          <w:rFonts w:ascii="Arial" w:hAnsi="Arial" w:cs="Arial"/>
          <w:b/>
          <w:sz w:val="20"/>
          <w:szCs w:val="20"/>
        </w:rPr>
        <w:t>p</w:t>
      </w:r>
      <w:r w:rsidRPr="00D12477">
        <w:rPr>
          <w:rFonts w:ascii="Arial" w:hAnsi="Arial" w:cs="Arial"/>
          <w:b/>
          <w:sz w:val="20"/>
          <w:szCs w:val="20"/>
        </w:rPr>
        <w:t>er Piece amounts):</w:t>
      </w:r>
    </w:p>
    <w:p w:rsidR="00926E29" w:rsidRPr="00D12477" w:rsidRDefault="00926E29" w:rsidP="00233258">
      <w:pPr>
        <w:rPr>
          <w:rFonts w:ascii="Arial" w:hAnsi="Arial" w:cs="Arial"/>
          <w:b/>
          <w:sz w:val="18"/>
          <w:szCs w:val="20"/>
        </w:rPr>
      </w:pPr>
    </w:p>
    <w:p w:rsidR="00926E29" w:rsidRDefault="00926E29" w:rsidP="00233258">
      <w:pPr>
        <w:rPr>
          <w:rFonts w:ascii="Arial" w:hAnsi="Arial" w:cs="Arial"/>
          <w:sz w:val="18"/>
          <w:szCs w:val="20"/>
        </w:rPr>
      </w:pPr>
    </w:p>
    <w:tbl>
      <w:tblPr>
        <w:tblpPr w:leftFromText="180" w:rightFromText="180" w:vertAnchor="text" w:tblpY="1"/>
        <w:tblOverlap w:val="neve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8"/>
        <w:gridCol w:w="1065"/>
        <w:gridCol w:w="555"/>
        <w:gridCol w:w="510"/>
        <w:gridCol w:w="1065"/>
        <w:gridCol w:w="1065"/>
        <w:gridCol w:w="532"/>
        <w:gridCol w:w="533"/>
        <w:gridCol w:w="1065"/>
      </w:tblGrid>
      <w:tr w:rsidR="00926E29" w:rsidTr="00C95293">
        <w:tc>
          <w:tcPr>
            <w:tcW w:w="9398" w:type="dxa"/>
            <w:gridSpan w:val="9"/>
          </w:tcPr>
          <w:p w:rsidR="00926E29" w:rsidRPr="00C95293" w:rsidRDefault="00926E29" w:rsidP="00C95293">
            <w:pPr>
              <w:autoSpaceDE w:val="0"/>
              <w:autoSpaceDN w:val="0"/>
              <w:adjustRightInd w:val="0"/>
              <w:jc w:val="center"/>
              <w:rPr>
                <w:rFonts w:ascii="Arial" w:hAnsi="Arial" w:cs="Arial"/>
                <w:b/>
                <w:sz w:val="18"/>
                <w:szCs w:val="20"/>
              </w:rPr>
            </w:pPr>
            <w:r w:rsidRPr="00C95293">
              <w:rPr>
                <w:rFonts w:ascii="Arial" w:hAnsi="Arial" w:cs="Arial"/>
                <w:b/>
                <w:sz w:val="18"/>
                <w:szCs w:val="20"/>
              </w:rPr>
              <w:t>Three Months Ended December 31</w:t>
            </w:r>
          </w:p>
        </w:tc>
      </w:tr>
      <w:tr w:rsidR="00926E29" w:rsidTr="00C95293">
        <w:tc>
          <w:tcPr>
            <w:tcW w:w="3008" w:type="dxa"/>
            <w:tcBorders>
              <w:left w:val="nil"/>
              <w:bottom w:val="nil"/>
              <w:right w:val="nil"/>
            </w:tcBorders>
          </w:tcPr>
          <w:p w:rsidR="00926E29" w:rsidRPr="00C95293" w:rsidRDefault="00926E29" w:rsidP="00C95293">
            <w:pPr>
              <w:autoSpaceDE w:val="0"/>
              <w:autoSpaceDN w:val="0"/>
              <w:adjustRightInd w:val="0"/>
              <w:rPr>
                <w:rFonts w:ascii="Arial" w:hAnsi="Arial" w:cs="Arial"/>
                <w:sz w:val="18"/>
                <w:szCs w:val="20"/>
              </w:rPr>
            </w:pPr>
          </w:p>
        </w:tc>
        <w:tc>
          <w:tcPr>
            <w:tcW w:w="1620" w:type="dxa"/>
            <w:gridSpan w:val="2"/>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75" w:type="dxa"/>
            <w:gridSpan w:val="2"/>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c>
          <w:tcPr>
            <w:tcW w:w="1597" w:type="dxa"/>
            <w:gridSpan w:val="2"/>
            <w:tcBorders>
              <w:top w:val="nil"/>
              <w:left w:val="nil"/>
              <w:bottom w:val="nil"/>
              <w:right w:val="nil"/>
            </w:tcBorders>
          </w:tcPr>
          <w:p w:rsidR="00926E29" w:rsidRPr="00C95293" w:rsidRDefault="00926E29" w:rsidP="00C95293">
            <w:pPr>
              <w:autoSpaceDE w:val="0"/>
              <w:autoSpaceDN w:val="0"/>
              <w:adjustRightInd w:val="0"/>
              <w:jc w:val="center"/>
              <w:rPr>
                <w:rFonts w:ascii="Arial" w:hAnsi="Arial" w:cs="Arial"/>
                <w:b/>
                <w:sz w:val="18"/>
                <w:szCs w:val="20"/>
              </w:rPr>
            </w:pPr>
          </w:p>
        </w:tc>
        <w:tc>
          <w:tcPr>
            <w:tcW w:w="1598" w:type="dxa"/>
            <w:gridSpan w:val="2"/>
            <w:tcBorders>
              <w:top w:val="nil"/>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8"/>
                <w:szCs w:val="20"/>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6"/>
                <w:szCs w:val="16"/>
              </w:rPr>
              <w:t>2016 As-Reported (GAAP)</w:t>
            </w:r>
          </w:p>
        </w:tc>
        <w:tc>
          <w:tcPr>
            <w:tcW w:w="1065"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6"/>
                <w:szCs w:val="16"/>
              </w:rPr>
              <w:t>2015 As-Reported (GAAP)</w:t>
            </w:r>
          </w:p>
        </w:tc>
        <w:tc>
          <w:tcPr>
            <w:tcW w:w="106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6"/>
                <w:szCs w:val="16"/>
              </w:rPr>
              <w:t>% Change (GAAP)</w:t>
            </w:r>
          </w:p>
        </w:tc>
        <w:tc>
          <w:tcPr>
            <w:tcW w:w="106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6"/>
                <w:szCs w:val="16"/>
              </w:rPr>
              <w:t>Currency Impact</w:t>
            </w:r>
          </w:p>
        </w:tc>
        <w:tc>
          <w:tcPr>
            <w:tcW w:w="1065"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6"/>
                <w:szCs w:val="16"/>
              </w:rPr>
              <w:t>2016 Currency-Neutral (non-GAAP)</w:t>
            </w:r>
          </w:p>
        </w:tc>
        <w:tc>
          <w:tcPr>
            <w:tcW w:w="106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6"/>
                <w:szCs w:val="16"/>
              </w:rPr>
              <w:t>% Change (non-GAAP)</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b/>
                <w:sz w:val="16"/>
                <w:szCs w:val="16"/>
              </w:rPr>
            </w:pPr>
            <w:r w:rsidRPr="00C95293">
              <w:rPr>
                <w:rFonts w:ascii="Arial" w:hAnsi="Arial" w:cs="Arial"/>
                <w:b/>
                <w:sz w:val="16"/>
                <w:szCs w:val="16"/>
              </w:rPr>
              <w:t>Revenue: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U.S. Domestic Package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$10,913</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$10,265</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6.3%</w:t>
            </w:r>
          </w:p>
        </w:tc>
        <w:tc>
          <w:tcPr>
            <w:tcW w:w="1065" w:type="dxa"/>
            <w:tcBorders>
              <w:top w:val="nil"/>
              <w:left w:val="nil"/>
              <w:bottom w:val="nil"/>
              <w:right w:val="nil"/>
            </w:tcBorders>
          </w:tcPr>
          <w:p w:rsidR="00926E29" w:rsidRPr="00C95293" w:rsidRDefault="00926E29" w:rsidP="00C95293">
            <w:pPr>
              <w:rPr>
                <w:rFonts w:ascii="Arial" w:hAnsi="Arial" w:cs="Arial"/>
                <w:sz w:val="16"/>
                <w:szCs w:val="16"/>
              </w:rPr>
            </w:pPr>
            <w:r w:rsidRPr="00C95293">
              <w:rPr>
                <w:rFonts w:ascii="Arial" w:hAnsi="Arial" w:cs="Arial"/>
                <w:sz w:val="16"/>
                <w:szCs w:val="16"/>
              </w:rPr>
              <w:t xml:space="preserve">             $  -</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$10,913</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6.3%</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International Package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3,335</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3,175</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5.0%</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38</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3,373</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6.2%</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Supply Chain &amp; Freight</w:t>
            </w:r>
          </w:p>
        </w:tc>
        <w:tc>
          <w:tcPr>
            <w:tcW w:w="106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2,683</w:t>
            </w:r>
          </w:p>
        </w:tc>
        <w:tc>
          <w:tcPr>
            <w:tcW w:w="106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2,614</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2.6%</w:t>
            </w:r>
          </w:p>
        </w:tc>
        <w:tc>
          <w:tcPr>
            <w:tcW w:w="106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16</w:t>
            </w:r>
          </w:p>
        </w:tc>
        <w:tc>
          <w:tcPr>
            <w:tcW w:w="106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2,699</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3.3%</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Total revenue</w:t>
            </w:r>
          </w:p>
        </w:tc>
        <w:tc>
          <w:tcPr>
            <w:tcW w:w="1065" w:type="dxa"/>
            <w:tcBorders>
              <w:left w:val="nil"/>
              <w:bottom w:val="double" w:sz="4" w:space="0" w:color="auto"/>
              <w:right w:val="nil"/>
            </w:tcBorders>
          </w:tcPr>
          <w:p w:rsidR="00926E29" w:rsidRPr="00C95293" w:rsidRDefault="00926E29" w:rsidP="00C95293">
            <w:pPr>
              <w:jc w:val="right"/>
              <w:rPr>
                <w:rFonts w:ascii="Arial" w:hAnsi="Arial" w:cs="Arial"/>
                <w:sz w:val="16"/>
                <w:szCs w:val="16"/>
              </w:rPr>
            </w:pPr>
            <w:r w:rsidRPr="00C95293">
              <w:rPr>
                <w:rFonts w:ascii="Arial" w:hAnsi="Arial" w:cs="Arial"/>
                <w:sz w:val="16"/>
                <w:szCs w:val="16"/>
              </w:rPr>
              <w:t>$16,931</w:t>
            </w:r>
          </w:p>
        </w:tc>
        <w:tc>
          <w:tcPr>
            <w:tcW w:w="1065" w:type="dxa"/>
            <w:gridSpan w:val="2"/>
            <w:tcBorders>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$16,054</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5.5%</w:t>
            </w:r>
          </w:p>
        </w:tc>
        <w:tc>
          <w:tcPr>
            <w:tcW w:w="1065" w:type="dxa"/>
            <w:tcBorders>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$54</w:t>
            </w:r>
          </w:p>
        </w:tc>
        <w:tc>
          <w:tcPr>
            <w:tcW w:w="1065" w:type="dxa"/>
            <w:gridSpan w:val="2"/>
            <w:tcBorders>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$16,985</w:t>
            </w:r>
          </w:p>
        </w:tc>
        <w:tc>
          <w:tcPr>
            <w:tcW w:w="1065" w:type="dxa"/>
            <w:tcBorders>
              <w:top w:val="nil"/>
              <w:left w:val="nil"/>
              <w:bottom w:val="nil"/>
              <w:right w:val="nil"/>
            </w:tcBorders>
          </w:tcPr>
          <w:p w:rsidR="00926E29" w:rsidRPr="00C95293" w:rsidRDefault="00926E29" w:rsidP="00C95293">
            <w:pPr>
              <w:tabs>
                <w:tab w:val="left" w:pos="344"/>
                <w:tab w:val="left" w:pos="539"/>
              </w:tabs>
              <w:autoSpaceDE w:val="0"/>
              <w:autoSpaceDN w:val="0"/>
              <w:adjustRightInd w:val="0"/>
              <w:jc w:val="right"/>
              <w:rPr>
                <w:rFonts w:ascii="Arial" w:hAnsi="Arial" w:cs="Arial"/>
                <w:sz w:val="16"/>
                <w:szCs w:val="16"/>
              </w:rPr>
            </w:pPr>
            <w:r w:rsidRPr="00C95293">
              <w:rPr>
                <w:rFonts w:ascii="Arial" w:hAnsi="Arial" w:cs="Arial"/>
                <w:sz w:val="16"/>
                <w:szCs w:val="16"/>
              </w:rPr>
              <w:t>5.8%</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b/>
                <w:sz w:val="16"/>
                <w:szCs w:val="16"/>
              </w:rPr>
            </w:pPr>
            <w:r w:rsidRPr="00C95293">
              <w:rPr>
                <w:rFonts w:ascii="Arial" w:hAnsi="Arial" w:cs="Arial"/>
                <w:b/>
                <w:sz w:val="16"/>
                <w:szCs w:val="16"/>
              </w:rPr>
              <w:t>Average Revenue Per Piece: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International Package: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Domestic</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$5.57</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$5.93</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-6.1%</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$0.25</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$5.82</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-1.9%</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Export</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29.50</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30.38</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-2.9%</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0.10</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29.60</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-2.6%</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Total International Package</w:t>
            </w:r>
          </w:p>
        </w:tc>
        <w:tc>
          <w:tcPr>
            <w:tcW w:w="1065" w:type="dxa"/>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$15.90</w:t>
            </w:r>
          </w:p>
        </w:tc>
        <w:tc>
          <w:tcPr>
            <w:tcW w:w="1065" w:type="dxa"/>
            <w:gridSpan w:val="2"/>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$16.37</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-2.9%</w:t>
            </w:r>
          </w:p>
        </w:tc>
        <w:tc>
          <w:tcPr>
            <w:tcW w:w="1065" w:type="dxa"/>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$0.19</w:t>
            </w:r>
          </w:p>
        </w:tc>
        <w:tc>
          <w:tcPr>
            <w:tcW w:w="1065" w:type="dxa"/>
            <w:gridSpan w:val="2"/>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$16.09</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-1.7%</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Consolidated</w:t>
            </w:r>
          </w:p>
        </w:tc>
        <w:tc>
          <w:tcPr>
            <w:tcW w:w="1065" w:type="dxa"/>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$9.85</w:t>
            </w:r>
          </w:p>
        </w:tc>
        <w:tc>
          <w:tcPr>
            <w:tcW w:w="1065" w:type="dxa"/>
            <w:gridSpan w:val="2"/>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$9.93</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-0.8%</w:t>
            </w:r>
          </w:p>
        </w:tc>
        <w:tc>
          <w:tcPr>
            <w:tcW w:w="1065" w:type="dxa"/>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$0.02</w:t>
            </w:r>
          </w:p>
        </w:tc>
        <w:tc>
          <w:tcPr>
            <w:tcW w:w="1065" w:type="dxa"/>
            <w:gridSpan w:val="2"/>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$9.87</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-0.6%</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w:t>
            </w:r>
          </w:p>
        </w:tc>
        <w:tc>
          <w:tcPr>
            <w:tcW w:w="1065" w:type="dxa"/>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9398" w:type="dxa"/>
            <w:gridSpan w:val="9"/>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8"/>
                <w:szCs w:val="20"/>
              </w:rPr>
              <w:t>Year Ended December 31</w:t>
            </w:r>
          </w:p>
        </w:tc>
      </w:tr>
      <w:tr w:rsidR="00926E29" w:rsidTr="00C95293">
        <w:tc>
          <w:tcPr>
            <w:tcW w:w="3008" w:type="dxa"/>
            <w:tcBorders>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p>
        </w:tc>
        <w:tc>
          <w:tcPr>
            <w:tcW w:w="1065" w:type="dxa"/>
            <w:gridSpan w:val="2"/>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p>
        </w:tc>
        <w:tc>
          <w:tcPr>
            <w:tcW w:w="1065"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p>
        </w:tc>
        <w:tc>
          <w:tcPr>
            <w:tcW w:w="1065"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p>
        </w:tc>
        <w:tc>
          <w:tcPr>
            <w:tcW w:w="1065" w:type="dxa"/>
            <w:gridSpan w:val="2"/>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p>
        </w:tc>
        <w:tc>
          <w:tcPr>
            <w:tcW w:w="1065"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sz w:val="16"/>
                <w:szCs w:val="16"/>
              </w:rPr>
            </w:pPr>
            <w:r w:rsidRPr="00C95293">
              <w:rPr>
                <w:rFonts w:ascii="Arial" w:hAnsi="Arial" w:cs="Arial"/>
                <w:b/>
                <w:sz w:val="16"/>
                <w:szCs w:val="16"/>
              </w:rPr>
              <w:t>2016 As-Reported (GAAP)</w:t>
            </w:r>
          </w:p>
        </w:tc>
        <w:tc>
          <w:tcPr>
            <w:tcW w:w="1065"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sz w:val="16"/>
                <w:szCs w:val="16"/>
              </w:rPr>
            </w:pPr>
            <w:r w:rsidRPr="00C95293">
              <w:rPr>
                <w:rFonts w:ascii="Arial" w:hAnsi="Arial" w:cs="Arial"/>
                <w:b/>
                <w:sz w:val="16"/>
                <w:szCs w:val="16"/>
              </w:rPr>
              <w:t>2015 As-Reported (GAAP)</w:t>
            </w:r>
          </w:p>
        </w:tc>
        <w:tc>
          <w:tcPr>
            <w:tcW w:w="106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sz w:val="16"/>
                <w:szCs w:val="16"/>
              </w:rPr>
            </w:pPr>
            <w:r w:rsidRPr="00C95293">
              <w:rPr>
                <w:rFonts w:ascii="Arial" w:hAnsi="Arial" w:cs="Arial"/>
                <w:b/>
                <w:sz w:val="16"/>
                <w:szCs w:val="16"/>
              </w:rPr>
              <w:t>% Change (GAAP)</w:t>
            </w:r>
          </w:p>
        </w:tc>
        <w:tc>
          <w:tcPr>
            <w:tcW w:w="106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sz w:val="16"/>
                <w:szCs w:val="16"/>
              </w:rPr>
            </w:pPr>
            <w:r w:rsidRPr="00C95293">
              <w:rPr>
                <w:rFonts w:ascii="Arial" w:hAnsi="Arial" w:cs="Arial"/>
                <w:b/>
                <w:sz w:val="16"/>
                <w:szCs w:val="16"/>
              </w:rPr>
              <w:t>Currency Impact</w:t>
            </w:r>
          </w:p>
        </w:tc>
        <w:tc>
          <w:tcPr>
            <w:tcW w:w="1065" w:type="dxa"/>
            <w:gridSpan w:val="2"/>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6"/>
                <w:szCs w:val="16"/>
              </w:rPr>
              <w:t>2015 Currency-Neutral (non-GAAP)</w:t>
            </w:r>
          </w:p>
        </w:tc>
        <w:tc>
          <w:tcPr>
            <w:tcW w:w="1065"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16"/>
                <w:szCs w:val="16"/>
              </w:rPr>
            </w:pPr>
            <w:r w:rsidRPr="00C95293">
              <w:rPr>
                <w:rFonts w:ascii="Arial" w:hAnsi="Arial" w:cs="Arial"/>
                <w:b/>
                <w:sz w:val="16"/>
                <w:szCs w:val="16"/>
              </w:rPr>
              <w:t>% Change (non-GAAP)</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b/>
                <w:sz w:val="16"/>
                <w:szCs w:val="16"/>
              </w:rPr>
              <w:t>Revenue:</w:t>
            </w:r>
          </w:p>
        </w:tc>
        <w:tc>
          <w:tcPr>
            <w:tcW w:w="1065"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U.S. Domestic Package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$38,301</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$36,747</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4.2%</w:t>
            </w:r>
          </w:p>
        </w:tc>
        <w:tc>
          <w:tcPr>
            <w:tcW w:w="1065" w:type="dxa"/>
            <w:tcBorders>
              <w:top w:val="nil"/>
              <w:left w:val="nil"/>
              <w:bottom w:val="nil"/>
              <w:right w:val="nil"/>
            </w:tcBorders>
          </w:tcPr>
          <w:p w:rsidR="00926E29" w:rsidRPr="00C95293" w:rsidRDefault="00926E29" w:rsidP="00C95293">
            <w:pPr>
              <w:autoSpaceDE w:val="0"/>
              <w:autoSpaceDN w:val="0"/>
              <w:adjustRightInd w:val="0"/>
              <w:jc w:val="center"/>
              <w:rPr>
                <w:rFonts w:ascii="Arial" w:hAnsi="Arial" w:cs="Arial"/>
                <w:sz w:val="16"/>
                <w:szCs w:val="16"/>
              </w:rPr>
            </w:pPr>
            <w:r w:rsidRPr="00C95293">
              <w:rPr>
                <w:rFonts w:ascii="Arial" w:hAnsi="Arial" w:cs="Arial"/>
                <w:sz w:val="16"/>
                <w:szCs w:val="16"/>
              </w:rPr>
              <w:t xml:space="preserve">        $   -</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$38,301</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4.2%</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International Package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12,350</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12,149</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1.7%</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138</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12,488</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2.8%</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Supply Chain &amp; Freight</w:t>
            </w:r>
          </w:p>
        </w:tc>
        <w:tc>
          <w:tcPr>
            <w:tcW w:w="106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10,255</w:t>
            </w:r>
          </w:p>
        </w:tc>
        <w:tc>
          <w:tcPr>
            <w:tcW w:w="106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9,467</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8.3%</w:t>
            </w:r>
          </w:p>
        </w:tc>
        <w:tc>
          <w:tcPr>
            <w:tcW w:w="1065"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56</w:t>
            </w:r>
          </w:p>
        </w:tc>
        <w:tc>
          <w:tcPr>
            <w:tcW w:w="1065" w:type="dxa"/>
            <w:gridSpan w:val="2"/>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10,311</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8.9%</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Total revenue</w:t>
            </w:r>
          </w:p>
        </w:tc>
        <w:tc>
          <w:tcPr>
            <w:tcW w:w="1065"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$60,906</w:t>
            </w:r>
          </w:p>
        </w:tc>
        <w:tc>
          <w:tcPr>
            <w:tcW w:w="1065"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$58,363</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4.4%</w:t>
            </w:r>
          </w:p>
        </w:tc>
        <w:tc>
          <w:tcPr>
            <w:tcW w:w="1065"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$194</w:t>
            </w:r>
          </w:p>
        </w:tc>
        <w:tc>
          <w:tcPr>
            <w:tcW w:w="1065" w:type="dxa"/>
            <w:gridSpan w:val="2"/>
            <w:tcBorders>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$61,100</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4.7%</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b/>
                <w:sz w:val="16"/>
                <w:szCs w:val="16"/>
              </w:rPr>
              <w:t>Average Revenue Per Piece: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International Package:</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Domestic</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$5.85</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$6.06</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-3.5%</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$0.23</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$6.08</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0.3%</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Export</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30.38</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31.10</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-2.3%</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0.15</w:t>
            </w:r>
          </w:p>
        </w:tc>
        <w:tc>
          <w:tcPr>
            <w:tcW w:w="1065" w:type="dxa"/>
            <w:gridSpan w:val="2"/>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30.53</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-1.8%</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Total International Package</w:t>
            </w:r>
          </w:p>
        </w:tc>
        <w:tc>
          <w:tcPr>
            <w:tcW w:w="1065" w:type="dxa"/>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$16.29</w:t>
            </w:r>
          </w:p>
        </w:tc>
        <w:tc>
          <w:tcPr>
            <w:tcW w:w="1065" w:type="dxa"/>
            <w:gridSpan w:val="2"/>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$16.63</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-2.0%</w:t>
            </w:r>
          </w:p>
        </w:tc>
        <w:tc>
          <w:tcPr>
            <w:tcW w:w="1065" w:type="dxa"/>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$0.19</w:t>
            </w:r>
          </w:p>
        </w:tc>
        <w:tc>
          <w:tcPr>
            <w:tcW w:w="1065" w:type="dxa"/>
            <w:gridSpan w:val="2"/>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$16.48</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-0.9%</w:t>
            </w: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3008"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16"/>
                <w:szCs w:val="16"/>
              </w:rPr>
            </w:pPr>
            <w:r w:rsidRPr="00C95293">
              <w:rPr>
                <w:rFonts w:ascii="Arial" w:hAnsi="Arial" w:cs="Arial"/>
                <w:sz w:val="16"/>
                <w:szCs w:val="16"/>
              </w:rPr>
              <w:t xml:space="preserve">   Consolidated</w:t>
            </w:r>
          </w:p>
        </w:tc>
        <w:tc>
          <w:tcPr>
            <w:tcW w:w="1065" w:type="dxa"/>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$10.30</w:t>
            </w:r>
          </w:p>
        </w:tc>
        <w:tc>
          <w:tcPr>
            <w:tcW w:w="1065" w:type="dxa"/>
            <w:gridSpan w:val="2"/>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$10.37</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-0.7%</w:t>
            </w:r>
          </w:p>
        </w:tc>
        <w:tc>
          <w:tcPr>
            <w:tcW w:w="1065" w:type="dxa"/>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$0.02</w:t>
            </w:r>
          </w:p>
        </w:tc>
        <w:tc>
          <w:tcPr>
            <w:tcW w:w="1065" w:type="dxa"/>
            <w:gridSpan w:val="2"/>
            <w:tcBorders>
              <w:top w:val="nil"/>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$10.32</w:t>
            </w:r>
          </w:p>
        </w:tc>
        <w:tc>
          <w:tcPr>
            <w:tcW w:w="1065"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16"/>
                <w:szCs w:val="16"/>
              </w:rPr>
            </w:pPr>
            <w:r w:rsidRPr="00C95293">
              <w:rPr>
                <w:rFonts w:ascii="Arial" w:hAnsi="Arial" w:cs="Arial"/>
                <w:sz w:val="16"/>
                <w:szCs w:val="16"/>
              </w:rPr>
              <w:t>-0.5%</w:t>
            </w:r>
          </w:p>
        </w:tc>
      </w:tr>
    </w:tbl>
    <w:p w:rsidR="00926E29" w:rsidRDefault="00926E29" w:rsidP="00233258">
      <w:pPr>
        <w:rPr>
          <w:rFonts w:ascii="Arial" w:hAnsi="Arial" w:cs="Arial"/>
          <w:sz w:val="18"/>
          <w:szCs w:val="20"/>
        </w:rPr>
      </w:pPr>
      <w:r>
        <w:rPr>
          <w:rFonts w:ascii="Arial" w:hAnsi="Arial" w:cs="Arial"/>
          <w:sz w:val="18"/>
          <w:szCs w:val="20"/>
        </w:rPr>
        <w:br w:type="textWrapping" w:clear="all"/>
      </w:r>
      <w:r w:rsidRPr="00C171A6">
        <w:rPr>
          <w:rFonts w:ascii="Arial" w:hAnsi="Arial" w:cs="Arial"/>
          <w:i/>
          <w:sz w:val="16"/>
          <w:szCs w:val="16"/>
        </w:rPr>
        <w:t>Note: Certain amounts may not</w:t>
      </w:r>
      <w:r>
        <w:rPr>
          <w:rFonts w:ascii="Arial" w:hAnsi="Arial" w:cs="Arial"/>
          <w:i/>
          <w:sz w:val="16"/>
          <w:szCs w:val="16"/>
        </w:rPr>
        <w:t xml:space="preserve"> compute</w:t>
      </w:r>
      <w:r w:rsidRPr="00C171A6">
        <w:rPr>
          <w:rFonts w:ascii="Arial" w:hAnsi="Arial" w:cs="Arial"/>
          <w:i/>
          <w:sz w:val="16"/>
          <w:szCs w:val="16"/>
        </w:rPr>
        <w:t xml:space="preserve"> due to rounding.</w:t>
      </w:r>
    </w:p>
    <w:p w:rsidR="00926E29" w:rsidRDefault="00926E29" w:rsidP="00233258">
      <w:pPr>
        <w:rPr>
          <w:rFonts w:ascii="Arial" w:hAnsi="Arial" w:cs="Arial"/>
          <w:sz w:val="18"/>
          <w:szCs w:val="20"/>
        </w:rPr>
      </w:pPr>
      <w:r>
        <w:rPr>
          <w:rFonts w:ascii="Arial" w:hAnsi="Arial" w:cs="Arial"/>
          <w:sz w:val="18"/>
          <w:szCs w:val="20"/>
        </w:rPr>
        <w:br w:type="page"/>
      </w:r>
    </w:p>
    <w:p w:rsidR="00926E29" w:rsidRDefault="00926E29" w:rsidP="00233258">
      <w:pPr>
        <w:autoSpaceDE w:val="0"/>
        <w:autoSpaceDN w:val="0"/>
        <w:adjustRightInd w:val="0"/>
        <w:ind w:firstLine="720"/>
        <w:rPr>
          <w:rFonts w:ascii="Arial" w:hAnsi="Arial" w:cs="Arial"/>
          <w:b/>
          <w:sz w:val="20"/>
          <w:szCs w:val="20"/>
        </w:rPr>
      </w:pPr>
    </w:p>
    <w:p w:rsidR="00926E29" w:rsidRDefault="00926E29" w:rsidP="00233258">
      <w:pPr>
        <w:autoSpaceDE w:val="0"/>
        <w:autoSpaceDN w:val="0"/>
        <w:adjustRightInd w:val="0"/>
        <w:ind w:firstLine="720"/>
        <w:rPr>
          <w:rFonts w:ascii="Arial" w:hAnsi="Arial" w:cs="Arial"/>
          <w:b/>
          <w:sz w:val="20"/>
          <w:szCs w:val="20"/>
        </w:rPr>
      </w:pPr>
    </w:p>
    <w:p w:rsidR="00926E29" w:rsidRDefault="00926E29" w:rsidP="00233258">
      <w:pPr>
        <w:autoSpaceDE w:val="0"/>
        <w:autoSpaceDN w:val="0"/>
        <w:adjustRightInd w:val="0"/>
        <w:ind w:firstLine="720"/>
        <w:jc w:val="center"/>
        <w:rPr>
          <w:rFonts w:ascii="Arial" w:hAnsi="Arial" w:cs="Arial"/>
          <w:color w:val="003436"/>
          <w:sz w:val="22"/>
          <w:szCs w:val="22"/>
        </w:rPr>
      </w:pPr>
      <w:r w:rsidRPr="00C171A6">
        <w:rPr>
          <w:rFonts w:ascii="Arial" w:hAnsi="Arial" w:cs="Arial"/>
          <w:b/>
          <w:sz w:val="20"/>
          <w:szCs w:val="20"/>
        </w:rPr>
        <w:t xml:space="preserve">Reconciliation of GAAP and </w:t>
      </w:r>
      <w:r>
        <w:rPr>
          <w:rFonts w:ascii="Arial" w:hAnsi="Arial" w:cs="Arial"/>
          <w:b/>
          <w:sz w:val="20"/>
          <w:szCs w:val="20"/>
        </w:rPr>
        <w:t>n</w:t>
      </w:r>
      <w:r w:rsidRPr="00C171A6">
        <w:rPr>
          <w:rFonts w:ascii="Arial" w:hAnsi="Arial" w:cs="Arial"/>
          <w:b/>
          <w:sz w:val="20"/>
          <w:szCs w:val="20"/>
        </w:rPr>
        <w:t xml:space="preserve">on-GAAP </w:t>
      </w:r>
      <w:r>
        <w:rPr>
          <w:rFonts w:ascii="Arial" w:hAnsi="Arial" w:cs="Arial"/>
          <w:b/>
          <w:sz w:val="20"/>
          <w:szCs w:val="20"/>
        </w:rPr>
        <w:t xml:space="preserve">Liquidity Measures </w:t>
      </w:r>
      <w:r w:rsidRPr="00C171A6">
        <w:rPr>
          <w:rFonts w:ascii="Arial" w:hAnsi="Arial" w:cs="Arial"/>
          <w:b/>
          <w:sz w:val="20"/>
          <w:szCs w:val="20"/>
        </w:rPr>
        <w:t xml:space="preserve">(in </w:t>
      </w:r>
      <w:r>
        <w:rPr>
          <w:rFonts w:ascii="Arial" w:hAnsi="Arial" w:cs="Arial"/>
          <w:b/>
          <w:sz w:val="20"/>
          <w:szCs w:val="20"/>
        </w:rPr>
        <w:t>m</w:t>
      </w:r>
      <w:r w:rsidRPr="00C171A6">
        <w:rPr>
          <w:rFonts w:ascii="Arial" w:hAnsi="Arial" w:cs="Arial"/>
          <w:b/>
          <w:sz w:val="20"/>
          <w:szCs w:val="20"/>
        </w:rPr>
        <w:t>illions</w:t>
      </w:r>
      <w:r>
        <w:rPr>
          <w:rFonts w:ascii="Arial" w:hAnsi="Arial" w:cs="Arial"/>
          <w:b/>
          <w:sz w:val="20"/>
          <w:szCs w:val="20"/>
        </w:rPr>
        <w:t>)</w:t>
      </w:r>
    </w:p>
    <w:p w:rsidR="00926E29" w:rsidRDefault="00926E29" w:rsidP="00233258">
      <w:pPr>
        <w:autoSpaceDE w:val="0"/>
        <w:autoSpaceDN w:val="0"/>
        <w:adjustRightInd w:val="0"/>
        <w:ind w:firstLine="720"/>
        <w:rPr>
          <w:rFonts w:ascii="Arial" w:hAnsi="Arial" w:cs="Arial"/>
          <w:color w:val="003436"/>
          <w:sz w:val="22"/>
          <w:szCs w:val="22"/>
        </w:rPr>
      </w:pPr>
    </w:p>
    <w:tbl>
      <w:tblPr>
        <w:tblpPr w:leftFromText="180" w:rightFromText="180" w:vertAnchor="text" w:tblpXSpec="center" w:tblpY="1"/>
        <w:tblOverlap w:val="neve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0"/>
        <w:gridCol w:w="1710"/>
      </w:tblGrid>
      <w:tr w:rsidR="00926E29" w:rsidTr="00C95293">
        <w:tc>
          <w:tcPr>
            <w:tcW w:w="7200" w:type="dxa"/>
            <w:tcBorders>
              <w:top w:val="nil"/>
              <w:left w:val="nil"/>
              <w:right w:val="nil"/>
            </w:tcBorders>
          </w:tcPr>
          <w:p w:rsidR="00926E29" w:rsidRPr="00C95293" w:rsidRDefault="00926E29" w:rsidP="00C95293">
            <w:pPr>
              <w:autoSpaceDE w:val="0"/>
              <w:autoSpaceDN w:val="0"/>
              <w:adjustRightInd w:val="0"/>
              <w:rPr>
                <w:rFonts w:ascii="Arial" w:hAnsi="Arial" w:cs="Arial"/>
                <w:sz w:val="16"/>
                <w:szCs w:val="16"/>
              </w:rPr>
            </w:pPr>
          </w:p>
        </w:tc>
        <w:tc>
          <w:tcPr>
            <w:tcW w:w="1710"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16"/>
                <w:szCs w:val="16"/>
              </w:rPr>
            </w:pPr>
          </w:p>
        </w:tc>
      </w:tr>
      <w:tr w:rsidR="00926E29" w:rsidTr="00C95293">
        <w:tc>
          <w:tcPr>
            <w:tcW w:w="8910" w:type="dxa"/>
            <w:gridSpan w:val="2"/>
          </w:tcPr>
          <w:p w:rsidR="00926E29" w:rsidRPr="00C95293" w:rsidRDefault="00926E29" w:rsidP="00C95293">
            <w:pPr>
              <w:autoSpaceDE w:val="0"/>
              <w:autoSpaceDN w:val="0"/>
              <w:adjustRightInd w:val="0"/>
              <w:jc w:val="center"/>
              <w:rPr>
                <w:rFonts w:ascii="Arial" w:hAnsi="Arial" w:cs="Arial"/>
                <w:b/>
                <w:sz w:val="20"/>
                <w:szCs w:val="20"/>
              </w:rPr>
            </w:pPr>
            <w:r w:rsidRPr="00C95293">
              <w:rPr>
                <w:rFonts w:ascii="Arial" w:hAnsi="Arial" w:cs="Arial"/>
                <w:b/>
                <w:sz w:val="20"/>
                <w:szCs w:val="20"/>
              </w:rPr>
              <w:t>Year Ended December 31</w:t>
            </w:r>
          </w:p>
        </w:tc>
      </w:tr>
      <w:tr w:rsidR="00926E29" w:rsidTr="00C95293">
        <w:tc>
          <w:tcPr>
            <w:tcW w:w="7200" w:type="dxa"/>
            <w:tcBorders>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p>
        </w:tc>
        <w:tc>
          <w:tcPr>
            <w:tcW w:w="1710" w:type="dxa"/>
            <w:tcBorders>
              <w:left w:val="nil"/>
              <w:bottom w:val="nil"/>
              <w:right w:val="nil"/>
            </w:tcBorders>
            <w:vAlign w:val="bottom"/>
          </w:tcPr>
          <w:p w:rsidR="00926E29" w:rsidRPr="00C95293" w:rsidRDefault="00926E29" w:rsidP="00C95293">
            <w:pPr>
              <w:autoSpaceDE w:val="0"/>
              <w:autoSpaceDN w:val="0"/>
              <w:adjustRightInd w:val="0"/>
              <w:jc w:val="center"/>
              <w:rPr>
                <w:rFonts w:ascii="Arial" w:hAnsi="Arial" w:cs="Arial"/>
                <w:b/>
                <w:sz w:val="20"/>
                <w:szCs w:val="20"/>
              </w:rPr>
            </w:pPr>
          </w:p>
        </w:tc>
      </w:tr>
      <w:tr w:rsidR="00926E29" w:rsidTr="00C95293">
        <w:tc>
          <w:tcPr>
            <w:tcW w:w="8910" w:type="dxa"/>
            <w:gridSpan w:val="2"/>
            <w:tcBorders>
              <w:top w:val="nil"/>
              <w:left w:val="nil"/>
              <w:bottom w:val="nil"/>
              <w:right w:val="nil"/>
            </w:tcBorders>
          </w:tcPr>
          <w:p w:rsidR="00926E29" w:rsidRPr="00C95293" w:rsidRDefault="00926E29" w:rsidP="00C95293">
            <w:pPr>
              <w:autoSpaceDE w:val="0"/>
              <w:autoSpaceDN w:val="0"/>
              <w:adjustRightInd w:val="0"/>
              <w:jc w:val="center"/>
              <w:rPr>
                <w:rFonts w:ascii="Arial" w:hAnsi="Arial" w:cs="Arial"/>
                <w:b/>
                <w:sz w:val="20"/>
                <w:szCs w:val="20"/>
              </w:rPr>
            </w:pPr>
            <w:r w:rsidRPr="00C95293">
              <w:rPr>
                <w:rFonts w:ascii="Arial" w:hAnsi="Arial" w:cs="Arial"/>
                <w:b/>
                <w:sz w:val="20"/>
                <w:szCs w:val="20"/>
              </w:rPr>
              <w:t>Net Increase (Decrease) in Cash and Cash Equivalents</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p>
        </w:tc>
        <w:tc>
          <w:tcPr>
            <w:tcW w:w="1710"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20"/>
                <w:szCs w:val="20"/>
              </w:rPr>
            </w:pP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p>
        </w:tc>
        <w:tc>
          <w:tcPr>
            <w:tcW w:w="1710"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20"/>
                <w:szCs w:val="20"/>
              </w:rPr>
            </w:pPr>
            <w:r w:rsidRPr="00C95293">
              <w:rPr>
                <w:rFonts w:ascii="Arial" w:hAnsi="Arial" w:cs="Arial"/>
                <w:b/>
                <w:sz w:val="20"/>
                <w:szCs w:val="20"/>
              </w:rPr>
              <w:t>2016</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Cash flows from operating activities</w:t>
            </w:r>
          </w:p>
        </w:tc>
        <w:tc>
          <w:tcPr>
            <w:tcW w:w="1710"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$ 6,473</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Cash flows from investing activities</w:t>
            </w:r>
          </w:p>
        </w:tc>
        <w:tc>
          <w:tcPr>
            <w:tcW w:w="1710"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(2,566)</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Cash flows from financing activities</w:t>
            </w:r>
          </w:p>
        </w:tc>
        <w:tc>
          <w:tcPr>
            <w:tcW w:w="1710"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(3,140)</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Effect of exchange rate changes on cash and cash equivalents</w:t>
            </w:r>
          </w:p>
        </w:tc>
        <w:tc>
          <w:tcPr>
            <w:tcW w:w="1710" w:type="dxa"/>
            <w:tcBorders>
              <w:left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(21)</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Net increase in cash and cash equivalents</w:t>
            </w:r>
          </w:p>
        </w:tc>
        <w:tc>
          <w:tcPr>
            <w:tcW w:w="1710" w:type="dxa"/>
            <w:tcBorders>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    746</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p>
        </w:tc>
        <w:tc>
          <w:tcPr>
            <w:tcW w:w="1710" w:type="dxa"/>
            <w:tcBorders>
              <w:top w:val="double" w:sz="4" w:space="0" w:color="auto"/>
              <w:left w:val="nil"/>
              <w:bottom w:val="nil"/>
              <w:right w:val="nil"/>
            </w:tcBorders>
            <w:vAlign w:val="bottom"/>
          </w:tcPr>
          <w:p w:rsidR="00926E29" w:rsidRPr="00C95293" w:rsidRDefault="00926E29" w:rsidP="00C95293">
            <w:pPr>
              <w:autoSpaceDE w:val="0"/>
              <w:autoSpaceDN w:val="0"/>
              <w:adjustRightInd w:val="0"/>
              <w:jc w:val="right"/>
              <w:rPr>
                <w:rFonts w:ascii="Arial" w:hAnsi="Arial" w:cs="Arial"/>
                <w:b/>
                <w:sz w:val="20"/>
                <w:szCs w:val="20"/>
              </w:rPr>
            </w:pPr>
          </w:p>
        </w:tc>
      </w:tr>
      <w:tr w:rsidR="00926E29" w:rsidTr="00C95293">
        <w:tc>
          <w:tcPr>
            <w:tcW w:w="8910" w:type="dxa"/>
            <w:gridSpan w:val="2"/>
            <w:tcBorders>
              <w:top w:val="nil"/>
              <w:left w:val="nil"/>
              <w:bottom w:val="nil"/>
              <w:right w:val="nil"/>
            </w:tcBorders>
          </w:tcPr>
          <w:p w:rsidR="00926E29" w:rsidRPr="00C95293" w:rsidRDefault="00926E29" w:rsidP="00C95293">
            <w:pPr>
              <w:autoSpaceDE w:val="0"/>
              <w:autoSpaceDN w:val="0"/>
              <w:adjustRightInd w:val="0"/>
              <w:jc w:val="center"/>
              <w:rPr>
                <w:rFonts w:ascii="Arial" w:hAnsi="Arial" w:cs="Arial"/>
                <w:b/>
                <w:sz w:val="20"/>
                <w:szCs w:val="20"/>
              </w:rPr>
            </w:pPr>
            <w:r w:rsidRPr="00C95293">
              <w:rPr>
                <w:rFonts w:ascii="Arial" w:hAnsi="Arial" w:cs="Arial"/>
                <w:b/>
                <w:sz w:val="20"/>
                <w:szCs w:val="20"/>
              </w:rPr>
              <w:t>Reconciliation of Free Cash Flow (non-GAAP measure)</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p>
        </w:tc>
        <w:tc>
          <w:tcPr>
            <w:tcW w:w="1710" w:type="dxa"/>
            <w:tcBorders>
              <w:top w:val="nil"/>
              <w:left w:val="nil"/>
              <w:right w:val="nil"/>
            </w:tcBorders>
            <w:vAlign w:val="bottom"/>
          </w:tcPr>
          <w:p w:rsidR="00926E29" w:rsidRPr="00C95293" w:rsidRDefault="00926E29" w:rsidP="00C95293">
            <w:pPr>
              <w:autoSpaceDE w:val="0"/>
              <w:autoSpaceDN w:val="0"/>
              <w:adjustRightInd w:val="0"/>
              <w:jc w:val="center"/>
              <w:rPr>
                <w:rFonts w:ascii="Arial" w:hAnsi="Arial" w:cs="Arial"/>
                <w:b/>
                <w:sz w:val="20"/>
                <w:szCs w:val="20"/>
              </w:rPr>
            </w:pP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p>
        </w:tc>
        <w:tc>
          <w:tcPr>
            <w:tcW w:w="1710" w:type="dxa"/>
            <w:tcBorders>
              <w:left w:val="nil"/>
              <w:right w:val="nil"/>
            </w:tcBorders>
            <w:vAlign w:val="bottom"/>
          </w:tcPr>
          <w:p w:rsidR="00926E29" w:rsidRPr="00C95293" w:rsidRDefault="00926E29" w:rsidP="00C95293">
            <w:pPr>
              <w:autoSpaceDE w:val="0"/>
              <w:autoSpaceDN w:val="0"/>
              <w:adjustRightInd w:val="0"/>
              <w:jc w:val="center"/>
              <w:rPr>
                <w:rFonts w:ascii="Arial" w:hAnsi="Arial" w:cs="Arial"/>
                <w:sz w:val="20"/>
                <w:szCs w:val="20"/>
              </w:rPr>
            </w:pPr>
            <w:r w:rsidRPr="00C95293">
              <w:rPr>
                <w:rFonts w:ascii="Arial" w:hAnsi="Arial" w:cs="Arial"/>
                <w:b/>
                <w:sz w:val="20"/>
                <w:szCs w:val="20"/>
              </w:rPr>
              <w:t>2016</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p>
        </w:tc>
        <w:tc>
          <w:tcPr>
            <w:tcW w:w="1710" w:type="dxa"/>
            <w:tcBorders>
              <w:left w:val="nil"/>
              <w:bottom w:val="nil"/>
              <w:right w:val="nil"/>
            </w:tcBorders>
          </w:tcPr>
          <w:p w:rsidR="00926E29" w:rsidRPr="00C95293" w:rsidRDefault="00926E29" w:rsidP="00C95293">
            <w:pPr>
              <w:autoSpaceDE w:val="0"/>
              <w:autoSpaceDN w:val="0"/>
              <w:adjustRightInd w:val="0"/>
              <w:jc w:val="right"/>
              <w:rPr>
                <w:rFonts w:ascii="Arial" w:hAnsi="Arial" w:cs="Arial"/>
                <w:sz w:val="20"/>
                <w:szCs w:val="20"/>
              </w:rPr>
            </w:pP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Cash flows from operating activities (GAAP)</w:t>
            </w:r>
          </w:p>
        </w:tc>
        <w:tc>
          <w:tcPr>
            <w:tcW w:w="1710"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$ 6,473</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Capital expenditures</w:t>
            </w:r>
          </w:p>
        </w:tc>
        <w:tc>
          <w:tcPr>
            <w:tcW w:w="1710"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(2,965)</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Proceeds from disposals of PP&amp;E</w:t>
            </w:r>
          </w:p>
        </w:tc>
        <w:tc>
          <w:tcPr>
            <w:tcW w:w="1710"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88</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Net change in finance receivables</w:t>
            </w:r>
          </w:p>
        </w:tc>
        <w:tc>
          <w:tcPr>
            <w:tcW w:w="1710" w:type="dxa"/>
            <w:tcBorders>
              <w:top w:val="nil"/>
              <w:left w:val="nil"/>
              <w:bottom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9</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Other investing activities</w:t>
            </w:r>
          </w:p>
        </w:tc>
        <w:tc>
          <w:tcPr>
            <w:tcW w:w="1710" w:type="dxa"/>
            <w:tcBorders>
              <w:top w:val="nil"/>
              <w:left w:val="nil"/>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(59)</w:t>
            </w:r>
          </w:p>
        </w:tc>
      </w:tr>
      <w:tr w:rsidR="00926E29" w:rsidTr="00C95293">
        <w:tc>
          <w:tcPr>
            <w:tcW w:w="7200" w:type="dxa"/>
            <w:tcBorders>
              <w:top w:val="nil"/>
              <w:left w:val="nil"/>
              <w:bottom w:val="nil"/>
              <w:right w:val="nil"/>
            </w:tcBorders>
          </w:tcPr>
          <w:p w:rsidR="00926E29" w:rsidRPr="00C95293" w:rsidRDefault="00926E29" w:rsidP="00C95293">
            <w:pPr>
              <w:autoSpaceDE w:val="0"/>
              <w:autoSpaceDN w:val="0"/>
              <w:adjustRightInd w:val="0"/>
              <w:rPr>
                <w:rFonts w:ascii="Arial" w:hAnsi="Arial" w:cs="Arial"/>
                <w:sz w:val="20"/>
                <w:szCs w:val="20"/>
              </w:rPr>
            </w:pPr>
            <w:r w:rsidRPr="00C95293">
              <w:rPr>
                <w:rFonts w:ascii="Arial" w:hAnsi="Arial" w:cs="Arial"/>
                <w:sz w:val="20"/>
                <w:szCs w:val="20"/>
              </w:rPr>
              <w:t xml:space="preserve">   Free Cash Flow (non-GAAP Measure)</w:t>
            </w:r>
          </w:p>
        </w:tc>
        <w:tc>
          <w:tcPr>
            <w:tcW w:w="1710" w:type="dxa"/>
            <w:tcBorders>
              <w:left w:val="nil"/>
              <w:bottom w:val="double" w:sz="4" w:space="0" w:color="auto"/>
              <w:right w:val="nil"/>
            </w:tcBorders>
          </w:tcPr>
          <w:p w:rsidR="00926E29" w:rsidRPr="00C95293" w:rsidRDefault="00926E29" w:rsidP="00C95293">
            <w:pPr>
              <w:autoSpaceDE w:val="0"/>
              <w:autoSpaceDN w:val="0"/>
              <w:adjustRightInd w:val="0"/>
              <w:jc w:val="right"/>
              <w:rPr>
                <w:rFonts w:ascii="Arial" w:hAnsi="Arial" w:cs="Arial"/>
                <w:sz w:val="20"/>
                <w:szCs w:val="20"/>
              </w:rPr>
            </w:pPr>
            <w:r w:rsidRPr="00C95293">
              <w:rPr>
                <w:rFonts w:ascii="Arial" w:hAnsi="Arial" w:cs="Arial"/>
                <w:sz w:val="20"/>
                <w:szCs w:val="20"/>
              </w:rPr>
              <w:t>$ 3,546</w:t>
            </w:r>
          </w:p>
        </w:tc>
      </w:tr>
    </w:tbl>
    <w:p w:rsidR="00926E29" w:rsidRPr="00A85056" w:rsidRDefault="00926E29" w:rsidP="00233258">
      <w:pPr>
        <w:rPr>
          <w:rFonts w:ascii="Arial" w:hAnsi="Arial" w:cs="Arial"/>
          <w:sz w:val="22"/>
          <w:szCs w:val="22"/>
        </w:rPr>
      </w:pPr>
    </w:p>
    <w:p w:rsidR="00926E29" w:rsidRPr="00A85056" w:rsidRDefault="00926E29" w:rsidP="009318E1">
      <w:pPr>
        <w:rPr>
          <w:rFonts w:ascii="Arial" w:hAnsi="Arial" w:cs="Arial"/>
          <w:sz w:val="22"/>
          <w:szCs w:val="22"/>
        </w:rPr>
      </w:pPr>
    </w:p>
    <w:sectPr w:rsidR="00926E29" w:rsidRPr="00A85056" w:rsidSect="000346B8">
      <w:headerReference w:type="default" r:id="rId11"/>
      <w:footerReference w:type="even" r:id="rId12"/>
      <w:footerReference w:type="default" r:id="rId13"/>
      <w:footerReference w:type="first" r:id="rId14"/>
      <w:pgSz w:w="12240" w:h="15840" w:code="1"/>
      <w:pgMar w:top="72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29" w:rsidRDefault="00926E29">
      <w:r>
        <w:separator/>
      </w:r>
    </w:p>
  </w:endnote>
  <w:endnote w:type="continuationSeparator" w:id="0">
    <w:p w:rsidR="00926E29" w:rsidRDefault="0092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29" w:rsidRDefault="00926E29" w:rsidP="00E66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E29" w:rsidRDefault="00926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29" w:rsidRDefault="00926E29" w:rsidP="00E66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26E29" w:rsidRDefault="00926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29" w:rsidRDefault="00926E29" w:rsidP="00EF7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6E29" w:rsidRPr="00034414" w:rsidRDefault="00926E29" w:rsidP="00EF7A83">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29" w:rsidRDefault="00926E29">
      <w:r>
        <w:separator/>
      </w:r>
    </w:p>
  </w:footnote>
  <w:footnote w:type="continuationSeparator" w:id="0">
    <w:p w:rsidR="00926E29" w:rsidRDefault="0092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29" w:rsidRPr="000346B8" w:rsidRDefault="00926E29" w:rsidP="000346B8">
    <w:pPr>
      <w:pStyle w:val="Header"/>
      <w:tabs>
        <w:tab w:val="clear" w:pos="4320"/>
        <w:tab w:val="center" w:pos="0"/>
        <w:tab w:val="left" w:pos="4665"/>
      </w:tabs>
      <w:ind w:left="3240" w:hanging="3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15:restartNumberingAfterBreak="0">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0" w15:restartNumberingAfterBreak="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333CD"/>
    <w:multiLevelType w:val="hybridMultilevel"/>
    <w:tmpl w:val="EE165C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15:restartNumberingAfterBreak="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1"/>
  </w:num>
  <w:num w:numId="3">
    <w:abstractNumId w:val="22"/>
  </w:num>
  <w:num w:numId="4">
    <w:abstractNumId w:val="17"/>
  </w:num>
  <w:num w:numId="5">
    <w:abstractNumId w:val="14"/>
  </w:num>
  <w:num w:numId="6">
    <w:abstractNumId w:val="5"/>
  </w:num>
  <w:num w:numId="7">
    <w:abstractNumId w:val="8"/>
  </w:num>
  <w:num w:numId="8">
    <w:abstractNumId w:val="28"/>
  </w:num>
  <w:num w:numId="9">
    <w:abstractNumId w:val="26"/>
  </w:num>
  <w:num w:numId="10">
    <w:abstractNumId w:val="25"/>
  </w:num>
  <w:num w:numId="11">
    <w:abstractNumId w:val="24"/>
  </w:num>
  <w:num w:numId="12">
    <w:abstractNumId w:val="33"/>
  </w:num>
  <w:num w:numId="13">
    <w:abstractNumId w:val="29"/>
  </w:num>
  <w:num w:numId="14">
    <w:abstractNumId w:val="4"/>
  </w:num>
  <w:num w:numId="15">
    <w:abstractNumId w:val="20"/>
  </w:num>
  <w:num w:numId="16">
    <w:abstractNumId w:val="0"/>
  </w:num>
  <w:num w:numId="17">
    <w:abstractNumId w:val="12"/>
  </w:num>
  <w:num w:numId="18">
    <w:abstractNumId w:val="16"/>
  </w:num>
  <w:num w:numId="19">
    <w:abstractNumId w:val="9"/>
  </w:num>
  <w:num w:numId="20">
    <w:abstractNumId w:val="21"/>
  </w:num>
  <w:num w:numId="21">
    <w:abstractNumId w:val="1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32"/>
  </w:num>
  <w:num w:numId="32">
    <w:abstractNumId w:val="30"/>
  </w:num>
  <w:num w:numId="33">
    <w:abstractNumId w:val="34"/>
  </w:num>
  <w:num w:numId="34">
    <w:abstractNumId w:val="15"/>
  </w:num>
  <w:num w:numId="35">
    <w:abstractNumId w:val="10"/>
  </w:num>
  <w:num w:numId="36">
    <w:abstractNumId w:val="13"/>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46CC"/>
    <w:rsid w:val="00004702"/>
    <w:rsid w:val="000048BC"/>
    <w:rsid w:val="000057C1"/>
    <w:rsid w:val="00006B7B"/>
    <w:rsid w:val="00007181"/>
    <w:rsid w:val="0001037D"/>
    <w:rsid w:val="00010EF6"/>
    <w:rsid w:val="00010EFA"/>
    <w:rsid w:val="0001150F"/>
    <w:rsid w:val="0001185A"/>
    <w:rsid w:val="00011AEF"/>
    <w:rsid w:val="00012B1F"/>
    <w:rsid w:val="000138EB"/>
    <w:rsid w:val="000139B5"/>
    <w:rsid w:val="00013BB0"/>
    <w:rsid w:val="00013EA6"/>
    <w:rsid w:val="000152E7"/>
    <w:rsid w:val="00015BC1"/>
    <w:rsid w:val="00017619"/>
    <w:rsid w:val="00017624"/>
    <w:rsid w:val="00020EE2"/>
    <w:rsid w:val="00021289"/>
    <w:rsid w:val="0002227F"/>
    <w:rsid w:val="000223B2"/>
    <w:rsid w:val="000238FA"/>
    <w:rsid w:val="00024A62"/>
    <w:rsid w:val="00024AC7"/>
    <w:rsid w:val="00025957"/>
    <w:rsid w:val="00025ECA"/>
    <w:rsid w:val="000270C6"/>
    <w:rsid w:val="00030419"/>
    <w:rsid w:val="0003069C"/>
    <w:rsid w:val="00030EE2"/>
    <w:rsid w:val="000314AD"/>
    <w:rsid w:val="000314D4"/>
    <w:rsid w:val="00031BA6"/>
    <w:rsid w:val="00032756"/>
    <w:rsid w:val="00032B7A"/>
    <w:rsid w:val="00032F33"/>
    <w:rsid w:val="00033409"/>
    <w:rsid w:val="00033412"/>
    <w:rsid w:val="00033574"/>
    <w:rsid w:val="00034084"/>
    <w:rsid w:val="00034414"/>
    <w:rsid w:val="000346B8"/>
    <w:rsid w:val="00035AB9"/>
    <w:rsid w:val="000366A1"/>
    <w:rsid w:val="00036A2B"/>
    <w:rsid w:val="00036D8B"/>
    <w:rsid w:val="000370F6"/>
    <w:rsid w:val="000378FA"/>
    <w:rsid w:val="00037CBD"/>
    <w:rsid w:val="000403BB"/>
    <w:rsid w:val="00041C86"/>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5D7"/>
    <w:rsid w:val="00055ABC"/>
    <w:rsid w:val="00055C69"/>
    <w:rsid w:val="00057025"/>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5DAD"/>
    <w:rsid w:val="00065E6A"/>
    <w:rsid w:val="00066105"/>
    <w:rsid w:val="00066E53"/>
    <w:rsid w:val="00066EC9"/>
    <w:rsid w:val="0006734E"/>
    <w:rsid w:val="00070311"/>
    <w:rsid w:val="00070906"/>
    <w:rsid w:val="00071848"/>
    <w:rsid w:val="00071CA3"/>
    <w:rsid w:val="00072B36"/>
    <w:rsid w:val="00072E8E"/>
    <w:rsid w:val="0007321E"/>
    <w:rsid w:val="00073733"/>
    <w:rsid w:val="000737F6"/>
    <w:rsid w:val="00075C3F"/>
    <w:rsid w:val="000766C5"/>
    <w:rsid w:val="00076B83"/>
    <w:rsid w:val="000775B1"/>
    <w:rsid w:val="00080389"/>
    <w:rsid w:val="000812AA"/>
    <w:rsid w:val="00081E6A"/>
    <w:rsid w:val="000822DE"/>
    <w:rsid w:val="00082D8C"/>
    <w:rsid w:val="00082F78"/>
    <w:rsid w:val="00084379"/>
    <w:rsid w:val="0008447A"/>
    <w:rsid w:val="00084CBC"/>
    <w:rsid w:val="00085354"/>
    <w:rsid w:val="00085810"/>
    <w:rsid w:val="000903AC"/>
    <w:rsid w:val="00090BCB"/>
    <w:rsid w:val="00090C7C"/>
    <w:rsid w:val="00090CFB"/>
    <w:rsid w:val="0009111F"/>
    <w:rsid w:val="00091121"/>
    <w:rsid w:val="000913F0"/>
    <w:rsid w:val="00091710"/>
    <w:rsid w:val="00093487"/>
    <w:rsid w:val="00094F32"/>
    <w:rsid w:val="0009544A"/>
    <w:rsid w:val="000959E5"/>
    <w:rsid w:val="00095A24"/>
    <w:rsid w:val="00097F41"/>
    <w:rsid w:val="00097FCE"/>
    <w:rsid w:val="000A0456"/>
    <w:rsid w:val="000A0B78"/>
    <w:rsid w:val="000A1D88"/>
    <w:rsid w:val="000A2085"/>
    <w:rsid w:val="000A2356"/>
    <w:rsid w:val="000A2671"/>
    <w:rsid w:val="000A505A"/>
    <w:rsid w:val="000A5590"/>
    <w:rsid w:val="000A67E7"/>
    <w:rsid w:val="000A68CB"/>
    <w:rsid w:val="000A6B8C"/>
    <w:rsid w:val="000A77DA"/>
    <w:rsid w:val="000B20CF"/>
    <w:rsid w:val="000B3497"/>
    <w:rsid w:val="000B442C"/>
    <w:rsid w:val="000B4CC5"/>
    <w:rsid w:val="000B5CF8"/>
    <w:rsid w:val="000B7D22"/>
    <w:rsid w:val="000C06F5"/>
    <w:rsid w:val="000C0B9E"/>
    <w:rsid w:val="000C0DDC"/>
    <w:rsid w:val="000C1699"/>
    <w:rsid w:val="000C1966"/>
    <w:rsid w:val="000C1AC5"/>
    <w:rsid w:val="000C1E48"/>
    <w:rsid w:val="000C36E1"/>
    <w:rsid w:val="000C3CD2"/>
    <w:rsid w:val="000C41DE"/>
    <w:rsid w:val="000C46BA"/>
    <w:rsid w:val="000C627C"/>
    <w:rsid w:val="000C63BC"/>
    <w:rsid w:val="000C6BEC"/>
    <w:rsid w:val="000C7151"/>
    <w:rsid w:val="000C744F"/>
    <w:rsid w:val="000C75C2"/>
    <w:rsid w:val="000D0E02"/>
    <w:rsid w:val="000D19DD"/>
    <w:rsid w:val="000D1DDA"/>
    <w:rsid w:val="000D2521"/>
    <w:rsid w:val="000D4493"/>
    <w:rsid w:val="000D4587"/>
    <w:rsid w:val="000D584D"/>
    <w:rsid w:val="000D6778"/>
    <w:rsid w:val="000D6DF8"/>
    <w:rsid w:val="000D7811"/>
    <w:rsid w:val="000D7D48"/>
    <w:rsid w:val="000E0603"/>
    <w:rsid w:val="000E066F"/>
    <w:rsid w:val="000E0F0A"/>
    <w:rsid w:val="000E10CD"/>
    <w:rsid w:val="000E16F8"/>
    <w:rsid w:val="000E1AE0"/>
    <w:rsid w:val="000E26D5"/>
    <w:rsid w:val="000E2CAE"/>
    <w:rsid w:val="000E3F10"/>
    <w:rsid w:val="000E4053"/>
    <w:rsid w:val="000E40E0"/>
    <w:rsid w:val="000E4408"/>
    <w:rsid w:val="000E5379"/>
    <w:rsid w:val="000E6D0D"/>
    <w:rsid w:val="000E7712"/>
    <w:rsid w:val="000F03F7"/>
    <w:rsid w:val="000F1CE4"/>
    <w:rsid w:val="000F2042"/>
    <w:rsid w:val="000F2273"/>
    <w:rsid w:val="000F2B05"/>
    <w:rsid w:val="000F2FEA"/>
    <w:rsid w:val="000F383E"/>
    <w:rsid w:val="000F41A5"/>
    <w:rsid w:val="000F5B11"/>
    <w:rsid w:val="000F5B30"/>
    <w:rsid w:val="000F6837"/>
    <w:rsid w:val="00100269"/>
    <w:rsid w:val="00100F59"/>
    <w:rsid w:val="00101242"/>
    <w:rsid w:val="00101735"/>
    <w:rsid w:val="0010236F"/>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F78"/>
    <w:rsid w:val="00114FED"/>
    <w:rsid w:val="00115A17"/>
    <w:rsid w:val="0011639D"/>
    <w:rsid w:val="001170A5"/>
    <w:rsid w:val="001179E3"/>
    <w:rsid w:val="0012056F"/>
    <w:rsid w:val="0012084A"/>
    <w:rsid w:val="00120BAB"/>
    <w:rsid w:val="00120EF6"/>
    <w:rsid w:val="00121323"/>
    <w:rsid w:val="001214B2"/>
    <w:rsid w:val="00121A07"/>
    <w:rsid w:val="001228D4"/>
    <w:rsid w:val="00123815"/>
    <w:rsid w:val="00124D39"/>
    <w:rsid w:val="00126151"/>
    <w:rsid w:val="001262B3"/>
    <w:rsid w:val="0012670D"/>
    <w:rsid w:val="00126BB6"/>
    <w:rsid w:val="00127D26"/>
    <w:rsid w:val="00130B44"/>
    <w:rsid w:val="00131B97"/>
    <w:rsid w:val="00131BA1"/>
    <w:rsid w:val="00132068"/>
    <w:rsid w:val="00133D62"/>
    <w:rsid w:val="00137C83"/>
    <w:rsid w:val="00137E23"/>
    <w:rsid w:val="001410EB"/>
    <w:rsid w:val="00141755"/>
    <w:rsid w:val="001423E9"/>
    <w:rsid w:val="00142542"/>
    <w:rsid w:val="001427D7"/>
    <w:rsid w:val="00142850"/>
    <w:rsid w:val="001436B0"/>
    <w:rsid w:val="00143EEF"/>
    <w:rsid w:val="00144BC1"/>
    <w:rsid w:val="00144E1A"/>
    <w:rsid w:val="001457EA"/>
    <w:rsid w:val="00145A21"/>
    <w:rsid w:val="00147835"/>
    <w:rsid w:val="001478CF"/>
    <w:rsid w:val="00150D05"/>
    <w:rsid w:val="00151563"/>
    <w:rsid w:val="00151D74"/>
    <w:rsid w:val="001521FA"/>
    <w:rsid w:val="0015257B"/>
    <w:rsid w:val="001532F3"/>
    <w:rsid w:val="00153395"/>
    <w:rsid w:val="0015414E"/>
    <w:rsid w:val="001542F1"/>
    <w:rsid w:val="00154BB1"/>
    <w:rsid w:val="00156195"/>
    <w:rsid w:val="00156DF2"/>
    <w:rsid w:val="00157767"/>
    <w:rsid w:val="00157A97"/>
    <w:rsid w:val="00160340"/>
    <w:rsid w:val="00160D2D"/>
    <w:rsid w:val="00160D86"/>
    <w:rsid w:val="001616A3"/>
    <w:rsid w:val="001622AC"/>
    <w:rsid w:val="00162389"/>
    <w:rsid w:val="001627B6"/>
    <w:rsid w:val="00162B54"/>
    <w:rsid w:val="00163342"/>
    <w:rsid w:val="001633A4"/>
    <w:rsid w:val="001635E1"/>
    <w:rsid w:val="001637BF"/>
    <w:rsid w:val="001640E5"/>
    <w:rsid w:val="001644E8"/>
    <w:rsid w:val="00164773"/>
    <w:rsid w:val="00164B4D"/>
    <w:rsid w:val="00165792"/>
    <w:rsid w:val="00167165"/>
    <w:rsid w:val="00170347"/>
    <w:rsid w:val="001705B2"/>
    <w:rsid w:val="00171A92"/>
    <w:rsid w:val="001729EB"/>
    <w:rsid w:val="001737D8"/>
    <w:rsid w:val="00175428"/>
    <w:rsid w:val="00175464"/>
    <w:rsid w:val="001755E4"/>
    <w:rsid w:val="00175A11"/>
    <w:rsid w:val="00176343"/>
    <w:rsid w:val="00176DD7"/>
    <w:rsid w:val="0017790C"/>
    <w:rsid w:val="00177F98"/>
    <w:rsid w:val="00180F0F"/>
    <w:rsid w:val="00180FDB"/>
    <w:rsid w:val="0018193E"/>
    <w:rsid w:val="00181C5A"/>
    <w:rsid w:val="00183B0F"/>
    <w:rsid w:val="00184748"/>
    <w:rsid w:val="001847DD"/>
    <w:rsid w:val="00184CC5"/>
    <w:rsid w:val="00185C6D"/>
    <w:rsid w:val="00185F6B"/>
    <w:rsid w:val="00187E21"/>
    <w:rsid w:val="00190155"/>
    <w:rsid w:val="00190B42"/>
    <w:rsid w:val="00191809"/>
    <w:rsid w:val="00192397"/>
    <w:rsid w:val="001931AA"/>
    <w:rsid w:val="001949D1"/>
    <w:rsid w:val="00195500"/>
    <w:rsid w:val="00195D3E"/>
    <w:rsid w:val="00195F7B"/>
    <w:rsid w:val="0019618E"/>
    <w:rsid w:val="001968AC"/>
    <w:rsid w:val="001A03CC"/>
    <w:rsid w:val="001A09A1"/>
    <w:rsid w:val="001A0CB0"/>
    <w:rsid w:val="001A10DB"/>
    <w:rsid w:val="001A1AEF"/>
    <w:rsid w:val="001A2156"/>
    <w:rsid w:val="001A2423"/>
    <w:rsid w:val="001A29A7"/>
    <w:rsid w:val="001A398E"/>
    <w:rsid w:val="001A4088"/>
    <w:rsid w:val="001A4568"/>
    <w:rsid w:val="001A46F5"/>
    <w:rsid w:val="001A490E"/>
    <w:rsid w:val="001A58DF"/>
    <w:rsid w:val="001A5BBC"/>
    <w:rsid w:val="001A6E6B"/>
    <w:rsid w:val="001A751B"/>
    <w:rsid w:val="001A7B26"/>
    <w:rsid w:val="001A7DE2"/>
    <w:rsid w:val="001B0391"/>
    <w:rsid w:val="001B091F"/>
    <w:rsid w:val="001B0DE0"/>
    <w:rsid w:val="001B1513"/>
    <w:rsid w:val="001B1AD3"/>
    <w:rsid w:val="001B2B30"/>
    <w:rsid w:val="001B2EE4"/>
    <w:rsid w:val="001B2F0A"/>
    <w:rsid w:val="001B360A"/>
    <w:rsid w:val="001B400D"/>
    <w:rsid w:val="001B4031"/>
    <w:rsid w:val="001B5FF8"/>
    <w:rsid w:val="001B6575"/>
    <w:rsid w:val="001C04E5"/>
    <w:rsid w:val="001C0E47"/>
    <w:rsid w:val="001C10FD"/>
    <w:rsid w:val="001C21A9"/>
    <w:rsid w:val="001C267F"/>
    <w:rsid w:val="001C437D"/>
    <w:rsid w:val="001C525A"/>
    <w:rsid w:val="001C5786"/>
    <w:rsid w:val="001C5BE1"/>
    <w:rsid w:val="001C5DFB"/>
    <w:rsid w:val="001C6304"/>
    <w:rsid w:val="001C6BD2"/>
    <w:rsid w:val="001C6BFF"/>
    <w:rsid w:val="001C7B5B"/>
    <w:rsid w:val="001C7F78"/>
    <w:rsid w:val="001D0226"/>
    <w:rsid w:val="001D0C17"/>
    <w:rsid w:val="001D3A35"/>
    <w:rsid w:val="001D3EDE"/>
    <w:rsid w:val="001D3F51"/>
    <w:rsid w:val="001D476F"/>
    <w:rsid w:val="001D5829"/>
    <w:rsid w:val="001D5B15"/>
    <w:rsid w:val="001E01BC"/>
    <w:rsid w:val="001E0219"/>
    <w:rsid w:val="001E0D30"/>
    <w:rsid w:val="001E11B3"/>
    <w:rsid w:val="001E13A3"/>
    <w:rsid w:val="001E1944"/>
    <w:rsid w:val="001E1A7B"/>
    <w:rsid w:val="001E1EB6"/>
    <w:rsid w:val="001E2211"/>
    <w:rsid w:val="001E2B01"/>
    <w:rsid w:val="001E2BC9"/>
    <w:rsid w:val="001E4D69"/>
    <w:rsid w:val="001E5239"/>
    <w:rsid w:val="001E5309"/>
    <w:rsid w:val="001E6577"/>
    <w:rsid w:val="001E6A24"/>
    <w:rsid w:val="001E70C7"/>
    <w:rsid w:val="001E7684"/>
    <w:rsid w:val="001E77B6"/>
    <w:rsid w:val="001F07B4"/>
    <w:rsid w:val="001F0829"/>
    <w:rsid w:val="001F0E82"/>
    <w:rsid w:val="001F2391"/>
    <w:rsid w:val="001F242B"/>
    <w:rsid w:val="001F27E5"/>
    <w:rsid w:val="001F35A2"/>
    <w:rsid w:val="001F3AEF"/>
    <w:rsid w:val="001F405F"/>
    <w:rsid w:val="001F4335"/>
    <w:rsid w:val="001F4769"/>
    <w:rsid w:val="001F58E5"/>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E6F"/>
    <w:rsid w:val="002052A1"/>
    <w:rsid w:val="00205E56"/>
    <w:rsid w:val="002063EE"/>
    <w:rsid w:val="0020682B"/>
    <w:rsid w:val="0020692C"/>
    <w:rsid w:val="00207482"/>
    <w:rsid w:val="002078DF"/>
    <w:rsid w:val="00207CF3"/>
    <w:rsid w:val="00210463"/>
    <w:rsid w:val="00210B1C"/>
    <w:rsid w:val="00210D12"/>
    <w:rsid w:val="0021267B"/>
    <w:rsid w:val="00212D58"/>
    <w:rsid w:val="002131A4"/>
    <w:rsid w:val="0021341B"/>
    <w:rsid w:val="00213A8A"/>
    <w:rsid w:val="00214CFB"/>
    <w:rsid w:val="00214F9F"/>
    <w:rsid w:val="00215286"/>
    <w:rsid w:val="002159CE"/>
    <w:rsid w:val="00216AD0"/>
    <w:rsid w:val="00216D83"/>
    <w:rsid w:val="002176E7"/>
    <w:rsid w:val="002215A6"/>
    <w:rsid w:val="00221A2E"/>
    <w:rsid w:val="00222B1F"/>
    <w:rsid w:val="00223729"/>
    <w:rsid w:val="00223BE5"/>
    <w:rsid w:val="00224F54"/>
    <w:rsid w:val="00224FF8"/>
    <w:rsid w:val="00225428"/>
    <w:rsid w:val="0022617E"/>
    <w:rsid w:val="00226F3D"/>
    <w:rsid w:val="00227241"/>
    <w:rsid w:val="0022776C"/>
    <w:rsid w:val="0023012C"/>
    <w:rsid w:val="00230357"/>
    <w:rsid w:val="002308E0"/>
    <w:rsid w:val="00232A0D"/>
    <w:rsid w:val="00233258"/>
    <w:rsid w:val="00233513"/>
    <w:rsid w:val="0023358A"/>
    <w:rsid w:val="002367C5"/>
    <w:rsid w:val="002371CB"/>
    <w:rsid w:val="00237EDE"/>
    <w:rsid w:val="00240F9D"/>
    <w:rsid w:val="00241228"/>
    <w:rsid w:val="00241657"/>
    <w:rsid w:val="0024184D"/>
    <w:rsid w:val="00241D35"/>
    <w:rsid w:val="00242034"/>
    <w:rsid w:val="002421D3"/>
    <w:rsid w:val="002422D7"/>
    <w:rsid w:val="002441DE"/>
    <w:rsid w:val="002445FB"/>
    <w:rsid w:val="00245DCF"/>
    <w:rsid w:val="00246AB8"/>
    <w:rsid w:val="002509AF"/>
    <w:rsid w:val="00250B77"/>
    <w:rsid w:val="00250CA1"/>
    <w:rsid w:val="00250D5B"/>
    <w:rsid w:val="0025113B"/>
    <w:rsid w:val="00251597"/>
    <w:rsid w:val="0025209D"/>
    <w:rsid w:val="00252201"/>
    <w:rsid w:val="00252AB5"/>
    <w:rsid w:val="00252AF9"/>
    <w:rsid w:val="00252D76"/>
    <w:rsid w:val="00252F9C"/>
    <w:rsid w:val="002532E5"/>
    <w:rsid w:val="002543DD"/>
    <w:rsid w:val="0025556C"/>
    <w:rsid w:val="00255667"/>
    <w:rsid w:val="00257056"/>
    <w:rsid w:val="00257193"/>
    <w:rsid w:val="00257FBE"/>
    <w:rsid w:val="002602F0"/>
    <w:rsid w:val="00260BC3"/>
    <w:rsid w:val="0026130C"/>
    <w:rsid w:val="00262E16"/>
    <w:rsid w:val="00263095"/>
    <w:rsid w:val="00263CC4"/>
    <w:rsid w:val="002645E7"/>
    <w:rsid w:val="00264711"/>
    <w:rsid w:val="002660F8"/>
    <w:rsid w:val="00266BBB"/>
    <w:rsid w:val="00266C36"/>
    <w:rsid w:val="002670A9"/>
    <w:rsid w:val="00267997"/>
    <w:rsid w:val="00271904"/>
    <w:rsid w:val="0027337C"/>
    <w:rsid w:val="00273EF1"/>
    <w:rsid w:val="00274794"/>
    <w:rsid w:val="00275B6F"/>
    <w:rsid w:val="002760EE"/>
    <w:rsid w:val="0027664C"/>
    <w:rsid w:val="0027702C"/>
    <w:rsid w:val="00277285"/>
    <w:rsid w:val="0028053D"/>
    <w:rsid w:val="00280BE3"/>
    <w:rsid w:val="002812FA"/>
    <w:rsid w:val="00281492"/>
    <w:rsid w:val="00282A71"/>
    <w:rsid w:val="00282E42"/>
    <w:rsid w:val="00283D40"/>
    <w:rsid w:val="00284120"/>
    <w:rsid w:val="00284372"/>
    <w:rsid w:val="00285167"/>
    <w:rsid w:val="00286555"/>
    <w:rsid w:val="002903C9"/>
    <w:rsid w:val="0029094C"/>
    <w:rsid w:val="00290C1E"/>
    <w:rsid w:val="00290F5C"/>
    <w:rsid w:val="00291DB1"/>
    <w:rsid w:val="00291FDA"/>
    <w:rsid w:val="0029234C"/>
    <w:rsid w:val="00292462"/>
    <w:rsid w:val="0029295E"/>
    <w:rsid w:val="0029301C"/>
    <w:rsid w:val="002936E3"/>
    <w:rsid w:val="002937B7"/>
    <w:rsid w:val="00296337"/>
    <w:rsid w:val="00296A00"/>
    <w:rsid w:val="00296D70"/>
    <w:rsid w:val="00296E9C"/>
    <w:rsid w:val="00297045"/>
    <w:rsid w:val="00297048"/>
    <w:rsid w:val="00297BF7"/>
    <w:rsid w:val="002A0B48"/>
    <w:rsid w:val="002A2042"/>
    <w:rsid w:val="002A2323"/>
    <w:rsid w:val="002A515E"/>
    <w:rsid w:val="002A5271"/>
    <w:rsid w:val="002A572E"/>
    <w:rsid w:val="002A7F95"/>
    <w:rsid w:val="002B04DE"/>
    <w:rsid w:val="002B0864"/>
    <w:rsid w:val="002B0A1D"/>
    <w:rsid w:val="002B0D25"/>
    <w:rsid w:val="002B1E09"/>
    <w:rsid w:val="002B1E47"/>
    <w:rsid w:val="002B2931"/>
    <w:rsid w:val="002B368D"/>
    <w:rsid w:val="002B3B76"/>
    <w:rsid w:val="002B3B98"/>
    <w:rsid w:val="002B4324"/>
    <w:rsid w:val="002B435A"/>
    <w:rsid w:val="002B4570"/>
    <w:rsid w:val="002B4663"/>
    <w:rsid w:val="002B482C"/>
    <w:rsid w:val="002B5013"/>
    <w:rsid w:val="002B6068"/>
    <w:rsid w:val="002B60BC"/>
    <w:rsid w:val="002B6C9F"/>
    <w:rsid w:val="002B6FC1"/>
    <w:rsid w:val="002B76E5"/>
    <w:rsid w:val="002B7D6A"/>
    <w:rsid w:val="002C10A9"/>
    <w:rsid w:val="002C1C46"/>
    <w:rsid w:val="002C3A21"/>
    <w:rsid w:val="002C3C90"/>
    <w:rsid w:val="002C3E0A"/>
    <w:rsid w:val="002C6F3C"/>
    <w:rsid w:val="002C79D9"/>
    <w:rsid w:val="002C7BAF"/>
    <w:rsid w:val="002C7BF5"/>
    <w:rsid w:val="002C7FEB"/>
    <w:rsid w:val="002D0446"/>
    <w:rsid w:val="002D304B"/>
    <w:rsid w:val="002D462D"/>
    <w:rsid w:val="002D5A13"/>
    <w:rsid w:val="002D5B4B"/>
    <w:rsid w:val="002D764C"/>
    <w:rsid w:val="002E0FD1"/>
    <w:rsid w:val="002E1477"/>
    <w:rsid w:val="002E177A"/>
    <w:rsid w:val="002E1A21"/>
    <w:rsid w:val="002E1A8F"/>
    <w:rsid w:val="002E1ED9"/>
    <w:rsid w:val="002E28FC"/>
    <w:rsid w:val="002E2EB6"/>
    <w:rsid w:val="002E308D"/>
    <w:rsid w:val="002E39FA"/>
    <w:rsid w:val="002E46BE"/>
    <w:rsid w:val="002E59AD"/>
    <w:rsid w:val="002E5CA4"/>
    <w:rsid w:val="002E5D3B"/>
    <w:rsid w:val="002E6F31"/>
    <w:rsid w:val="002E7150"/>
    <w:rsid w:val="002E7388"/>
    <w:rsid w:val="002F06BD"/>
    <w:rsid w:val="002F0707"/>
    <w:rsid w:val="002F0726"/>
    <w:rsid w:val="002F08DC"/>
    <w:rsid w:val="002F0E55"/>
    <w:rsid w:val="002F131C"/>
    <w:rsid w:val="002F13BB"/>
    <w:rsid w:val="002F1507"/>
    <w:rsid w:val="002F1572"/>
    <w:rsid w:val="002F1F0E"/>
    <w:rsid w:val="002F2333"/>
    <w:rsid w:val="002F24A8"/>
    <w:rsid w:val="002F36FD"/>
    <w:rsid w:val="002F3B34"/>
    <w:rsid w:val="002F4199"/>
    <w:rsid w:val="002F6ED9"/>
    <w:rsid w:val="002F7190"/>
    <w:rsid w:val="002F757F"/>
    <w:rsid w:val="002F7C66"/>
    <w:rsid w:val="00300007"/>
    <w:rsid w:val="003014DB"/>
    <w:rsid w:val="0030157A"/>
    <w:rsid w:val="003022D3"/>
    <w:rsid w:val="003035F7"/>
    <w:rsid w:val="00303884"/>
    <w:rsid w:val="003038EA"/>
    <w:rsid w:val="00304417"/>
    <w:rsid w:val="00304941"/>
    <w:rsid w:val="0030549D"/>
    <w:rsid w:val="00305D78"/>
    <w:rsid w:val="00305F6B"/>
    <w:rsid w:val="003064C6"/>
    <w:rsid w:val="00306FF6"/>
    <w:rsid w:val="0030747A"/>
    <w:rsid w:val="003074E3"/>
    <w:rsid w:val="003124EC"/>
    <w:rsid w:val="00312CCC"/>
    <w:rsid w:val="003139BF"/>
    <w:rsid w:val="00315FBD"/>
    <w:rsid w:val="00316A2C"/>
    <w:rsid w:val="00317653"/>
    <w:rsid w:val="00317D0B"/>
    <w:rsid w:val="00317DE0"/>
    <w:rsid w:val="00320495"/>
    <w:rsid w:val="00320D64"/>
    <w:rsid w:val="00321242"/>
    <w:rsid w:val="0032196C"/>
    <w:rsid w:val="003239D1"/>
    <w:rsid w:val="00323C3C"/>
    <w:rsid w:val="003243FD"/>
    <w:rsid w:val="00324D15"/>
    <w:rsid w:val="00326231"/>
    <w:rsid w:val="00326687"/>
    <w:rsid w:val="00327104"/>
    <w:rsid w:val="00327DB0"/>
    <w:rsid w:val="00330FB1"/>
    <w:rsid w:val="00331983"/>
    <w:rsid w:val="003319EB"/>
    <w:rsid w:val="00331C20"/>
    <w:rsid w:val="003321D6"/>
    <w:rsid w:val="0033266A"/>
    <w:rsid w:val="00332AB7"/>
    <w:rsid w:val="003333AB"/>
    <w:rsid w:val="003333AF"/>
    <w:rsid w:val="0033359B"/>
    <w:rsid w:val="00333B22"/>
    <w:rsid w:val="00334E24"/>
    <w:rsid w:val="00334FAD"/>
    <w:rsid w:val="003352D3"/>
    <w:rsid w:val="00335590"/>
    <w:rsid w:val="00335F62"/>
    <w:rsid w:val="003360A5"/>
    <w:rsid w:val="00336C2C"/>
    <w:rsid w:val="00336D32"/>
    <w:rsid w:val="00337139"/>
    <w:rsid w:val="003377F9"/>
    <w:rsid w:val="00341118"/>
    <w:rsid w:val="003420C7"/>
    <w:rsid w:val="00342EEA"/>
    <w:rsid w:val="003436E8"/>
    <w:rsid w:val="003455D8"/>
    <w:rsid w:val="00345833"/>
    <w:rsid w:val="00346BEE"/>
    <w:rsid w:val="00347E20"/>
    <w:rsid w:val="00347F13"/>
    <w:rsid w:val="00350267"/>
    <w:rsid w:val="00350D66"/>
    <w:rsid w:val="00351062"/>
    <w:rsid w:val="00351A7E"/>
    <w:rsid w:val="00351AF2"/>
    <w:rsid w:val="00351E15"/>
    <w:rsid w:val="003523FB"/>
    <w:rsid w:val="003535C6"/>
    <w:rsid w:val="0035394A"/>
    <w:rsid w:val="0035428A"/>
    <w:rsid w:val="00354DEA"/>
    <w:rsid w:val="00356447"/>
    <w:rsid w:val="003576A7"/>
    <w:rsid w:val="00360288"/>
    <w:rsid w:val="00361A91"/>
    <w:rsid w:val="00362756"/>
    <w:rsid w:val="003642C3"/>
    <w:rsid w:val="0036461C"/>
    <w:rsid w:val="00364B8F"/>
    <w:rsid w:val="00365000"/>
    <w:rsid w:val="0036726F"/>
    <w:rsid w:val="00367A93"/>
    <w:rsid w:val="00370B43"/>
    <w:rsid w:val="00371983"/>
    <w:rsid w:val="003728D0"/>
    <w:rsid w:val="003739B9"/>
    <w:rsid w:val="00373E6B"/>
    <w:rsid w:val="00374619"/>
    <w:rsid w:val="00374A01"/>
    <w:rsid w:val="00375A12"/>
    <w:rsid w:val="00375C98"/>
    <w:rsid w:val="00376FCB"/>
    <w:rsid w:val="0037705D"/>
    <w:rsid w:val="003778E4"/>
    <w:rsid w:val="00377D3D"/>
    <w:rsid w:val="0038030D"/>
    <w:rsid w:val="0038077D"/>
    <w:rsid w:val="00381158"/>
    <w:rsid w:val="00381A5B"/>
    <w:rsid w:val="00382798"/>
    <w:rsid w:val="00383741"/>
    <w:rsid w:val="00383E0B"/>
    <w:rsid w:val="00384599"/>
    <w:rsid w:val="00385BF7"/>
    <w:rsid w:val="00385D23"/>
    <w:rsid w:val="00385E26"/>
    <w:rsid w:val="003862E2"/>
    <w:rsid w:val="00387E9F"/>
    <w:rsid w:val="003904EC"/>
    <w:rsid w:val="003916CC"/>
    <w:rsid w:val="00391A97"/>
    <w:rsid w:val="00391E3B"/>
    <w:rsid w:val="00392A12"/>
    <w:rsid w:val="003932B4"/>
    <w:rsid w:val="00393C5B"/>
    <w:rsid w:val="0039403B"/>
    <w:rsid w:val="00394997"/>
    <w:rsid w:val="00395B9E"/>
    <w:rsid w:val="00395E3A"/>
    <w:rsid w:val="003967E0"/>
    <w:rsid w:val="003968EE"/>
    <w:rsid w:val="003A010D"/>
    <w:rsid w:val="003A0A82"/>
    <w:rsid w:val="003A1A61"/>
    <w:rsid w:val="003A2B6E"/>
    <w:rsid w:val="003A3151"/>
    <w:rsid w:val="003A3E50"/>
    <w:rsid w:val="003A4807"/>
    <w:rsid w:val="003A4903"/>
    <w:rsid w:val="003A49ED"/>
    <w:rsid w:val="003A4A4E"/>
    <w:rsid w:val="003A5543"/>
    <w:rsid w:val="003A557E"/>
    <w:rsid w:val="003A67FF"/>
    <w:rsid w:val="003A7154"/>
    <w:rsid w:val="003A768B"/>
    <w:rsid w:val="003A7BD4"/>
    <w:rsid w:val="003B0194"/>
    <w:rsid w:val="003B0EAC"/>
    <w:rsid w:val="003B113D"/>
    <w:rsid w:val="003B117B"/>
    <w:rsid w:val="003B1C05"/>
    <w:rsid w:val="003B26AB"/>
    <w:rsid w:val="003B28AD"/>
    <w:rsid w:val="003B30B4"/>
    <w:rsid w:val="003B365C"/>
    <w:rsid w:val="003B3E75"/>
    <w:rsid w:val="003B3F01"/>
    <w:rsid w:val="003B4545"/>
    <w:rsid w:val="003B48B6"/>
    <w:rsid w:val="003B5DD4"/>
    <w:rsid w:val="003B686F"/>
    <w:rsid w:val="003B6974"/>
    <w:rsid w:val="003B6D23"/>
    <w:rsid w:val="003C04B5"/>
    <w:rsid w:val="003C0B68"/>
    <w:rsid w:val="003C230F"/>
    <w:rsid w:val="003C2AFF"/>
    <w:rsid w:val="003C4003"/>
    <w:rsid w:val="003C51E7"/>
    <w:rsid w:val="003C728E"/>
    <w:rsid w:val="003C77B5"/>
    <w:rsid w:val="003C7809"/>
    <w:rsid w:val="003D0898"/>
    <w:rsid w:val="003D0A86"/>
    <w:rsid w:val="003D0CF0"/>
    <w:rsid w:val="003D1745"/>
    <w:rsid w:val="003D1774"/>
    <w:rsid w:val="003D1905"/>
    <w:rsid w:val="003D1C68"/>
    <w:rsid w:val="003D344A"/>
    <w:rsid w:val="003D44AB"/>
    <w:rsid w:val="003D49CF"/>
    <w:rsid w:val="003D53A3"/>
    <w:rsid w:val="003D7EDB"/>
    <w:rsid w:val="003E0D67"/>
    <w:rsid w:val="003E199F"/>
    <w:rsid w:val="003E3D42"/>
    <w:rsid w:val="003E447F"/>
    <w:rsid w:val="003E4E31"/>
    <w:rsid w:val="003E7116"/>
    <w:rsid w:val="003E7E12"/>
    <w:rsid w:val="003F02CC"/>
    <w:rsid w:val="003F0361"/>
    <w:rsid w:val="003F0A0C"/>
    <w:rsid w:val="003F0D56"/>
    <w:rsid w:val="003F1617"/>
    <w:rsid w:val="003F1672"/>
    <w:rsid w:val="003F1BC5"/>
    <w:rsid w:val="003F20D3"/>
    <w:rsid w:val="003F3821"/>
    <w:rsid w:val="003F4945"/>
    <w:rsid w:val="003F4D95"/>
    <w:rsid w:val="003F5126"/>
    <w:rsid w:val="003F5322"/>
    <w:rsid w:val="003F693D"/>
    <w:rsid w:val="0040016C"/>
    <w:rsid w:val="00400311"/>
    <w:rsid w:val="00400C12"/>
    <w:rsid w:val="00401285"/>
    <w:rsid w:val="00402E49"/>
    <w:rsid w:val="004033E4"/>
    <w:rsid w:val="00403F0E"/>
    <w:rsid w:val="0040408A"/>
    <w:rsid w:val="00404AFC"/>
    <w:rsid w:val="00404C6B"/>
    <w:rsid w:val="00404D37"/>
    <w:rsid w:val="004068B0"/>
    <w:rsid w:val="00407024"/>
    <w:rsid w:val="004109FD"/>
    <w:rsid w:val="00411D2F"/>
    <w:rsid w:val="00412480"/>
    <w:rsid w:val="00412B8D"/>
    <w:rsid w:val="00412C61"/>
    <w:rsid w:val="0041386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757"/>
    <w:rsid w:val="0042187B"/>
    <w:rsid w:val="004226CA"/>
    <w:rsid w:val="00423266"/>
    <w:rsid w:val="00423BEC"/>
    <w:rsid w:val="00425824"/>
    <w:rsid w:val="00426303"/>
    <w:rsid w:val="00426804"/>
    <w:rsid w:val="00426CAB"/>
    <w:rsid w:val="004309E0"/>
    <w:rsid w:val="00430D60"/>
    <w:rsid w:val="00430F86"/>
    <w:rsid w:val="00432854"/>
    <w:rsid w:val="00432C40"/>
    <w:rsid w:val="00433270"/>
    <w:rsid w:val="004335E5"/>
    <w:rsid w:val="004348F4"/>
    <w:rsid w:val="00435A3A"/>
    <w:rsid w:val="00435ECF"/>
    <w:rsid w:val="00436B1F"/>
    <w:rsid w:val="00437ABF"/>
    <w:rsid w:val="00440C3E"/>
    <w:rsid w:val="00440D51"/>
    <w:rsid w:val="00441A0B"/>
    <w:rsid w:val="00443251"/>
    <w:rsid w:val="00443631"/>
    <w:rsid w:val="00443ED4"/>
    <w:rsid w:val="00446ADF"/>
    <w:rsid w:val="00446EC6"/>
    <w:rsid w:val="00447C76"/>
    <w:rsid w:val="004501E1"/>
    <w:rsid w:val="004503E4"/>
    <w:rsid w:val="004528BA"/>
    <w:rsid w:val="00453378"/>
    <w:rsid w:val="00453D67"/>
    <w:rsid w:val="00453DAD"/>
    <w:rsid w:val="004562DC"/>
    <w:rsid w:val="00456544"/>
    <w:rsid w:val="00457A87"/>
    <w:rsid w:val="00457C69"/>
    <w:rsid w:val="00457D59"/>
    <w:rsid w:val="0046121D"/>
    <w:rsid w:val="0046290C"/>
    <w:rsid w:val="00463149"/>
    <w:rsid w:val="00463359"/>
    <w:rsid w:val="004634FB"/>
    <w:rsid w:val="00464DA7"/>
    <w:rsid w:val="00465270"/>
    <w:rsid w:val="00465AEA"/>
    <w:rsid w:val="00466139"/>
    <w:rsid w:val="0047084C"/>
    <w:rsid w:val="00470870"/>
    <w:rsid w:val="00470A45"/>
    <w:rsid w:val="004711BF"/>
    <w:rsid w:val="00471350"/>
    <w:rsid w:val="00471AB2"/>
    <w:rsid w:val="00472B12"/>
    <w:rsid w:val="00472BED"/>
    <w:rsid w:val="00473BC7"/>
    <w:rsid w:val="00474C71"/>
    <w:rsid w:val="00475AFD"/>
    <w:rsid w:val="00475E84"/>
    <w:rsid w:val="00476135"/>
    <w:rsid w:val="0047639A"/>
    <w:rsid w:val="00476D63"/>
    <w:rsid w:val="00480509"/>
    <w:rsid w:val="00480633"/>
    <w:rsid w:val="00480E3F"/>
    <w:rsid w:val="00481DE5"/>
    <w:rsid w:val="004822D0"/>
    <w:rsid w:val="00482D96"/>
    <w:rsid w:val="004837C0"/>
    <w:rsid w:val="00483908"/>
    <w:rsid w:val="00484C92"/>
    <w:rsid w:val="00485163"/>
    <w:rsid w:val="004858F3"/>
    <w:rsid w:val="004858F7"/>
    <w:rsid w:val="004872C4"/>
    <w:rsid w:val="00491269"/>
    <w:rsid w:val="004917E0"/>
    <w:rsid w:val="00492BF7"/>
    <w:rsid w:val="00494034"/>
    <w:rsid w:val="00494067"/>
    <w:rsid w:val="004940A3"/>
    <w:rsid w:val="00494292"/>
    <w:rsid w:val="00494295"/>
    <w:rsid w:val="00494452"/>
    <w:rsid w:val="00494F43"/>
    <w:rsid w:val="00494F87"/>
    <w:rsid w:val="00495C19"/>
    <w:rsid w:val="00496E59"/>
    <w:rsid w:val="00497573"/>
    <w:rsid w:val="00497C58"/>
    <w:rsid w:val="004A00C9"/>
    <w:rsid w:val="004A030D"/>
    <w:rsid w:val="004A031D"/>
    <w:rsid w:val="004A087D"/>
    <w:rsid w:val="004A08A3"/>
    <w:rsid w:val="004A0D82"/>
    <w:rsid w:val="004A235E"/>
    <w:rsid w:val="004A559B"/>
    <w:rsid w:val="004A601A"/>
    <w:rsid w:val="004A6B0F"/>
    <w:rsid w:val="004A75E8"/>
    <w:rsid w:val="004A7D94"/>
    <w:rsid w:val="004B0F42"/>
    <w:rsid w:val="004B1B99"/>
    <w:rsid w:val="004B2151"/>
    <w:rsid w:val="004B45A3"/>
    <w:rsid w:val="004B488D"/>
    <w:rsid w:val="004B62BA"/>
    <w:rsid w:val="004B63AD"/>
    <w:rsid w:val="004B7FD8"/>
    <w:rsid w:val="004C221A"/>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B0F"/>
    <w:rsid w:val="004D1DFE"/>
    <w:rsid w:val="004D28E4"/>
    <w:rsid w:val="004D2D33"/>
    <w:rsid w:val="004D3353"/>
    <w:rsid w:val="004D4EF9"/>
    <w:rsid w:val="004D5AB8"/>
    <w:rsid w:val="004D5C56"/>
    <w:rsid w:val="004D5CD1"/>
    <w:rsid w:val="004D5D65"/>
    <w:rsid w:val="004D666E"/>
    <w:rsid w:val="004D6A86"/>
    <w:rsid w:val="004D6B37"/>
    <w:rsid w:val="004D7DF2"/>
    <w:rsid w:val="004E1433"/>
    <w:rsid w:val="004E1D2C"/>
    <w:rsid w:val="004E22EA"/>
    <w:rsid w:val="004E29EC"/>
    <w:rsid w:val="004E2D9B"/>
    <w:rsid w:val="004E2F2D"/>
    <w:rsid w:val="004E2FFD"/>
    <w:rsid w:val="004E4046"/>
    <w:rsid w:val="004E54BF"/>
    <w:rsid w:val="004E5AE0"/>
    <w:rsid w:val="004E7682"/>
    <w:rsid w:val="004E76EC"/>
    <w:rsid w:val="004E79DA"/>
    <w:rsid w:val="004F01D4"/>
    <w:rsid w:val="004F149B"/>
    <w:rsid w:val="004F188B"/>
    <w:rsid w:val="004F19C4"/>
    <w:rsid w:val="004F2DB0"/>
    <w:rsid w:val="004F41BD"/>
    <w:rsid w:val="004F4E4D"/>
    <w:rsid w:val="004F4FA0"/>
    <w:rsid w:val="004F564B"/>
    <w:rsid w:val="004F570B"/>
    <w:rsid w:val="004F58B8"/>
    <w:rsid w:val="004F5D05"/>
    <w:rsid w:val="004F5D76"/>
    <w:rsid w:val="004F5DA4"/>
    <w:rsid w:val="004F66FF"/>
    <w:rsid w:val="004F7544"/>
    <w:rsid w:val="004F7BE1"/>
    <w:rsid w:val="00501B5C"/>
    <w:rsid w:val="00503F57"/>
    <w:rsid w:val="0050471E"/>
    <w:rsid w:val="00505202"/>
    <w:rsid w:val="00505B9D"/>
    <w:rsid w:val="00505BAE"/>
    <w:rsid w:val="0050616F"/>
    <w:rsid w:val="00506254"/>
    <w:rsid w:val="00506661"/>
    <w:rsid w:val="00506831"/>
    <w:rsid w:val="00506E13"/>
    <w:rsid w:val="00506E85"/>
    <w:rsid w:val="0050714C"/>
    <w:rsid w:val="00507229"/>
    <w:rsid w:val="0050729C"/>
    <w:rsid w:val="005100EB"/>
    <w:rsid w:val="00510B61"/>
    <w:rsid w:val="00511B17"/>
    <w:rsid w:val="00511CBA"/>
    <w:rsid w:val="00512620"/>
    <w:rsid w:val="00512699"/>
    <w:rsid w:val="00512D19"/>
    <w:rsid w:val="00513898"/>
    <w:rsid w:val="005144E2"/>
    <w:rsid w:val="005147E8"/>
    <w:rsid w:val="00514BC7"/>
    <w:rsid w:val="00514FC2"/>
    <w:rsid w:val="005150D3"/>
    <w:rsid w:val="00515543"/>
    <w:rsid w:val="00515B4E"/>
    <w:rsid w:val="00516C64"/>
    <w:rsid w:val="00516FA6"/>
    <w:rsid w:val="005173E7"/>
    <w:rsid w:val="00517AC1"/>
    <w:rsid w:val="00520112"/>
    <w:rsid w:val="00520AAB"/>
    <w:rsid w:val="00522046"/>
    <w:rsid w:val="00522425"/>
    <w:rsid w:val="005224AB"/>
    <w:rsid w:val="00522708"/>
    <w:rsid w:val="0052346A"/>
    <w:rsid w:val="0052364F"/>
    <w:rsid w:val="00523B11"/>
    <w:rsid w:val="00523F35"/>
    <w:rsid w:val="0052417E"/>
    <w:rsid w:val="005257D2"/>
    <w:rsid w:val="00526752"/>
    <w:rsid w:val="00526F93"/>
    <w:rsid w:val="00531124"/>
    <w:rsid w:val="005313A2"/>
    <w:rsid w:val="00531A13"/>
    <w:rsid w:val="005326E6"/>
    <w:rsid w:val="0053284E"/>
    <w:rsid w:val="0053294F"/>
    <w:rsid w:val="005329AE"/>
    <w:rsid w:val="00534F31"/>
    <w:rsid w:val="00535CA2"/>
    <w:rsid w:val="00535D0E"/>
    <w:rsid w:val="00535F99"/>
    <w:rsid w:val="00535FBC"/>
    <w:rsid w:val="005372CD"/>
    <w:rsid w:val="00537344"/>
    <w:rsid w:val="00540AE2"/>
    <w:rsid w:val="00540C50"/>
    <w:rsid w:val="00540EDF"/>
    <w:rsid w:val="005414C3"/>
    <w:rsid w:val="0054150F"/>
    <w:rsid w:val="00541F81"/>
    <w:rsid w:val="00542271"/>
    <w:rsid w:val="005435A8"/>
    <w:rsid w:val="0054369F"/>
    <w:rsid w:val="005436F7"/>
    <w:rsid w:val="00543B13"/>
    <w:rsid w:val="00544423"/>
    <w:rsid w:val="00547011"/>
    <w:rsid w:val="005475BF"/>
    <w:rsid w:val="0054760B"/>
    <w:rsid w:val="00547E57"/>
    <w:rsid w:val="005502B4"/>
    <w:rsid w:val="0055084F"/>
    <w:rsid w:val="005519E9"/>
    <w:rsid w:val="00551F9F"/>
    <w:rsid w:val="005525C8"/>
    <w:rsid w:val="00552830"/>
    <w:rsid w:val="00552993"/>
    <w:rsid w:val="005533ED"/>
    <w:rsid w:val="005542B0"/>
    <w:rsid w:val="00554C5D"/>
    <w:rsid w:val="00554EC5"/>
    <w:rsid w:val="005555D8"/>
    <w:rsid w:val="00556EC5"/>
    <w:rsid w:val="005576FD"/>
    <w:rsid w:val="00557941"/>
    <w:rsid w:val="005579D4"/>
    <w:rsid w:val="00560592"/>
    <w:rsid w:val="00561798"/>
    <w:rsid w:val="0056222E"/>
    <w:rsid w:val="00562E49"/>
    <w:rsid w:val="005630C3"/>
    <w:rsid w:val="00563C57"/>
    <w:rsid w:val="00563C58"/>
    <w:rsid w:val="0056459A"/>
    <w:rsid w:val="00564ADC"/>
    <w:rsid w:val="00564AFF"/>
    <w:rsid w:val="00565ED7"/>
    <w:rsid w:val="0056667B"/>
    <w:rsid w:val="005667D7"/>
    <w:rsid w:val="00566DC1"/>
    <w:rsid w:val="00567547"/>
    <w:rsid w:val="00567612"/>
    <w:rsid w:val="0056764C"/>
    <w:rsid w:val="00567A92"/>
    <w:rsid w:val="00570B2F"/>
    <w:rsid w:val="00570E13"/>
    <w:rsid w:val="00570FDF"/>
    <w:rsid w:val="00571798"/>
    <w:rsid w:val="00571CA8"/>
    <w:rsid w:val="00572527"/>
    <w:rsid w:val="00572906"/>
    <w:rsid w:val="00573B50"/>
    <w:rsid w:val="00573DA7"/>
    <w:rsid w:val="00574702"/>
    <w:rsid w:val="00581821"/>
    <w:rsid w:val="00581C75"/>
    <w:rsid w:val="005833DB"/>
    <w:rsid w:val="005836EA"/>
    <w:rsid w:val="005848E0"/>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9CC"/>
    <w:rsid w:val="00594D25"/>
    <w:rsid w:val="005971B7"/>
    <w:rsid w:val="00597EF1"/>
    <w:rsid w:val="005A034C"/>
    <w:rsid w:val="005A04FD"/>
    <w:rsid w:val="005A22E1"/>
    <w:rsid w:val="005A2749"/>
    <w:rsid w:val="005A2CE0"/>
    <w:rsid w:val="005A3B36"/>
    <w:rsid w:val="005A3BE4"/>
    <w:rsid w:val="005A3D45"/>
    <w:rsid w:val="005A4ADF"/>
    <w:rsid w:val="005A5A79"/>
    <w:rsid w:val="005A693E"/>
    <w:rsid w:val="005B0150"/>
    <w:rsid w:val="005B02BE"/>
    <w:rsid w:val="005B02F3"/>
    <w:rsid w:val="005B2079"/>
    <w:rsid w:val="005B2E38"/>
    <w:rsid w:val="005B3713"/>
    <w:rsid w:val="005B4779"/>
    <w:rsid w:val="005B5735"/>
    <w:rsid w:val="005B5E46"/>
    <w:rsid w:val="005B67E6"/>
    <w:rsid w:val="005C005F"/>
    <w:rsid w:val="005C0918"/>
    <w:rsid w:val="005C093E"/>
    <w:rsid w:val="005C0A25"/>
    <w:rsid w:val="005C1491"/>
    <w:rsid w:val="005C221D"/>
    <w:rsid w:val="005C266A"/>
    <w:rsid w:val="005C2957"/>
    <w:rsid w:val="005C2B56"/>
    <w:rsid w:val="005C3679"/>
    <w:rsid w:val="005C3695"/>
    <w:rsid w:val="005C42B5"/>
    <w:rsid w:val="005C4454"/>
    <w:rsid w:val="005C4897"/>
    <w:rsid w:val="005C4AF6"/>
    <w:rsid w:val="005C55F1"/>
    <w:rsid w:val="005C56AB"/>
    <w:rsid w:val="005C6632"/>
    <w:rsid w:val="005C6CB6"/>
    <w:rsid w:val="005C6D5D"/>
    <w:rsid w:val="005C6FE0"/>
    <w:rsid w:val="005C70FB"/>
    <w:rsid w:val="005C730A"/>
    <w:rsid w:val="005C7CBA"/>
    <w:rsid w:val="005D0301"/>
    <w:rsid w:val="005D0D69"/>
    <w:rsid w:val="005D0DF8"/>
    <w:rsid w:val="005D162B"/>
    <w:rsid w:val="005D1D0A"/>
    <w:rsid w:val="005D2391"/>
    <w:rsid w:val="005D385D"/>
    <w:rsid w:val="005D3B25"/>
    <w:rsid w:val="005D5A41"/>
    <w:rsid w:val="005D7529"/>
    <w:rsid w:val="005D77DE"/>
    <w:rsid w:val="005D7836"/>
    <w:rsid w:val="005D7C5C"/>
    <w:rsid w:val="005E03C5"/>
    <w:rsid w:val="005E0688"/>
    <w:rsid w:val="005E0B51"/>
    <w:rsid w:val="005E168E"/>
    <w:rsid w:val="005E23A8"/>
    <w:rsid w:val="005E38BD"/>
    <w:rsid w:val="005E3C86"/>
    <w:rsid w:val="005E43B9"/>
    <w:rsid w:val="005E4608"/>
    <w:rsid w:val="005E5238"/>
    <w:rsid w:val="005E5D13"/>
    <w:rsid w:val="005E5E84"/>
    <w:rsid w:val="005E5F7D"/>
    <w:rsid w:val="005E615D"/>
    <w:rsid w:val="005E6CC1"/>
    <w:rsid w:val="005E6EB8"/>
    <w:rsid w:val="005E7028"/>
    <w:rsid w:val="005E7049"/>
    <w:rsid w:val="005E72B0"/>
    <w:rsid w:val="005E78B4"/>
    <w:rsid w:val="005F129D"/>
    <w:rsid w:val="005F1ACE"/>
    <w:rsid w:val="005F1C79"/>
    <w:rsid w:val="005F1D44"/>
    <w:rsid w:val="005F2BB9"/>
    <w:rsid w:val="005F3487"/>
    <w:rsid w:val="005F3585"/>
    <w:rsid w:val="005F3777"/>
    <w:rsid w:val="005F4C25"/>
    <w:rsid w:val="005F514B"/>
    <w:rsid w:val="005F55DA"/>
    <w:rsid w:val="005F6AE2"/>
    <w:rsid w:val="00600621"/>
    <w:rsid w:val="006010F4"/>
    <w:rsid w:val="006013E6"/>
    <w:rsid w:val="006015E8"/>
    <w:rsid w:val="006028CB"/>
    <w:rsid w:val="00603824"/>
    <w:rsid w:val="00605857"/>
    <w:rsid w:val="00605D2F"/>
    <w:rsid w:val="00605F73"/>
    <w:rsid w:val="00606ADB"/>
    <w:rsid w:val="00606C84"/>
    <w:rsid w:val="00606D4B"/>
    <w:rsid w:val="006078B4"/>
    <w:rsid w:val="00607D89"/>
    <w:rsid w:val="00607F19"/>
    <w:rsid w:val="0061073C"/>
    <w:rsid w:val="00610DB7"/>
    <w:rsid w:val="006113E1"/>
    <w:rsid w:val="00612401"/>
    <w:rsid w:val="00613473"/>
    <w:rsid w:val="00613828"/>
    <w:rsid w:val="006148E3"/>
    <w:rsid w:val="006156ED"/>
    <w:rsid w:val="00616171"/>
    <w:rsid w:val="00616561"/>
    <w:rsid w:val="0061785B"/>
    <w:rsid w:val="00617EB2"/>
    <w:rsid w:val="00617FD9"/>
    <w:rsid w:val="00620D69"/>
    <w:rsid w:val="00621180"/>
    <w:rsid w:val="0062150D"/>
    <w:rsid w:val="006215AB"/>
    <w:rsid w:val="00621A24"/>
    <w:rsid w:val="00621F72"/>
    <w:rsid w:val="00622061"/>
    <w:rsid w:val="00623030"/>
    <w:rsid w:val="00623335"/>
    <w:rsid w:val="006238C0"/>
    <w:rsid w:val="0062392B"/>
    <w:rsid w:val="006255B4"/>
    <w:rsid w:val="006256E7"/>
    <w:rsid w:val="00625945"/>
    <w:rsid w:val="00626F7F"/>
    <w:rsid w:val="00630170"/>
    <w:rsid w:val="00630717"/>
    <w:rsid w:val="00630E22"/>
    <w:rsid w:val="00631159"/>
    <w:rsid w:val="006325CA"/>
    <w:rsid w:val="00633827"/>
    <w:rsid w:val="00635123"/>
    <w:rsid w:val="00635A36"/>
    <w:rsid w:val="00636013"/>
    <w:rsid w:val="00636FC8"/>
    <w:rsid w:val="00637754"/>
    <w:rsid w:val="00637C81"/>
    <w:rsid w:val="00637EC2"/>
    <w:rsid w:val="00641C40"/>
    <w:rsid w:val="0064305E"/>
    <w:rsid w:val="00643419"/>
    <w:rsid w:val="006449A0"/>
    <w:rsid w:val="00645689"/>
    <w:rsid w:val="00645FC4"/>
    <w:rsid w:val="0064713A"/>
    <w:rsid w:val="00647ABF"/>
    <w:rsid w:val="00647C6B"/>
    <w:rsid w:val="00651369"/>
    <w:rsid w:val="00651673"/>
    <w:rsid w:val="00651A66"/>
    <w:rsid w:val="00652537"/>
    <w:rsid w:val="00653198"/>
    <w:rsid w:val="006542A3"/>
    <w:rsid w:val="006545BC"/>
    <w:rsid w:val="006547F1"/>
    <w:rsid w:val="00655727"/>
    <w:rsid w:val="006566C8"/>
    <w:rsid w:val="00656F6C"/>
    <w:rsid w:val="00657285"/>
    <w:rsid w:val="006608D2"/>
    <w:rsid w:val="00661A5B"/>
    <w:rsid w:val="00662048"/>
    <w:rsid w:val="0066267C"/>
    <w:rsid w:val="00662767"/>
    <w:rsid w:val="006628AF"/>
    <w:rsid w:val="006628EB"/>
    <w:rsid w:val="0066300D"/>
    <w:rsid w:val="0066303D"/>
    <w:rsid w:val="00663DAD"/>
    <w:rsid w:val="006641A4"/>
    <w:rsid w:val="006641F2"/>
    <w:rsid w:val="006657DF"/>
    <w:rsid w:val="00666830"/>
    <w:rsid w:val="006669EF"/>
    <w:rsid w:val="00666CFA"/>
    <w:rsid w:val="00667D9F"/>
    <w:rsid w:val="00670CAA"/>
    <w:rsid w:val="00672E99"/>
    <w:rsid w:val="00673113"/>
    <w:rsid w:val="00673847"/>
    <w:rsid w:val="00676A92"/>
    <w:rsid w:val="0067744C"/>
    <w:rsid w:val="0067751B"/>
    <w:rsid w:val="00677A1B"/>
    <w:rsid w:val="00677E29"/>
    <w:rsid w:val="006805D9"/>
    <w:rsid w:val="00680FBC"/>
    <w:rsid w:val="006816E0"/>
    <w:rsid w:val="00681B58"/>
    <w:rsid w:val="00681CA8"/>
    <w:rsid w:val="0068311A"/>
    <w:rsid w:val="006832EC"/>
    <w:rsid w:val="0068386D"/>
    <w:rsid w:val="00683F7A"/>
    <w:rsid w:val="006843E8"/>
    <w:rsid w:val="0068453C"/>
    <w:rsid w:val="00684C18"/>
    <w:rsid w:val="006857F3"/>
    <w:rsid w:val="006865DF"/>
    <w:rsid w:val="006879E7"/>
    <w:rsid w:val="00687A67"/>
    <w:rsid w:val="00687E3A"/>
    <w:rsid w:val="00690C3B"/>
    <w:rsid w:val="00690C4E"/>
    <w:rsid w:val="00690DE3"/>
    <w:rsid w:val="00690E84"/>
    <w:rsid w:val="00690EE4"/>
    <w:rsid w:val="0069108A"/>
    <w:rsid w:val="00691187"/>
    <w:rsid w:val="00692124"/>
    <w:rsid w:val="006922B7"/>
    <w:rsid w:val="006924A0"/>
    <w:rsid w:val="00692D42"/>
    <w:rsid w:val="00692FED"/>
    <w:rsid w:val="00693337"/>
    <w:rsid w:val="006934F0"/>
    <w:rsid w:val="006935C5"/>
    <w:rsid w:val="00693B52"/>
    <w:rsid w:val="00694030"/>
    <w:rsid w:val="00694085"/>
    <w:rsid w:val="00694996"/>
    <w:rsid w:val="0069522D"/>
    <w:rsid w:val="0069573D"/>
    <w:rsid w:val="006965E9"/>
    <w:rsid w:val="006967CA"/>
    <w:rsid w:val="00697331"/>
    <w:rsid w:val="00697D1F"/>
    <w:rsid w:val="006A05AD"/>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570B"/>
    <w:rsid w:val="006A58CA"/>
    <w:rsid w:val="006A62E7"/>
    <w:rsid w:val="006A64FA"/>
    <w:rsid w:val="006A7037"/>
    <w:rsid w:val="006A71C1"/>
    <w:rsid w:val="006A735C"/>
    <w:rsid w:val="006A744C"/>
    <w:rsid w:val="006A7B24"/>
    <w:rsid w:val="006B0109"/>
    <w:rsid w:val="006B0A83"/>
    <w:rsid w:val="006B1016"/>
    <w:rsid w:val="006B2780"/>
    <w:rsid w:val="006B2BC6"/>
    <w:rsid w:val="006B339E"/>
    <w:rsid w:val="006B4233"/>
    <w:rsid w:val="006B4AC3"/>
    <w:rsid w:val="006B4BD1"/>
    <w:rsid w:val="006B4F7E"/>
    <w:rsid w:val="006B50E8"/>
    <w:rsid w:val="006B52CC"/>
    <w:rsid w:val="006B62D6"/>
    <w:rsid w:val="006B7007"/>
    <w:rsid w:val="006B706B"/>
    <w:rsid w:val="006B75BB"/>
    <w:rsid w:val="006C1F54"/>
    <w:rsid w:val="006C2872"/>
    <w:rsid w:val="006C29D3"/>
    <w:rsid w:val="006C29DC"/>
    <w:rsid w:val="006C2BBD"/>
    <w:rsid w:val="006C356E"/>
    <w:rsid w:val="006C378F"/>
    <w:rsid w:val="006C3ADE"/>
    <w:rsid w:val="006C4EC9"/>
    <w:rsid w:val="006C5142"/>
    <w:rsid w:val="006C53CF"/>
    <w:rsid w:val="006C5790"/>
    <w:rsid w:val="006C5C35"/>
    <w:rsid w:val="006C6383"/>
    <w:rsid w:val="006C656F"/>
    <w:rsid w:val="006C6D01"/>
    <w:rsid w:val="006D0CE6"/>
    <w:rsid w:val="006D2429"/>
    <w:rsid w:val="006D296C"/>
    <w:rsid w:val="006D31C3"/>
    <w:rsid w:val="006D3682"/>
    <w:rsid w:val="006D3ADE"/>
    <w:rsid w:val="006D4562"/>
    <w:rsid w:val="006D4DE7"/>
    <w:rsid w:val="006D4FA4"/>
    <w:rsid w:val="006D599C"/>
    <w:rsid w:val="006D5F5C"/>
    <w:rsid w:val="006D6829"/>
    <w:rsid w:val="006D6ABF"/>
    <w:rsid w:val="006D739A"/>
    <w:rsid w:val="006D7A56"/>
    <w:rsid w:val="006E02CF"/>
    <w:rsid w:val="006E0623"/>
    <w:rsid w:val="006E1183"/>
    <w:rsid w:val="006E1AB4"/>
    <w:rsid w:val="006E1C2A"/>
    <w:rsid w:val="006E1F8F"/>
    <w:rsid w:val="006E26D0"/>
    <w:rsid w:val="006E28E3"/>
    <w:rsid w:val="006E33B3"/>
    <w:rsid w:val="006E4467"/>
    <w:rsid w:val="006E4971"/>
    <w:rsid w:val="006E4BA1"/>
    <w:rsid w:val="006E5DCC"/>
    <w:rsid w:val="006E6181"/>
    <w:rsid w:val="006E70C4"/>
    <w:rsid w:val="006E74F6"/>
    <w:rsid w:val="006F09D2"/>
    <w:rsid w:val="006F1F10"/>
    <w:rsid w:val="006F2FBF"/>
    <w:rsid w:val="006F36E4"/>
    <w:rsid w:val="006F3D0B"/>
    <w:rsid w:val="006F4227"/>
    <w:rsid w:val="006F49F2"/>
    <w:rsid w:val="006F5319"/>
    <w:rsid w:val="006F62C4"/>
    <w:rsid w:val="006F7955"/>
    <w:rsid w:val="006F7D22"/>
    <w:rsid w:val="006F7F7C"/>
    <w:rsid w:val="00703401"/>
    <w:rsid w:val="007035DD"/>
    <w:rsid w:val="00703F61"/>
    <w:rsid w:val="0070445A"/>
    <w:rsid w:val="007045FC"/>
    <w:rsid w:val="00705451"/>
    <w:rsid w:val="007059C4"/>
    <w:rsid w:val="007060D9"/>
    <w:rsid w:val="007061DF"/>
    <w:rsid w:val="0070624D"/>
    <w:rsid w:val="007067D2"/>
    <w:rsid w:val="007074F6"/>
    <w:rsid w:val="0070791D"/>
    <w:rsid w:val="00707C1E"/>
    <w:rsid w:val="00710ECE"/>
    <w:rsid w:val="00710F79"/>
    <w:rsid w:val="00711173"/>
    <w:rsid w:val="007118CF"/>
    <w:rsid w:val="00712826"/>
    <w:rsid w:val="00714357"/>
    <w:rsid w:val="007144B9"/>
    <w:rsid w:val="0071456F"/>
    <w:rsid w:val="00714A4B"/>
    <w:rsid w:val="00715AF3"/>
    <w:rsid w:val="00716C8C"/>
    <w:rsid w:val="0071785D"/>
    <w:rsid w:val="00717C43"/>
    <w:rsid w:val="00720537"/>
    <w:rsid w:val="00720B11"/>
    <w:rsid w:val="00721F83"/>
    <w:rsid w:val="007220B2"/>
    <w:rsid w:val="0072320E"/>
    <w:rsid w:val="00724149"/>
    <w:rsid w:val="007241CD"/>
    <w:rsid w:val="00725069"/>
    <w:rsid w:val="007250D9"/>
    <w:rsid w:val="00725F95"/>
    <w:rsid w:val="00726583"/>
    <w:rsid w:val="00726DB1"/>
    <w:rsid w:val="00727C98"/>
    <w:rsid w:val="0073314A"/>
    <w:rsid w:val="007338CE"/>
    <w:rsid w:val="00734501"/>
    <w:rsid w:val="0073474E"/>
    <w:rsid w:val="00734953"/>
    <w:rsid w:val="00735346"/>
    <w:rsid w:val="007357D9"/>
    <w:rsid w:val="007366A1"/>
    <w:rsid w:val="00736BD5"/>
    <w:rsid w:val="00740302"/>
    <w:rsid w:val="00740C41"/>
    <w:rsid w:val="00741BDE"/>
    <w:rsid w:val="00742479"/>
    <w:rsid w:val="007433FF"/>
    <w:rsid w:val="00743673"/>
    <w:rsid w:val="007436B6"/>
    <w:rsid w:val="007436CE"/>
    <w:rsid w:val="00743742"/>
    <w:rsid w:val="0074397A"/>
    <w:rsid w:val="00743D43"/>
    <w:rsid w:val="007444B6"/>
    <w:rsid w:val="00744658"/>
    <w:rsid w:val="00744C36"/>
    <w:rsid w:val="00745F32"/>
    <w:rsid w:val="007470DE"/>
    <w:rsid w:val="00747682"/>
    <w:rsid w:val="00747D68"/>
    <w:rsid w:val="00750542"/>
    <w:rsid w:val="00750DA4"/>
    <w:rsid w:val="00751000"/>
    <w:rsid w:val="007515E0"/>
    <w:rsid w:val="00751948"/>
    <w:rsid w:val="0075229F"/>
    <w:rsid w:val="00752589"/>
    <w:rsid w:val="0075336D"/>
    <w:rsid w:val="00753AB2"/>
    <w:rsid w:val="00754C98"/>
    <w:rsid w:val="0075603B"/>
    <w:rsid w:val="0075654B"/>
    <w:rsid w:val="00760937"/>
    <w:rsid w:val="0076096B"/>
    <w:rsid w:val="00760A3D"/>
    <w:rsid w:val="007630C1"/>
    <w:rsid w:val="0076377D"/>
    <w:rsid w:val="007643B4"/>
    <w:rsid w:val="00765295"/>
    <w:rsid w:val="00765FA9"/>
    <w:rsid w:val="0076619A"/>
    <w:rsid w:val="0076734B"/>
    <w:rsid w:val="00770616"/>
    <w:rsid w:val="00770C08"/>
    <w:rsid w:val="007710B6"/>
    <w:rsid w:val="007717D0"/>
    <w:rsid w:val="0077218A"/>
    <w:rsid w:val="00772551"/>
    <w:rsid w:val="007728F2"/>
    <w:rsid w:val="00773A72"/>
    <w:rsid w:val="00774984"/>
    <w:rsid w:val="00774A2D"/>
    <w:rsid w:val="00775806"/>
    <w:rsid w:val="00775D61"/>
    <w:rsid w:val="00776E96"/>
    <w:rsid w:val="00776F27"/>
    <w:rsid w:val="00777B27"/>
    <w:rsid w:val="00777B94"/>
    <w:rsid w:val="007822DB"/>
    <w:rsid w:val="0078236D"/>
    <w:rsid w:val="007827B0"/>
    <w:rsid w:val="00783FB0"/>
    <w:rsid w:val="007854D7"/>
    <w:rsid w:val="00785524"/>
    <w:rsid w:val="00785765"/>
    <w:rsid w:val="007862D6"/>
    <w:rsid w:val="0078630C"/>
    <w:rsid w:val="00786312"/>
    <w:rsid w:val="007870C4"/>
    <w:rsid w:val="007876BA"/>
    <w:rsid w:val="00787C9D"/>
    <w:rsid w:val="00787DD3"/>
    <w:rsid w:val="007901A4"/>
    <w:rsid w:val="007904E7"/>
    <w:rsid w:val="007905D2"/>
    <w:rsid w:val="0079098A"/>
    <w:rsid w:val="00793A8B"/>
    <w:rsid w:val="007940DA"/>
    <w:rsid w:val="00794F3B"/>
    <w:rsid w:val="00796A5C"/>
    <w:rsid w:val="00796CD2"/>
    <w:rsid w:val="007A19CD"/>
    <w:rsid w:val="007A23CC"/>
    <w:rsid w:val="007A2E5C"/>
    <w:rsid w:val="007A533B"/>
    <w:rsid w:val="007A59E2"/>
    <w:rsid w:val="007A5A58"/>
    <w:rsid w:val="007A62C4"/>
    <w:rsid w:val="007A6A25"/>
    <w:rsid w:val="007A77C9"/>
    <w:rsid w:val="007A79A6"/>
    <w:rsid w:val="007A7FD3"/>
    <w:rsid w:val="007B0C53"/>
    <w:rsid w:val="007B1F33"/>
    <w:rsid w:val="007B318F"/>
    <w:rsid w:val="007B357E"/>
    <w:rsid w:val="007B3A64"/>
    <w:rsid w:val="007B3BA0"/>
    <w:rsid w:val="007B3BAD"/>
    <w:rsid w:val="007B3FAB"/>
    <w:rsid w:val="007B4392"/>
    <w:rsid w:val="007B4409"/>
    <w:rsid w:val="007B450A"/>
    <w:rsid w:val="007B4B60"/>
    <w:rsid w:val="007B58E0"/>
    <w:rsid w:val="007B74B0"/>
    <w:rsid w:val="007C09CD"/>
    <w:rsid w:val="007C338C"/>
    <w:rsid w:val="007C37EA"/>
    <w:rsid w:val="007C4D9A"/>
    <w:rsid w:val="007C6789"/>
    <w:rsid w:val="007C70B5"/>
    <w:rsid w:val="007C70E1"/>
    <w:rsid w:val="007C7BF2"/>
    <w:rsid w:val="007C7DEE"/>
    <w:rsid w:val="007D0A9F"/>
    <w:rsid w:val="007D3C11"/>
    <w:rsid w:val="007D4ACD"/>
    <w:rsid w:val="007D4D2A"/>
    <w:rsid w:val="007D61EA"/>
    <w:rsid w:val="007D65E4"/>
    <w:rsid w:val="007D7855"/>
    <w:rsid w:val="007D7949"/>
    <w:rsid w:val="007D7987"/>
    <w:rsid w:val="007D7D02"/>
    <w:rsid w:val="007E0B9B"/>
    <w:rsid w:val="007E0CA6"/>
    <w:rsid w:val="007E0CAB"/>
    <w:rsid w:val="007E0E73"/>
    <w:rsid w:val="007E2A0B"/>
    <w:rsid w:val="007E2B1A"/>
    <w:rsid w:val="007E3277"/>
    <w:rsid w:val="007E35B2"/>
    <w:rsid w:val="007E36AC"/>
    <w:rsid w:val="007E502F"/>
    <w:rsid w:val="007E53D3"/>
    <w:rsid w:val="007E5954"/>
    <w:rsid w:val="007E5D88"/>
    <w:rsid w:val="007E5F41"/>
    <w:rsid w:val="007E5F87"/>
    <w:rsid w:val="007E733A"/>
    <w:rsid w:val="007F0036"/>
    <w:rsid w:val="007F1341"/>
    <w:rsid w:val="007F1A03"/>
    <w:rsid w:val="007F2DD4"/>
    <w:rsid w:val="007F35A6"/>
    <w:rsid w:val="007F3889"/>
    <w:rsid w:val="007F3DFA"/>
    <w:rsid w:val="007F3F5A"/>
    <w:rsid w:val="007F4495"/>
    <w:rsid w:val="007F4A58"/>
    <w:rsid w:val="007F4DCD"/>
    <w:rsid w:val="007F516D"/>
    <w:rsid w:val="007F53CA"/>
    <w:rsid w:val="007F553D"/>
    <w:rsid w:val="007F5CC8"/>
    <w:rsid w:val="007F68DB"/>
    <w:rsid w:val="008019F4"/>
    <w:rsid w:val="00801EED"/>
    <w:rsid w:val="00801F1D"/>
    <w:rsid w:val="00802178"/>
    <w:rsid w:val="0080233A"/>
    <w:rsid w:val="00802517"/>
    <w:rsid w:val="0080274A"/>
    <w:rsid w:val="00805EF1"/>
    <w:rsid w:val="00807497"/>
    <w:rsid w:val="0081004B"/>
    <w:rsid w:val="008101D3"/>
    <w:rsid w:val="008101EC"/>
    <w:rsid w:val="00810F3E"/>
    <w:rsid w:val="008113AF"/>
    <w:rsid w:val="00811D29"/>
    <w:rsid w:val="008125A0"/>
    <w:rsid w:val="00814946"/>
    <w:rsid w:val="00815345"/>
    <w:rsid w:val="008169A2"/>
    <w:rsid w:val="00816BAD"/>
    <w:rsid w:val="0081777B"/>
    <w:rsid w:val="008179B5"/>
    <w:rsid w:val="00821927"/>
    <w:rsid w:val="00821BD4"/>
    <w:rsid w:val="00822684"/>
    <w:rsid w:val="008244D3"/>
    <w:rsid w:val="00824AD9"/>
    <w:rsid w:val="00826BE1"/>
    <w:rsid w:val="008271EE"/>
    <w:rsid w:val="00827D31"/>
    <w:rsid w:val="00830145"/>
    <w:rsid w:val="00832233"/>
    <w:rsid w:val="00832CB9"/>
    <w:rsid w:val="008333BA"/>
    <w:rsid w:val="00835AC6"/>
    <w:rsid w:val="00836A9E"/>
    <w:rsid w:val="00836C5C"/>
    <w:rsid w:val="00840123"/>
    <w:rsid w:val="00840CCA"/>
    <w:rsid w:val="00841142"/>
    <w:rsid w:val="00841B13"/>
    <w:rsid w:val="00842BC0"/>
    <w:rsid w:val="00843713"/>
    <w:rsid w:val="00843C62"/>
    <w:rsid w:val="0084458B"/>
    <w:rsid w:val="00844779"/>
    <w:rsid w:val="00845CAB"/>
    <w:rsid w:val="008461E4"/>
    <w:rsid w:val="0084675F"/>
    <w:rsid w:val="00847218"/>
    <w:rsid w:val="008479A2"/>
    <w:rsid w:val="008479DC"/>
    <w:rsid w:val="008503B4"/>
    <w:rsid w:val="00850604"/>
    <w:rsid w:val="00850EB9"/>
    <w:rsid w:val="00851085"/>
    <w:rsid w:val="00851447"/>
    <w:rsid w:val="0085208A"/>
    <w:rsid w:val="00852337"/>
    <w:rsid w:val="00852D66"/>
    <w:rsid w:val="00852FEC"/>
    <w:rsid w:val="008532FA"/>
    <w:rsid w:val="00853BCA"/>
    <w:rsid w:val="00853DE5"/>
    <w:rsid w:val="00854399"/>
    <w:rsid w:val="00855B64"/>
    <w:rsid w:val="00856346"/>
    <w:rsid w:val="00856401"/>
    <w:rsid w:val="00857F2F"/>
    <w:rsid w:val="00860139"/>
    <w:rsid w:val="00860723"/>
    <w:rsid w:val="00861BEC"/>
    <w:rsid w:val="00862640"/>
    <w:rsid w:val="008632C2"/>
    <w:rsid w:val="00863344"/>
    <w:rsid w:val="00863491"/>
    <w:rsid w:val="00863593"/>
    <w:rsid w:val="008642CF"/>
    <w:rsid w:val="00865E87"/>
    <w:rsid w:val="008673BD"/>
    <w:rsid w:val="00871F5B"/>
    <w:rsid w:val="008726AD"/>
    <w:rsid w:val="00872BC4"/>
    <w:rsid w:val="00872CA1"/>
    <w:rsid w:val="0087364A"/>
    <w:rsid w:val="00873C71"/>
    <w:rsid w:val="00873D35"/>
    <w:rsid w:val="00874706"/>
    <w:rsid w:val="00874B17"/>
    <w:rsid w:val="00875F9E"/>
    <w:rsid w:val="0087616E"/>
    <w:rsid w:val="00876FFB"/>
    <w:rsid w:val="00877091"/>
    <w:rsid w:val="00877242"/>
    <w:rsid w:val="00877587"/>
    <w:rsid w:val="008825E9"/>
    <w:rsid w:val="008838E0"/>
    <w:rsid w:val="008845B3"/>
    <w:rsid w:val="00885779"/>
    <w:rsid w:val="00885B88"/>
    <w:rsid w:val="00891746"/>
    <w:rsid w:val="00891CF6"/>
    <w:rsid w:val="008922D9"/>
    <w:rsid w:val="00893DD6"/>
    <w:rsid w:val="00894915"/>
    <w:rsid w:val="0089611A"/>
    <w:rsid w:val="00896396"/>
    <w:rsid w:val="008A0E14"/>
    <w:rsid w:val="008A1D38"/>
    <w:rsid w:val="008A1F7F"/>
    <w:rsid w:val="008A2393"/>
    <w:rsid w:val="008A29E7"/>
    <w:rsid w:val="008A2A70"/>
    <w:rsid w:val="008A2FD0"/>
    <w:rsid w:val="008A3E32"/>
    <w:rsid w:val="008A3E52"/>
    <w:rsid w:val="008A41F0"/>
    <w:rsid w:val="008A4A62"/>
    <w:rsid w:val="008A52AB"/>
    <w:rsid w:val="008A59BF"/>
    <w:rsid w:val="008A5AA9"/>
    <w:rsid w:val="008A7C3C"/>
    <w:rsid w:val="008A7D8D"/>
    <w:rsid w:val="008A7FBC"/>
    <w:rsid w:val="008B005F"/>
    <w:rsid w:val="008B02E6"/>
    <w:rsid w:val="008B09C8"/>
    <w:rsid w:val="008B135B"/>
    <w:rsid w:val="008B16FD"/>
    <w:rsid w:val="008B174E"/>
    <w:rsid w:val="008B3F7E"/>
    <w:rsid w:val="008B447F"/>
    <w:rsid w:val="008B53DC"/>
    <w:rsid w:val="008B61BA"/>
    <w:rsid w:val="008B6B8F"/>
    <w:rsid w:val="008B737A"/>
    <w:rsid w:val="008B7BB3"/>
    <w:rsid w:val="008C1315"/>
    <w:rsid w:val="008C1955"/>
    <w:rsid w:val="008C2071"/>
    <w:rsid w:val="008C36DE"/>
    <w:rsid w:val="008C5D48"/>
    <w:rsid w:val="008C5DEC"/>
    <w:rsid w:val="008C71E2"/>
    <w:rsid w:val="008C759B"/>
    <w:rsid w:val="008D0088"/>
    <w:rsid w:val="008D143C"/>
    <w:rsid w:val="008D2088"/>
    <w:rsid w:val="008D2269"/>
    <w:rsid w:val="008D4937"/>
    <w:rsid w:val="008D4DBF"/>
    <w:rsid w:val="008D52CF"/>
    <w:rsid w:val="008D53E1"/>
    <w:rsid w:val="008D5E88"/>
    <w:rsid w:val="008D62FD"/>
    <w:rsid w:val="008D73BF"/>
    <w:rsid w:val="008D7E0D"/>
    <w:rsid w:val="008E1DBA"/>
    <w:rsid w:val="008E221B"/>
    <w:rsid w:val="008E2FE4"/>
    <w:rsid w:val="008E31DD"/>
    <w:rsid w:val="008E4408"/>
    <w:rsid w:val="008E4B15"/>
    <w:rsid w:val="008E56E4"/>
    <w:rsid w:val="008E5C31"/>
    <w:rsid w:val="008E66DC"/>
    <w:rsid w:val="008E73DF"/>
    <w:rsid w:val="008E7730"/>
    <w:rsid w:val="008F02D2"/>
    <w:rsid w:val="008F19DD"/>
    <w:rsid w:val="008F210E"/>
    <w:rsid w:val="008F415C"/>
    <w:rsid w:val="008F4E90"/>
    <w:rsid w:val="008F4EE9"/>
    <w:rsid w:val="008F53EF"/>
    <w:rsid w:val="008F6EBA"/>
    <w:rsid w:val="00900E91"/>
    <w:rsid w:val="00901059"/>
    <w:rsid w:val="00901D1D"/>
    <w:rsid w:val="009036A3"/>
    <w:rsid w:val="00903AEE"/>
    <w:rsid w:val="00904396"/>
    <w:rsid w:val="00910158"/>
    <w:rsid w:val="009101E9"/>
    <w:rsid w:val="009104B2"/>
    <w:rsid w:val="00911004"/>
    <w:rsid w:val="009115D5"/>
    <w:rsid w:val="009120DD"/>
    <w:rsid w:val="009130E8"/>
    <w:rsid w:val="00913834"/>
    <w:rsid w:val="00914127"/>
    <w:rsid w:val="00914C73"/>
    <w:rsid w:val="009156B7"/>
    <w:rsid w:val="00915B38"/>
    <w:rsid w:val="0091746C"/>
    <w:rsid w:val="0091751C"/>
    <w:rsid w:val="00917701"/>
    <w:rsid w:val="00921255"/>
    <w:rsid w:val="009214A9"/>
    <w:rsid w:val="00921A62"/>
    <w:rsid w:val="00921B4D"/>
    <w:rsid w:val="00922434"/>
    <w:rsid w:val="009227CE"/>
    <w:rsid w:val="00922C78"/>
    <w:rsid w:val="009234F5"/>
    <w:rsid w:val="00924807"/>
    <w:rsid w:val="009252DB"/>
    <w:rsid w:val="00925791"/>
    <w:rsid w:val="009258ED"/>
    <w:rsid w:val="0092613D"/>
    <w:rsid w:val="00926B0B"/>
    <w:rsid w:val="00926B76"/>
    <w:rsid w:val="00926E29"/>
    <w:rsid w:val="00927B36"/>
    <w:rsid w:val="00927E0D"/>
    <w:rsid w:val="009303CC"/>
    <w:rsid w:val="00930597"/>
    <w:rsid w:val="00930D58"/>
    <w:rsid w:val="00930F1A"/>
    <w:rsid w:val="00931013"/>
    <w:rsid w:val="00931214"/>
    <w:rsid w:val="009318E1"/>
    <w:rsid w:val="00933116"/>
    <w:rsid w:val="009332B9"/>
    <w:rsid w:val="00933519"/>
    <w:rsid w:val="00933CBE"/>
    <w:rsid w:val="00933E7F"/>
    <w:rsid w:val="00933FEB"/>
    <w:rsid w:val="00934CD5"/>
    <w:rsid w:val="00935495"/>
    <w:rsid w:val="009356E8"/>
    <w:rsid w:val="00936461"/>
    <w:rsid w:val="0093659E"/>
    <w:rsid w:val="00937234"/>
    <w:rsid w:val="0093787F"/>
    <w:rsid w:val="00940241"/>
    <w:rsid w:val="00940D74"/>
    <w:rsid w:val="00941031"/>
    <w:rsid w:val="00941BD6"/>
    <w:rsid w:val="009441B7"/>
    <w:rsid w:val="009447A9"/>
    <w:rsid w:val="00944B3E"/>
    <w:rsid w:val="00944C3C"/>
    <w:rsid w:val="00945779"/>
    <w:rsid w:val="00945ECF"/>
    <w:rsid w:val="00945FB4"/>
    <w:rsid w:val="009462FD"/>
    <w:rsid w:val="009470FC"/>
    <w:rsid w:val="00947889"/>
    <w:rsid w:val="00950D38"/>
    <w:rsid w:val="009514EF"/>
    <w:rsid w:val="009518EB"/>
    <w:rsid w:val="009527CC"/>
    <w:rsid w:val="00953033"/>
    <w:rsid w:val="009545BC"/>
    <w:rsid w:val="00954823"/>
    <w:rsid w:val="009549D4"/>
    <w:rsid w:val="00954DFC"/>
    <w:rsid w:val="00955561"/>
    <w:rsid w:val="009557C5"/>
    <w:rsid w:val="00955C2B"/>
    <w:rsid w:val="00956BA1"/>
    <w:rsid w:val="00956BC9"/>
    <w:rsid w:val="00956CC9"/>
    <w:rsid w:val="00956E2E"/>
    <w:rsid w:val="009573F5"/>
    <w:rsid w:val="00957E9D"/>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70D3"/>
    <w:rsid w:val="00970832"/>
    <w:rsid w:val="00970A20"/>
    <w:rsid w:val="009712B6"/>
    <w:rsid w:val="009718F8"/>
    <w:rsid w:val="00973D16"/>
    <w:rsid w:val="00974024"/>
    <w:rsid w:val="0097482B"/>
    <w:rsid w:val="00974FCF"/>
    <w:rsid w:val="009755D0"/>
    <w:rsid w:val="00975676"/>
    <w:rsid w:val="009801BB"/>
    <w:rsid w:val="009803C3"/>
    <w:rsid w:val="009803FC"/>
    <w:rsid w:val="00980554"/>
    <w:rsid w:val="00980CB6"/>
    <w:rsid w:val="00981904"/>
    <w:rsid w:val="00981A83"/>
    <w:rsid w:val="00982752"/>
    <w:rsid w:val="00982843"/>
    <w:rsid w:val="009829C2"/>
    <w:rsid w:val="00983FD9"/>
    <w:rsid w:val="00984FF4"/>
    <w:rsid w:val="00985236"/>
    <w:rsid w:val="00985CDF"/>
    <w:rsid w:val="0099081E"/>
    <w:rsid w:val="009916CF"/>
    <w:rsid w:val="009925A5"/>
    <w:rsid w:val="00992E10"/>
    <w:rsid w:val="00994576"/>
    <w:rsid w:val="00994718"/>
    <w:rsid w:val="009950D1"/>
    <w:rsid w:val="00995265"/>
    <w:rsid w:val="009952E5"/>
    <w:rsid w:val="00995478"/>
    <w:rsid w:val="00996E0A"/>
    <w:rsid w:val="009A0386"/>
    <w:rsid w:val="009A1427"/>
    <w:rsid w:val="009A2046"/>
    <w:rsid w:val="009A24C7"/>
    <w:rsid w:val="009A2BEE"/>
    <w:rsid w:val="009A329F"/>
    <w:rsid w:val="009A4E6F"/>
    <w:rsid w:val="009A4F50"/>
    <w:rsid w:val="009A5A96"/>
    <w:rsid w:val="009A7264"/>
    <w:rsid w:val="009A79E1"/>
    <w:rsid w:val="009A7DFA"/>
    <w:rsid w:val="009B0276"/>
    <w:rsid w:val="009B0B70"/>
    <w:rsid w:val="009B0E8A"/>
    <w:rsid w:val="009B1060"/>
    <w:rsid w:val="009B28E7"/>
    <w:rsid w:val="009B31B2"/>
    <w:rsid w:val="009B3FEA"/>
    <w:rsid w:val="009B474B"/>
    <w:rsid w:val="009B4C07"/>
    <w:rsid w:val="009B541B"/>
    <w:rsid w:val="009B63DE"/>
    <w:rsid w:val="009B732D"/>
    <w:rsid w:val="009C11E3"/>
    <w:rsid w:val="009C2375"/>
    <w:rsid w:val="009C243A"/>
    <w:rsid w:val="009C60A0"/>
    <w:rsid w:val="009C66BA"/>
    <w:rsid w:val="009C75D0"/>
    <w:rsid w:val="009D0481"/>
    <w:rsid w:val="009D0C8C"/>
    <w:rsid w:val="009D0E69"/>
    <w:rsid w:val="009D1E1F"/>
    <w:rsid w:val="009D2476"/>
    <w:rsid w:val="009D311B"/>
    <w:rsid w:val="009D3E47"/>
    <w:rsid w:val="009D3F11"/>
    <w:rsid w:val="009D452D"/>
    <w:rsid w:val="009D4AD6"/>
    <w:rsid w:val="009D516D"/>
    <w:rsid w:val="009D5377"/>
    <w:rsid w:val="009D72E9"/>
    <w:rsid w:val="009D756C"/>
    <w:rsid w:val="009E0720"/>
    <w:rsid w:val="009E0924"/>
    <w:rsid w:val="009E0F45"/>
    <w:rsid w:val="009E0F68"/>
    <w:rsid w:val="009E1005"/>
    <w:rsid w:val="009E1419"/>
    <w:rsid w:val="009E14F9"/>
    <w:rsid w:val="009E1639"/>
    <w:rsid w:val="009E16A7"/>
    <w:rsid w:val="009E1B4C"/>
    <w:rsid w:val="009E2EAC"/>
    <w:rsid w:val="009E3C60"/>
    <w:rsid w:val="009E460C"/>
    <w:rsid w:val="009E4A65"/>
    <w:rsid w:val="009E4B9D"/>
    <w:rsid w:val="009E549A"/>
    <w:rsid w:val="009E58BB"/>
    <w:rsid w:val="009E620E"/>
    <w:rsid w:val="009E712D"/>
    <w:rsid w:val="009E75C2"/>
    <w:rsid w:val="009F04B2"/>
    <w:rsid w:val="009F10E6"/>
    <w:rsid w:val="009F118B"/>
    <w:rsid w:val="009F1551"/>
    <w:rsid w:val="009F192E"/>
    <w:rsid w:val="009F1D1B"/>
    <w:rsid w:val="009F29DC"/>
    <w:rsid w:val="009F33FC"/>
    <w:rsid w:val="009F4637"/>
    <w:rsid w:val="009F5286"/>
    <w:rsid w:val="009F59A0"/>
    <w:rsid w:val="009F5DB1"/>
    <w:rsid w:val="009F5F69"/>
    <w:rsid w:val="009F66E7"/>
    <w:rsid w:val="009F76D6"/>
    <w:rsid w:val="009F77A9"/>
    <w:rsid w:val="00A00066"/>
    <w:rsid w:val="00A00BBA"/>
    <w:rsid w:val="00A00CA3"/>
    <w:rsid w:val="00A01903"/>
    <w:rsid w:val="00A01B74"/>
    <w:rsid w:val="00A021EE"/>
    <w:rsid w:val="00A02499"/>
    <w:rsid w:val="00A0283F"/>
    <w:rsid w:val="00A0296C"/>
    <w:rsid w:val="00A04642"/>
    <w:rsid w:val="00A04C1C"/>
    <w:rsid w:val="00A063EE"/>
    <w:rsid w:val="00A06D28"/>
    <w:rsid w:val="00A06D5D"/>
    <w:rsid w:val="00A07295"/>
    <w:rsid w:val="00A073CF"/>
    <w:rsid w:val="00A104CC"/>
    <w:rsid w:val="00A105EE"/>
    <w:rsid w:val="00A1065C"/>
    <w:rsid w:val="00A10AB9"/>
    <w:rsid w:val="00A10AD6"/>
    <w:rsid w:val="00A113BF"/>
    <w:rsid w:val="00A12784"/>
    <w:rsid w:val="00A12E42"/>
    <w:rsid w:val="00A130E3"/>
    <w:rsid w:val="00A14364"/>
    <w:rsid w:val="00A14EF6"/>
    <w:rsid w:val="00A1543B"/>
    <w:rsid w:val="00A16456"/>
    <w:rsid w:val="00A165C6"/>
    <w:rsid w:val="00A16C85"/>
    <w:rsid w:val="00A17696"/>
    <w:rsid w:val="00A200DB"/>
    <w:rsid w:val="00A20181"/>
    <w:rsid w:val="00A201EE"/>
    <w:rsid w:val="00A20E87"/>
    <w:rsid w:val="00A22732"/>
    <w:rsid w:val="00A24D43"/>
    <w:rsid w:val="00A25571"/>
    <w:rsid w:val="00A267C3"/>
    <w:rsid w:val="00A27335"/>
    <w:rsid w:val="00A30941"/>
    <w:rsid w:val="00A30A5D"/>
    <w:rsid w:val="00A31472"/>
    <w:rsid w:val="00A3155A"/>
    <w:rsid w:val="00A32534"/>
    <w:rsid w:val="00A32590"/>
    <w:rsid w:val="00A325CC"/>
    <w:rsid w:val="00A329BF"/>
    <w:rsid w:val="00A32F52"/>
    <w:rsid w:val="00A33161"/>
    <w:rsid w:val="00A34339"/>
    <w:rsid w:val="00A358DF"/>
    <w:rsid w:val="00A366FC"/>
    <w:rsid w:val="00A36AA7"/>
    <w:rsid w:val="00A37FB6"/>
    <w:rsid w:val="00A40297"/>
    <w:rsid w:val="00A40640"/>
    <w:rsid w:val="00A4095E"/>
    <w:rsid w:val="00A41388"/>
    <w:rsid w:val="00A41583"/>
    <w:rsid w:val="00A41751"/>
    <w:rsid w:val="00A41E54"/>
    <w:rsid w:val="00A43389"/>
    <w:rsid w:val="00A43DDB"/>
    <w:rsid w:val="00A43F10"/>
    <w:rsid w:val="00A440BE"/>
    <w:rsid w:val="00A4431B"/>
    <w:rsid w:val="00A44560"/>
    <w:rsid w:val="00A4464E"/>
    <w:rsid w:val="00A44671"/>
    <w:rsid w:val="00A44E3B"/>
    <w:rsid w:val="00A4567E"/>
    <w:rsid w:val="00A46B7B"/>
    <w:rsid w:val="00A50CF1"/>
    <w:rsid w:val="00A50DDD"/>
    <w:rsid w:val="00A51245"/>
    <w:rsid w:val="00A52656"/>
    <w:rsid w:val="00A52D69"/>
    <w:rsid w:val="00A532B0"/>
    <w:rsid w:val="00A539F6"/>
    <w:rsid w:val="00A53EF4"/>
    <w:rsid w:val="00A543A9"/>
    <w:rsid w:val="00A54EBB"/>
    <w:rsid w:val="00A55009"/>
    <w:rsid w:val="00A57BF6"/>
    <w:rsid w:val="00A57C78"/>
    <w:rsid w:val="00A60067"/>
    <w:rsid w:val="00A603F1"/>
    <w:rsid w:val="00A61C61"/>
    <w:rsid w:val="00A62458"/>
    <w:rsid w:val="00A63566"/>
    <w:rsid w:val="00A637D3"/>
    <w:rsid w:val="00A64C55"/>
    <w:rsid w:val="00A662B8"/>
    <w:rsid w:val="00A6688E"/>
    <w:rsid w:val="00A70C44"/>
    <w:rsid w:val="00A7132A"/>
    <w:rsid w:val="00A71457"/>
    <w:rsid w:val="00A718C9"/>
    <w:rsid w:val="00A71921"/>
    <w:rsid w:val="00A7210D"/>
    <w:rsid w:val="00A725AE"/>
    <w:rsid w:val="00A7263A"/>
    <w:rsid w:val="00A738B7"/>
    <w:rsid w:val="00A73FBF"/>
    <w:rsid w:val="00A760B4"/>
    <w:rsid w:val="00A76EB4"/>
    <w:rsid w:val="00A777B2"/>
    <w:rsid w:val="00A77A43"/>
    <w:rsid w:val="00A77C50"/>
    <w:rsid w:val="00A77D3C"/>
    <w:rsid w:val="00A77D70"/>
    <w:rsid w:val="00A804CB"/>
    <w:rsid w:val="00A817CA"/>
    <w:rsid w:val="00A81DE3"/>
    <w:rsid w:val="00A821AA"/>
    <w:rsid w:val="00A822FB"/>
    <w:rsid w:val="00A83B61"/>
    <w:rsid w:val="00A83BFD"/>
    <w:rsid w:val="00A84212"/>
    <w:rsid w:val="00A85056"/>
    <w:rsid w:val="00A9119C"/>
    <w:rsid w:val="00A92922"/>
    <w:rsid w:val="00A9346A"/>
    <w:rsid w:val="00A941AE"/>
    <w:rsid w:val="00A94F2F"/>
    <w:rsid w:val="00A953A1"/>
    <w:rsid w:val="00A95DA6"/>
    <w:rsid w:val="00A96497"/>
    <w:rsid w:val="00A967CB"/>
    <w:rsid w:val="00A96924"/>
    <w:rsid w:val="00A96ACD"/>
    <w:rsid w:val="00A9703B"/>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5208"/>
    <w:rsid w:val="00AB5238"/>
    <w:rsid w:val="00AB5772"/>
    <w:rsid w:val="00AB69FD"/>
    <w:rsid w:val="00AB6B92"/>
    <w:rsid w:val="00AB6DC0"/>
    <w:rsid w:val="00AB7664"/>
    <w:rsid w:val="00AB787E"/>
    <w:rsid w:val="00AB7A6D"/>
    <w:rsid w:val="00AC0A2D"/>
    <w:rsid w:val="00AC15C0"/>
    <w:rsid w:val="00AC1DC0"/>
    <w:rsid w:val="00AC1F74"/>
    <w:rsid w:val="00AC206E"/>
    <w:rsid w:val="00AC29A5"/>
    <w:rsid w:val="00AC367E"/>
    <w:rsid w:val="00AC394D"/>
    <w:rsid w:val="00AC3ABC"/>
    <w:rsid w:val="00AC4396"/>
    <w:rsid w:val="00AC57F9"/>
    <w:rsid w:val="00AC647D"/>
    <w:rsid w:val="00AC65C1"/>
    <w:rsid w:val="00AC6632"/>
    <w:rsid w:val="00AC7142"/>
    <w:rsid w:val="00AD070F"/>
    <w:rsid w:val="00AD279C"/>
    <w:rsid w:val="00AD3A86"/>
    <w:rsid w:val="00AD407D"/>
    <w:rsid w:val="00AD46A1"/>
    <w:rsid w:val="00AD476E"/>
    <w:rsid w:val="00AD5CC7"/>
    <w:rsid w:val="00AD6699"/>
    <w:rsid w:val="00AD69B7"/>
    <w:rsid w:val="00AD73BF"/>
    <w:rsid w:val="00AD741C"/>
    <w:rsid w:val="00AD7520"/>
    <w:rsid w:val="00AD7D7F"/>
    <w:rsid w:val="00AD7F51"/>
    <w:rsid w:val="00AE04CF"/>
    <w:rsid w:val="00AE09CA"/>
    <w:rsid w:val="00AE0AD8"/>
    <w:rsid w:val="00AE11C1"/>
    <w:rsid w:val="00AE1353"/>
    <w:rsid w:val="00AE1424"/>
    <w:rsid w:val="00AE1A2A"/>
    <w:rsid w:val="00AE1BB4"/>
    <w:rsid w:val="00AE2300"/>
    <w:rsid w:val="00AE299B"/>
    <w:rsid w:val="00AE4990"/>
    <w:rsid w:val="00AE4C23"/>
    <w:rsid w:val="00AE556B"/>
    <w:rsid w:val="00AE59A0"/>
    <w:rsid w:val="00AE5CDF"/>
    <w:rsid w:val="00AE5F32"/>
    <w:rsid w:val="00AE7014"/>
    <w:rsid w:val="00AE7403"/>
    <w:rsid w:val="00AE7E86"/>
    <w:rsid w:val="00AF057D"/>
    <w:rsid w:val="00AF2B82"/>
    <w:rsid w:val="00AF348F"/>
    <w:rsid w:val="00AF3934"/>
    <w:rsid w:val="00AF4DBC"/>
    <w:rsid w:val="00AF50A1"/>
    <w:rsid w:val="00AF63FA"/>
    <w:rsid w:val="00AF6B78"/>
    <w:rsid w:val="00AF6BBC"/>
    <w:rsid w:val="00AF76E2"/>
    <w:rsid w:val="00B00138"/>
    <w:rsid w:val="00B01125"/>
    <w:rsid w:val="00B01445"/>
    <w:rsid w:val="00B01D06"/>
    <w:rsid w:val="00B01E2D"/>
    <w:rsid w:val="00B01FEA"/>
    <w:rsid w:val="00B02815"/>
    <w:rsid w:val="00B04319"/>
    <w:rsid w:val="00B05385"/>
    <w:rsid w:val="00B05B06"/>
    <w:rsid w:val="00B06280"/>
    <w:rsid w:val="00B07242"/>
    <w:rsid w:val="00B07B96"/>
    <w:rsid w:val="00B07C96"/>
    <w:rsid w:val="00B10064"/>
    <w:rsid w:val="00B10D3D"/>
    <w:rsid w:val="00B10FA2"/>
    <w:rsid w:val="00B11915"/>
    <w:rsid w:val="00B1275C"/>
    <w:rsid w:val="00B12A9C"/>
    <w:rsid w:val="00B131BB"/>
    <w:rsid w:val="00B132DB"/>
    <w:rsid w:val="00B137A1"/>
    <w:rsid w:val="00B146B1"/>
    <w:rsid w:val="00B15097"/>
    <w:rsid w:val="00B151F7"/>
    <w:rsid w:val="00B15991"/>
    <w:rsid w:val="00B15F10"/>
    <w:rsid w:val="00B1604B"/>
    <w:rsid w:val="00B176F3"/>
    <w:rsid w:val="00B17AD2"/>
    <w:rsid w:val="00B17C6C"/>
    <w:rsid w:val="00B204CF"/>
    <w:rsid w:val="00B21F9C"/>
    <w:rsid w:val="00B22566"/>
    <w:rsid w:val="00B225E2"/>
    <w:rsid w:val="00B2286E"/>
    <w:rsid w:val="00B22FF4"/>
    <w:rsid w:val="00B23E25"/>
    <w:rsid w:val="00B24889"/>
    <w:rsid w:val="00B24F67"/>
    <w:rsid w:val="00B25510"/>
    <w:rsid w:val="00B264B0"/>
    <w:rsid w:val="00B26C42"/>
    <w:rsid w:val="00B27662"/>
    <w:rsid w:val="00B30670"/>
    <w:rsid w:val="00B31530"/>
    <w:rsid w:val="00B3160D"/>
    <w:rsid w:val="00B316DA"/>
    <w:rsid w:val="00B31E3F"/>
    <w:rsid w:val="00B32686"/>
    <w:rsid w:val="00B33945"/>
    <w:rsid w:val="00B341C8"/>
    <w:rsid w:val="00B366C7"/>
    <w:rsid w:val="00B376B7"/>
    <w:rsid w:val="00B37D27"/>
    <w:rsid w:val="00B37FF7"/>
    <w:rsid w:val="00B415B0"/>
    <w:rsid w:val="00B41C54"/>
    <w:rsid w:val="00B41DF2"/>
    <w:rsid w:val="00B43D37"/>
    <w:rsid w:val="00B44878"/>
    <w:rsid w:val="00B4583E"/>
    <w:rsid w:val="00B45C5D"/>
    <w:rsid w:val="00B45CED"/>
    <w:rsid w:val="00B46E02"/>
    <w:rsid w:val="00B47330"/>
    <w:rsid w:val="00B47F01"/>
    <w:rsid w:val="00B500A0"/>
    <w:rsid w:val="00B50478"/>
    <w:rsid w:val="00B50A8C"/>
    <w:rsid w:val="00B51654"/>
    <w:rsid w:val="00B518E7"/>
    <w:rsid w:val="00B51E24"/>
    <w:rsid w:val="00B52EAC"/>
    <w:rsid w:val="00B534DA"/>
    <w:rsid w:val="00B53C36"/>
    <w:rsid w:val="00B53F13"/>
    <w:rsid w:val="00B54057"/>
    <w:rsid w:val="00B55419"/>
    <w:rsid w:val="00B55718"/>
    <w:rsid w:val="00B55A71"/>
    <w:rsid w:val="00B56152"/>
    <w:rsid w:val="00B5666E"/>
    <w:rsid w:val="00B57761"/>
    <w:rsid w:val="00B57E40"/>
    <w:rsid w:val="00B61810"/>
    <w:rsid w:val="00B6322E"/>
    <w:rsid w:val="00B63678"/>
    <w:rsid w:val="00B64F36"/>
    <w:rsid w:val="00B67356"/>
    <w:rsid w:val="00B67465"/>
    <w:rsid w:val="00B708F6"/>
    <w:rsid w:val="00B7094B"/>
    <w:rsid w:val="00B70BA5"/>
    <w:rsid w:val="00B71814"/>
    <w:rsid w:val="00B71B34"/>
    <w:rsid w:val="00B71BD1"/>
    <w:rsid w:val="00B720B0"/>
    <w:rsid w:val="00B73442"/>
    <w:rsid w:val="00B73783"/>
    <w:rsid w:val="00B7649F"/>
    <w:rsid w:val="00B7675D"/>
    <w:rsid w:val="00B771B0"/>
    <w:rsid w:val="00B77423"/>
    <w:rsid w:val="00B775B3"/>
    <w:rsid w:val="00B779CE"/>
    <w:rsid w:val="00B81CB9"/>
    <w:rsid w:val="00B81D30"/>
    <w:rsid w:val="00B845C4"/>
    <w:rsid w:val="00B85CCD"/>
    <w:rsid w:val="00B86C7E"/>
    <w:rsid w:val="00B87B14"/>
    <w:rsid w:val="00B91167"/>
    <w:rsid w:val="00B92228"/>
    <w:rsid w:val="00B93D37"/>
    <w:rsid w:val="00B93F32"/>
    <w:rsid w:val="00B94943"/>
    <w:rsid w:val="00B94CAF"/>
    <w:rsid w:val="00B95034"/>
    <w:rsid w:val="00B95C5D"/>
    <w:rsid w:val="00B96583"/>
    <w:rsid w:val="00BA12D8"/>
    <w:rsid w:val="00BA1C19"/>
    <w:rsid w:val="00BA2280"/>
    <w:rsid w:val="00BA38A4"/>
    <w:rsid w:val="00BA38AF"/>
    <w:rsid w:val="00BA3F05"/>
    <w:rsid w:val="00BA5F92"/>
    <w:rsid w:val="00BA63E9"/>
    <w:rsid w:val="00BB0902"/>
    <w:rsid w:val="00BB1444"/>
    <w:rsid w:val="00BB1AB9"/>
    <w:rsid w:val="00BB29EE"/>
    <w:rsid w:val="00BB2A80"/>
    <w:rsid w:val="00BB3168"/>
    <w:rsid w:val="00BB393B"/>
    <w:rsid w:val="00BB46C1"/>
    <w:rsid w:val="00BB4C9E"/>
    <w:rsid w:val="00BB50E4"/>
    <w:rsid w:val="00BB53C5"/>
    <w:rsid w:val="00BB62D1"/>
    <w:rsid w:val="00BB6FFE"/>
    <w:rsid w:val="00BC0583"/>
    <w:rsid w:val="00BC25A7"/>
    <w:rsid w:val="00BC2708"/>
    <w:rsid w:val="00BC29D0"/>
    <w:rsid w:val="00BC2D3A"/>
    <w:rsid w:val="00BC2EC4"/>
    <w:rsid w:val="00BC38EC"/>
    <w:rsid w:val="00BC3B8B"/>
    <w:rsid w:val="00BC3E9F"/>
    <w:rsid w:val="00BC45BE"/>
    <w:rsid w:val="00BC5CF7"/>
    <w:rsid w:val="00BC7049"/>
    <w:rsid w:val="00BC7D50"/>
    <w:rsid w:val="00BD0611"/>
    <w:rsid w:val="00BD1F2A"/>
    <w:rsid w:val="00BD41CC"/>
    <w:rsid w:val="00BD42C6"/>
    <w:rsid w:val="00BD436C"/>
    <w:rsid w:val="00BD4763"/>
    <w:rsid w:val="00BD4DB8"/>
    <w:rsid w:val="00BD564B"/>
    <w:rsid w:val="00BD5A74"/>
    <w:rsid w:val="00BD65EE"/>
    <w:rsid w:val="00BD6760"/>
    <w:rsid w:val="00BE06FB"/>
    <w:rsid w:val="00BE0830"/>
    <w:rsid w:val="00BE0D54"/>
    <w:rsid w:val="00BE0DAF"/>
    <w:rsid w:val="00BE293B"/>
    <w:rsid w:val="00BE2B43"/>
    <w:rsid w:val="00BE2C4D"/>
    <w:rsid w:val="00BE48D5"/>
    <w:rsid w:val="00BE4CA7"/>
    <w:rsid w:val="00BE74C8"/>
    <w:rsid w:val="00BE76CC"/>
    <w:rsid w:val="00BF26E5"/>
    <w:rsid w:val="00BF3CAA"/>
    <w:rsid w:val="00BF3E79"/>
    <w:rsid w:val="00BF4BFB"/>
    <w:rsid w:val="00BF5A66"/>
    <w:rsid w:val="00BF6102"/>
    <w:rsid w:val="00BF65C0"/>
    <w:rsid w:val="00BF6754"/>
    <w:rsid w:val="00BF77CE"/>
    <w:rsid w:val="00C00566"/>
    <w:rsid w:val="00C016FC"/>
    <w:rsid w:val="00C01A20"/>
    <w:rsid w:val="00C0333D"/>
    <w:rsid w:val="00C0385C"/>
    <w:rsid w:val="00C03955"/>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B2F"/>
    <w:rsid w:val="00C1570C"/>
    <w:rsid w:val="00C15EF9"/>
    <w:rsid w:val="00C163AB"/>
    <w:rsid w:val="00C165A2"/>
    <w:rsid w:val="00C171A6"/>
    <w:rsid w:val="00C17E30"/>
    <w:rsid w:val="00C17E6E"/>
    <w:rsid w:val="00C2069E"/>
    <w:rsid w:val="00C20FFF"/>
    <w:rsid w:val="00C22275"/>
    <w:rsid w:val="00C23509"/>
    <w:rsid w:val="00C23CD1"/>
    <w:rsid w:val="00C242FD"/>
    <w:rsid w:val="00C244C5"/>
    <w:rsid w:val="00C24D53"/>
    <w:rsid w:val="00C254A4"/>
    <w:rsid w:val="00C259E6"/>
    <w:rsid w:val="00C261F3"/>
    <w:rsid w:val="00C2688D"/>
    <w:rsid w:val="00C2742D"/>
    <w:rsid w:val="00C27ECC"/>
    <w:rsid w:val="00C303B9"/>
    <w:rsid w:val="00C30A56"/>
    <w:rsid w:val="00C31199"/>
    <w:rsid w:val="00C31C95"/>
    <w:rsid w:val="00C323BA"/>
    <w:rsid w:val="00C32749"/>
    <w:rsid w:val="00C332EE"/>
    <w:rsid w:val="00C35882"/>
    <w:rsid w:val="00C35A5F"/>
    <w:rsid w:val="00C35AC6"/>
    <w:rsid w:val="00C35E33"/>
    <w:rsid w:val="00C36185"/>
    <w:rsid w:val="00C366F2"/>
    <w:rsid w:val="00C36CA7"/>
    <w:rsid w:val="00C3724C"/>
    <w:rsid w:val="00C406DE"/>
    <w:rsid w:val="00C41503"/>
    <w:rsid w:val="00C42657"/>
    <w:rsid w:val="00C426DC"/>
    <w:rsid w:val="00C43017"/>
    <w:rsid w:val="00C43B27"/>
    <w:rsid w:val="00C44F7A"/>
    <w:rsid w:val="00C4548E"/>
    <w:rsid w:val="00C46A33"/>
    <w:rsid w:val="00C477BC"/>
    <w:rsid w:val="00C47985"/>
    <w:rsid w:val="00C50E31"/>
    <w:rsid w:val="00C51936"/>
    <w:rsid w:val="00C519CA"/>
    <w:rsid w:val="00C52A01"/>
    <w:rsid w:val="00C53B86"/>
    <w:rsid w:val="00C54396"/>
    <w:rsid w:val="00C54686"/>
    <w:rsid w:val="00C54D88"/>
    <w:rsid w:val="00C553F1"/>
    <w:rsid w:val="00C55F74"/>
    <w:rsid w:val="00C56F55"/>
    <w:rsid w:val="00C60839"/>
    <w:rsid w:val="00C61338"/>
    <w:rsid w:val="00C62F4A"/>
    <w:rsid w:val="00C63849"/>
    <w:rsid w:val="00C64612"/>
    <w:rsid w:val="00C65099"/>
    <w:rsid w:val="00C66BAA"/>
    <w:rsid w:val="00C67589"/>
    <w:rsid w:val="00C71594"/>
    <w:rsid w:val="00C71BA0"/>
    <w:rsid w:val="00C71CE1"/>
    <w:rsid w:val="00C71D36"/>
    <w:rsid w:val="00C72268"/>
    <w:rsid w:val="00C734E5"/>
    <w:rsid w:val="00C73674"/>
    <w:rsid w:val="00C74040"/>
    <w:rsid w:val="00C745D6"/>
    <w:rsid w:val="00C7581B"/>
    <w:rsid w:val="00C75E98"/>
    <w:rsid w:val="00C7685F"/>
    <w:rsid w:val="00C80B8D"/>
    <w:rsid w:val="00C80C13"/>
    <w:rsid w:val="00C80E3A"/>
    <w:rsid w:val="00C81655"/>
    <w:rsid w:val="00C8166E"/>
    <w:rsid w:val="00C8186C"/>
    <w:rsid w:val="00C81C12"/>
    <w:rsid w:val="00C82288"/>
    <w:rsid w:val="00C828B9"/>
    <w:rsid w:val="00C829E4"/>
    <w:rsid w:val="00C82D71"/>
    <w:rsid w:val="00C82EFA"/>
    <w:rsid w:val="00C83190"/>
    <w:rsid w:val="00C83C5C"/>
    <w:rsid w:val="00C844C9"/>
    <w:rsid w:val="00C867D9"/>
    <w:rsid w:val="00C87EAE"/>
    <w:rsid w:val="00C9198E"/>
    <w:rsid w:val="00C927FE"/>
    <w:rsid w:val="00C9296B"/>
    <w:rsid w:val="00C92AED"/>
    <w:rsid w:val="00C92F22"/>
    <w:rsid w:val="00C932C6"/>
    <w:rsid w:val="00C93ABE"/>
    <w:rsid w:val="00C944E2"/>
    <w:rsid w:val="00C95293"/>
    <w:rsid w:val="00C9554F"/>
    <w:rsid w:val="00C95F5A"/>
    <w:rsid w:val="00C96645"/>
    <w:rsid w:val="00C96F54"/>
    <w:rsid w:val="00C97AE6"/>
    <w:rsid w:val="00CA0B61"/>
    <w:rsid w:val="00CA0D7D"/>
    <w:rsid w:val="00CA1E39"/>
    <w:rsid w:val="00CA27DA"/>
    <w:rsid w:val="00CA3158"/>
    <w:rsid w:val="00CA32C0"/>
    <w:rsid w:val="00CA33EE"/>
    <w:rsid w:val="00CA3849"/>
    <w:rsid w:val="00CA47DE"/>
    <w:rsid w:val="00CA4942"/>
    <w:rsid w:val="00CA4E0C"/>
    <w:rsid w:val="00CA60C5"/>
    <w:rsid w:val="00CA6ED4"/>
    <w:rsid w:val="00CA7B06"/>
    <w:rsid w:val="00CB040A"/>
    <w:rsid w:val="00CB07C1"/>
    <w:rsid w:val="00CB0D07"/>
    <w:rsid w:val="00CB15DB"/>
    <w:rsid w:val="00CB22C0"/>
    <w:rsid w:val="00CB37F1"/>
    <w:rsid w:val="00CB4083"/>
    <w:rsid w:val="00CB426C"/>
    <w:rsid w:val="00CB5096"/>
    <w:rsid w:val="00CB5755"/>
    <w:rsid w:val="00CB6140"/>
    <w:rsid w:val="00CB6E25"/>
    <w:rsid w:val="00CB7049"/>
    <w:rsid w:val="00CB71D1"/>
    <w:rsid w:val="00CB7B06"/>
    <w:rsid w:val="00CC0900"/>
    <w:rsid w:val="00CC1D7A"/>
    <w:rsid w:val="00CC1F7A"/>
    <w:rsid w:val="00CC2252"/>
    <w:rsid w:val="00CC424D"/>
    <w:rsid w:val="00CC4689"/>
    <w:rsid w:val="00CC4947"/>
    <w:rsid w:val="00CC6D2D"/>
    <w:rsid w:val="00CC6E59"/>
    <w:rsid w:val="00CC6EE5"/>
    <w:rsid w:val="00CD0872"/>
    <w:rsid w:val="00CD0938"/>
    <w:rsid w:val="00CD0B96"/>
    <w:rsid w:val="00CD0E57"/>
    <w:rsid w:val="00CD1107"/>
    <w:rsid w:val="00CD1485"/>
    <w:rsid w:val="00CD161F"/>
    <w:rsid w:val="00CD21E2"/>
    <w:rsid w:val="00CD2A7B"/>
    <w:rsid w:val="00CD422E"/>
    <w:rsid w:val="00CD538B"/>
    <w:rsid w:val="00CD653B"/>
    <w:rsid w:val="00CD6C42"/>
    <w:rsid w:val="00CD7F56"/>
    <w:rsid w:val="00CE14C2"/>
    <w:rsid w:val="00CE1A62"/>
    <w:rsid w:val="00CE1E9D"/>
    <w:rsid w:val="00CE254C"/>
    <w:rsid w:val="00CE2F5C"/>
    <w:rsid w:val="00CE34C7"/>
    <w:rsid w:val="00CE39FA"/>
    <w:rsid w:val="00CE4DE1"/>
    <w:rsid w:val="00CE538D"/>
    <w:rsid w:val="00CE5899"/>
    <w:rsid w:val="00CE64FD"/>
    <w:rsid w:val="00CE6661"/>
    <w:rsid w:val="00CE6E02"/>
    <w:rsid w:val="00CE70F5"/>
    <w:rsid w:val="00CE7261"/>
    <w:rsid w:val="00CF05BE"/>
    <w:rsid w:val="00CF0C2A"/>
    <w:rsid w:val="00CF1D4B"/>
    <w:rsid w:val="00CF2B2F"/>
    <w:rsid w:val="00CF31F5"/>
    <w:rsid w:val="00CF39AC"/>
    <w:rsid w:val="00CF3E71"/>
    <w:rsid w:val="00CF5000"/>
    <w:rsid w:val="00CF51E7"/>
    <w:rsid w:val="00CF5A5A"/>
    <w:rsid w:val="00CF7657"/>
    <w:rsid w:val="00CF79C0"/>
    <w:rsid w:val="00D03012"/>
    <w:rsid w:val="00D03884"/>
    <w:rsid w:val="00D039CD"/>
    <w:rsid w:val="00D057A2"/>
    <w:rsid w:val="00D05840"/>
    <w:rsid w:val="00D05AA9"/>
    <w:rsid w:val="00D06164"/>
    <w:rsid w:val="00D069E4"/>
    <w:rsid w:val="00D076A4"/>
    <w:rsid w:val="00D07A0E"/>
    <w:rsid w:val="00D10351"/>
    <w:rsid w:val="00D10893"/>
    <w:rsid w:val="00D10D58"/>
    <w:rsid w:val="00D118DE"/>
    <w:rsid w:val="00D12477"/>
    <w:rsid w:val="00D12D8C"/>
    <w:rsid w:val="00D130C8"/>
    <w:rsid w:val="00D144E2"/>
    <w:rsid w:val="00D1532A"/>
    <w:rsid w:val="00D15C3F"/>
    <w:rsid w:val="00D1707C"/>
    <w:rsid w:val="00D17F0E"/>
    <w:rsid w:val="00D205D7"/>
    <w:rsid w:val="00D20C15"/>
    <w:rsid w:val="00D20E37"/>
    <w:rsid w:val="00D214DD"/>
    <w:rsid w:val="00D21607"/>
    <w:rsid w:val="00D21932"/>
    <w:rsid w:val="00D25661"/>
    <w:rsid w:val="00D2568E"/>
    <w:rsid w:val="00D264B0"/>
    <w:rsid w:val="00D30DFB"/>
    <w:rsid w:val="00D31243"/>
    <w:rsid w:val="00D31BF4"/>
    <w:rsid w:val="00D3265B"/>
    <w:rsid w:val="00D32C2D"/>
    <w:rsid w:val="00D33CF0"/>
    <w:rsid w:val="00D34681"/>
    <w:rsid w:val="00D3488E"/>
    <w:rsid w:val="00D348F1"/>
    <w:rsid w:val="00D34C22"/>
    <w:rsid w:val="00D34E4E"/>
    <w:rsid w:val="00D34F68"/>
    <w:rsid w:val="00D352E2"/>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6400"/>
    <w:rsid w:val="00D47B89"/>
    <w:rsid w:val="00D50D45"/>
    <w:rsid w:val="00D51412"/>
    <w:rsid w:val="00D52350"/>
    <w:rsid w:val="00D52A7A"/>
    <w:rsid w:val="00D52FBE"/>
    <w:rsid w:val="00D532CA"/>
    <w:rsid w:val="00D546D8"/>
    <w:rsid w:val="00D54A19"/>
    <w:rsid w:val="00D550C9"/>
    <w:rsid w:val="00D56676"/>
    <w:rsid w:val="00D56B52"/>
    <w:rsid w:val="00D56C78"/>
    <w:rsid w:val="00D56F3B"/>
    <w:rsid w:val="00D576F8"/>
    <w:rsid w:val="00D579A1"/>
    <w:rsid w:val="00D60D92"/>
    <w:rsid w:val="00D612AF"/>
    <w:rsid w:val="00D61BCF"/>
    <w:rsid w:val="00D62147"/>
    <w:rsid w:val="00D6222A"/>
    <w:rsid w:val="00D62B35"/>
    <w:rsid w:val="00D62CC8"/>
    <w:rsid w:val="00D62CF8"/>
    <w:rsid w:val="00D62DFC"/>
    <w:rsid w:val="00D63DFD"/>
    <w:rsid w:val="00D65509"/>
    <w:rsid w:val="00D6619E"/>
    <w:rsid w:val="00D67B72"/>
    <w:rsid w:val="00D67BF7"/>
    <w:rsid w:val="00D703DA"/>
    <w:rsid w:val="00D70D07"/>
    <w:rsid w:val="00D715D9"/>
    <w:rsid w:val="00D725F7"/>
    <w:rsid w:val="00D72FEC"/>
    <w:rsid w:val="00D7305A"/>
    <w:rsid w:val="00D739FD"/>
    <w:rsid w:val="00D744B2"/>
    <w:rsid w:val="00D74548"/>
    <w:rsid w:val="00D75CE1"/>
    <w:rsid w:val="00D7629E"/>
    <w:rsid w:val="00D763D0"/>
    <w:rsid w:val="00D76673"/>
    <w:rsid w:val="00D7683C"/>
    <w:rsid w:val="00D81563"/>
    <w:rsid w:val="00D824B5"/>
    <w:rsid w:val="00D833FA"/>
    <w:rsid w:val="00D8397A"/>
    <w:rsid w:val="00D841BE"/>
    <w:rsid w:val="00D84E10"/>
    <w:rsid w:val="00D84EA9"/>
    <w:rsid w:val="00D8561E"/>
    <w:rsid w:val="00D8587D"/>
    <w:rsid w:val="00D86289"/>
    <w:rsid w:val="00D86F8A"/>
    <w:rsid w:val="00D90F2E"/>
    <w:rsid w:val="00D91499"/>
    <w:rsid w:val="00D922EC"/>
    <w:rsid w:val="00D92A4A"/>
    <w:rsid w:val="00D9515B"/>
    <w:rsid w:val="00D97F6A"/>
    <w:rsid w:val="00DA1249"/>
    <w:rsid w:val="00DA1C6F"/>
    <w:rsid w:val="00DA1DD9"/>
    <w:rsid w:val="00DA3377"/>
    <w:rsid w:val="00DA3735"/>
    <w:rsid w:val="00DA37FC"/>
    <w:rsid w:val="00DA43F0"/>
    <w:rsid w:val="00DA4586"/>
    <w:rsid w:val="00DA5007"/>
    <w:rsid w:val="00DA71F3"/>
    <w:rsid w:val="00DA798B"/>
    <w:rsid w:val="00DA7B83"/>
    <w:rsid w:val="00DA7CFB"/>
    <w:rsid w:val="00DA7F66"/>
    <w:rsid w:val="00DB0610"/>
    <w:rsid w:val="00DB09BF"/>
    <w:rsid w:val="00DB1213"/>
    <w:rsid w:val="00DB2F31"/>
    <w:rsid w:val="00DB3865"/>
    <w:rsid w:val="00DB4ECE"/>
    <w:rsid w:val="00DB502E"/>
    <w:rsid w:val="00DB5D05"/>
    <w:rsid w:val="00DB5EB3"/>
    <w:rsid w:val="00DB66C8"/>
    <w:rsid w:val="00DB6B45"/>
    <w:rsid w:val="00DB6F74"/>
    <w:rsid w:val="00DB7075"/>
    <w:rsid w:val="00DB7ED7"/>
    <w:rsid w:val="00DC0114"/>
    <w:rsid w:val="00DC0260"/>
    <w:rsid w:val="00DC0796"/>
    <w:rsid w:val="00DC147E"/>
    <w:rsid w:val="00DC211B"/>
    <w:rsid w:val="00DC244E"/>
    <w:rsid w:val="00DC25E3"/>
    <w:rsid w:val="00DC30AC"/>
    <w:rsid w:val="00DC3894"/>
    <w:rsid w:val="00DC3E87"/>
    <w:rsid w:val="00DC3FAD"/>
    <w:rsid w:val="00DC4011"/>
    <w:rsid w:val="00DC47CA"/>
    <w:rsid w:val="00DC55C0"/>
    <w:rsid w:val="00DC574C"/>
    <w:rsid w:val="00DC642B"/>
    <w:rsid w:val="00DC670C"/>
    <w:rsid w:val="00DC6FE5"/>
    <w:rsid w:val="00DC775A"/>
    <w:rsid w:val="00DD07D4"/>
    <w:rsid w:val="00DD09D6"/>
    <w:rsid w:val="00DD0A86"/>
    <w:rsid w:val="00DD1B26"/>
    <w:rsid w:val="00DD1BB9"/>
    <w:rsid w:val="00DD2E7C"/>
    <w:rsid w:val="00DD33A0"/>
    <w:rsid w:val="00DD386B"/>
    <w:rsid w:val="00DD3B66"/>
    <w:rsid w:val="00DD472A"/>
    <w:rsid w:val="00DD5192"/>
    <w:rsid w:val="00DD5610"/>
    <w:rsid w:val="00DD5A1E"/>
    <w:rsid w:val="00DD5C40"/>
    <w:rsid w:val="00DD702F"/>
    <w:rsid w:val="00DD7244"/>
    <w:rsid w:val="00DE1100"/>
    <w:rsid w:val="00DE1672"/>
    <w:rsid w:val="00DE18FB"/>
    <w:rsid w:val="00DE2D0E"/>
    <w:rsid w:val="00DE31F7"/>
    <w:rsid w:val="00DE4B55"/>
    <w:rsid w:val="00DE4D27"/>
    <w:rsid w:val="00DE4FFF"/>
    <w:rsid w:val="00DE5449"/>
    <w:rsid w:val="00DE5AD5"/>
    <w:rsid w:val="00DE6725"/>
    <w:rsid w:val="00DE68B7"/>
    <w:rsid w:val="00DE69F2"/>
    <w:rsid w:val="00DE75C0"/>
    <w:rsid w:val="00DF05DB"/>
    <w:rsid w:val="00DF32FA"/>
    <w:rsid w:val="00DF38DC"/>
    <w:rsid w:val="00DF3AD8"/>
    <w:rsid w:val="00DF4B67"/>
    <w:rsid w:val="00DF60EA"/>
    <w:rsid w:val="00DF641D"/>
    <w:rsid w:val="00DF6878"/>
    <w:rsid w:val="00DF6F68"/>
    <w:rsid w:val="00DF72D6"/>
    <w:rsid w:val="00DF758D"/>
    <w:rsid w:val="00DF77EB"/>
    <w:rsid w:val="00DF7902"/>
    <w:rsid w:val="00DF7C84"/>
    <w:rsid w:val="00E00EDC"/>
    <w:rsid w:val="00E0249C"/>
    <w:rsid w:val="00E0261C"/>
    <w:rsid w:val="00E02D12"/>
    <w:rsid w:val="00E02D38"/>
    <w:rsid w:val="00E03B2C"/>
    <w:rsid w:val="00E03C04"/>
    <w:rsid w:val="00E03D9C"/>
    <w:rsid w:val="00E045EE"/>
    <w:rsid w:val="00E04FAE"/>
    <w:rsid w:val="00E057C3"/>
    <w:rsid w:val="00E10001"/>
    <w:rsid w:val="00E1052E"/>
    <w:rsid w:val="00E10BC1"/>
    <w:rsid w:val="00E10C20"/>
    <w:rsid w:val="00E10FC6"/>
    <w:rsid w:val="00E11DA2"/>
    <w:rsid w:val="00E11F4C"/>
    <w:rsid w:val="00E120F1"/>
    <w:rsid w:val="00E133CA"/>
    <w:rsid w:val="00E1343F"/>
    <w:rsid w:val="00E136D0"/>
    <w:rsid w:val="00E13975"/>
    <w:rsid w:val="00E14616"/>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706"/>
    <w:rsid w:val="00E250D7"/>
    <w:rsid w:val="00E25916"/>
    <w:rsid w:val="00E2620B"/>
    <w:rsid w:val="00E26477"/>
    <w:rsid w:val="00E30387"/>
    <w:rsid w:val="00E311BC"/>
    <w:rsid w:val="00E329D5"/>
    <w:rsid w:val="00E334AB"/>
    <w:rsid w:val="00E340C6"/>
    <w:rsid w:val="00E34422"/>
    <w:rsid w:val="00E34908"/>
    <w:rsid w:val="00E35A87"/>
    <w:rsid w:val="00E35D21"/>
    <w:rsid w:val="00E369F1"/>
    <w:rsid w:val="00E36FDC"/>
    <w:rsid w:val="00E37475"/>
    <w:rsid w:val="00E37DD2"/>
    <w:rsid w:val="00E4007D"/>
    <w:rsid w:val="00E40131"/>
    <w:rsid w:val="00E40AC6"/>
    <w:rsid w:val="00E413D5"/>
    <w:rsid w:val="00E41770"/>
    <w:rsid w:val="00E44691"/>
    <w:rsid w:val="00E44A70"/>
    <w:rsid w:val="00E45618"/>
    <w:rsid w:val="00E4625D"/>
    <w:rsid w:val="00E465B3"/>
    <w:rsid w:val="00E46E99"/>
    <w:rsid w:val="00E4792A"/>
    <w:rsid w:val="00E504D5"/>
    <w:rsid w:val="00E50C82"/>
    <w:rsid w:val="00E523D9"/>
    <w:rsid w:val="00E52928"/>
    <w:rsid w:val="00E549DD"/>
    <w:rsid w:val="00E54D73"/>
    <w:rsid w:val="00E55255"/>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FB9"/>
    <w:rsid w:val="00E664EA"/>
    <w:rsid w:val="00E66C85"/>
    <w:rsid w:val="00E6700B"/>
    <w:rsid w:val="00E70233"/>
    <w:rsid w:val="00E7085F"/>
    <w:rsid w:val="00E714E2"/>
    <w:rsid w:val="00E71984"/>
    <w:rsid w:val="00E733D5"/>
    <w:rsid w:val="00E73C49"/>
    <w:rsid w:val="00E74002"/>
    <w:rsid w:val="00E7437D"/>
    <w:rsid w:val="00E751EF"/>
    <w:rsid w:val="00E75454"/>
    <w:rsid w:val="00E75E5D"/>
    <w:rsid w:val="00E75F85"/>
    <w:rsid w:val="00E77079"/>
    <w:rsid w:val="00E77F3A"/>
    <w:rsid w:val="00E80845"/>
    <w:rsid w:val="00E810FA"/>
    <w:rsid w:val="00E815E3"/>
    <w:rsid w:val="00E81732"/>
    <w:rsid w:val="00E81E52"/>
    <w:rsid w:val="00E82D07"/>
    <w:rsid w:val="00E84074"/>
    <w:rsid w:val="00E84F4E"/>
    <w:rsid w:val="00E858D9"/>
    <w:rsid w:val="00E86212"/>
    <w:rsid w:val="00E86369"/>
    <w:rsid w:val="00E86A52"/>
    <w:rsid w:val="00E86B94"/>
    <w:rsid w:val="00E876CA"/>
    <w:rsid w:val="00E90849"/>
    <w:rsid w:val="00E90B30"/>
    <w:rsid w:val="00E90C45"/>
    <w:rsid w:val="00E91D7C"/>
    <w:rsid w:val="00E93C1B"/>
    <w:rsid w:val="00E93F92"/>
    <w:rsid w:val="00E94439"/>
    <w:rsid w:val="00E95588"/>
    <w:rsid w:val="00E971BE"/>
    <w:rsid w:val="00EA004C"/>
    <w:rsid w:val="00EA01DB"/>
    <w:rsid w:val="00EA0759"/>
    <w:rsid w:val="00EA0B78"/>
    <w:rsid w:val="00EA14C1"/>
    <w:rsid w:val="00EA1F7D"/>
    <w:rsid w:val="00EA34E8"/>
    <w:rsid w:val="00EA3C00"/>
    <w:rsid w:val="00EA4361"/>
    <w:rsid w:val="00EA4750"/>
    <w:rsid w:val="00EA5CB8"/>
    <w:rsid w:val="00EA5D2A"/>
    <w:rsid w:val="00EA5D2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C95"/>
    <w:rsid w:val="00EB64C3"/>
    <w:rsid w:val="00EB6A26"/>
    <w:rsid w:val="00EB7075"/>
    <w:rsid w:val="00EB739D"/>
    <w:rsid w:val="00EB73F1"/>
    <w:rsid w:val="00EB7E9F"/>
    <w:rsid w:val="00EC1089"/>
    <w:rsid w:val="00EC14D7"/>
    <w:rsid w:val="00EC154E"/>
    <w:rsid w:val="00EC16FA"/>
    <w:rsid w:val="00EC181D"/>
    <w:rsid w:val="00EC31CC"/>
    <w:rsid w:val="00EC3B42"/>
    <w:rsid w:val="00EC3D80"/>
    <w:rsid w:val="00EC4386"/>
    <w:rsid w:val="00EC5E00"/>
    <w:rsid w:val="00EC5F2B"/>
    <w:rsid w:val="00EC6408"/>
    <w:rsid w:val="00EC65EE"/>
    <w:rsid w:val="00EC663B"/>
    <w:rsid w:val="00EC6E97"/>
    <w:rsid w:val="00EC6FA4"/>
    <w:rsid w:val="00EC7398"/>
    <w:rsid w:val="00EC798B"/>
    <w:rsid w:val="00ED1A6D"/>
    <w:rsid w:val="00ED1C11"/>
    <w:rsid w:val="00ED2E18"/>
    <w:rsid w:val="00ED2F76"/>
    <w:rsid w:val="00ED3429"/>
    <w:rsid w:val="00ED3DA3"/>
    <w:rsid w:val="00ED434E"/>
    <w:rsid w:val="00ED5C94"/>
    <w:rsid w:val="00ED5E39"/>
    <w:rsid w:val="00ED5ECF"/>
    <w:rsid w:val="00ED669A"/>
    <w:rsid w:val="00ED6AAA"/>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72BE"/>
    <w:rsid w:val="00EE7503"/>
    <w:rsid w:val="00EE7A56"/>
    <w:rsid w:val="00EF0343"/>
    <w:rsid w:val="00EF0688"/>
    <w:rsid w:val="00EF185B"/>
    <w:rsid w:val="00EF448E"/>
    <w:rsid w:val="00EF6405"/>
    <w:rsid w:val="00EF6F7B"/>
    <w:rsid w:val="00EF71E7"/>
    <w:rsid w:val="00EF7421"/>
    <w:rsid w:val="00EF78CD"/>
    <w:rsid w:val="00EF7A83"/>
    <w:rsid w:val="00F00506"/>
    <w:rsid w:val="00F007E5"/>
    <w:rsid w:val="00F027A1"/>
    <w:rsid w:val="00F02963"/>
    <w:rsid w:val="00F02A59"/>
    <w:rsid w:val="00F03792"/>
    <w:rsid w:val="00F04038"/>
    <w:rsid w:val="00F0450B"/>
    <w:rsid w:val="00F047EC"/>
    <w:rsid w:val="00F052BA"/>
    <w:rsid w:val="00F05303"/>
    <w:rsid w:val="00F07957"/>
    <w:rsid w:val="00F106EC"/>
    <w:rsid w:val="00F1116E"/>
    <w:rsid w:val="00F1206E"/>
    <w:rsid w:val="00F127FD"/>
    <w:rsid w:val="00F1291B"/>
    <w:rsid w:val="00F129AF"/>
    <w:rsid w:val="00F1412C"/>
    <w:rsid w:val="00F14E96"/>
    <w:rsid w:val="00F15649"/>
    <w:rsid w:val="00F16AFB"/>
    <w:rsid w:val="00F17B10"/>
    <w:rsid w:val="00F17F7D"/>
    <w:rsid w:val="00F17FB6"/>
    <w:rsid w:val="00F200C9"/>
    <w:rsid w:val="00F200D0"/>
    <w:rsid w:val="00F20AC9"/>
    <w:rsid w:val="00F213F3"/>
    <w:rsid w:val="00F22C8E"/>
    <w:rsid w:val="00F23345"/>
    <w:rsid w:val="00F236A9"/>
    <w:rsid w:val="00F23D89"/>
    <w:rsid w:val="00F23E1D"/>
    <w:rsid w:val="00F23F4A"/>
    <w:rsid w:val="00F24A44"/>
    <w:rsid w:val="00F2512B"/>
    <w:rsid w:val="00F2630F"/>
    <w:rsid w:val="00F26F69"/>
    <w:rsid w:val="00F306B8"/>
    <w:rsid w:val="00F310C3"/>
    <w:rsid w:val="00F31F1A"/>
    <w:rsid w:val="00F320A3"/>
    <w:rsid w:val="00F349B4"/>
    <w:rsid w:val="00F3665D"/>
    <w:rsid w:val="00F36923"/>
    <w:rsid w:val="00F406CC"/>
    <w:rsid w:val="00F40C5A"/>
    <w:rsid w:val="00F40D47"/>
    <w:rsid w:val="00F419BE"/>
    <w:rsid w:val="00F41A85"/>
    <w:rsid w:val="00F423C4"/>
    <w:rsid w:val="00F43453"/>
    <w:rsid w:val="00F43F4D"/>
    <w:rsid w:val="00F4419C"/>
    <w:rsid w:val="00F44373"/>
    <w:rsid w:val="00F4460D"/>
    <w:rsid w:val="00F45BCE"/>
    <w:rsid w:val="00F45EE3"/>
    <w:rsid w:val="00F45F7D"/>
    <w:rsid w:val="00F474A7"/>
    <w:rsid w:val="00F47723"/>
    <w:rsid w:val="00F504D2"/>
    <w:rsid w:val="00F50D5C"/>
    <w:rsid w:val="00F519D3"/>
    <w:rsid w:val="00F52C51"/>
    <w:rsid w:val="00F53463"/>
    <w:rsid w:val="00F54184"/>
    <w:rsid w:val="00F545E3"/>
    <w:rsid w:val="00F54FC0"/>
    <w:rsid w:val="00F5642D"/>
    <w:rsid w:val="00F56510"/>
    <w:rsid w:val="00F5680A"/>
    <w:rsid w:val="00F57935"/>
    <w:rsid w:val="00F57D06"/>
    <w:rsid w:val="00F60996"/>
    <w:rsid w:val="00F60A88"/>
    <w:rsid w:val="00F61520"/>
    <w:rsid w:val="00F61884"/>
    <w:rsid w:val="00F629EF"/>
    <w:rsid w:val="00F63100"/>
    <w:rsid w:val="00F6332A"/>
    <w:rsid w:val="00F65D37"/>
    <w:rsid w:val="00F661D0"/>
    <w:rsid w:val="00F66E50"/>
    <w:rsid w:val="00F70342"/>
    <w:rsid w:val="00F71174"/>
    <w:rsid w:val="00F719D4"/>
    <w:rsid w:val="00F72BF7"/>
    <w:rsid w:val="00F72DE1"/>
    <w:rsid w:val="00F744B4"/>
    <w:rsid w:val="00F74A08"/>
    <w:rsid w:val="00F75204"/>
    <w:rsid w:val="00F75BD2"/>
    <w:rsid w:val="00F765BA"/>
    <w:rsid w:val="00F767EC"/>
    <w:rsid w:val="00F76CA8"/>
    <w:rsid w:val="00F8001F"/>
    <w:rsid w:val="00F81127"/>
    <w:rsid w:val="00F81AAF"/>
    <w:rsid w:val="00F81EA1"/>
    <w:rsid w:val="00F825F0"/>
    <w:rsid w:val="00F82687"/>
    <w:rsid w:val="00F841D9"/>
    <w:rsid w:val="00F849DD"/>
    <w:rsid w:val="00F84F68"/>
    <w:rsid w:val="00F8741F"/>
    <w:rsid w:val="00F874AA"/>
    <w:rsid w:val="00F875F4"/>
    <w:rsid w:val="00F878A9"/>
    <w:rsid w:val="00F87E74"/>
    <w:rsid w:val="00F9024E"/>
    <w:rsid w:val="00F911FB"/>
    <w:rsid w:val="00F94709"/>
    <w:rsid w:val="00F97E6F"/>
    <w:rsid w:val="00FA18C6"/>
    <w:rsid w:val="00FA24FA"/>
    <w:rsid w:val="00FA56D1"/>
    <w:rsid w:val="00FA7A64"/>
    <w:rsid w:val="00FA7CB6"/>
    <w:rsid w:val="00FB040E"/>
    <w:rsid w:val="00FB0B7F"/>
    <w:rsid w:val="00FB0E54"/>
    <w:rsid w:val="00FB129E"/>
    <w:rsid w:val="00FB1E7B"/>
    <w:rsid w:val="00FB24D0"/>
    <w:rsid w:val="00FB28DA"/>
    <w:rsid w:val="00FB2B5A"/>
    <w:rsid w:val="00FB33C0"/>
    <w:rsid w:val="00FB34D2"/>
    <w:rsid w:val="00FB3FA2"/>
    <w:rsid w:val="00FB43C6"/>
    <w:rsid w:val="00FB4FFD"/>
    <w:rsid w:val="00FB5ECF"/>
    <w:rsid w:val="00FB5FF2"/>
    <w:rsid w:val="00FB644C"/>
    <w:rsid w:val="00FB668E"/>
    <w:rsid w:val="00FB6B8F"/>
    <w:rsid w:val="00FB6C4F"/>
    <w:rsid w:val="00FB6F92"/>
    <w:rsid w:val="00FB74FC"/>
    <w:rsid w:val="00FB79E6"/>
    <w:rsid w:val="00FC00AF"/>
    <w:rsid w:val="00FC0127"/>
    <w:rsid w:val="00FC1040"/>
    <w:rsid w:val="00FC121A"/>
    <w:rsid w:val="00FC1818"/>
    <w:rsid w:val="00FC18B0"/>
    <w:rsid w:val="00FC2C65"/>
    <w:rsid w:val="00FC2DA8"/>
    <w:rsid w:val="00FC35BE"/>
    <w:rsid w:val="00FC3A09"/>
    <w:rsid w:val="00FC488C"/>
    <w:rsid w:val="00FC511E"/>
    <w:rsid w:val="00FC5156"/>
    <w:rsid w:val="00FC5455"/>
    <w:rsid w:val="00FC6A39"/>
    <w:rsid w:val="00FC6F41"/>
    <w:rsid w:val="00FC7A3D"/>
    <w:rsid w:val="00FC7E98"/>
    <w:rsid w:val="00FD013A"/>
    <w:rsid w:val="00FD0169"/>
    <w:rsid w:val="00FD144E"/>
    <w:rsid w:val="00FD1700"/>
    <w:rsid w:val="00FD2160"/>
    <w:rsid w:val="00FD2DE9"/>
    <w:rsid w:val="00FD3868"/>
    <w:rsid w:val="00FD5384"/>
    <w:rsid w:val="00FD7411"/>
    <w:rsid w:val="00FD77D0"/>
    <w:rsid w:val="00FD7B3B"/>
    <w:rsid w:val="00FE279E"/>
    <w:rsid w:val="00FE2DF2"/>
    <w:rsid w:val="00FE3879"/>
    <w:rsid w:val="00FE3B8B"/>
    <w:rsid w:val="00FE3C0A"/>
    <w:rsid w:val="00FE41A4"/>
    <w:rsid w:val="00FE4559"/>
    <w:rsid w:val="00FE5BB6"/>
    <w:rsid w:val="00FE6606"/>
    <w:rsid w:val="00FE79CB"/>
    <w:rsid w:val="00FF09EE"/>
    <w:rsid w:val="00FF0B90"/>
    <w:rsid w:val="00FF0C18"/>
    <w:rsid w:val="00FF1519"/>
    <w:rsid w:val="00FF2045"/>
    <w:rsid w:val="00FF2C86"/>
    <w:rsid w:val="00FF2FF5"/>
    <w:rsid w:val="00FF3744"/>
    <w:rsid w:val="00FF4A80"/>
    <w:rsid w:val="00FF5149"/>
    <w:rsid w:val="00FF59B9"/>
    <w:rsid w:val="00FF5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2EB6"/>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b/>
      <w:kern w:val="32"/>
      <w:sz w:val="32"/>
    </w:rPr>
  </w:style>
  <w:style w:type="character" w:customStyle="1" w:styleId="Heading2Char">
    <w:name w:val="Heading 2 Char"/>
    <w:basedOn w:val="DefaultParagraphFont"/>
    <w:link w:val="Heading2"/>
    <w:uiPriority w:val="99"/>
    <w:semiHidden/>
    <w:locked/>
    <w:rsid w:val="007241CD"/>
    <w:rPr>
      <w:rFonts w:ascii="Cambria" w:hAnsi="Cambria"/>
      <w:b/>
      <w:i/>
      <w:sz w:val="28"/>
    </w:rPr>
  </w:style>
  <w:style w:type="character" w:customStyle="1" w:styleId="Heading3Char">
    <w:name w:val="Heading 3 Char"/>
    <w:basedOn w:val="DefaultParagraphFont"/>
    <w:link w:val="Heading3"/>
    <w:uiPriority w:val="99"/>
    <w:semiHidden/>
    <w:locked/>
    <w:rsid w:val="007241CD"/>
    <w:rPr>
      <w:rFonts w:ascii="Cambria" w:hAnsi="Cambria"/>
      <w:b/>
      <w:sz w:val="26"/>
    </w:rPr>
  </w:style>
  <w:style w:type="character" w:customStyle="1" w:styleId="Heading4Char">
    <w:name w:val="Heading 4 Char"/>
    <w:basedOn w:val="DefaultParagraphFont"/>
    <w:link w:val="Heading4"/>
    <w:uiPriority w:val="99"/>
    <w:semiHidden/>
    <w:locked/>
    <w:rsid w:val="007241CD"/>
    <w:rPr>
      <w:rFonts w:ascii="Calibri" w:hAnsi="Calibri"/>
      <w:b/>
      <w:sz w:val="28"/>
    </w:rPr>
  </w:style>
  <w:style w:type="character" w:customStyle="1" w:styleId="Heading5Char">
    <w:name w:val="Heading 5 Char"/>
    <w:basedOn w:val="DefaultParagraphFont"/>
    <w:link w:val="Heading5"/>
    <w:uiPriority w:val="99"/>
    <w:semiHidden/>
    <w:locked/>
    <w:rsid w:val="007241CD"/>
    <w:rPr>
      <w:rFonts w:ascii="Calibri" w:hAnsi="Calibri"/>
      <w:b/>
      <w:i/>
      <w:sz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sz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sz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sz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sz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sz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sz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sz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b/>
      <w:sz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sz w:val="24"/>
    </w:rPr>
  </w:style>
  <w:style w:type="paragraph" w:styleId="Revision">
    <w:name w:val="Revision"/>
    <w:hidden/>
    <w:uiPriority w:val="99"/>
    <w:semiHidden/>
    <w:rsid w:val="009627F7"/>
    <w:pPr>
      <w:spacing w:after="0" w:line="240" w:lineRule="auto"/>
    </w:pPr>
    <w:rPr>
      <w:sz w:val="24"/>
      <w:szCs w:val="24"/>
      <w:lang w:val="en-US" w:eastAsia="en-US"/>
    </w:rPr>
  </w:style>
  <w:style w:type="paragraph" w:styleId="ListParagraph">
    <w:name w:val="List Paragraph"/>
    <w:basedOn w:val="Normal"/>
    <w:uiPriority w:val="99"/>
    <w:qFormat/>
    <w:rsid w:val="001E2211"/>
    <w:pPr>
      <w:ind w:left="720"/>
      <w:contextualSpacing/>
    </w:pPr>
  </w:style>
  <w:style w:type="table" w:styleId="TableGrid">
    <w:name w:val="Table Grid"/>
    <w:basedOn w:val="TableNormal"/>
    <w:uiPriority w:val="99"/>
    <w:locked/>
    <w:rsid w:val="00607F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uiPriority w:val="99"/>
    <w:rsid w:val="00DD386B"/>
    <w:rPr>
      <w:rFonts w:ascii="Times New Roman" w:hAnsi="Times New Roman"/>
      <w:color w:val="000000"/>
      <w:sz w:val="20"/>
      <w:u w:val="none"/>
    </w:rPr>
  </w:style>
  <w:style w:type="character" w:styleId="PlaceholderText">
    <w:name w:val="Placeholder Text"/>
    <w:basedOn w:val="DefaultParagraphFont"/>
    <w:uiPriority w:val="99"/>
    <w:semiHidden/>
    <w:rsid w:val="00DD386B"/>
    <w:rPr>
      <w:color w:val="808080"/>
    </w:rPr>
  </w:style>
  <w:style w:type="paragraph" w:styleId="FootnoteText">
    <w:name w:val="footnote text"/>
    <w:basedOn w:val="Normal"/>
    <w:link w:val="FootnoteTextChar"/>
    <w:uiPriority w:val="99"/>
    <w:semiHidden/>
    <w:rsid w:val="00DE18FB"/>
    <w:rPr>
      <w:sz w:val="20"/>
      <w:szCs w:val="20"/>
    </w:rPr>
  </w:style>
  <w:style w:type="character" w:customStyle="1" w:styleId="FootnoteTextChar">
    <w:name w:val="Footnote Text Char"/>
    <w:basedOn w:val="DefaultParagraphFont"/>
    <w:link w:val="FootnoteText"/>
    <w:uiPriority w:val="99"/>
    <w:semiHidden/>
    <w:locked/>
    <w:rsid w:val="00DE18FB"/>
    <w:rPr>
      <w:sz w:val="20"/>
    </w:rPr>
  </w:style>
  <w:style w:type="character" w:styleId="FootnoteReference">
    <w:name w:val="footnote reference"/>
    <w:basedOn w:val="DefaultParagraphFont"/>
    <w:uiPriority w:val="99"/>
    <w:semiHidden/>
    <w:rsid w:val="00DE18FB"/>
    <w:rPr>
      <w:rFonts w:cs="Times New Roman"/>
      <w:vertAlign w:val="superscript"/>
    </w:rPr>
  </w:style>
  <w:style w:type="character" w:styleId="PageNumber">
    <w:name w:val="page number"/>
    <w:basedOn w:val="DefaultParagraphFont"/>
    <w:uiPriority w:val="99"/>
    <w:locked/>
    <w:rsid w:val="00EF7A83"/>
    <w:rPr>
      <w:rFonts w:cs="Times New Roman"/>
    </w:rPr>
  </w:style>
  <w:style w:type="paragraph" w:customStyle="1" w:styleId="msonospacing0">
    <w:name w:val="msonospacing"/>
    <w:uiPriority w:val="99"/>
    <w:rsid w:val="00E71984"/>
    <w:pPr>
      <w:suppressAutoHyphens/>
      <w:spacing w:after="0" w:line="100" w:lineRule="atLeast"/>
    </w:pPr>
    <w:rPr>
      <w:rFonts w:ascii="Calibri" w:hAnsi="Calibri" w:cs="Calibri"/>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47544">
      <w:marLeft w:val="0"/>
      <w:marRight w:val="0"/>
      <w:marTop w:val="0"/>
      <w:marBottom w:val="0"/>
      <w:divBdr>
        <w:top w:val="none" w:sz="0" w:space="0" w:color="auto"/>
        <w:left w:val="none" w:sz="0" w:space="0" w:color="auto"/>
        <w:bottom w:val="none" w:sz="0" w:space="0" w:color="auto"/>
        <w:right w:val="none" w:sz="0" w:space="0" w:color="auto"/>
      </w:divBdr>
    </w:div>
    <w:div w:id="1330447545">
      <w:marLeft w:val="0"/>
      <w:marRight w:val="0"/>
      <w:marTop w:val="0"/>
      <w:marBottom w:val="0"/>
      <w:divBdr>
        <w:top w:val="none" w:sz="0" w:space="0" w:color="auto"/>
        <w:left w:val="none" w:sz="0" w:space="0" w:color="auto"/>
        <w:bottom w:val="none" w:sz="0" w:space="0" w:color="auto"/>
        <w:right w:val="none" w:sz="0" w:space="0" w:color="auto"/>
      </w:divBdr>
    </w:div>
    <w:div w:id="1330447546">
      <w:marLeft w:val="0"/>
      <w:marRight w:val="0"/>
      <w:marTop w:val="0"/>
      <w:marBottom w:val="0"/>
      <w:divBdr>
        <w:top w:val="none" w:sz="0" w:space="0" w:color="auto"/>
        <w:left w:val="none" w:sz="0" w:space="0" w:color="auto"/>
        <w:bottom w:val="none" w:sz="0" w:space="0" w:color="auto"/>
        <w:right w:val="none" w:sz="0" w:space="0" w:color="auto"/>
      </w:divBdr>
    </w:div>
    <w:div w:id="1330447547">
      <w:marLeft w:val="0"/>
      <w:marRight w:val="0"/>
      <w:marTop w:val="0"/>
      <w:marBottom w:val="0"/>
      <w:divBdr>
        <w:top w:val="none" w:sz="0" w:space="0" w:color="auto"/>
        <w:left w:val="none" w:sz="0" w:space="0" w:color="auto"/>
        <w:bottom w:val="none" w:sz="0" w:space="0" w:color="auto"/>
        <w:right w:val="none" w:sz="0" w:space="0" w:color="auto"/>
      </w:divBdr>
      <w:divsChild>
        <w:div w:id="1330447548">
          <w:marLeft w:val="0"/>
          <w:marRight w:val="0"/>
          <w:marTop w:val="45"/>
          <w:marBottom w:val="225"/>
          <w:divBdr>
            <w:top w:val="none" w:sz="0" w:space="0" w:color="auto"/>
            <w:left w:val="none" w:sz="0" w:space="0" w:color="auto"/>
            <w:bottom w:val="none" w:sz="0" w:space="0" w:color="auto"/>
            <w:right w:val="none" w:sz="0" w:space="0" w:color="auto"/>
          </w:divBdr>
          <w:divsChild>
            <w:div w:id="1330447549">
              <w:marLeft w:val="150"/>
              <w:marRight w:val="0"/>
              <w:marTop w:val="300"/>
              <w:marBottom w:val="0"/>
              <w:divBdr>
                <w:top w:val="none" w:sz="0" w:space="0" w:color="auto"/>
                <w:left w:val="none" w:sz="0" w:space="0" w:color="auto"/>
                <w:bottom w:val="none" w:sz="0" w:space="0" w:color="auto"/>
                <w:right w:val="none" w:sz="0" w:space="0" w:color="auto"/>
              </w:divBdr>
              <w:divsChild>
                <w:div w:id="13304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7552">
      <w:marLeft w:val="0"/>
      <w:marRight w:val="0"/>
      <w:marTop w:val="0"/>
      <w:marBottom w:val="0"/>
      <w:divBdr>
        <w:top w:val="none" w:sz="0" w:space="0" w:color="auto"/>
        <w:left w:val="none" w:sz="0" w:space="0" w:color="auto"/>
        <w:bottom w:val="none" w:sz="0" w:space="0" w:color="auto"/>
        <w:right w:val="none" w:sz="0" w:space="0" w:color="auto"/>
      </w:divBdr>
      <w:divsChild>
        <w:div w:id="1330447550">
          <w:marLeft w:val="0"/>
          <w:marRight w:val="0"/>
          <w:marTop w:val="45"/>
          <w:marBottom w:val="225"/>
          <w:divBdr>
            <w:top w:val="none" w:sz="0" w:space="0" w:color="auto"/>
            <w:left w:val="none" w:sz="0" w:space="0" w:color="auto"/>
            <w:bottom w:val="none" w:sz="0" w:space="0" w:color="auto"/>
            <w:right w:val="none" w:sz="0" w:space="0" w:color="auto"/>
          </w:divBdr>
          <w:divsChild>
            <w:div w:id="1330447554">
              <w:marLeft w:val="150"/>
              <w:marRight w:val="0"/>
              <w:marTop w:val="300"/>
              <w:marBottom w:val="0"/>
              <w:divBdr>
                <w:top w:val="none" w:sz="0" w:space="0" w:color="auto"/>
                <w:left w:val="none" w:sz="0" w:space="0" w:color="auto"/>
                <w:bottom w:val="none" w:sz="0" w:space="0" w:color="auto"/>
                <w:right w:val="none" w:sz="0" w:space="0" w:color="auto"/>
              </w:divBdr>
              <w:divsChild>
                <w:div w:id="1330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7555">
      <w:marLeft w:val="0"/>
      <w:marRight w:val="0"/>
      <w:marTop w:val="0"/>
      <w:marBottom w:val="0"/>
      <w:divBdr>
        <w:top w:val="none" w:sz="0" w:space="0" w:color="auto"/>
        <w:left w:val="none" w:sz="0" w:space="0" w:color="auto"/>
        <w:bottom w:val="none" w:sz="0" w:space="0" w:color="auto"/>
        <w:right w:val="none" w:sz="0" w:space="0" w:color="auto"/>
      </w:divBdr>
    </w:div>
    <w:div w:id="1330447556">
      <w:marLeft w:val="0"/>
      <w:marRight w:val="0"/>
      <w:marTop w:val="0"/>
      <w:marBottom w:val="0"/>
      <w:divBdr>
        <w:top w:val="none" w:sz="0" w:space="0" w:color="auto"/>
        <w:left w:val="none" w:sz="0" w:space="0" w:color="auto"/>
        <w:bottom w:val="none" w:sz="0" w:space="0" w:color="auto"/>
        <w:right w:val="none" w:sz="0" w:space="0" w:color="auto"/>
      </w:divBdr>
    </w:div>
    <w:div w:id="1330447557">
      <w:marLeft w:val="0"/>
      <w:marRight w:val="0"/>
      <w:marTop w:val="0"/>
      <w:marBottom w:val="0"/>
      <w:divBdr>
        <w:top w:val="none" w:sz="0" w:space="0" w:color="auto"/>
        <w:left w:val="none" w:sz="0" w:space="0" w:color="auto"/>
        <w:bottom w:val="none" w:sz="0" w:space="0" w:color="auto"/>
        <w:right w:val="none" w:sz="0" w:space="0" w:color="auto"/>
      </w:divBdr>
    </w:div>
    <w:div w:id="1330447558">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karla.krejci@dbm.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ups.com/RSS" TargetMode="External"/><Relationship Id="rId4" Type="http://schemas.openxmlformats.org/officeDocument/2006/relationships/webSettings" Target="webSettings.xml"/><Relationship Id="rId9" Type="http://schemas.openxmlformats.org/officeDocument/2006/relationships/hyperlink" Target="http://longitudes.ups.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2563</Words>
  <Characters>15122</Characters>
  <Application>Microsoft Office Word</Application>
  <DocSecurity>0</DocSecurity>
  <Lines>126</Lines>
  <Paragraphs>35</Paragraphs>
  <ScaleCrop>false</ScaleCrop>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2017-01-31T13:36:00Z</dcterms:created>
  <dcterms:modified xsi:type="dcterms:W3CDTF">2017-01-31T14:06:00Z</dcterms:modified>
</cp:coreProperties>
</file>