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0842" w14:textId="5486CF92" w:rsidR="005C500F" w:rsidRDefault="00C410CE">
      <w:pPr>
        <w:tabs>
          <w:tab w:val="left" w:pos="3119"/>
        </w:tabs>
        <w:spacing w:after="0"/>
        <w:jc w:val="center"/>
      </w:pPr>
      <w:r w:rsidRPr="004C7FD1">
        <w:rPr>
          <w:rFonts w:ascii="Arial" w:hAnsi="Arial" w:cs="Arial"/>
          <w:b/>
          <w:caps/>
          <w:sz w:val="20"/>
        </w:rPr>
        <w:t>NAKUPOV</w:t>
      </w:r>
      <w:r w:rsidRPr="004C7FD1">
        <w:rPr>
          <w:rFonts w:ascii="Arial" w:hAnsi="Arial" w:cs="Arial" w:hint="eastAsia"/>
          <w:b/>
          <w:caps/>
          <w:sz w:val="20"/>
        </w:rPr>
        <w:t>Á</w:t>
      </w:r>
      <w:r w:rsidRPr="004C7FD1">
        <w:rPr>
          <w:rFonts w:ascii="Arial" w:hAnsi="Arial" w:cs="Arial"/>
          <w:b/>
          <w:caps/>
          <w:sz w:val="20"/>
        </w:rPr>
        <w:t>N</w:t>
      </w:r>
      <w:r w:rsidRPr="004C7FD1">
        <w:rPr>
          <w:rFonts w:ascii="Arial" w:hAnsi="Arial" w:cs="Arial" w:hint="eastAsia"/>
          <w:b/>
          <w:caps/>
          <w:sz w:val="20"/>
        </w:rPr>
        <w:t>Í</w:t>
      </w:r>
      <w:r>
        <w:rPr>
          <w:rFonts w:ascii="Arial" w:hAnsi="Arial" w:cs="Arial"/>
          <w:b/>
          <w:caps/>
          <w:position w:val="-9"/>
          <w:sz w:val="20"/>
        </w:rPr>
        <w:t xml:space="preserve"> </w:t>
      </w:r>
      <w:r>
        <w:rPr>
          <w:rFonts w:ascii="Arial" w:hAnsi="Arial" w:cs="Arial"/>
          <w:b/>
          <w:caps/>
          <w:sz w:val="20"/>
        </w:rPr>
        <w:t>přes internet bude pokračovat v trendu nastoupeném před lockdownem A bude vykazovat známky RŮSTU,</w:t>
      </w:r>
    </w:p>
    <w:p w14:paraId="7006A00B" w14:textId="368097CE" w:rsidR="005C500F" w:rsidRDefault="00665E90">
      <w:pPr>
        <w:spacing w:after="0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UVÁDÍ</w:t>
      </w:r>
      <w:r w:rsidR="00C410CE">
        <w:rPr>
          <w:rFonts w:ascii="Arial" w:hAnsi="Arial" w:cs="Arial"/>
          <w:b/>
          <w:caps/>
          <w:sz w:val="20"/>
        </w:rPr>
        <w:t xml:space="preserve"> ZPRÁVa UPS SMART E-COMMERCE REPORT 2021</w:t>
      </w:r>
    </w:p>
    <w:p w14:paraId="4936BE8E" w14:textId="77777777" w:rsidR="005C500F" w:rsidRDefault="005C500F">
      <w:pPr>
        <w:spacing w:after="0"/>
        <w:jc w:val="center"/>
        <w:rPr>
          <w:rFonts w:ascii="Arial" w:hAnsi="Arial" w:cs="Arial"/>
          <w:b/>
          <w:caps/>
          <w:sz w:val="20"/>
        </w:rPr>
      </w:pPr>
    </w:p>
    <w:p w14:paraId="362B1548" w14:textId="77777777" w:rsidR="005C500F" w:rsidRDefault="00C410CE">
      <w:pPr>
        <w:numPr>
          <w:ilvl w:val="0"/>
          <w:numId w:val="1"/>
        </w:numPr>
        <w:spacing w:after="0"/>
        <w:ind w:left="720"/>
        <w:rPr>
          <w:rFonts w:ascii="Arial" w:eastAsia="PMingLiU" w:hAnsi="Arial"/>
          <w:i/>
          <w:color w:val="000000"/>
          <w:sz w:val="20"/>
          <w:lang w:eastAsia="pl-PL"/>
        </w:rPr>
      </w:pPr>
      <w:r>
        <w:rPr>
          <w:rFonts w:ascii="Arial" w:eastAsia="PMingLiU" w:hAnsi="Arial"/>
          <w:i/>
          <w:color w:val="000000"/>
          <w:sz w:val="20"/>
          <w:lang w:eastAsia="pl-PL"/>
        </w:rPr>
        <w:t>Celkem o 50 % víc respondentů (nárůst z 10 % před pandemií na 15 % po pandemii) má v úmyslu realizovat „všechny“ nebo „převážně všechny“ nákupy přes internet</w:t>
      </w:r>
    </w:p>
    <w:p w14:paraId="2DDC4632" w14:textId="77777777" w:rsidR="005C500F" w:rsidRDefault="00C410CE">
      <w:pPr>
        <w:numPr>
          <w:ilvl w:val="0"/>
          <w:numId w:val="1"/>
        </w:numPr>
        <w:spacing w:after="0"/>
        <w:ind w:left="720"/>
        <w:rPr>
          <w:rFonts w:ascii="Arial" w:eastAsia="PMingLiU" w:hAnsi="Arial"/>
          <w:i/>
          <w:color w:val="000000"/>
          <w:sz w:val="20"/>
          <w:lang w:eastAsia="pl-PL"/>
        </w:rPr>
      </w:pPr>
      <w:bookmarkStart w:id="0" w:name="_Hlk73350939"/>
      <w:bookmarkEnd w:id="0"/>
      <w:r>
        <w:rPr>
          <w:rFonts w:ascii="Arial" w:eastAsia="PMingLiU" w:hAnsi="Arial"/>
          <w:i/>
          <w:color w:val="000000"/>
          <w:sz w:val="20"/>
          <w:lang w:eastAsia="pl-PL"/>
        </w:rPr>
        <w:t xml:space="preserve">Polovina (50 %) všech respondentů uvádí snahu pomoct malým nebo místním podnikům jako hlavní důvod nakupování v obchodě či online u menších nezávislých </w:t>
      </w:r>
      <w:bookmarkStart w:id="1" w:name="_GoBack"/>
      <w:bookmarkEnd w:id="1"/>
      <w:r>
        <w:rPr>
          <w:rFonts w:ascii="Arial" w:eastAsia="PMingLiU" w:hAnsi="Arial"/>
          <w:i/>
          <w:color w:val="000000"/>
          <w:sz w:val="20"/>
          <w:lang w:eastAsia="pl-PL"/>
        </w:rPr>
        <w:t>maloobchodníků</w:t>
      </w:r>
      <w:bookmarkStart w:id="2" w:name="_Hlk73352094"/>
      <w:bookmarkEnd w:id="2"/>
    </w:p>
    <w:p w14:paraId="767DBA3D" w14:textId="77777777" w:rsidR="005C500F" w:rsidRDefault="00C410CE">
      <w:pPr>
        <w:numPr>
          <w:ilvl w:val="0"/>
          <w:numId w:val="1"/>
        </w:numPr>
        <w:spacing w:after="0"/>
        <w:ind w:left="720"/>
        <w:rPr>
          <w:rFonts w:ascii="Arial" w:eastAsia="PMingLiU" w:hAnsi="Arial"/>
          <w:i/>
          <w:color w:val="000000"/>
          <w:sz w:val="20"/>
          <w:lang w:eastAsia="pl-PL"/>
        </w:rPr>
      </w:pPr>
      <w:r>
        <w:rPr>
          <w:rFonts w:ascii="Arial" w:eastAsia="PMingLiU" w:hAnsi="Arial"/>
          <w:i/>
          <w:color w:val="000000"/>
          <w:sz w:val="20"/>
          <w:lang w:eastAsia="pl-PL"/>
        </w:rPr>
        <w:t>Více než polovina (52 %) dotazovaných spotřebitelů v Evropě nakupuje spíše u značek, v jejichž sociální aktivity má důvěru</w:t>
      </w:r>
    </w:p>
    <w:p w14:paraId="505E9A57" w14:textId="77777777" w:rsidR="005C500F" w:rsidRDefault="00C410CE">
      <w:pPr>
        <w:numPr>
          <w:ilvl w:val="0"/>
          <w:numId w:val="1"/>
        </w:numPr>
        <w:spacing w:after="0"/>
        <w:ind w:left="720"/>
        <w:rPr>
          <w:rFonts w:ascii="Arial" w:eastAsia="PMingLiU" w:hAnsi="Arial"/>
          <w:i/>
          <w:color w:val="000000"/>
          <w:sz w:val="20"/>
          <w:lang w:eastAsia="pl-PL"/>
        </w:rPr>
      </w:pPr>
      <w:r>
        <w:rPr>
          <w:rFonts w:ascii="Arial" w:eastAsia="PMingLiU" w:hAnsi="Arial"/>
          <w:i/>
          <w:color w:val="000000"/>
          <w:sz w:val="20"/>
          <w:lang w:eastAsia="pl-PL"/>
        </w:rPr>
        <w:t xml:space="preserve">Většina spotřebitelů očekává, že maloobchodníci budou brát ohled na životní prostředí </w:t>
      </w:r>
    </w:p>
    <w:p w14:paraId="5853CFE6" w14:textId="77777777" w:rsidR="005C500F" w:rsidRDefault="005C500F">
      <w:pPr>
        <w:tabs>
          <w:tab w:val="left" w:pos="1209"/>
        </w:tabs>
        <w:spacing w:after="0"/>
        <w:ind w:left="720"/>
        <w:rPr>
          <w:rFonts w:ascii="Arial" w:eastAsia="PMingLiU" w:hAnsi="Arial"/>
          <w:i/>
          <w:color w:val="000000"/>
          <w:sz w:val="20"/>
          <w:lang w:eastAsia="pl-PL"/>
        </w:rPr>
      </w:pPr>
    </w:p>
    <w:p w14:paraId="11A9F4F4" w14:textId="77777777" w:rsidR="005C500F" w:rsidRDefault="005C500F">
      <w:pPr>
        <w:spacing w:after="0"/>
        <w:rPr>
          <w:rFonts w:ascii="Arial" w:hAnsi="Arial" w:cs="Arial"/>
          <w:sz w:val="20"/>
          <w:lang w:val="en-US"/>
        </w:rPr>
      </w:pPr>
    </w:p>
    <w:p w14:paraId="4026E173" w14:textId="0CD41156" w:rsidR="005C500F" w:rsidRDefault="00665E90">
      <w:pPr>
        <w:spacing w:after="0"/>
        <w:rPr>
          <w:rFonts w:ascii="Arial" w:hAnsi="Arial" w:cs="Arial"/>
          <w:sz w:val="20"/>
        </w:rPr>
      </w:pPr>
      <w:r w:rsidRPr="00665E90">
        <w:rPr>
          <w:rFonts w:ascii="Arial" w:hAnsi="Arial" w:cs="Arial"/>
          <w:b/>
          <w:sz w:val="20"/>
        </w:rPr>
        <w:t>PRAHA, 3. června 2021</w:t>
      </w:r>
      <w:r>
        <w:rPr>
          <w:rFonts w:ascii="Arial" w:hAnsi="Arial" w:cs="Arial"/>
          <w:sz w:val="20"/>
        </w:rPr>
        <w:t xml:space="preserve"> – </w:t>
      </w:r>
      <w:r w:rsidR="00C410CE">
        <w:rPr>
          <w:rFonts w:ascii="Arial" w:hAnsi="Arial" w:cs="Arial"/>
          <w:sz w:val="20"/>
        </w:rPr>
        <w:t>Český</w:t>
      </w:r>
      <w:r>
        <w:rPr>
          <w:rFonts w:ascii="Arial" w:hAnsi="Arial" w:cs="Arial"/>
          <w:sz w:val="20"/>
        </w:rPr>
        <w:t xml:space="preserve"> </w:t>
      </w:r>
      <w:r w:rsidR="00C410CE">
        <w:rPr>
          <w:rFonts w:ascii="Arial" w:hAnsi="Arial" w:cs="Arial"/>
          <w:sz w:val="20"/>
        </w:rPr>
        <w:t>trh e-</w:t>
      </w:r>
      <w:proofErr w:type="spellStart"/>
      <w:r w:rsidR="00C410CE">
        <w:rPr>
          <w:rFonts w:ascii="Arial" w:hAnsi="Arial" w:cs="Arial"/>
          <w:sz w:val="20"/>
        </w:rPr>
        <w:t>commerce</w:t>
      </w:r>
      <w:proofErr w:type="spellEnd"/>
      <w:r w:rsidR="00C410CE">
        <w:rPr>
          <w:rFonts w:ascii="Arial" w:hAnsi="Arial" w:cs="Arial"/>
          <w:sz w:val="20"/>
        </w:rPr>
        <w:t xml:space="preserve"> se vyznačuje velkým počtem internetových obchodů a vysokými obraty, které každoročně rostou (APEK). Během pandemické krize trh vykázal nejvyšší obrat za posledních šest let. V loňském roce dosáhl přibližně 196 mld. Kč, což představuje meziroční nárůst o 26,5 %. Podíl e-</w:t>
      </w:r>
      <w:proofErr w:type="spellStart"/>
      <w:r w:rsidR="00C410CE">
        <w:rPr>
          <w:rFonts w:ascii="Arial" w:hAnsi="Arial" w:cs="Arial"/>
          <w:sz w:val="20"/>
        </w:rPr>
        <w:t>commerce</w:t>
      </w:r>
      <w:proofErr w:type="spellEnd"/>
      <w:r w:rsidR="00C410CE">
        <w:rPr>
          <w:rFonts w:ascii="Arial" w:hAnsi="Arial" w:cs="Arial"/>
          <w:sz w:val="20"/>
        </w:rPr>
        <w:t xml:space="preserve"> na celkových maloobchodních tržbách tak vzrostl na více než 16 %.</w:t>
      </w:r>
    </w:p>
    <w:p w14:paraId="2EA3C415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3C51015A" w14:textId="77777777" w:rsidR="005C500F" w:rsidRDefault="00C410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Zrychlení růstu trhu e-</w:t>
      </w:r>
      <w:proofErr w:type="spellStart"/>
      <w:r>
        <w:rPr>
          <w:rFonts w:ascii="Arial" w:hAnsi="Arial" w:cs="Arial"/>
          <w:sz w:val="20"/>
        </w:rPr>
        <w:t>commerce</w:t>
      </w:r>
      <w:proofErr w:type="spellEnd"/>
      <w:r>
        <w:rPr>
          <w:rFonts w:ascii="Arial" w:hAnsi="Arial" w:cs="Arial"/>
          <w:sz w:val="20"/>
        </w:rPr>
        <w:t xml:space="preserve"> je bezprecedentní. Průzkum v rámci projektu UPS Smart E-</w:t>
      </w:r>
      <w:proofErr w:type="spellStart"/>
      <w:r>
        <w:rPr>
          <w:rFonts w:ascii="Arial" w:hAnsi="Arial" w:cs="Arial"/>
          <w:sz w:val="20"/>
        </w:rPr>
        <w:t>commerce</w:t>
      </w:r>
      <w:proofErr w:type="spellEnd"/>
      <w:r>
        <w:rPr>
          <w:rFonts w:ascii="Arial" w:hAnsi="Arial" w:cs="Arial"/>
          <w:sz w:val="20"/>
        </w:rPr>
        <w:t xml:space="preserve"> Report 2021 realizovaný začátkem tohoto roku na osmi evropských trzích se zaměřil na změny chování evropských spotřebitelů a jejich očekávání a poskytuje maloobchodníkům podrobné informace o trhu e-</w:t>
      </w:r>
      <w:proofErr w:type="spellStart"/>
      <w:r>
        <w:rPr>
          <w:rFonts w:ascii="Arial" w:hAnsi="Arial" w:cs="Arial"/>
          <w:sz w:val="20"/>
        </w:rPr>
        <w:t>commerce</w:t>
      </w:r>
      <w:proofErr w:type="spellEnd"/>
      <w:r>
        <w:rPr>
          <w:rFonts w:ascii="Arial" w:hAnsi="Arial" w:cs="Arial"/>
          <w:sz w:val="20"/>
        </w:rPr>
        <w:t>. Průzkum nabízí jedinečný pohled na výzvy, kterým maloobchodníci na internetovém trhu čelí, a na příležitosti vyplývající ze změny spotřebitelského chování.</w:t>
      </w:r>
    </w:p>
    <w:p w14:paraId="0AAD9E1C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0ABB91ED" w14:textId="61E3610A" w:rsidR="00602604" w:rsidRPr="00602604" w:rsidRDefault="00602604" w:rsidP="00602604">
      <w:pPr>
        <w:spacing w:after="0"/>
        <w:rPr>
          <w:rFonts w:ascii="Arial" w:hAnsi="Arial" w:cs="Arial"/>
          <w:sz w:val="20"/>
        </w:rPr>
      </w:pPr>
      <w:r w:rsidRPr="00512C8D">
        <w:rPr>
          <w:rFonts w:ascii="Arial" w:hAnsi="Arial" w:cs="Arial"/>
          <w:sz w:val="20"/>
        </w:rPr>
        <w:t>„Trh e-</w:t>
      </w:r>
      <w:proofErr w:type="spellStart"/>
      <w:r w:rsidRPr="00512C8D">
        <w:rPr>
          <w:rFonts w:ascii="Arial" w:hAnsi="Arial" w:cs="Arial"/>
          <w:sz w:val="20"/>
        </w:rPr>
        <w:t>commerce</w:t>
      </w:r>
      <w:proofErr w:type="spellEnd"/>
      <w:r w:rsidRPr="00512C8D">
        <w:rPr>
          <w:rFonts w:ascii="Arial" w:hAnsi="Arial" w:cs="Arial"/>
          <w:sz w:val="20"/>
        </w:rPr>
        <w:t xml:space="preserve"> během pandemie zaznamenal prudký růst v celé Evropě. </w:t>
      </w:r>
      <w:r w:rsidR="004B16F6" w:rsidRPr="00512C8D">
        <w:rPr>
          <w:rFonts w:ascii="Arial" w:hAnsi="Arial" w:cs="Arial"/>
          <w:sz w:val="20"/>
        </w:rPr>
        <w:t>Firmy, které chtějí v sílící konkurenci vyniknout, musí reagovat nabídkou personalizovaných zákaznických služeb</w:t>
      </w:r>
      <w:r w:rsidRPr="00512C8D">
        <w:rPr>
          <w:rFonts w:ascii="Arial" w:hAnsi="Arial" w:cs="Arial"/>
          <w:sz w:val="20"/>
        </w:rPr>
        <w:t>. Maloobchodníci se musí zaměřit na to, aby svým záka</w:t>
      </w:r>
      <w:r w:rsidR="004B16F6" w:rsidRPr="00512C8D">
        <w:rPr>
          <w:rFonts w:ascii="Arial" w:hAnsi="Arial" w:cs="Arial"/>
          <w:sz w:val="20"/>
        </w:rPr>
        <w:t>zníkům nabídli pohodlí, možnost výběru a kontroly,</w:t>
      </w:r>
      <w:r w:rsidRPr="00512C8D">
        <w:rPr>
          <w:rFonts w:ascii="Arial" w:hAnsi="Arial" w:cs="Arial"/>
          <w:sz w:val="20"/>
        </w:rPr>
        <w:t xml:space="preserve"> a </w:t>
      </w:r>
      <w:r w:rsidR="004B16F6" w:rsidRPr="00512C8D">
        <w:rPr>
          <w:rFonts w:ascii="Arial" w:hAnsi="Arial" w:cs="Arial"/>
          <w:sz w:val="20"/>
        </w:rPr>
        <w:t xml:space="preserve">v této souvislosti i </w:t>
      </w:r>
      <w:r w:rsidRPr="00512C8D">
        <w:rPr>
          <w:rFonts w:ascii="Arial" w:hAnsi="Arial" w:cs="Arial"/>
          <w:sz w:val="20"/>
        </w:rPr>
        <w:t xml:space="preserve">odpovídající služby. </w:t>
      </w:r>
      <w:r w:rsidR="0071205F" w:rsidRPr="00512C8D">
        <w:rPr>
          <w:rFonts w:ascii="Arial" w:hAnsi="Arial" w:cs="Arial"/>
          <w:sz w:val="20"/>
        </w:rPr>
        <w:t xml:space="preserve">Firmy </w:t>
      </w:r>
      <w:r w:rsidRPr="00512C8D">
        <w:rPr>
          <w:rFonts w:ascii="Arial" w:hAnsi="Arial" w:cs="Arial"/>
          <w:sz w:val="20"/>
        </w:rPr>
        <w:t>všech velikostí</w:t>
      </w:r>
      <w:r w:rsidR="0071205F" w:rsidRPr="00512C8D">
        <w:rPr>
          <w:rFonts w:ascii="Arial" w:hAnsi="Arial" w:cs="Arial"/>
          <w:sz w:val="20"/>
        </w:rPr>
        <w:t>, které</w:t>
      </w:r>
      <w:r w:rsidR="004B16F6" w:rsidRPr="00512C8D">
        <w:rPr>
          <w:rFonts w:ascii="Arial" w:hAnsi="Arial" w:cs="Arial"/>
          <w:sz w:val="20"/>
        </w:rPr>
        <w:t xml:space="preserve"> prodávají přes internet,</w:t>
      </w:r>
      <w:r w:rsidRPr="00512C8D">
        <w:rPr>
          <w:rFonts w:ascii="Arial" w:hAnsi="Arial" w:cs="Arial"/>
          <w:sz w:val="20"/>
        </w:rPr>
        <w:t xml:space="preserve"> mají </w:t>
      </w:r>
      <w:r w:rsidR="004B16F6" w:rsidRPr="00512C8D">
        <w:rPr>
          <w:rFonts w:ascii="Arial" w:hAnsi="Arial" w:cs="Arial"/>
          <w:sz w:val="20"/>
        </w:rPr>
        <w:t xml:space="preserve">mnoho </w:t>
      </w:r>
      <w:r w:rsidRPr="00512C8D">
        <w:rPr>
          <w:rFonts w:ascii="Arial" w:hAnsi="Arial" w:cs="Arial"/>
          <w:sz w:val="20"/>
        </w:rPr>
        <w:t>příležitostí</w:t>
      </w:r>
      <w:r w:rsidR="004B16F6" w:rsidRPr="00512C8D">
        <w:rPr>
          <w:rFonts w:ascii="Arial" w:hAnsi="Arial" w:cs="Arial"/>
          <w:sz w:val="20"/>
        </w:rPr>
        <w:t>,</w:t>
      </w:r>
      <w:r w:rsidRPr="00512C8D">
        <w:rPr>
          <w:rFonts w:ascii="Arial" w:hAnsi="Arial" w:cs="Arial"/>
          <w:sz w:val="20"/>
        </w:rPr>
        <w:t xml:space="preserve"> </w:t>
      </w:r>
      <w:r w:rsidR="004B16F6" w:rsidRPr="00512C8D">
        <w:rPr>
          <w:rFonts w:ascii="Arial" w:hAnsi="Arial" w:cs="Arial"/>
          <w:sz w:val="20"/>
        </w:rPr>
        <w:t xml:space="preserve">jak </w:t>
      </w:r>
      <w:r w:rsidRPr="00512C8D">
        <w:rPr>
          <w:rFonts w:ascii="Arial" w:hAnsi="Arial" w:cs="Arial"/>
          <w:sz w:val="20"/>
        </w:rPr>
        <w:t>přilákat a udržet si nové zákazníky</w:t>
      </w:r>
      <w:r w:rsidR="0071205F" w:rsidRPr="00512C8D">
        <w:rPr>
          <w:rFonts w:ascii="Arial" w:hAnsi="Arial" w:cs="Arial"/>
          <w:sz w:val="20"/>
        </w:rPr>
        <w:t xml:space="preserve">. Zásadní však bude, zda se přizpůsobí </w:t>
      </w:r>
      <w:r w:rsidRPr="00512C8D">
        <w:rPr>
          <w:rFonts w:ascii="Arial" w:hAnsi="Arial" w:cs="Arial"/>
          <w:sz w:val="20"/>
        </w:rPr>
        <w:t xml:space="preserve">měnícím se očekáváním a potřebám </w:t>
      </w:r>
      <w:r w:rsidR="0071205F" w:rsidRPr="00512C8D">
        <w:rPr>
          <w:rFonts w:ascii="Arial" w:hAnsi="Arial" w:cs="Arial"/>
          <w:sz w:val="20"/>
        </w:rPr>
        <w:t>svých zákazníků,</w:t>
      </w:r>
      <w:r w:rsidRPr="00512C8D">
        <w:rPr>
          <w:rFonts w:ascii="Arial" w:hAnsi="Arial" w:cs="Arial"/>
          <w:sz w:val="20"/>
        </w:rPr>
        <w:t>“</w:t>
      </w:r>
      <w:r w:rsidR="0071205F" w:rsidRPr="00512C8D">
        <w:rPr>
          <w:rFonts w:ascii="Arial" w:hAnsi="Arial" w:cs="Arial"/>
          <w:sz w:val="20"/>
        </w:rPr>
        <w:t xml:space="preserve"> </w:t>
      </w:r>
      <w:r w:rsidRPr="00512C8D">
        <w:rPr>
          <w:rFonts w:ascii="Arial" w:hAnsi="Arial" w:cs="Arial"/>
          <w:sz w:val="20"/>
        </w:rPr>
        <w:t xml:space="preserve">uvedla Clara </w:t>
      </w:r>
      <w:proofErr w:type="spellStart"/>
      <w:r w:rsidRPr="00512C8D">
        <w:rPr>
          <w:rFonts w:ascii="Arial" w:hAnsi="Arial" w:cs="Arial"/>
          <w:sz w:val="20"/>
        </w:rPr>
        <w:t>Rojas</w:t>
      </w:r>
      <w:proofErr w:type="spellEnd"/>
      <w:r w:rsidRPr="00512C8D">
        <w:rPr>
          <w:rFonts w:ascii="Arial" w:hAnsi="Arial" w:cs="Arial"/>
          <w:sz w:val="20"/>
        </w:rPr>
        <w:t>, ředitelka marketingu UPS pro východní Evropu.</w:t>
      </w:r>
      <w:r w:rsidRPr="00602604">
        <w:rPr>
          <w:rFonts w:ascii="Arial" w:hAnsi="Arial" w:cs="Arial"/>
          <w:sz w:val="20"/>
        </w:rPr>
        <w:t xml:space="preserve"> </w:t>
      </w:r>
    </w:p>
    <w:p w14:paraId="614F6503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1CDA6888" w14:textId="77777777" w:rsidR="005C500F" w:rsidRDefault="00C410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Hlavní zjištění: </w:t>
      </w:r>
    </w:p>
    <w:p w14:paraId="01E8DB9D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5D3DBDF8" w14:textId="77777777" w:rsidR="005C500F" w:rsidRDefault="00C410CE">
      <w:pPr>
        <w:pStyle w:val="Odstavecseseznamem"/>
        <w:numPr>
          <w:ilvl w:val="0"/>
          <w:numId w:val="2"/>
        </w:numPr>
        <w:spacing w:after="0"/>
        <w:ind w:left="728" w:hanging="72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Nakupování přes internet tu bude stále</w:t>
      </w:r>
    </w:p>
    <w:p w14:paraId="24ADCC2F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průzkumu byli spotřebitelé v Evropě dotázáni na podíl nakupování přes internet a v kamenných obchodech v obdobích před prvním </w:t>
      </w:r>
      <w:proofErr w:type="spellStart"/>
      <w:r>
        <w:rPr>
          <w:rFonts w:ascii="Arial" w:hAnsi="Arial" w:cs="Arial"/>
          <w:sz w:val="20"/>
        </w:rPr>
        <w:t>lockdownem</w:t>
      </w:r>
      <w:proofErr w:type="spellEnd"/>
      <w:r>
        <w:rPr>
          <w:rFonts w:ascii="Arial" w:hAnsi="Arial" w:cs="Arial"/>
          <w:sz w:val="20"/>
        </w:rPr>
        <w:t xml:space="preserve"> na začátku roku 2020, během prvního </w:t>
      </w:r>
      <w:proofErr w:type="spellStart"/>
      <w:r>
        <w:rPr>
          <w:rFonts w:ascii="Arial" w:hAnsi="Arial" w:cs="Arial"/>
          <w:sz w:val="20"/>
        </w:rPr>
        <w:t>lockdownu</w:t>
      </w:r>
      <w:proofErr w:type="spellEnd"/>
      <w:r>
        <w:rPr>
          <w:rFonts w:ascii="Arial" w:hAnsi="Arial" w:cs="Arial"/>
          <w:sz w:val="20"/>
        </w:rPr>
        <w:t xml:space="preserve"> a po pandemii</w:t>
      </w:r>
      <w:r>
        <w:t xml:space="preserve">. </w:t>
      </w:r>
      <w:r>
        <w:rPr>
          <w:rFonts w:ascii="Arial" w:hAnsi="Arial" w:cs="Arial"/>
          <w:sz w:val="20"/>
        </w:rPr>
        <w:t xml:space="preserve">Celkem o 50 % víc respondentů (nárůst z 10 % před pandemií na 15 % po pandemii) má v úmyslu i nadále realizovat „všechny“ nebo „převážně všechny“ nákupy přes internet. </w:t>
      </w:r>
    </w:p>
    <w:p w14:paraId="3A7EDF92" w14:textId="77777777" w:rsidR="005C500F" w:rsidRDefault="005C500F">
      <w:pPr>
        <w:spacing w:after="0"/>
        <w:ind w:left="720"/>
        <w:rPr>
          <w:rFonts w:ascii="Arial" w:hAnsi="Arial" w:cs="Arial"/>
          <w:sz w:val="20"/>
        </w:rPr>
      </w:pPr>
    </w:p>
    <w:p w14:paraId="3053BC3B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Oproti tomu v kamenných obchodech bude podle očekávání realizovat „všechny“ nebo „převážně všechny“ svoje nákupy o 14 % méně spotřebitelů, při celkovém poklesu z 54 % před pandemií na 40 % po pandemii. K největšímu odklonu od kamenného obchodu došlo v kategoriích domácí potřeby, kosmetiky a potraviny, které zaznamenaly celkem 8% pokles.</w:t>
      </w:r>
    </w:p>
    <w:p w14:paraId="16BB0179" w14:textId="77777777" w:rsidR="005C500F" w:rsidRPr="00C410CE" w:rsidRDefault="005C500F">
      <w:pPr>
        <w:spacing w:after="0"/>
        <w:rPr>
          <w:rFonts w:ascii="Arial" w:hAnsi="Arial" w:cs="Arial"/>
          <w:sz w:val="20"/>
        </w:rPr>
      </w:pPr>
    </w:p>
    <w:p w14:paraId="1F3438A7" w14:textId="77777777" w:rsidR="005C500F" w:rsidRDefault="00C410CE">
      <w:pPr>
        <w:pStyle w:val="Odstavecseseznamem"/>
        <w:numPr>
          <w:ilvl w:val="0"/>
          <w:numId w:val="2"/>
        </w:numPr>
        <w:spacing w:after="0"/>
        <w:ind w:left="728" w:hanging="72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Preference nakupování, velké maloobchody vs. nezávislé obchody</w:t>
      </w:r>
    </w:p>
    <w:p w14:paraId="316E3343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jde o preference nakupování různého zboží u velkých maloobchodníků, menších nezávislých prodejen nebo online, byli velcí maloobchodníci jasnou volbou </w:t>
      </w:r>
      <w:r>
        <w:rPr>
          <w:rFonts w:ascii="Arial" w:hAnsi="Arial" w:cs="Arial"/>
          <w:sz w:val="20"/>
        </w:rPr>
        <w:lastRenderedPageBreak/>
        <w:t xml:space="preserve">evropských spotřebitelů napříč všemi maloobchodními odvětvími, přičemž bílého zboží zaznamenalo nejvíc preferencí (63 %). </w:t>
      </w:r>
    </w:p>
    <w:p w14:paraId="6BB16DF3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10D3F09A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Polovina (50 %) všech evropských respondentů uvádí snahu pomoct malým nebo místním podnikům jako hlavní důvod pro své nákupy u těchto prodejců. Osobnější zkušenost jako hlavní důvod pro nakupování u menších, nezávislých maloobchodníků uvedlo 37 % respondentů.</w:t>
      </w:r>
    </w:p>
    <w:p w14:paraId="2DC1F806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50B6F464" w14:textId="77777777" w:rsidR="005C500F" w:rsidRDefault="00C410CE">
      <w:pPr>
        <w:pStyle w:val="Odstavecseseznamem"/>
        <w:numPr>
          <w:ilvl w:val="0"/>
          <w:numId w:val="2"/>
        </w:numPr>
        <w:spacing w:after="0"/>
        <w:ind w:left="728" w:hanging="72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Postoje spotřebitelů k sociálním médiím</w:t>
      </w:r>
    </w:p>
    <w:p w14:paraId="15CA8183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 než polovina (52 %) dotazovaných spotřebitelů v Evropě nakupuje spíše u značek, v jejichž sociální aktivity má důvěru.</w:t>
      </w:r>
    </w:p>
    <w:p w14:paraId="183498EA" w14:textId="77777777" w:rsidR="00C410CE" w:rsidRPr="00C410CE" w:rsidRDefault="00C410CE" w:rsidP="00C410CE">
      <w:pPr>
        <w:pStyle w:val="Odstavecseseznamem"/>
        <w:spacing w:after="0"/>
        <w:ind w:left="360"/>
        <w:rPr>
          <w:rFonts w:ascii="Arial" w:hAnsi="Arial" w:cs="Arial"/>
          <w:sz w:val="20"/>
        </w:rPr>
      </w:pPr>
    </w:p>
    <w:p w14:paraId="66E63FB8" w14:textId="77777777" w:rsidR="005C500F" w:rsidRDefault="00C410CE">
      <w:pPr>
        <w:pStyle w:val="Odstavecseseznamem"/>
        <w:numPr>
          <w:ilvl w:val="0"/>
          <w:numId w:val="2"/>
        </w:numPr>
        <w:spacing w:after="0"/>
        <w:ind w:left="728" w:hanging="72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Rostoucí význam udržitelnosti</w:t>
      </w:r>
    </w:p>
    <w:p w14:paraId="2A275574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Většina spotřebitelů očekává, že maloobchodníci budou brát ohled na životní prostředí. Přestože obě kategorie (nakupování u velkých nadnárodních společností oproti menším nezávislým maloobchodníkům) byly spojené s vysokými očekáváními, u větších nadnárodních maloobchodníků byl zaznamenán jasný trend směrem ke zvýšeným očekáváním směrem k udržitelnosti.</w:t>
      </w:r>
    </w:p>
    <w:p w14:paraId="4206144A" w14:textId="77777777" w:rsidR="005C500F" w:rsidRDefault="005C500F">
      <w:pPr>
        <w:spacing w:after="0"/>
        <w:ind w:left="720"/>
        <w:rPr>
          <w:rFonts w:ascii="Arial" w:hAnsi="Arial" w:cs="Arial"/>
          <w:sz w:val="20"/>
        </w:rPr>
      </w:pPr>
    </w:p>
    <w:p w14:paraId="7E4529DB" w14:textId="77777777" w:rsidR="005C500F" w:rsidRDefault="00C410CE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souhrnu mladší respondenti požadovali nabídku udržitelných nebo alternativních možností doručení, to bylo důležité pro 55 % respondentů ve věku 18-24 let a 43 % respondentů starších 55 let. U obou kategorií maloobchodníků byl nejčastěji zmiňovaný požadavek spotřebitele na udržitelné obaly, přičemž 54 % respondentů je očekávalo od velkých maloobchodníků oproti 50 % u menších obchodů.</w:t>
      </w:r>
    </w:p>
    <w:p w14:paraId="3E63A1A2" w14:textId="77777777" w:rsidR="005C500F" w:rsidRDefault="005C500F">
      <w:pPr>
        <w:spacing w:after="0"/>
        <w:ind w:left="720"/>
        <w:rPr>
          <w:rFonts w:ascii="Arial" w:hAnsi="Arial" w:cs="Arial"/>
          <w:sz w:val="20"/>
        </w:rPr>
      </w:pPr>
    </w:p>
    <w:p w14:paraId="52E7E8A3" w14:textId="77777777" w:rsidR="005C500F" w:rsidRDefault="00C410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průzkumu UPS realizovaném v lednu 2021 bylo více než 10 000 spotřebitelů v Evropě dotázáno na podíl nakupování přes internet v poměru k nakupování v kamenných obchodech v období před </w:t>
      </w:r>
      <w:proofErr w:type="spellStart"/>
      <w:r>
        <w:rPr>
          <w:rFonts w:ascii="Arial" w:hAnsi="Arial" w:cs="Arial"/>
          <w:sz w:val="20"/>
        </w:rPr>
        <w:t>lockdownem</w:t>
      </w:r>
      <w:proofErr w:type="spellEnd"/>
      <w:r>
        <w:rPr>
          <w:rFonts w:ascii="Arial" w:hAnsi="Arial" w:cs="Arial"/>
          <w:sz w:val="20"/>
        </w:rPr>
        <w:t xml:space="preserve"> na začátku roku 2020. Stejné otázky směřovaly také na jejich nákupní zkušenosti v období prvního </w:t>
      </w:r>
      <w:proofErr w:type="spellStart"/>
      <w:r>
        <w:rPr>
          <w:rFonts w:ascii="Arial" w:hAnsi="Arial" w:cs="Arial"/>
          <w:sz w:val="20"/>
        </w:rPr>
        <w:t>lockdownu</w:t>
      </w:r>
      <w:proofErr w:type="spellEnd"/>
      <w:r>
        <w:rPr>
          <w:rFonts w:ascii="Arial" w:hAnsi="Arial" w:cs="Arial"/>
          <w:sz w:val="20"/>
        </w:rPr>
        <w:t xml:space="preserve"> a jejich očekávání po odeznění pandemie. Průzkum byl proveden v osmi zemích </w:t>
      </w:r>
      <w:proofErr w:type="spellStart"/>
      <w:r>
        <w:rPr>
          <w:rFonts w:ascii="Arial" w:hAnsi="Arial" w:cs="Arial"/>
          <w:sz w:val="20"/>
        </w:rPr>
        <w:t>Evorpy</w:t>
      </w:r>
      <w:proofErr w:type="spellEnd"/>
      <w:r>
        <w:rPr>
          <w:rFonts w:ascii="Arial" w:hAnsi="Arial" w:cs="Arial"/>
          <w:sz w:val="20"/>
        </w:rPr>
        <w:t>, ve Velké Británii, Francii, Německu, Itálii, Španělsku, Nizozemsku, Belgii a Polsku.</w:t>
      </w:r>
    </w:p>
    <w:p w14:paraId="25D49C3E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687AC6FF" w14:textId="39FCBD2B" w:rsidR="005C500F" w:rsidRDefault="00C410C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Celou zprávu UPS Smart E-</w:t>
      </w:r>
      <w:proofErr w:type="spellStart"/>
      <w:r>
        <w:rPr>
          <w:rFonts w:ascii="Arial" w:hAnsi="Arial" w:cs="Arial"/>
          <w:sz w:val="20"/>
        </w:rPr>
        <w:t>commerce</w:t>
      </w:r>
      <w:proofErr w:type="spellEnd"/>
      <w:r>
        <w:rPr>
          <w:rFonts w:ascii="Arial" w:hAnsi="Arial" w:cs="Arial"/>
          <w:sz w:val="20"/>
        </w:rPr>
        <w:t xml:space="preserve"> Report 2021 si </w:t>
      </w:r>
      <w:r w:rsidR="00100C80">
        <w:rPr>
          <w:rFonts w:ascii="Arial" w:hAnsi="Arial" w:cs="Arial"/>
          <w:sz w:val="20"/>
        </w:rPr>
        <w:t xml:space="preserve">můžete přečíst nebo stáhnout na  </w:t>
      </w:r>
      <w:hyperlink r:id="rId8" w:history="1">
        <w:r w:rsidR="00100C80" w:rsidRPr="006152E2">
          <w:rPr>
            <w:rStyle w:val="Hypertextovodkaz"/>
            <w:rFonts w:ascii="Arial" w:hAnsi="Arial" w:cs="Arial"/>
            <w:sz w:val="20"/>
          </w:rPr>
          <w:t>https://solutions.ups.com/gb-smart-ecommerce</w:t>
        </w:r>
      </w:hyperlink>
      <w:r>
        <w:rPr>
          <w:rFonts w:ascii="Arial" w:hAnsi="Arial" w:cs="Arial"/>
          <w:sz w:val="20"/>
        </w:rPr>
        <w:t>.</w:t>
      </w:r>
      <w:r w:rsidR="00100C80">
        <w:rPr>
          <w:rFonts w:ascii="Arial" w:hAnsi="Arial" w:cs="Arial"/>
          <w:sz w:val="20"/>
        </w:rPr>
        <w:t xml:space="preserve"> </w:t>
      </w:r>
    </w:p>
    <w:p w14:paraId="4931019F" w14:textId="77777777" w:rsidR="005C500F" w:rsidRDefault="005C500F">
      <w:pPr>
        <w:spacing w:after="0"/>
        <w:rPr>
          <w:rFonts w:ascii="Arial" w:hAnsi="Arial" w:cs="Arial"/>
          <w:sz w:val="20"/>
        </w:rPr>
      </w:pPr>
    </w:p>
    <w:p w14:paraId="78181A8F" w14:textId="77777777" w:rsidR="005C500F" w:rsidRDefault="00C410CE">
      <w:pPr>
        <w:spacing w:after="0"/>
      </w:pPr>
      <w:r>
        <w:rPr>
          <w:rFonts w:ascii="Arial" w:hAnsi="Arial" w:cs="Arial"/>
          <w:sz w:val="20"/>
        </w:rPr>
        <w:t>Více o nabídce služeb UPS na trhu e-</w:t>
      </w:r>
      <w:proofErr w:type="spellStart"/>
      <w:r>
        <w:rPr>
          <w:rFonts w:ascii="Arial" w:hAnsi="Arial" w:cs="Arial"/>
          <w:sz w:val="20"/>
        </w:rPr>
        <w:t>commerce</w:t>
      </w:r>
      <w:proofErr w:type="spellEnd"/>
      <w:r>
        <w:rPr>
          <w:rFonts w:ascii="Arial" w:hAnsi="Arial" w:cs="Arial"/>
          <w:sz w:val="20"/>
        </w:rPr>
        <w:t xml:space="preserve"> naleznete na </w:t>
      </w:r>
      <w:hyperlink r:id="rId9">
        <w:r>
          <w:rPr>
            <w:rStyle w:val="Internetovodkaz"/>
            <w:rFonts w:ascii="Arial" w:hAnsi="Arial" w:cs="Arial"/>
            <w:color w:val="4F81BD" w:themeColor="accent1"/>
            <w:sz w:val="20"/>
          </w:rPr>
          <w:t>ups.com</w:t>
        </w:r>
      </w:hyperlink>
      <w:r>
        <w:rPr>
          <w:rFonts w:ascii="Arial" w:hAnsi="Arial" w:cs="Arial"/>
          <w:sz w:val="20"/>
        </w:rPr>
        <w:t>.</w:t>
      </w:r>
    </w:p>
    <w:p w14:paraId="4FBFCC12" w14:textId="77777777" w:rsidR="005C500F" w:rsidRDefault="005C500F">
      <w:pPr>
        <w:spacing w:after="0"/>
        <w:rPr>
          <w:rFonts w:ascii="Arial" w:hAnsi="Arial" w:cs="Arial"/>
          <w:sz w:val="20"/>
        </w:rPr>
      </w:pPr>
    </w:p>
    <w:sectPr w:rsidR="005C500F">
      <w:pgSz w:w="11906" w:h="16838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374"/>
    <w:multiLevelType w:val="multilevel"/>
    <w:tmpl w:val="5CD6D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25167"/>
    <w:multiLevelType w:val="multilevel"/>
    <w:tmpl w:val="32045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C13463"/>
    <w:multiLevelType w:val="multilevel"/>
    <w:tmpl w:val="F4F4F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F"/>
    <w:rsid w:val="00100C80"/>
    <w:rsid w:val="002B1010"/>
    <w:rsid w:val="004B16F6"/>
    <w:rsid w:val="004C7FD1"/>
    <w:rsid w:val="00512C8D"/>
    <w:rsid w:val="005C500F"/>
    <w:rsid w:val="00602604"/>
    <w:rsid w:val="00665E90"/>
    <w:rsid w:val="0071205F"/>
    <w:rsid w:val="00C410CE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Verdana" w:hAnsi="Verdana"/>
      <w:sz w:val="22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viiyi">
    <w:name w:val="viiyi"/>
    <w:basedOn w:val="Standardnpsmoodstavce"/>
    <w:qFormat/>
  </w:style>
  <w:style w:type="character" w:customStyle="1" w:styleId="jlqj4bchmk0b">
    <w:name w:val="jlqj4b chmk0b"/>
    <w:basedOn w:val="Standardnpsmoodstavce"/>
    <w:qFormat/>
  </w:style>
  <w:style w:type="character" w:customStyle="1" w:styleId="ListLabel1">
    <w:name w:val="ListLabel 1"/>
    <w:qFormat/>
    <w:rPr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4F81BD" w:themeColor="accent1"/>
      <w:sz w:val="20"/>
    </w:rPr>
  </w:style>
  <w:style w:type="character" w:customStyle="1" w:styleId="ListLabel6">
    <w:name w:val="ListLabel 6"/>
    <w:qFormat/>
    <w:rPr>
      <w:rFonts w:ascii="Arial" w:hAnsi="Arial" w:cs="Arial"/>
      <w:color w:val="4F81BD" w:themeColor="accent1"/>
      <w:sz w:val="20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Liberation Serif;Times New Roma" w:hAnsi="Liberation Serif;Times New Roma" w:cs="FreeSans"/>
    </w:rPr>
  </w:style>
  <w:style w:type="paragraph" w:styleId="Titulek">
    <w:name w:val="caption"/>
    <w:basedOn w:val="Normln"/>
    <w:next w:val="Normln"/>
    <w:qFormat/>
    <w:rPr>
      <w:b/>
      <w:bCs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;Times New Roma" w:hAnsi="Liberation Serif;Times New Roma" w:cs="FreeSans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qFormat/>
    <w:rPr>
      <w:sz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</w:rPr>
  </w:style>
  <w:style w:type="paragraph" w:styleId="Textvysvtlivek">
    <w:name w:val="endnote text"/>
    <w:basedOn w:val="Normln"/>
    <w:rPr>
      <w:sz w:val="20"/>
    </w:rPr>
  </w:style>
  <w:style w:type="paragraph" w:styleId="Textpoznpodarou">
    <w:name w:val="footnote text"/>
    <w:basedOn w:val="Normln"/>
    <w:rPr>
      <w:sz w:val="20"/>
    </w:rPr>
  </w:style>
  <w:style w:type="paragraph" w:styleId="Rejstk1">
    <w:name w:val="index 1"/>
    <w:basedOn w:val="Normln"/>
    <w:next w:val="Normln"/>
    <w:qFormat/>
    <w:pPr>
      <w:ind w:left="220" w:hanging="220"/>
    </w:pPr>
  </w:style>
  <w:style w:type="paragraph" w:styleId="Rejstk2">
    <w:name w:val="index 2"/>
    <w:basedOn w:val="Normln"/>
    <w:next w:val="Normln"/>
    <w:qFormat/>
    <w:pPr>
      <w:ind w:left="440" w:hanging="220"/>
    </w:pPr>
  </w:style>
  <w:style w:type="paragraph" w:styleId="Rejstk3">
    <w:name w:val="index 3"/>
    <w:basedOn w:val="Normln"/>
    <w:next w:val="Normln"/>
    <w:qFormat/>
    <w:pPr>
      <w:ind w:left="660" w:hanging="220"/>
    </w:pPr>
  </w:style>
  <w:style w:type="paragraph" w:styleId="Rejstk4">
    <w:name w:val="index 4"/>
    <w:basedOn w:val="Normln"/>
    <w:next w:val="Normln"/>
    <w:qFormat/>
    <w:pPr>
      <w:ind w:left="880" w:hanging="220"/>
    </w:pPr>
  </w:style>
  <w:style w:type="paragraph" w:styleId="Rejstk5">
    <w:name w:val="index 5"/>
    <w:basedOn w:val="Normln"/>
    <w:next w:val="Normln"/>
    <w:qFormat/>
    <w:pPr>
      <w:ind w:left="1100" w:hanging="220"/>
    </w:pPr>
  </w:style>
  <w:style w:type="paragraph" w:styleId="Rejstk6">
    <w:name w:val="index 6"/>
    <w:basedOn w:val="Normln"/>
    <w:next w:val="Normln"/>
    <w:qFormat/>
    <w:pPr>
      <w:ind w:left="1320" w:hanging="220"/>
    </w:pPr>
  </w:style>
  <w:style w:type="paragraph" w:styleId="Rejstk7">
    <w:name w:val="index 7"/>
    <w:basedOn w:val="Normln"/>
    <w:next w:val="Normln"/>
    <w:qFormat/>
    <w:pPr>
      <w:ind w:left="1540" w:hanging="220"/>
    </w:pPr>
  </w:style>
  <w:style w:type="paragraph" w:styleId="Rejstk8">
    <w:name w:val="index 8"/>
    <w:basedOn w:val="Normln"/>
    <w:next w:val="Normln"/>
    <w:qFormat/>
    <w:pPr>
      <w:ind w:left="1760" w:hanging="220"/>
    </w:pPr>
  </w:style>
  <w:style w:type="paragraph" w:styleId="Rejstk9">
    <w:name w:val="index 9"/>
    <w:basedOn w:val="Normln"/>
    <w:next w:val="Normln"/>
    <w:qFormat/>
    <w:pPr>
      <w:ind w:left="1980" w:hanging="220"/>
    </w:pPr>
  </w:style>
  <w:style w:type="paragraph" w:styleId="Hlavikarejstku">
    <w:name w:val="index heading"/>
    <w:basedOn w:val="Normln"/>
    <w:next w:val="Rejstk1"/>
    <w:qFormat/>
    <w:rPr>
      <w:rFonts w:ascii="Arial" w:hAnsi="Arial" w:cs="Arial"/>
      <w:b/>
      <w:bCs/>
    </w:rPr>
  </w:style>
  <w:style w:type="paragraph" w:styleId="Textmakra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  <w:sz w:val="22"/>
    </w:rPr>
  </w:style>
  <w:style w:type="paragraph" w:styleId="Seznamcitac">
    <w:name w:val="table of authorities"/>
    <w:basedOn w:val="Normln"/>
    <w:next w:val="Normln"/>
    <w:qFormat/>
    <w:pPr>
      <w:ind w:left="220" w:hanging="220"/>
    </w:pPr>
  </w:style>
  <w:style w:type="paragraph" w:styleId="Seznamobrzk">
    <w:name w:val="table of figures"/>
    <w:basedOn w:val="Normln"/>
    <w:next w:val="Normln"/>
    <w:qFormat/>
  </w:style>
  <w:style w:type="paragraph" w:styleId="Hlavikaobsahu">
    <w:name w:val="toa heading"/>
    <w:basedOn w:val="Normln"/>
    <w:next w:val="Normln"/>
    <w:qFormat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20"/>
    </w:pPr>
  </w:style>
  <w:style w:type="paragraph" w:styleId="Obsah3">
    <w:name w:val="toc 3"/>
    <w:basedOn w:val="Normln"/>
    <w:next w:val="Normln"/>
    <w:pPr>
      <w:ind w:left="440"/>
    </w:pPr>
  </w:style>
  <w:style w:type="paragraph" w:styleId="Obsah4">
    <w:name w:val="toc 4"/>
    <w:basedOn w:val="Normln"/>
    <w:next w:val="Normln"/>
    <w:pPr>
      <w:ind w:left="660"/>
    </w:pPr>
  </w:style>
  <w:style w:type="paragraph" w:styleId="Obsah5">
    <w:name w:val="toc 5"/>
    <w:basedOn w:val="Normln"/>
    <w:next w:val="Normln"/>
    <w:pPr>
      <w:ind w:left="880"/>
    </w:pPr>
  </w:style>
  <w:style w:type="paragraph" w:styleId="Obsah6">
    <w:name w:val="toc 6"/>
    <w:basedOn w:val="Normln"/>
    <w:next w:val="Normln"/>
    <w:pPr>
      <w:ind w:left="1100"/>
    </w:pPr>
  </w:style>
  <w:style w:type="paragraph" w:styleId="Obsah7">
    <w:name w:val="toc 7"/>
    <w:basedOn w:val="Normln"/>
    <w:next w:val="Normln"/>
    <w:pPr>
      <w:ind w:left="1320"/>
    </w:pPr>
  </w:style>
  <w:style w:type="paragraph" w:styleId="Obsah8">
    <w:name w:val="toc 8"/>
    <w:basedOn w:val="Normln"/>
    <w:next w:val="Normln"/>
    <w:pPr>
      <w:ind w:left="1540"/>
    </w:pPr>
  </w:style>
  <w:style w:type="paragraph" w:styleId="Obsah9">
    <w:name w:val="toc 9"/>
    <w:basedOn w:val="Normln"/>
    <w:next w:val="Normln"/>
    <w:pPr>
      <w:ind w:left="1760"/>
    </w:pPr>
  </w:style>
  <w:style w:type="paragraph" w:customStyle="1" w:styleId="Level1">
    <w:name w:val="Level 1"/>
    <w:basedOn w:val="Normln"/>
    <w:qFormat/>
    <w:pPr>
      <w:spacing w:before="120" w:after="120"/>
    </w:pPr>
  </w:style>
  <w:style w:type="paragraph" w:customStyle="1" w:styleId="Level2">
    <w:name w:val="Level 2"/>
    <w:basedOn w:val="Normln"/>
    <w:next w:val="Normln"/>
    <w:qFormat/>
    <w:pPr>
      <w:spacing w:before="120" w:after="120"/>
    </w:pPr>
  </w:style>
  <w:style w:type="paragraph" w:customStyle="1" w:styleId="Level2indent">
    <w:name w:val="Level 2 indent"/>
    <w:basedOn w:val="Normln"/>
    <w:qFormat/>
    <w:pPr>
      <w:tabs>
        <w:tab w:val="left" w:pos="1276"/>
      </w:tabs>
      <w:spacing w:after="120"/>
    </w:pPr>
    <w:rPr>
      <w:color w:val="000000"/>
      <w:lang w:val="en-AU" w:eastAsia="en-US"/>
    </w:rPr>
  </w:style>
  <w:style w:type="paragraph" w:customStyle="1" w:styleId="Level2nopoint">
    <w:name w:val="Level 2 no point"/>
    <w:basedOn w:val="Level2"/>
    <w:qFormat/>
  </w:style>
  <w:style w:type="paragraph" w:customStyle="1" w:styleId="Level2text">
    <w:name w:val="Level 2 text"/>
    <w:basedOn w:val="Normln"/>
    <w:qFormat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ln"/>
    <w:qFormat/>
    <w:pPr>
      <w:keepNext/>
      <w:keepLines/>
      <w:pBdr>
        <w:top w:val="dashed" w:sz="4" w:space="1" w:color="000000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paragraph" w:customStyle="1" w:styleId="Buletskostikou">
    <w:name w:val="Bulet s kostičkou"/>
    <w:basedOn w:val="Normln"/>
    <w:qFormat/>
    <w:p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Odstavecseseznamem">
    <w:name w:val="List Paragraph"/>
    <w:basedOn w:val="Normln"/>
    <w:uiPriority w:val="99"/>
    <w:qFormat/>
    <w:rsid w:val="000B149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0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Verdana" w:hAnsi="Verdana"/>
      <w:sz w:val="22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viiyi">
    <w:name w:val="viiyi"/>
    <w:basedOn w:val="Standardnpsmoodstavce"/>
    <w:qFormat/>
  </w:style>
  <w:style w:type="character" w:customStyle="1" w:styleId="jlqj4bchmk0b">
    <w:name w:val="jlqj4b chmk0b"/>
    <w:basedOn w:val="Standardnpsmoodstavce"/>
    <w:qFormat/>
  </w:style>
  <w:style w:type="character" w:customStyle="1" w:styleId="ListLabel1">
    <w:name w:val="ListLabel 1"/>
    <w:qFormat/>
    <w:rPr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color w:val="4F81BD" w:themeColor="accent1"/>
      <w:sz w:val="20"/>
    </w:rPr>
  </w:style>
  <w:style w:type="character" w:customStyle="1" w:styleId="ListLabel6">
    <w:name w:val="ListLabel 6"/>
    <w:qFormat/>
    <w:rPr>
      <w:rFonts w:ascii="Arial" w:hAnsi="Arial" w:cs="Arial"/>
      <w:color w:val="4F81BD" w:themeColor="accent1"/>
      <w:sz w:val="20"/>
      <w:lang w:val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Liberation Serif;Times New Roma" w:hAnsi="Liberation Serif;Times New Roma" w:cs="FreeSans"/>
    </w:rPr>
  </w:style>
  <w:style w:type="paragraph" w:styleId="Titulek">
    <w:name w:val="caption"/>
    <w:basedOn w:val="Normln"/>
    <w:next w:val="Normln"/>
    <w:qFormat/>
    <w:rPr>
      <w:b/>
      <w:bCs/>
      <w:sz w:val="20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;Times New Roma" w:hAnsi="Liberation Serif;Times New Roma" w:cs="FreeSans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qFormat/>
    <w:rPr>
      <w:sz w:val="20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</w:rPr>
  </w:style>
  <w:style w:type="paragraph" w:styleId="Textvysvtlivek">
    <w:name w:val="endnote text"/>
    <w:basedOn w:val="Normln"/>
    <w:rPr>
      <w:sz w:val="20"/>
    </w:rPr>
  </w:style>
  <w:style w:type="paragraph" w:styleId="Textpoznpodarou">
    <w:name w:val="footnote text"/>
    <w:basedOn w:val="Normln"/>
    <w:rPr>
      <w:sz w:val="20"/>
    </w:rPr>
  </w:style>
  <w:style w:type="paragraph" w:styleId="Rejstk1">
    <w:name w:val="index 1"/>
    <w:basedOn w:val="Normln"/>
    <w:next w:val="Normln"/>
    <w:qFormat/>
    <w:pPr>
      <w:ind w:left="220" w:hanging="220"/>
    </w:pPr>
  </w:style>
  <w:style w:type="paragraph" w:styleId="Rejstk2">
    <w:name w:val="index 2"/>
    <w:basedOn w:val="Normln"/>
    <w:next w:val="Normln"/>
    <w:qFormat/>
    <w:pPr>
      <w:ind w:left="440" w:hanging="220"/>
    </w:pPr>
  </w:style>
  <w:style w:type="paragraph" w:styleId="Rejstk3">
    <w:name w:val="index 3"/>
    <w:basedOn w:val="Normln"/>
    <w:next w:val="Normln"/>
    <w:qFormat/>
    <w:pPr>
      <w:ind w:left="660" w:hanging="220"/>
    </w:pPr>
  </w:style>
  <w:style w:type="paragraph" w:styleId="Rejstk4">
    <w:name w:val="index 4"/>
    <w:basedOn w:val="Normln"/>
    <w:next w:val="Normln"/>
    <w:qFormat/>
    <w:pPr>
      <w:ind w:left="880" w:hanging="220"/>
    </w:pPr>
  </w:style>
  <w:style w:type="paragraph" w:styleId="Rejstk5">
    <w:name w:val="index 5"/>
    <w:basedOn w:val="Normln"/>
    <w:next w:val="Normln"/>
    <w:qFormat/>
    <w:pPr>
      <w:ind w:left="1100" w:hanging="220"/>
    </w:pPr>
  </w:style>
  <w:style w:type="paragraph" w:styleId="Rejstk6">
    <w:name w:val="index 6"/>
    <w:basedOn w:val="Normln"/>
    <w:next w:val="Normln"/>
    <w:qFormat/>
    <w:pPr>
      <w:ind w:left="1320" w:hanging="220"/>
    </w:pPr>
  </w:style>
  <w:style w:type="paragraph" w:styleId="Rejstk7">
    <w:name w:val="index 7"/>
    <w:basedOn w:val="Normln"/>
    <w:next w:val="Normln"/>
    <w:qFormat/>
    <w:pPr>
      <w:ind w:left="1540" w:hanging="220"/>
    </w:pPr>
  </w:style>
  <w:style w:type="paragraph" w:styleId="Rejstk8">
    <w:name w:val="index 8"/>
    <w:basedOn w:val="Normln"/>
    <w:next w:val="Normln"/>
    <w:qFormat/>
    <w:pPr>
      <w:ind w:left="1760" w:hanging="220"/>
    </w:pPr>
  </w:style>
  <w:style w:type="paragraph" w:styleId="Rejstk9">
    <w:name w:val="index 9"/>
    <w:basedOn w:val="Normln"/>
    <w:next w:val="Normln"/>
    <w:qFormat/>
    <w:pPr>
      <w:ind w:left="1980" w:hanging="220"/>
    </w:pPr>
  </w:style>
  <w:style w:type="paragraph" w:styleId="Hlavikarejstku">
    <w:name w:val="index heading"/>
    <w:basedOn w:val="Normln"/>
    <w:next w:val="Rejstk1"/>
    <w:qFormat/>
    <w:rPr>
      <w:rFonts w:ascii="Arial" w:hAnsi="Arial" w:cs="Arial"/>
      <w:b/>
      <w:bCs/>
    </w:rPr>
  </w:style>
  <w:style w:type="paragraph" w:styleId="Textmakra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  <w:sz w:val="22"/>
    </w:rPr>
  </w:style>
  <w:style w:type="paragraph" w:styleId="Seznamcitac">
    <w:name w:val="table of authorities"/>
    <w:basedOn w:val="Normln"/>
    <w:next w:val="Normln"/>
    <w:qFormat/>
    <w:pPr>
      <w:ind w:left="220" w:hanging="220"/>
    </w:pPr>
  </w:style>
  <w:style w:type="paragraph" w:styleId="Seznamobrzk">
    <w:name w:val="table of figures"/>
    <w:basedOn w:val="Normln"/>
    <w:next w:val="Normln"/>
    <w:qFormat/>
  </w:style>
  <w:style w:type="paragraph" w:styleId="Hlavikaobsahu">
    <w:name w:val="toa heading"/>
    <w:basedOn w:val="Normln"/>
    <w:next w:val="Normln"/>
    <w:qFormat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20"/>
    </w:pPr>
  </w:style>
  <w:style w:type="paragraph" w:styleId="Obsah3">
    <w:name w:val="toc 3"/>
    <w:basedOn w:val="Normln"/>
    <w:next w:val="Normln"/>
    <w:pPr>
      <w:ind w:left="440"/>
    </w:pPr>
  </w:style>
  <w:style w:type="paragraph" w:styleId="Obsah4">
    <w:name w:val="toc 4"/>
    <w:basedOn w:val="Normln"/>
    <w:next w:val="Normln"/>
    <w:pPr>
      <w:ind w:left="660"/>
    </w:pPr>
  </w:style>
  <w:style w:type="paragraph" w:styleId="Obsah5">
    <w:name w:val="toc 5"/>
    <w:basedOn w:val="Normln"/>
    <w:next w:val="Normln"/>
    <w:pPr>
      <w:ind w:left="880"/>
    </w:pPr>
  </w:style>
  <w:style w:type="paragraph" w:styleId="Obsah6">
    <w:name w:val="toc 6"/>
    <w:basedOn w:val="Normln"/>
    <w:next w:val="Normln"/>
    <w:pPr>
      <w:ind w:left="1100"/>
    </w:pPr>
  </w:style>
  <w:style w:type="paragraph" w:styleId="Obsah7">
    <w:name w:val="toc 7"/>
    <w:basedOn w:val="Normln"/>
    <w:next w:val="Normln"/>
    <w:pPr>
      <w:ind w:left="1320"/>
    </w:pPr>
  </w:style>
  <w:style w:type="paragraph" w:styleId="Obsah8">
    <w:name w:val="toc 8"/>
    <w:basedOn w:val="Normln"/>
    <w:next w:val="Normln"/>
    <w:pPr>
      <w:ind w:left="1540"/>
    </w:pPr>
  </w:style>
  <w:style w:type="paragraph" w:styleId="Obsah9">
    <w:name w:val="toc 9"/>
    <w:basedOn w:val="Normln"/>
    <w:next w:val="Normln"/>
    <w:pPr>
      <w:ind w:left="1760"/>
    </w:pPr>
  </w:style>
  <w:style w:type="paragraph" w:customStyle="1" w:styleId="Level1">
    <w:name w:val="Level 1"/>
    <w:basedOn w:val="Normln"/>
    <w:qFormat/>
    <w:pPr>
      <w:spacing w:before="120" w:after="120"/>
    </w:pPr>
  </w:style>
  <w:style w:type="paragraph" w:customStyle="1" w:styleId="Level2">
    <w:name w:val="Level 2"/>
    <w:basedOn w:val="Normln"/>
    <w:next w:val="Normln"/>
    <w:qFormat/>
    <w:pPr>
      <w:spacing w:before="120" w:after="120"/>
    </w:pPr>
  </w:style>
  <w:style w:type="paragraph" w:customStyle="1" w:styleId="Level2indent">
    <w:name w:val="Level 2 indent"/>
    <w:basedOn w:val="Normln"/>
    <w:qFormat/>
    <w:pPr>
      <w:tabs>
        <w:tab w:val="left" w:pos="1276"/>
      </w:tabs>
      <w:spacing w:after="120"/>
    </w:pPr>
    <w:rPr>
      <w:color w:val="000000"/>
      <w:lang w:val="en-AU" w:eastAsia="en-US"/>
    </w:rPr>
  </w:style>
  <w:style w:type="paragraph" w:customStyle="1" w:styleId="Level2nopoint">
    <w:name w:val="Level 2 no point"/>
    <w:basedOn w:val="Level2"/>
    <w:qFormat/>
  </w:style>
  <w:style w:type="paragraph" w:customStyle="1" w:styleId="Level2text">
    <w:name w:val="Level 2 text"/>
    <w:basedOn w:val="Normln"/>
    <w:qFormat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ln"/>
    <w:qFormat/>
    <w:pPr>
      <w:keepNext/>
      <w:keepLines/>
      <w:pBdr>
        <w:top w:val="dashed" w:sz="4" w:space="1" w:color="000000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paragraph" w:customStyle="1" w:styleId="Buletskostikou">
    <w:name w:val="Bulet s kostičkou"/>
    <w:basedOn w:val="Normln"/>
    <w:qFormat/>
    <w:p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Odstavecseseznamem">
    <w:name w:val="List Paragraph"/>
    <w:basedOn w:val="Normln"/>
    <w:uiPriority w:val="99"/>
    <w:qFormat/>
    <w:rsid w:val="000B149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0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tions.ups.com/gb-smart-ecommerc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ps.com/cz/cs/help-center/contact.pa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24F23-6042-4039-99AA-7FD8131F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ONLINE SPENDING SHOWS SIGNS OF GROWTH COMPARED WITH PRE-PANDEMIC, SAYS THE UPS SMART E-COMMERCE REPORT 2021</vt:lpstr>
    </vt:vector>
  </TitlesOfParts>
  <Company>Donath Business &amp; Media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SPENDING SHOWS SIGNS OF GROWTH COMPARED WITH PRE-PANDEMIC, SAYS THE UPS SMART E-COMMERCE REPORT 2021</dc:title>
  <dc:creator>Karla Krejčí</dc:creator>
  <cp:lastModifiedBy>Karla</cp:lastModifiedBy>
  <cp:revision>3</cp:revision>
  <dcterms:created xsi:type="dcterms:W3CDTF">2021-06-02T14:48:00Z</dcterms:created>
  <dcterms:modified xsi:type="dcterms:W3CDTF">2021-06-03T07:01:00Z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Donath Business &amp; 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1033-11.1.0.10161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