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1D" w:rsidRDefault="001F7F1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F7F1D" w:rsidRDefault="001F7F1D">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14pt;margin-top:6.5pt;width:45pt;height:54pt;z-index:251658240;visibility:visible;mso-wrap-distance-right:0;mso-position-horizontal-relative:margin">
            <v:imagedata r:id="rId7" o:title=""/>
            <w10:wrap type="square" anchorx="margin"/>
          </v:shape>
        </w:pict>
      </w:r>
    </w:p>
    <w:p w:rsidR="001F7F1D" w:rsidRDefault="001F7F1D" w:rsidP="005C42B5">
      <w:pPr>
        <w:rPr>
          <w:rFonts w:ascii="Arial" w:hAnsi="Arial" w:cs="Arial"/>
          <w:sz w:val="20"/>
          <w:szCs w:val="20"/>
        </w:rPr>
      </w:pPr>
      <w:r>
        <w:rPr>
          <w:rFonts w:ascii="Arial" w:hAnsi="Arial" w:cs="Arial"/>
          <w:sz w:val="20"/>
          <w:szCs w:val="20"/>
        </w:rPr>
        <w:t>Contacts</w:t>
      </w:r>
      <w:r w:rsidRPr="00B85CCD">
        <w:rPr>
          <w:rFonts w:ascii="Arial" w:hAnsi="Arial" w:cs="Arial"/>
          <w:sz w:val="20"/>
          <w:szCs w:val="20"/>
        </w:rPr>
        <w:t>:</w:t>
      </w:r>
      <w:r w:rsidRPr="00B85CCD">
        <w:rPr>
          <w:rFonts w:ascii="Arial" w:hAnsi="Arial" w:cs="Arial"/>
          <w:sz w:val="16"/>
        </w:rPr>
        <w:tab/>
      </w:r>
      <w:r>
        <w:rPr>
          <w:rFonts w:ascii="Arial" w:hAnsi="Arial" w:cs="Arial"/>
          <w:sz w:val="20"/>
          <w:szCs w:val="20"/>
        </w:rPr>
        <w:t>Steve Gaut,</w:t>
      </w:r>
      <w:r w:rsidRPr="00B85CCD">
        <w:rPr>
          <w:rFonts w:ascii="Arial" w:hAnsi="Arial" w:cs="Arial"/>
          <w:sz w:val="20"/>
          <w:szCs w:val="20"/>
        </w:rPr>
        <w:t xml:space="preserve"> Public Relations</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1F7F1D" w:rsidRDefault="001F7F1D" w:rsidP="00CF5EB1">
      <w:pPr>
        <w:ind w:left="720" w:firstLine="720"/>
        <w:rPr>
          <w:rFonts w:ascii="Arial" w:hAnsi="Arial" w:cs="Arial"/>
          <w:sz w:val="20"/>
          <w:szCs w:val="20"/>
        </w:rPr>
      </w:pPr>
      <w:r w:rsidRPr="00B85CCD">
        <w:rPr>
          <w:rFonts w:ascii="Arial" w:hAnsi="Arial" w:cs="Arial"/>
          <w:sz w:val="20"/>
          <w:szCs w:val="20"/>
        </w:rPr>
        <w:t>404-828-</w:t>
      </w:r>
      <w:r>
        <w:rPr>
          <w:rFonts w:ascii="Arial" w:hAnsi="Arial" w:cs="Arial"/>
          <w:sz w:val="20"/>
          <w:szCs w:val="20"/>
        </w:rPr>
        <w:t>8787</w:t>
      </w:r>
    </w:p>
    <w:p w:rsidR="001F7F1D" w:rsidRDefault="001F7F1D">
      <w:pPr>
        <w:pStyle w:val="Heading4"/>
        <w:spacing w:before="0" w:after="0"/>
        <w:ind w:left="720" w:firstLine="720"/>
        <w:rPr>
          <w:rFonts w:ascii="Arial" w:hAnsi="Arial" w:cs="Arial"/>
          <w:b w:val="0"/>
          <w:sz w:val="16"/>
          <w:szCs w:val="16"/>
        </w:rPr>
      </w:pPr>
    </w:p>
    <w:p w:rsidR="001F7F1D" w:rsidRPr="00B85CCD" w:rsidRDefault="001F7F1D">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Pr="00B85CCD">
        <w:rPr>
          <w:rFonts w:ascii="Arial" w:hAnsi="Arial" w:cs="Arial"/>
          <w:b w:val="0"/>
          <w:sz w:val="20"/>
          <w:szCs w:val="20"/>
        </w:rPr>
        <w:t>, Investor Relations</w:t>
      </w:r>
    </w:p>
    <w:p w:rsidR="001F7F1D" w:rsidRPr="00B85CCD" w:rsidRDefault="001F7F1D">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t>404-828-</w:t>
      </w:r>
      <w:r>
        <w:rPr>
          <w:rFonts w:ascii="Arial" w:hAnsi="Arial" w:cs="Arial"/>
          <w:sz w:val="20"/>
          <w:szCs w:val="20"/>
        </w:rPr>
        <w:t>7957</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1F7F1D" w:rsidRDefault="001F7F1D" w:rsidP="007B357E">
      <w:pPr>
        <w:rPr>
          <w:rFonts w:ascii="Arial" w:hAnsi="Arial" w:cs="Arial"/>
          <w:sz w:val="20"/>
          <w:szCs w:val="20"/>
        </w:rPr>
      </w:pPr>
    </w:p>
    <w:p w:rsidR="001F7F1D" w:rsidRDefault="001F7F1D" w:rsidP="007B357E">
      <w:pPr>
        <w:rPr>
          <w:rFonts w:ascii="Arial" w:hAnsi="Arial" w:cs="Arial"/>
          <w:sz w:val="20"/>
          <w:szCs w:val="20"/>
        </w:rPr>
      </w:pPr>
      <w:r w:rsidRPr="00B85CCD">
        <w:rPr>
          <w:rFonts w:ascii="Arial" w:hAnsi="Arial" w:cs="Arial"/>
          <w:sz w:val="20"/>
          <w:szCs w:val="20"/>
        </w:rPr>
        <w:tab/>
      </w:r>
    </w:p>
    <w:p w:rsidR="001F7F1D" w:rsidRDefault="001F7F1D" w:rsidP="007B357E">
      <w:pPr>
        <w:rPr>
          <w:rFonts w:ascii="Arial" w:hAnsi="Arial" w:cs="Arial"/>
          <w:sz w:val="18"/>
          <w:szCs w:val="22"/>
        </w:rPr>
      </w:pPr>
    </w:p>
    <w:p w:rsidR="001F7F1D" w:rsidRPr="001D3F51" w:rsidRDefault="001F7F1D" w:rsidP="007B357E">
      <w:pPr>
        <w:rPr>
          <w:rFonts w:ascii="Arial" w:hAnsi="Arial" w:cs="Arial"/>
          <w:sz w:val="18"/>
          <w:szCs w:val="22"/>
        </w:rPr>
      </w:pPr>
    </w:p>
    <w:p w:rsidR="001F7F1D" w:rsidRPr="003D13D6" w:rsidRDefault="001F7F1D" w:rsidP="00556A78">
      <w:pPr>
        <w:jc w:val="center"/>
        <w:rPr>
          <w:rFonts w:ascii="Arial" w:hAnsi="Arial" w:cs="Arial"/>
          <w:i/>
          <w:sz w:val="32"/>
          <w:szCs w:val="26"/>
        </w:rPr>
      </w:pPr>
      <w:r>
        <w:rPr>
          <w:rFonts w:ascii="Arial" w:hAnsi="Arial" w:cs="Arial"/>
          <w:b/>
          <w:sz w:val="32"/>
          <w:szCs w:val="26"/>
        </w:rPr>
        <w:t xml:space="preserve">UPS DELIVERS 1Q 2018 EPS OF $1.55, UP 17% </w:t>
      </w:r>
    </w:p>
    <w:p w:rsidR="001F7F1D" w:rsidRPr="005645FE" w:rsidRDefault="001F7F1D" w:rsidP="001D3F51">
      <w:pPr>
        <w:ind w:left="180"/>
        <w:jc w:val="center"/>
        <w:rPr>
          <w:rFonts w:ascii="Arial" w:hAnsi="Arial" w:cs="Arial"/>
          <w:b/>
          <w:sz w:val="28"/>
          <w:szCs w:val="26"/>
        </w:rPr>
      </w:pPr>
    </w:p>
    <w:p w:rsidR="001F7F1D" w:rsidRDefault="001F7F1D" w:rsidP="000F1D36">
      <w:pPr>
        <w:pStyle w:val="ListParagraph"/>
        <w:numPr>
          <w:ilvl w:val="0"/>
          <w:numId w:val="35"/>
        </w:numPr>
        <w:ind w:left="540"/>
        <w:rPr>
          <w:rFonts w:ascii="Arial" w:hAnsi="Arial" w:cs="Arial"/>
          <w:b/>
          <w:i/>
        </w:rPr>
      </w:pPr>
      <w:r>
        <w:rPr>
          <w:rFonts w:ascii="Arial" w:hAnsi="Arial" w:cs="Arial"/>
          <w:b/>
          <w:i/>
        </w:rPr>
        <w:t>International Revenue and Operating Profit Climb 15%</w:t>
      </w:r>
    </w:p>
    <w:p w:rsidR="001F7F1D" w:rsidRDefault="001F7F1D" w:rsidP="000F1D36">
      <w:pPr>
        <w:pStyle w:val="ListParagraph"/>
        <w:numPr>
          <w:ilvl w:val="0"/>
          <w:numId w:val="35"/>
        </w:numPr>
        <w:ind w:left="540"/>
        <w:rPr>
          <w:rFonts w:ascii="Arial" w:hAnsi="Arial" w:cs="Arial"/>
          <w:b/>
          <w:i/>
        </w:rPr>
      </w:pPr>
      <w:r>
        <w:rPr>
          <w:rFonts w:ascii="Arial" w:hAnsi="Arial" w:cs="Arial"/>
          <w:b/>
          <w:i/>
        </w:rPr>
        <w:t>Average Daily Exports grew 12%, Led by Europe and U.S. Trade Lanes</w:t>
      </w:r>
    </w:p>
    <w:p w:rsidR="001F7F1D" w:rsidRPr="00C76EE5" w:rsidRDefault="001F7F1D" w:rsidP="00CC6CB3">
      <w:pPr>
        <w:pStyle w:val="ListParagraph"/>
        <w:numPr>
          <w:ilvl w:val="0"/>
          <w:numId w:val="35"/>
        </w:numPr>
        <w:ind w:left="540"/>
        <w:rPr>
          <w:rFonts w:ascii="Arial" w:hAnsi="Arial" w:cs="Arial"/>
          <w:b/>
          <w:i/>
        </w:rPr>
      </w:pPr>
      <w:r w:rsidRPr="00C76EE5">
        <w:rPr>
          <w:rFonts w:ascii="Arial" w:hAnsi="Arial" w:cs="Arial"/>
          <w:b/>
          <w:i/>
        </w:rPr>
        <w:t xml:space="preserve">Supply Chain &amp; Freight Operating Profit up 14% on </w:t>
      </w:r>
      <w:r>
        <w:rPr>
          <w:rFonts w:ascii="Arial" w:hAnsi="Arial" w:cs="Arial"/>
          <w:b/>
          <w:i/>
        </w:rPr>
        <w:t xml:space="preserve">16% </w:t>
      </w:r>
      <w:r w:rsidRPr="00C76EE5">
        <w:rPr>
          <w:rFonts w:ascii="Arial" w:hAnsi="Arial" w:cs="Arial"/>
          <w:b/>
          <w:i/>
        </w:rPr>
        <w:t xml:space="preserve">Revenue Growth </w:t>
      </w:r>
    </w:p>
    <w:p w:rsidR="001F7F1D" w:rsidRDefault="001F7F1D" w:rsidP="000F1D36">
      <w:pPr>
        <w:pStyle w:val="ListParagraph"/>
        <w:numPr>
          <w:ilvl w:val="0"/>
          <w:numId w:val="35"/>
        </w:numPr>
        <w:ind w:left="540"/>
        <w:rPr>
          <w:rFonts w:ascii="Arial" w:hAnsi="Arial" w:cs="Arial"/>
          <w:b/>
          <w:i/>
        </w:rPr>
      </w:pPr>
      <w:r>
        <w:rPr>
          <w:rFonts w:ascii="Arial" w:hAnsi="Arial" w:cs="Arial"/>
          <w:b/>
          <w:i/>
        </w:rPr>
        <w:t>U.S. Domestic Revenue Rises 7.2% on 4.6% Volume Growth</w:t>
      </w:r>
      <w:r w:rsidRPr="0068023F">
        <w:rPr>
          <w:rFonts w:ascii="Arial" w:hAnsi="Arial" w:cs="Arial"/>
          <w:b/>
          <w:i/>
        </w:rPr>
        <w:t xml:space="preserve"> </w:t>
      </w:r>
    </w:p>
    <w:p w:rsidR="001F7F1D" w:rsidRDefault="001F7F1D" w:rsidP="00722D24">
      <w:pPr>
        <w:pStyle w:val="ListParagraph"/>
        <w:numPr>
          <w:ilvl w:val="0"/>
          <w:numId w:val="35"/>
        </w:numPr>
        <w:ind w:left="540"/>
        <w:rPr>
          <w:rFonts w:ascii="Arial" w:hAnsi="Arial" w:cs="Arial"/>
          <w:b/>
          <w:i/>
        </w:rPr>
      </w:pPr>
      <w:r>
        <w:rPr>
          <w:rFonts w:ascii="Arial" w:hAnsi="Arial" w:cs="Arial"/>
          <w:b/>
          <w:i/>
        </w:rPr>
        <w:t xml:space="preserve">Weather Conditions Muted First Quarter U.S. Domestic Results  </w:t>
      </w:r>
    </w:p>
    <w:p w:rsidR="001F7F1D" w:rsidRPr="00E2681B" w:rsidRDefault="001F7F1D" w:rsidP="00750424">
      <w:pPr>
        <w:pStyle w:val="ListParagraph"/>
        <w:numPr>
          <w:ilvl w:val="0"/>
          <w:numId w:val="35"/>
        </w:numPr>
        <w:ind w:left="540"/>
        <w:rPr>
          <w:rFonts w:ascii="Arial" w:hAnsi="Arial" w:cs="Arial"/>
          <w:b/>
          <w:i/>
        </w:rPr>
      </w:pPr>
      <w:r w:rsidRPr="00E2681B">
        <w:rPr>
          <w:rFonts w:ascii="Arial" w:hAnsi="Arial" w:cs="Arial"/>
          <w:b/>
          <w:i/>
        </w:rPr>
        <w:t>Cash from Operations of $4.1B Resulted in Free Cash Flow</w:t>
      </w:r>
      <w:r>
        <w:rPr>
          <w:rFonts w:ascii="Arial" w:hAnsi="Arial" w:cs="Arial"/>
          <w:b/>
          <w:i/>
        </w:rPr>
        <w:t>*</w:t>
      </w:r>
      <w:r w:rsidRPr="00E2681B">
        <w:rPr>
          <w:rFonts w:ascii="Arial" w:hAnsi="Arial" w:cs="Arial"/>
          <w:b/>
          <w:i/>
        </w:rPr>
        <w:t xml:space="preserve"> of $2.6B </w:t>
      </w:r>
    </w:p>
    <w:p w:rsidR="001F7F1D" w:rsidRDefault="001F7F1D" w:rsidP="00750424">
      <w:pPr>
        <w:pStyle w:val="ListParagraph"/>
        <w:numPr>
          <w:ilvl w:val="0"/>
          <w:numId w:val="35"/>
        </w:numPr>
        <w:ind w:left="540"/>
        <w:rPr>
          <w:rFonts w:ascii="Arial" w:hAnsi="Arial" w:cs="Arial"/>
          <w:b/>
          <w:i/>
        </w:rPr>
      </w:pPr>
      <w:r>
        <w:rPr>
          <w:rFonts w:ascii="Arial" w:hAnsi="Arial" w:cs="Arial"/>
          <w:b/>
          <w:i/>
        </w:rPr>
        <w:t>Reaffirms</w:t>
      </w:r>
      <w:r w:rsidRPr="004F5D76">
        <w:rPr>
          <w:rFonts w:ascii="Arial" w:hAnsi="Arial" w:cs="Arial"/>
          <w:b/>
          <w:i/>
        </w:rPr>
        <w:t xml:space="preserve"> Full-Year 201</w:t>
      </w:r>
      <w:r>
        <w:rPr>
          <w:rFonts w:ascii="Arial" w:hAnsi="Arial" w:cs="Arial"/>
          <w:b/>
          <w:i/>
        </w:rPr>
        <w:t>8</w:t>
      </w:r>
      <w:r w:rsidRPr="004F5D76">
        <w:rPr>
          <w:rFonts w:ascii="Arial" w:hAnsi="Arial" w:cs="Arial"/>
          <w:b/>
          <w:i/>
        </w:rPr>
        <w:t xml:space="preserve"> </w:t>
      </w:r>
      <w:r>
        <w:rPr>
          <w:rFonts w:ascii="Arial" w:hAnsi="Arial" w:cs="Arial"/>
          <w:b/>
          <w:i/>
        </w:rPr>
        <w:t>Adjusted</w:t>
      </w:r>
      <w:r w:rsidRPr="004F5D76">
        <w:rPr>
          <w:rFonts w:ascii="Arial" w:hAnsi="Arial" w:cs="Arial"/>
          <w:b/>
          <w:i/>
        </w:rPr>
        <w:t xml:space="preserve"> EPS Guidance</w:t>
      </w:r>
    </w:p>
    <w:p w:rsidR="001F7F1D" w:rsidRPr="004F5D76" w:rsidRDefault="001F7F1D" w:rsidP="00771488">
      <w:pPr>
        <w:pStyle w:val="ListParagraph"/>
        <w:ind w:left="540"/>
        <w:rPr>
          <w:rFonts w:ascii="Arial" w:hAnsi="Arial" w:cs="Arial"/>
          <w:b/>
          <w:i/>
        </w:rPr>
      </w:pPr>
    </w:p>
    <w:p w:rsidR="001F7F1D" w:rsidRDefault="001F7F1D" w:rsidP="000E624D">
      <w:pPr>
        <w:rPr>
          <w:rFonts w:ascii="Arial" w:hAnsi="Arial" w:cs="Arial"/>
          <w:b/>
          <w:szCs w:val="20"/>
        </w:rPr>
      </w:pPr>
    </w:p>
    <w:p w:rsidR="001F7F1D" w:rsidRDefault="001F7F1D" w:rsidP="001818ED">
      <w:pPr>
        <w:ind w:firstLine="720"/>
        <w:rPr>
          <w:rFonts w:ascii="Arial" w:hAnsi="Arial" w:cs="Arial"/>
          <w:sz w:val="22"/>
        </w:rPr>
      </w:pPr>
      <w:r w:rsidRPr="004F5D76">
        <w:rPr>
          <w:rFonts w:ascii="Arial" w:hAnsi="Arial" w:cs="Arial"/>
          <w:b/>
        </w:rPr>
        <w:t>A</w:t>
      </w:r>
      <w:r>
        <w:rPr>
          <w:rFonts w:ascii="Arial" w:hAnsi="Arial" w:cs="Arial"/>
          <w:b/>
        </w:rPr>
        <w:t>TLANTA –</w:t>
      </w:r>
      <w:r w:rsidRPr="004F5D76">
        <w:rPr>
          <w:rFonts w:ascii="Arial" w:hAnsi="Arial" w:cs="Arial"/>
          <w:b/>
        </w:rPr>
        <w:t xml:space="preserve"> </w:t>
      </w:r>
      <w:r>
        <w:rPr>
          <w:rFonts w:ascii="Arial" w:hAnsi="Arial" w:cs="Arial"/>
          <w:b/>
        </w:rPr>
        <w:t>April 26</w:t>
      </w:r>
      <w:r w:rsidRPr="004F5D76">
        <w:rPr>
          <w:rFonts w:ascii="Arial" w:hAnsi="Arial" w:cs="Arial"/>
          <w:b/>
        </w:rPr>
        <w:t>, 201</w:t>
      </w:r>
      <w:r>
        <w:rPr>
          <w:rFonts w:ascii="Arial" w:hAnsi="Arial" w:cs="Arial"/>
          <w:b/>
        </w:rPr>
        <w:t>8</w:t>
      </w:r>
      <w:r w:rsidRPr="004F5D76">
        <w:rPr>
          <w:rFonts w:ascii="Arial" w:hAnsi="Arial" w:cs="Arial"/>
          <w:sz w:val="22"/>
        </w:rPr>
        <w:t xml:space="preserve"> – UPS (NYSE:UPS) today announced </w:t>
      </w:r>
      <w:r>
        <w:rPr>
          <w:rFonts w:ascii="Arial" w:hAnsi="Arial" w:cs="Arial"/>
          <w:sz w:val="22"/>
        </w:rPr>
        <w:t xml:space="preserve">that first-quarter 2018 earnings per share rose 17% to $1.55, led by double-digit operating profit growth in both International and Supply Chain and Freight segments. </w:t>
      </w:r>
      <w:r w:rsidRPr="004F5D76">
        <w:rPr>
          <w:rFonts w:ascii="Arial" w:hAnsi="Arial" w:cs="Arial"/>
          <w:sz w:val="22"/>
          <w:szCs w:val="22"/>
        </w:rPr>
        <w:t>“</w:t>
      </w:r>
      <w:r>
        <w:rPr>
          <w:rFonts w:ascii="Arial" w:hAnsi="Arial" w:cs="Arial"/>
          <w:sz w:val="22"/>
          <w:szCs w:val="22"/>
        </w:rPr>
        <w:t>Top-line growth in our business was strong across all business segments, reflecting the power of UPS’s global solutions and continued favorable economic conditions,</w:t>
      </w:r>
      <w:r>
        <w:rPr>
          <w:rFonts w:ascii="Arial" w:hAnsi="Arial" w:cs="Arial"/>
          <w:sz w:val="22"/>
        </w:rPr>
        <w:t>”</w:t>
      </w:r>
      <w:r w:rsidRPr="00B407F4">
        <w:rPr>
          <w:rFonts w:ascii="Arial" w:hAnsi="Arial" w:cs="Arial"/>
          <w:sz w:val="22"/>
          <w:szCs w:val="22"/>
        </w:rPr>
        <w:t xml:space="preserve"> </w:t>
      </w:r>
      <w:r w:rsidRPr="004F5D76">
        <w:rPr>
          <w:rFonts w:ascii="Arial" w:hAnsi="Arial" w:cs="Arial"/>
          <w:sz w:val="22"/>
          <w:szCs w:val="22"/>
        </w:rPr>
        <w:t xml:space="preserve">said </w:t>
      </w:r>
      <w:r>
        <w:rPr>
          <w:rFonts w:ascii="Arial" w:hAnsi="Arial" w:cs="Arial"/>
          <w:sz w:val="22"/>
          <w:szCs w:val="22"/>
        </w:rPr>
        <w:t xml:space="preserve">UPS Chairman and CEO </w:t>
      </w:r>
      <w:r w:rsidRPr="004F5D76">
        <w:rPr>
          <w:rFonts w:ascii="Arial" w:hAnsi="Arial" w:cs="Arial"/>
          <w:sz w:val="22"/>
          <w:szCs w:val="22"/>
        </w:rPr>
        <w:t>David Abney</w:t>
      </w:r>
      <w:r>
        <w:rPr>
          <w:rFonts w:ascii="Arial" w:hAnsi="Arial" w:cs="Arial"/>
          <w:sz w:val="22"/>
          <w:szCs w:val="22"/>
        </w:rPr>
        <w:t xml:space="preserve">. “When combined with our transformation initiatives, these favorable trends position UPS for strong returns going forward.”  </w:t>
      </w:r>
    </w:p>
    <w:p w:rsidR="001F7F1D" w:rsidRDefault="001F7F1D" w:rsidP="000E624D">
      <w:pPr>
        <w:rPr>
          <w:rFonts w:ascii="Arial" w:hAnsi="Arial" w:cs="Arial"/>
          <w:sz w:val="22"/>
        </w:rPr>
      </w:pPr>
    </w:p>
    <w:tbl>
      <w:tblPr>
        <w:tblW w:w="8088" w:type="dxa"/>
        <w:jc w:val="center"/>
        <w:tblLook w:val="00A0" w:firstRow="1" w:lastRow="0" w:firstColumn="1" w:lastColumn="0" w:noHBand="0" w:noVBand="0"/>
      </w:tblPr>
      <w:tblGrid>
        <w:gridCol w:w="2848"/>
        <w:gridCol w:w="1696"/>
        <w:gridCol w:w="1696"/>
        <w:gridCol w:w="288"/>
        <w:gridCol w:w="1560"/>
      </w:tblGrid>
      <w:tr w:rsidR="001F7F1D" w:rsidRPr="001E1EB6" w:rsidTr="00C1043C">
        <w:trPr>
          <w:jc w:val="center"/>
        </w:trPr>
        <w:tc>
          <w:tcPr>
            <w:tcW w:w="2848" w:type="dxa"/>
          </w:tcPr>
          <w:p w:rsidR="001F7F1D" w:rsidRPr="00C1043C" w:rsidRDefault="001F7F1D" w:rsidP="005A5BC6">
            <w:pPr>
              <w:rPr>
                <w:rFonts w:ascii="Arial" w:hAnsi="Arial" w:cs="Arial"/>
                <w:b/>
                <w:sz w:val="20"/>
                <w:szCs w:val="22"/>
                <w:u w:val="single"/>
              </w:rPr>
            </w:pPr>
          </w:p>
          <w:p w:rsidR="001F7F1D" w:rsidRPr="00C1043C" w:rsidRDefault="001F7F1D" w:rsidP="005A5BC6">
            <w:pPr>
              <w:rPr>
                <w:rFonts w:ascii="Arial" w:hAnsi="Arial" w:cs="Arial"/>
                <w:b/>
                <w:sz w:val="20"/>
                <w:szCs w:val="22"/>
                <w:u w:val="single"/>
              </w:rPr>
            </w:pPr>
            <w:r w:rsidRPr="00C1043C">
              <w:rPr>
                <w:rFonts w:ascii="Arial" w:hAnsi="Arial" w:cs="Arial"/>
                <w:b/>
                <w:sz w:val="20"/>
                <w:szCs w:val="22"/>
                <w:u w:val="single"/>
              </w:rPr>
              <w:t>Consolidated Results</w:t>
            </w:r>
          </w:p>
        </w:tc>
        <w:tc>
          <w:tcPr>
            <w:tcW w:w="1696"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2018</w:t>
            </w:r>
          </w:p>
        </w:tc>
        <w:tc>
          <w:tcPr>
            <w:tcW w:w="1696"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2017</w:t>
            </w:r>
          </w:p>
        </w:tc>
        <w:tc>
          <w:tcPr>
            <w:tcW w:w="288" w:type="dxa"/>
          </w:tcPr>
          <w:p w:rsidR="001F7F1D" w:rsidRPr="00C1043C" w:rsidRDefault="001F7F1D" w:rsidP="00C1043C">
            <w:pPr>
              <w:jc w:val="center"/>
              <w:rPr>
                <w:rFonts w:ascii="Arial" w:hAnsi="Arial" w:cs="Arial"/>
                <w:b/>
                <w:sz w:val="20"/>
                <w:szCs w:val="22"/>
                <w:u w:val="single"/>
              </w:rPr>
            </w:pPr>
          </w:p>
        </w:tc>
        <w:tc>
          <w:tcPr>
            <w:tcW w:w="1560" w:type="dxa"/>
          </w:tcPr>
          <w:p w:rsidR="001F7F1D" w:rsidRPr="00C1043C" w:rsidRDefault="001F7F1D" w:rsidP="00C1043C">
            <w:pPr>
              <w:jc w:val="center"/>
              <w:rPr>
                <w:rFonts w:ascii="Arial" w:hAnsi="Arial" w:cs="Arial"/>
                <w:b/>
                <w:sz w:val="20"/>
                <w:szCs w:val="22"/>
                <w:u w:val="single"/>
              </w:rPr>
            </w:pPr>
          </w:p>
          <w:p w:rsidR="001F7F1D" w:rsidRPr="00C1043C" w:rsidRDefault="001F7F1D" w:rsidP="00C1043C">
            <w:pPr>
              <w:jc w:val="center"/>
              <w:rPr>
                <w:rFonts w:ascii="Arial" w:hAnsi="Arial" w:cs="Arial"/>
                <w:b/>
                <w:sz w:val="20"/>
                <w:szCs w:val="22"/>
                <w:u w:val="single"/>
              </w:rPr>
            </w:pPr>
            <w:r w:rsidRPr="00C1043C">
              <w:rPr>
                <w:rFonts w:ascii="Arial" w:hAnsi="Arial" w:cs="Arial"/>
                <w:b/>
                <w:sz w:val="20"/>
                <w:szCs w:val="22"/>
                <w:u w:val="single"/>
              </w:rPr>
              <w:t>% Change</w:t>
            </w:r>
          </w:p>
        </w:tc>
      </w:tr>
      <w:tr w:rsidR="001F7F1D" w:rsidRPr="001E1EB6" w:rsidTr="00C1043C">
        <w:trPr>
          <w:jc w:val="center"/>
        </w:trPr>
        <w:tc>
          <w:tcPr>
            <w:tcW w:w="2848" w:type="dxa"/>
          </w:tcPr>
          <w:p w:rsidR="001F7F1D" w:rsidRPr="00C1043C" w:rsidRDefault="001F7F1D" w:rsidP="005A5BC6">
            <w:pPr>
              <w:rPr>
                <w:rFonts w:ascii="Arial" w:hAnsi="Arial" w:cs="Arial"/>
                <w:sz w:val="20"/>
                <w:szCs w:val="22"/>
              </w:rPr>
            </w:pPr>
            <w:r w:rsidRPr="00C1043C">
              <w:rPr>
                <w:rFonts w:ascii="Arial" w:hAnsi="Arial" w:cs="Arial"/>
                <w:sz w:val="20"/>
                <w:szCs w:val="22"/>
              </w:rPr>
              <w:t>Revenue</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$17,113 M</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$15,510 M</w:t>
            </w:r>
          </w:p>
        </w:tc>
        <w:tc>
          <w:tcPr>
            <w:tcW w:w="288" w:type="dxa"/>
          </w:tcPr>
          <w:p w:rsidR="001F7F1D" w:rsidRPr="00C1043C" w:rsidRDefault="001F7F1D" w:rsidP="00C1043C">
            <w:pPr>
              <w:jc w:val="center"/>
              <w:rPr>
                <w:rFonts w:ascii="Arial" w:hAnsi="Arial" w:cs="Arial"/>
                <w:sz w:val="20"/>
                <w:szCs w:val="22"/>
              </w:rPr>
            </w:pPr>
          </w:p>
        </w:tc>
        <w:tc>
          <w:tcPr>
            <w:tcW w:w="1560" w:type="dxa"/>
          </w:tcPr>
          <w:p w:rsidR="001F7F1D" w:rsidRPr="00C1043C" w:rsidRDefault="001F7F1D" w:rsidP="00C1043C">
            <w:pPr>
              <w:jc w:val="center"/>
              <w:rPr>
                <w:rFonts w:ascii="Arial" w:hAnsi="Arial" w:cs="Arial"/>
                <w:sz w:val="20"/>
                <w:szCs w:val="22"/>
              </w:rPr>
            </w:pPr>
            <w:r w:rsidRPr="00C1043C">
              <w:rPr>
                <w:rFonts w:ascii="Arial" w:hAnsi="Arial" w:cs="Arial"/>
                <w:sz w:val="20"/>
                <w:szCs w:val="22"/>
              </w:rPr>
              <w:t>10%</w:t>
            </w:r>
          </w:p>
        </w:tc>
      </w:tr>
      <w:tr w:rsidR="001F7F1D" w:rsidRPr="001E1EB6" w:rsidTr="00C1043C">
        <w:trPr>
          <w:jc w:val="center"/>
        </w:trPr>
        <w:tc>
          <w:tcPr>
            <w:tcW w:w="2848" w:type="dxa"/>
          </w:tcPr>
          <w:p w:rsidR="001F7F1D" w:rsidRPr="00C1043C" w:rsidRDefault="001F7F1D" w:rsidP="000F1F16">
            <w:pPr>
              <w:rPr>
                <w:rFonts w:ascii="Arial" w:hAnsi="Arial" w:cs="Arial"/>
                <w:sz w:val="20"/>
                <w:szCs w:val="22"/>
              </w:rPr>
            </w:pPr>
            <w:r w:rsidRPr="00C1043C">
              <w:rPr>
                <w:rFonts w:ascii="Arial" w:hAnsi="Arial" w:cs="Arial"/>
                <w:sz w:val="20"/>
                <w:szCs w:val="22"/>
              </w:rPr>
              <w:t>Net income</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$1,345 M</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$1,166 M</w:t>
            </w:r>
          </w:p>
        </w:tc>
        <w:tc>
          <w:tcPr>
            <w:tcW w:w="288" w:type="dxa"/>
          </w:tcPr>
          <w:p w:rsidR="001F7F1D" w:rsidRPr="00C1043C" w:rsidRDefault="001F7F1D" w:rsidP="00C1043C">
            <w:pPr>
              <w:jc w:val="center"/>
              <w:rPr>
                <w:rFonts w:ascii="Arial" w:hAnsi="Arial" w:cs="Arial"/>
                <w:sz w:val="20"/>
                <w:szCs w:val="22"/>
              </w:rPr>
            </w:pPr>
          </w:p>
        </w:tc>
        <w:tc>
          <w:tcPr>
            <w:tcW w:w="1560" w:type="dxa"/>
          </w:tcPr>
          <w:p w:rsidR="001F7F1D" w:rsidRPr="00C1043C" w:rsidRDefault="001F7F1D" w:rsidP="00C1043C">
            <w:pPr>
              <w:jc w:val="center"/>
              <w:rPr>
                <w:rFonts w:ascii="Arial" w:hAnsi="Arial" w:cs="Arial"/>
                <w:sz w:val="20"/>
                <w:szCs w:val="22"/>
              </w:rPr>
            </w:pPr>
            <w:r w:rsidRPr="00C1043C">
              <w:rPr>
                <w:rFonts w:ascii="Arial" w:hAnsi="Arial" w:cs="Arial"/>
                <w:sz w:val="20"/>
                <w:szCs w:val="22"/>
              </w:rPr>
              <w:t>15%</w:t>
            </w:r>
          </w:p>
        </w:tc>
      </w:tr>
      <w:tr w:rsidR="001F7F1D" w:rsidRPr="001E1EB6" w:rsidTr="00C1043C">
        <w:trPr>
          <w:jc w:val="center"/>
        </w:trPr>
        <w:tc>
          <w:tcPr>
            <w:tcW w:w="2848" w:type="dxa"/>
          </w:tcPr>
          <w:p w:rsidR="001F7F1D" w:rsidRPr="00C1043C" w:rsidRDefault="001F7F1D" w:rsidP="000F1F16">
            <w:pPr>
              <w:rPr>
                <w:rFonts w:ascii="Arial" w:hAnsi="Arial" w:cs="Arial"/>
                <w:sz w:val="20"/>
                <w:szCs w:val="22"/>
              </w:rPr>
            </w:pPr>
            <w:r w:rsidRPr="00C1043C">
              <w:rPr>
                <w:rFonts w:ascii="Arial" w:hAnsi="Arial" w:cs="Arial"/>
                <w:sz w:val="20"/>
                <w:szCs w:val="22"/>
              </w:rPr>
              <w:t>Diluted earnings per share</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$1.55</w:t>
            </w:r>
          </w:p>
        </w:tc>
        <w:tc>
          <w:tcPr>
            <w:tcW w:w="1696"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$1.33</w:t>
            </w:r>
          </w:p>
        </w:tc>
        <w:tc>
          <w:tcPr>
            <w:tcW w:w="288" w:type="dxa"/>
          </w:tcPr>
          <w:p w:rsidR="001F7F1D" w:rsidRPr="00C1043C" w:rsidRDefault="001F7F1D" w:rsidP="00C1043C">
            <w:pPr>
              <w:jc w:val="center"/>
              <w:rPr>
                <w:rFonts w:ascii="Arial" w:hAnsi="Arial" w:cs="Arial"/>
                <w:sz w:val="20"/>
                <w:szCs w:val="22"/>
              </w:rPr>
            </w:pPr>
          </w:p>
        </w:tc>
        <w:tc>
          <w:tcPr>
            <w:tcW w:w="1560" w:type="dxa"/>
          </w:tcPr>
          <w:p w:rsidR="001F7F1D" w:rsidRPr="00C1043C" w:rsidRDefault="001F7F1D" w:rsidP="00C1043C">
            <w:pPr>
              <w:jc w:val="center"/>
              <w:rPr>
                <w:rFonts w:ascii="Arial" w:hAnsi="Arial" w:cs="Arial"/>
                <w:sz w:val="20"/>
                <w:szCs w:val="22"/>
              </w:rPr>
            </w:pPr>
            <w:r w:rsidRPr="00C1043C">
              <w:rPr>
                <w:rFonts w:ascii="Arial" w:hAnsi="Arial" w:cs="Arial"/>
                <w:sz w:val="20"/>
                <w:szCs w:val="22"/>
              </w:rPr>
              <w:t>17%</w:t>
            </w:r>
          </w:p>
        </w:tc>
      </w:tr>
    </w:tbl>
    <w:p w:rsidR="001F7F1D" w:rsidRDefault="001F7F1D" w:rsidP="000E624D">
      <w:pPr>
        <w:rPr>
          <w:rFonts w:ascii="Arial" w:hAnsi="Arial" w:cs="Arial"/>
          <w:sz w:val="22"/>
          <w:szCs w:val="22"/>
        </w:rPr>
      </w:pPr>
    </w:p>
    <w:p w:rsidR="001F7F1D" w:rsidRDefault="001F7F1D" w:rsidP="000E624D">
      <w:pPr>
        <w:rPr>
          <w:rFonts w:ascii="Arial" w:hAnsi="Arial" w:cs="Arial"/>
          <w:sz w:val="22"/>
          <w:szCs w:val="22"/>
        </w:rPr>
      </w:pPr>
    </w:p>
    <w:p w:rsidR="001F7F1D" w:rsidRPr="008F282D" w:rsidRDefault="001F7F1D" w:rsidP="000E624D">
      <w:pPr>
        <w:rPr>
          <w:rFonts w:ascii="Arial" w:hAnsi="Arial" w:cs="Arial"/>
          <w:sz w:val="22"/>
        </w:rPr>
      </w:pPr>
      <w:r w:rsidRPr="008F282D">
        <w:rPr>
          <w:rFonts w:ascii="Arial" w:hAnsi="Arial" w:cs="Arial"/>
          <w:sz w:val="22"/>
        </w:rPr>
        <w:t>For the total company in 1Q 2018:</w:t>
      </w:r>
    </w:p>
    <w:p w:rsidR="001F7F1D" w:rsidRDefault="001F7F1D" w:rsidP="00FB4FFD">
      <w:pPr>
        <w:pStyle w:val="ListParagraph"/>
        <w:numPr>
          <w:ilvl w:val="0"/>
          <w:numId w:val="37"/>
        </w:numPr>
        <w:rPr>
          <w:rFonts w:ascii="Arial" w:hAnsi="Arial" w:cs="Arial"/>
          <w:sz w:val="22"/>
        </w:rPr>
      </w:pPr>
      <w:r w:rsidRPr="0068023F">
        <w:rPr>
          <w:rFonts w:ascii="Arial" w:hAnsi="Arial" w:cs="Arial"/>
          <w:sz w:val="22"/>
        </w:rPr>
        <w:t xml:space="preserve">Total revenue increased </w:t>
      </w:r>
      <w:r>
        <w:rPr>
          <w:rFonts w:ascii="Arial" w:hAnsi="Arial" w:cs="Arial"/>
          <w:sz w:val="22"/>
        </w:rPr>
        <w:t>10</w:t>
      </w:r>
      <w:r w:rsidRPr="0068023F">
        <w:rPr>
          <w:rFonts w:ascii="Arial" w:hAnsi="Arial" w:cs="Arial"/>
          <w:sz w:val="22"/>
        </w:rPr>
        <w:t>% to $</w:t>
      </w:r>
      <w:r>
        <w:rPr>
          <w:rFonts w:ascii="Arial" w:hAnsi="Arial" w:cs="Arial"/>
          <w:sz w:val="22"/>
        </w:rPr>
        <w:t>17.1</w:t>
      </w:r>
      <w:r w:rsidRPr="0068023F">
        <w:rPr>
          <w:rFonts w:ascii="Arial" w:hAnsi="Arial" w:cs="Arial"/>
          <w:sz w:val="22"/>
        </w:rPr>
        <w:t xml:space="preserve"> billion</w:t>
      </w:r>
      <w:r>
        <w:rPr>
          <w:rFonts w:ascii="Arial" w:hAnsi="Arial" w:cs="Arial"/>
          <w:sz w:val="22"/>
        </w:rPr>
        <w:t>, on strong demand for UPS solutions.</w:t>
      </w:r>
    </w:p>
    <w:p w:rsidR="001F7F1D" w:rsidRDefault="001F7F1D" w:rsidP="00FB4FFD">
      <w:pPr>
        <w:pStyle w:val="ListParagraph"/>
        <w:numPr>
          <w:ilvl w:val="0"/>
          <w:numId w:val="37"/>
        </w:numPr>
        <w:rPr>
          <w:rFonts w:ascii="Arial" w:hAnsi="Arial" w:cs="Arial"/>
          <w:sz w:val="22"/>
        </w:rPr>
      </w:pPr>
      <w:r>
        <w:rPr>
          <w:rFonts w:ascii="Arial" w:hAnsi="Arial" w:cs="Arial"/>
          <w:sz w:val="22"/>
        </w:rPr>
        <w:t xml:space="preserve">Average yield increased by 4.3%, led by International and U.S. Deferred Air products. </w:t>
      </w:r>
    </w:p>
    <w:p w:rsidR="001F7F1D" w:rsidRDefault="001F7F1D" w:rsidP="007E6DF7">
      <w:pPr>
        <w:pStyle w:val="ListParagraph"/>
        <w:numPr>
          <w:ilvl w:val="0"/>
          <w:numId w:val="37"/>
        </w:numPr>
        <w:rPr>
          <w:rFonts w:ascii="Arial" w:hAnsi="Arial" w:cs="Arial"/>
          <w:sz w:val="22"/>
        </w:rPr>
      </w:pPr>
      <w:r>
        <w:rPr>
          <w:rFonts w:ascii="Arial" w:hAnsi="Arial" w:cs="Arial"/>
          <w:sz w:val="22"/>
        </w:rPr>
        <w:t>UPS rewarded shareowners by increasing dividends per share by</w:t>
      </w:r>
      <w:r w:rsidRPr="00516C9E">
        <w:rPr>
          <w:rFonts w:ascii="Arial" w:hAnsi="Arial" w:cs="Arial"/>
          <w:sz w:val="22"/>
        </w:rPr>
        <w:t xml:space="preserve"> </w:t>
      </w:r>
      <w:r>
        <w:rPr>
          <w:rFonts w:ascii="Arial" w:hAnsi="Arial" w:cs="Arial"/>
          <w:sz w:val="22"/>
        </w:rPr>
        <w:t>nearly 10</w:t>
      </w:r>
      <w:r w:rsidRPr="00516C9E">
        <w:rPr>
          <w:rFonts w:ascii="Arial" w:hAnsi="Arial" w:cs="Arial"/>
          <w:sz w:val="22"/>
        </w:rPr>
        <w:t xml:space="preserve">% over the </w:t>
      </w:r>
      <w:r>
        <w:rPr>
          <w:rFonts w:ascii="Arial" w:hAnsi="Arial" w:cs="Arial"/>
          <w:sz w:val="22"/>
        </w:rPr>
        <w:t>prior year, and distributing $840 million during the quarter</w:t>
      </w:r>
      <w:r w:rsidRPr="00516C9E">
        <w:rPr>
          <w:rFonts w:ascii="Arial" w:hAnsi="Arial" w:cs="Arial"/>
          <w:sz w:val="22"/>
        </w:rPr>
        <w:t xml:space="preserve">.  </w:t>
      </w:r>
    </w:p>
    <w:p w:rsidR="001F7F1D" w:rsidRPr="00935C31" w:rsidRDefault="001F7F1D" w:rsidP="00880BD0">
      <w:pPr>
        <w:pStyle w:val="ListParagraph"/>
        <w:numPr>
          <w:ilvl w:val="0"/>
          <w:numId w:val="37"/>
        </w:numPr>
        <w:rPr>
          <w:rFonts w:ascii="Arial" w:hAnsi="Arial" w:cs="Arial"/>
          <w:sz w:val="22"/>
        </w:rPr>
      </w:pPr>
      <w:r>
        <w:rPr>
          <w:rFonts w:ascii="Arial" w:hAnsi="Arial" w:cs="Arial"/>
          <w:sz w:val="22"/>
        </w:rPr>
        <w:t xml:space="preserve">To support </w:t>
      </w:r>
      <w:r w:rsidRPr="00935C31">
        <w:rPr>
          <w:rFonts w:ascii="Arial" w:hAnsi="Arial" w:cs="Arial"/>
          <w:sz w:val="22"/>
        </w:rPr>
        <w:t>investment strategies the company made capital expenditures of $1.5 billion.</w:t>
      </w:r>
    </w:p>
    <w:p w:rsidR="001F7F1D" w:rsidRPr="00935C31" w:rsidRDefault="001F7F1D" w:rsidP="00826843">
      <w:pPr>
        <w:pStyle w:val="ListParagraph"/>
        <w:numPr>
          <w:ilvl w:val="0"/>
          <w:numId w:val="37"/>
        </w:numPr>
        <w:rPr>
          <w:rFonts w:ascii="Arial" w:hAnsi="Arial" w:cs="Arial"/>
          <w:sz w:val="22"/>
        </w:rPr>
      </w:pPr>
      <w:r w:rsidRPr="00935C31">
        <w:rPr>
          <w:rFonts w:ascii="Arial" w:hAnsi="Arial" w:cs="Arial"/>
          <w:sz w:val="22"/>
        </w:rPr>
        <w:t xml:space="preserve">The lower effective tax rate </w:t>
      </w:r>
      <w:r>
        <w:rPr>
          <w:rFonts w:ascii="Arial" w:hAnsi="Arial" w:cs="Arial"/>
          <w:sz w:val="22"/>
        </w:rPr>
        <w:t>reflects</w:t>
      </w:r>
      <w:r w:rsidRPr="00935C31">
        <w:rPr>
          <w:rFonts w:ascii="Arial" w:hAnsi="Arial" w:cs="Arial"/>
          <w:sz w:val="22"/>
        </w:rPr>
        <w:t xml:space="preserve"> a more competitive U.S. tax structure</w:t>
      </w:r>
      <w:r>
        <w:rPr>
          <w:rFonts w:ascii="Arial" w:hAnsi="Arial" w:cs="Arial"/>
          <w:sz w:val="22"/>
        </w:rPr>
        <w:t>, some discrete tax items and includes the impact of share-based compensation</w:t>
      </w:r>
      <w:r w:rsidRPr="00935C31">
        <w:rPr>
          <w:rFonts w:ascii="Arial" w:hAnsi="Arial" w:cs="Arial"/>
          <w:sz w:val="22"/>
        </w:rPr>
        <w:t>.</w:t>
      </w:r>
    </w:p>
    <w:p w:rsidR="001F7F1D" w:rsidRPr="008F282D" w:rsidRDefault="001F7F1D" w:rsidP="00826843">
      <w:pPr>
        <w:pStyle w:val="ListParagraph"/>
        <w:numPr>
          <w:ilvl w:val="0"/>
          <w:numId w:val="37"/>
        </w:numPr>
        <w:rPr>
          <w:rFonts w:ascii="Arial" w:hAnsi="Arial" w:cs="Arial"/>
          <w:sz w:val="22"/>
        </w:rPr>
      </w:pPr>
      <w:r w:rsidRPr="00935C31">
        <w:rPr>
          <w:rFonts w:ascii="Arial" w:hAnsi="Arial" w:cs="Arial"/>
          <w:sz w:val="22"/>
        </w:rPr>
        <w:t>First quarter results include the adoption of new accounting standards for pension and revenue recognition.</w:t>
      </w:r>
      <w:r>
        <w:rPr>
          <w:rFonts w:ascii="Arial" w:hAnsi="Arial" w:cs="Arial"/>
          <w:sz w:val="22"/>
        </w:rPr>
        <w:t xml:space="preserve">  Prior-period results were also recast to reflect these changes.</w:t>
      </w:r>
    </w:p>
    <w:p w:rsidR="001F7F1D" w:rsidRDefault="001F7F1D" w:rsidP="000F1F16">
      <w:pPr>
        <w:pStyle w:val="ListParagraph"/>
        <w:ind w:left="360"/>
        <w:rPr>
          <w:rFonts w:ascii="Arial" w:hAnsi="Arial" w:cs="Arial"/>
          <w:sz w:val="22"/>
        </w:rPr>
      </w:pPr>
    </w:p>
    <w:p w:rsidR="001F7F1D" w:rsidRDefault="001F7F1D" w:rsidP="00516C9E">
      <w:pPr>
        <w:rPr>
          <w:rFonts w:ascii="Arial" w:hAnsi="Arial" w:cs="Arial"/>
          <w:sz w:val="22"/>
        </w:rPr>
      </w:pPr>
    </w:p>
    <w:p w:rsidR="001F7F1D" w:rsidRDefault="001F7F1D" w:rsidP="00516C9E">
      <w:pPr>
        <w:rPr>
          <w:rFonts w:ascii="Arial" w:hAnsi="Arial" w:cs="Arial"/>
          <w:sz w:val="22"/>
        </w:rPr>
      </w:pPr>
    </w:p>
    <w:p w:rsidR="001F7F1D" w:rsidRDefault="001F7F1D" w:rsidP="00516C9E">
      <w:pPr>
        <w:rPr>
          <w:rFonts w:ascii="Arial" w:hAnsi="Arial" w:cs="Arial"/>
          <w:sz w:val="22"/>
        </w:rPr>
      </w:pPr>
    </w:p>
    <w:p w:rsidR="001F7F1D" w:rsidRDefault="001F7F1D" w:rsidP="00516C9E">
      <w:pPr>
        <w:rPr>
          <w:rFonts w:ascii="Arial" w:hAnsi="Arial" w:cs="Arial"/>
          <w:b/>
          <w:sz w:val="22"/>
          <w:vertAlign w:val="subscript"/>
        </w:rPr>
      </w:pPr>
      <w:r w:rsidRPr="005B78BB">
        <w:rPr>
          <w:rFonts w:ascii="Arial" w:hAnsi="Arial" w:cs="Arial"/>
          <w:b/>
          <w:sz w:val="22"/>
          <w:vertAlign w:val="subscript"/>
        </w:rPr>
        <w:t xml:space="preserve">* </w:t>
      </w:r>
      <w:r>
        <w:rPr>
          <w:rFonts w:ascii="Arial" w:hAnsi="Arial" w:cs="Arial"/>
          <w:b/>
          <w:sz w:val="22"/>
          <w:vertAlign w:val="subscript"/>
        </w:rPr>
        <w:t xml:space="preserve">Information on </w:t>
      </w:r>
      <w:r w:rsidRPr="005B78BB">
        <w:rPr>
          <w:rFonts w:ascii="Arial" w:hAnsi="Arial" w:cs="Arial"/>
          <w:b/>
          <w:sz w:val="22"/>
          <w:vertAlign w:val="subscript"/>
        </w:rPr>
        <w:t xml:space="preserve">non-GAAP </w:t>
      </w:r>
      <w:r>
        <w:rPr>
          <w:rFonts w:ascii="Arial" w:hAnsi="Arial" w:cs="Arial"/>
          <w:b/>
          <w:sz w:val="22"/>
          <w:vertAlign w:val="subscript"/>
        </w:rPr>
        <w:t>financial measures is attached to this press release.</w:t>
      </w:r>
    </w:p>
    <w:p w:rsidR="001F7F1D" w:rsidRDefault="001F7F1D" w:rsidP="00E81D5D">
      <w:pPr>
        <w:rPr>
          <w:rFonts w:ascii="Arial" w:hAnsi="Arial" w:cs="Arial"/>
          <w:b/>
          <w:sz w:val="22"/>
          <w:vertAlign w:val="subscript"/>
        </w:rPr>
      </w:pPr>
    </w:p>
    <w:p w:rsidR="001F7F1D" w:rsidRDefault="001F7F1D" w:rsidP="00FE1A45">
      <w:pPr>
        <w:jc w:val="center"/>
        <w:rPr>
          <w:rFonts w:ascii="Arial" w:hAnsi="Arial" w:cs="Arial"/>
          <w:sz w:val="20"/>
          <w:szCs w:val="20"/>
        </w:rPr>
      </w:pPr>
      <w:r w:rsidRPr="00152718">
        <w:rPr>
          <w:rFonts w:ascii="Arial" w:hAnsi="Arial" w:cs="Arial"/>
          <w:sz w:val="20"/>
          <w:szCs w:val="20"/>
        </w:rPr>
        <w:t>– more –</w:t>
      </w:r>
    </w:p>
    <w:p w:rsidR="001F7F1D" w:rsidRPr="005A0928" w:rsidRDefault="001F7F1D" w:rsidP="00B54509">
      <w:pPr>
        <w:rPr>
          <w:rFonts w:ascii="Arial" w:hAnsi="Arial" w:cs="Arial"/>
          <w:sz w:val="22"/>
        </w:rPr>
      </w:pPr>
      <w:r w:rsidRPr="005A0928">
        <w:rPr>
          <w:rFonts w:ascii="Arial" w:hAnsi="Arial" w:cs="Arial"/>
          <w:sz w:val="22"/>
        </w:rPr>
        <w:t>2-2-2</w:t>
      </w:r>
    </w:p>
    <w:p w:rsidR="001F7F1D" w:rsidRDefault="001F7F1D" w:rsidP="00B54509">
      <w:pPr>
        <w:rPr>
          <w:rFonts w:ascii="Arial" w:hAnsi="Arial" w:cs="Arial"/>
          <w:b/>
          <w:sz w:val="22"/>
          <w:u w:val="single"/>
        </w:rPr>
      </w:pPr>
    </w:p>
    <w:p w:rsidR="001F7F1D" w:rsidRDefault="001F7F1D" w:rsidP="00B54509">
      <w:pPr>
        <w:rPr>
          <w:rFonts w:ascii="Arial" w:hAnsi="Arial" w:cs="Arial"/>
          <w:b/>
          <w:sz w:val="22"/>
          <w:u w:val="single"/>
        </w:rPr>
      </w:pPr>
    </w:p>
    <w:p w:rsidR="001F7F1D" w:rsidRPr="00B54509" w:rsidRDefault="001F7F1D" w:rsidP="00B54509">
      <w:pPr>
        <w:rPr>
          <w:rFonts w:ascii="Arial" w:hAnsi="Arial" w:cs="Arial"/>
          <w:b/>
          <w:sz w:val="22"/>
          <w:u w:val="single"/>
        </w:rPr>
      </w:pPr>
      <w:r w:rsidRPr="00B54509">
        <w:rPr>
          <w:rFonts w:ascii="Arial" w:hAnsi="Arial" w:cs="Arial"/>
          <w:b/>
          <w:sz w:val="22"/>
          <w:u w:val="single"/>
        </w:rPr>
        <w:t>U.S. Domestic Segment</w:t>
      </w:r>
    </w:p>
    <w:p w:rsidR="001F7F1D" w:rsidRDefault="001F7F1D" w:rsidP="000E624D">
      <w:pPr>
        <w:rPr>
          <w:rFonts w:ascii="Arial" w:hAnsi="Arial" w:cs="Arial"/>
          <w:sz w:val="22"/>
        </w:rPr>
      </w:pPr>
    </w:p>
    <w:p w:rsidR="001F7F1D" w:rsidRDefault="001F7F1D" w:rsidP="00172CC5">
      <w:pPr>
        <w:rPr>
          <w:rFonts w:ascii="Arial" w:hAnsi="Arial" w:cs="Arial"/>
          <w:sz w:val="22"/>
        </w:rPr>
      </w:pPr>
      <w:r w:rsidRPr="00172CC5">
        <w:rPr>
          <w:rFonts w:ascii="Arial" w:hAnsi="Arial" w:cs="Arial"/>
          <w:sz w:val="22"/>
        </w:rPr>
        <w:t xml:space="preserve">The U.S. Domestic segment experienced strong demand as customers increasingly chose UPS solutions.  </w:t>
      </w:r>
      <w:r>
        <w:rPr>
          <w:rFonts w:ascii="Arial" w:hAnsi="Arial" w:cs="Arial"/>
          <w:sz w:val="22"/>
        </w:rPr>
        <w:t>Both unexpected and planned items weighed on operating profit for the segment during the first quarter.</w:t>
      </w:r>
    </w:p>
    <w:tbl>
      <w:tblPr>
        <w:tblW w:w="6768" w:type="dxa"/>
        <w:jc w:val="center"/>
        <w:tblLook w:val="00A0" w:firstRow="1" w:lastRow="0" w:firstColumn="1" w:lastColumn="0" w:noHBand="0" w:noVBand="0"/>
      </w:tblPr>
      <w:tblGrid>
        <w:gridCol w:w="3024"/>
        <w:gridCol w:w="1872"/>
        <w:gridCol w:w="1872"/>
      </w:tblGrid>
      <w:tr w:rsidR="001F7F1D" w:rsidRPr="001E1EB6" w:rsidTr="00C1043C">
        <w:trPr>
          <w:jc w:val="center"/>
        </w:trPr>
        <w:tc>
          <w:tcPr>
            <w:tcW w:w="3024" w:type="dxa"/>
          </w:tcPr>
          <w:p w:rsidR="001F7F1D" w:rsidRPr="00C1043C" w:rsidRDefault="001F7F1D" w:rsidP="005A5BC6">
            <w:pPr>
              <w:rPr>
                <w:rFonts w:ascii="Arial" w:hAnsi="Arial" w:cs="Arial"/>
                <w:b/>
                <w:sz w:val="20"/>
                <w:szCs w:val="22"/>
                <w:u w:val="single"/>
              </w:rPr>
            </w:pPr>
          </w:p>
          <w:p w:rsidR="001F7F1D" w:rsidRPr="00C1043C" w:rsidRDefault="001F7F1D" w:rsidP="005A5BC6">
            <w:pPr>
              <w:rPr>
                <w:rFonts w:ascii="Arial" w:hAnsi="Arial" w:cs="Arial"/>
                <w:b/>
                <w:sz w:val="20"/>
                <w:szCs w:val="22"/>
                <w:u w:val="single"/>
              </w:rPr>
            </w:pP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2018</w:t>
            </w: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2017</w:t>
            </w:r>
          </w:p>
        </w:tc>
      </w:tr>
      <w:tr w:rsidR="001F7F1D" w:rsidRPr="001E1EB6" w:rsidTr="00C1043C">
        <w:trPr>
          <w:jc w:val="center"/>
        </w:trPr>
        <w:tc>
          <w:tcPr>
            <w:tcW w:w="3024" w:type="dxa"/>
          </w:tcPr>
          <w:p w:rsidR="001F7F1D" w:rsidRPr="00C1043C" w:rsidRDefault="001F7F1D" w:rsidP="005A5BC6">
            <w:pPr>
              <w:rPr>
                <w:rFonts w:ascii="Arial" w:hAnsi="Arial" w:cs="Arial"/>
                <w:sz w:val="20"/>
                <w:szCs w:val="22"/>
              </w:rPr>
            </w:pPr>
            <w:r w:rsidRPr="00C1043C">
              <w:rPr>
                <w:rFonts w:ascii="Arial" w:hAnsi="Arial" w:cs="Arial"/>
                <w:sz w:val="20"/>
                <w:szCs w:val="22"/>
              </w:rPr>
              <w:t>Revenue</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$10,227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$9,536 M</w:t>
            </w:r>
          </w:p>
        </w:tc>
      </w:tr>
      <w:tr w:rsidR="001F7F1D" w:rsidRPr="001E1EB6" w:rsidTr="00C1043C">
        <w:trPr>
          <w:jc w:val="center"/>
        </w:trPr>
        <w:tc>
          <w:tcPr>
            <w:tcW w:w="3024" w:type="dxa"/>
          </w:tcPr>
          <w:p w:rsidR="001F7F1D" w:rsidRPr="00C1043C" w:rsidRDefault="001F7F1D">
            <w:pPr>
              <w:rPr>
                <w:rFonts w:ascii="Arial" w:hAnsi="Arial" w:cs="Arial"/>
                <w:sz w:val="20"/>
                <w:szCs w:val="22"/>
              </w:rPr>
            </w:pPr>
            <w:r w:rsidRPr="00C1043C">
              <w:rPr>
                <w:rFonts w:ascii="Arial" w:hAnsi="Arial" w:cs="Arial"/>
                <w:sz w:val="20"/>
                <w:szCs w:val="22"/>
              </w:rPr>
              <w:t>Operating profit</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$756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$950 M</w:t>
            </w:r>
          </w:p>
        </w:tc>
      </w:tr>
    </w:tbl>
    <w:p w:rsidR="001F7F1D" w:rsidRDefault="001F7F1D" w:rsidP="000E624D">
      <w:pPr>
        <w:rPr>
          <w:rFonts w:ascii="Arial" w:hAnsi="Arial" w:cs="Arial"/>
          <w:sz w:val="22"/>
        </w:rPr>
      </w:pPr>
    </w:p>
    <w:p w:rsidR="001F7F1D" w:rsidRDefault="001F7F1D" w:rsidP="000E624D">
      <w:pPr>
        <w:rPr>
          <w:rFonts w:ascii="Arial" w:hAnsi="Arial" w:cs="Arial"/>
          <w:sz w:val="22"/>
        </w:rPr>
      </w:pPr>
    </w:p>
    <w:p w:rsidR="001F7F1D" w:rsidRPr="008F282D" w:rsidRDefault="001F7F1D" w:rsidP="000E624D">
      <w:pPr>
        <w:rPr>
          <w:rFonts w:ascii="Arial" w:hAnsi="Arial" w:cs="Arial"/>
          <w:sz w:val="22"/>
        </w:rPr>
      </w:pPr>
      <w:r w:rsidRPr="008F282D">
        <w:rPr>
          <w:rFonts w:ascii="Arial" w:hAnsi="Arial" w:cs="Arial"/>
          <w:sz w:val="22"/>
        </w:rPr>
        <w:t>For the U.S. Domestic segment in 1Q 2018:</w:t>
      </w:r>
    </w:p>
    <w:p w:rsidR="001F7F1D" w:rsidRPr="004359E0" w:rsidRDefault="001F7F1D" w:rsidP="00746CB8">
      <w:pPr>
        <w:pStyle w:val="ListParagraph"/>
        <w:numPr>
          <w:ilvl w:val="0"/>
          <w:numId w:val="37"/>
        </w:numPr>
        <w:rPr>
          <w:rFonts w:ascii="Arial" w:hAnsi="Arial" w:cs="Arial"/>
          <w:sz w:val="22"/>
        </w:rPr>
      </w:pPr>
      <w:r w:rsidRPr="004359E0">
        <w:rPr>
          <w:rFonts w:ascii="Arial" w:hAnsi="Arial" w:cs="Arial"/>
          <w:sz w:val="22"/>
        </w:rPr>
        <w:t xml:space="preserve">Revenue increased </w:t>
      </w:r>
      <w:r>
        <w:rPr>
          <w:rFonts w:ascii="Arial" w:hAnsi="Arial" w:cs="Arial"/>
          <w:sz w:val="22"/>
        </w:rPr>
        <w:t>to $10.2 billion, up</w:t>
      </w:r>
      <w:r w:rsidRPr="004359E0">
        <w:rPr>
          <w:rFonts w:ascii="Arial" w:hAnsi="Arial" w:cs="Arial"/>
          <w:sz w:val="22"/>
        </w:rPr>
        <w:t xml:space="preserve"> </w:t>
      </w:r>
      <w:r>
        <w:rPr>
          <w:rFonts w:ascii="Arial" w:hAnsi="Arial" w:cs="Arial"/>
          <w:sz w:val="22"/>
        </w:rPr>
        <w:t>7.2</w:t>
      </w:r>
      <w:r w:rsidRPr="004359E0">
        <w:rPr>
          <w:rFonts w:ascii="Arial" w:hAnsi="Arial" w:cs="Arial"/>
          <w:sz w:val="22"/>
        </w:rPr>
        <w:t xml:space="preserve">% over </w:t>
      </w:r>
      <w:r>
        <w:rPr>
          <w:rFonts w:ascii="Arial" w:hAnsi="Arial" w:cs="Arial"/>
          <w:sz w:val="22"/>
        </w:rPr>
        <w:t>1Q</w:t>
      </w:r>
      <w:r w:rsidRPr="004359E0">
        <w:rPr>
          <w:rFonts w:ascii="Arial" w:hAnsi="Arial" w:cs="Arial"/>
          <w:sz w:val="22"/>
        </w:rPr>
        <w:t xml:space="preserve"> </w:t>
      </w:r>
      <w:r>
        <w:rPr>
          <w:rFonts w:ascii="Arial" w:hAnsi="Arial" w:cs="Arial"/>
          <w:sz w:val="22"/>
        </w:rPr>
        <w:t xml:space="preserve">2017.  Revenue improved across all products, signaling the strong market demand for UPS solutions.  </w:t>
      </w:r>
      <w:r w:rsidRPr="004359E0">
        <w:rPr>
          <w:rFonts w:ascii="Arial" w:hAnsi="Arial" w:cs="Arial"/>
          <w:sz w:val="22"/>
        </w:rPr>
        <w:t xml:space="preserve">  </w:t>
      </w:r>
    </w:p>
    <w:p w:rsidR="001F7F1D" w:rsidRDefault="001F7F1D" w:rsidP="009E7EED">
      <w:pPr>
        <w:pStyle w:val="ListParagraph"/>
        <w:numPr>
          <w:ilvl w:val="0"/>
          <w:numId w:val="37"/>
        </w:numPr>
        <w:rPr>
          <w:rFonts w:ascii="Arial" w:hAnsi="Arial" w:cs="Arial"/>
          <w:sz w:val="22"/>
        </w:rPr>
      </w:pPr>
      <w:r w:rsidRPr="00EF4A6C">
        <w:rPr>
          <w:rFonts w:ascii="Arial" w:hAnsi="Arial" w:cs="Arial"/>
          <w:sz w:val="22"/>
        </w:rPr>
        <w:t xml:space="preserve">Revenue per piece </w:t>
      </w:r>
      <w:r>
        <w:rPr>
          <w:rFonts w:ascii="Arial" w:hAnsi="Arial" w:cs="Arial"/>
          <w:sz w:val="22"/>
        </w:rPr>
        <w:t>increased</w:t>
      </w:r>
      <w:r w:rsidRPr="00EF4A6C">
        <w:rPr>
          <w:rFonts w:ascii="Arial" w:hAnsi="Arial" w:cs="Arial"/>
          <w:sz w:val="22"/>
        </w:rPr>
        <w:t xml:space="preserve"> </w:t>
      </w:r>
      <w:r>
        <w:rPr>
          <w:rFonts w:ascii="Arial" w:hAnsi="Arial" w:cs="Arial"/>
          <w:sz w:val="22"/>
        </w:rPr>
        <w:t>2.6</w:t>
      </w:r>
      <w:r w:rsidRPr="00EF4A6C">
        <w:rPr>
          <w:rFonts w:ascii="Arial" w:hAnsi="Arial" w:cs="Arial"/>
          <w:sz w:val="22"/>
        </w:rPr>
        <w:t xml:space="preserve">% </w:t>
      </w:r>
      <w:r>
        <w:rPr>
          <w:rFonts w:ascii="Arial" w:hAnsi="Arial" w:cs="Arial"/>
          <w:sz w:val="22"/>
        </w:rPr>
        <w:t>as</w:t>
      </w:r>
      <w:r w:rsidRPr="00EF4A6C">
        <w:rPr>
          <w:rFonts w:ascii="Arial" w:hAnsi="Arial" w:cs="Arial"/>
          <w:sz w:val="22"/>
        </w:rPr>
        <w:t xml:space="preserve"> </w:t>
      </w:r>
      <w:r>
        <w:rPr>
          <w:rFonts w:ascii="Arial" w:hAnsi="Arial" w:cs="Arial"/>
          <w:sz w:val="22"/>
        </w:rPr>
        <w:t xml:space="preserve">higher </w:t>
      </w:r>
      <w:r w:rsidRPr="00EF4A6C">
        <w:rPr>
          <w:rFonts w:ascii="Arial" w:hAnsi="Arial" w:cs="Arial"/>
          <w:sz w:val="22"/>
        </w:rPr>
        <w:t>base</w:t>
      </w:r>
      <w:r>
        <w:rPr>
          <w:rFonts w:ascii="Arial" w:hAnsi="Arial" w:cs="Arial"/>
          <w:sz w:val="22"/>
        </w:rPr>
        <w:t>-</w:t>
      </w:r>
      <w:r w:rsidRPr="00EF4A6C">
        <w:rPr>
          <w:rFonts w:ascii="Arial" w:hAnsi="Arial" w:cs="Arial"/>
          <w:sz w:val="22"/>
        </w:rPr>
        <w:t>rate pricing</w:t>
      </w:r>
      <w:r>
        <w:rPr>
          <w:rFonts w:ascii="Arial" w:hAnsi="Arial" w:cs="Arial"/>
          <w:sz w:val="22"/>
        </w:rPr>
        <w:t xml:space="preserve"> and fuel surcharges offset headwinds from customer and product mix</w:t>
      </w:r>
      <w:r w:rsidRPr="00EF4A6C">
        <w:rPr>
          <w:rFonts w:ascii="Arial" w:hAnsi="Arial" w:cs="Arial"/>
          <w:sz w:val="22"/>
        </w:rPr>
        <w:t>.</w:t>
      </w:r>
    </w:p>
    <w:p w:rsidR="001F7F1D" w:rsidRDefault="001F7F1D" w:rsidP="00A315B7">
      <w:pPr>
        <w:pStyle w:val="ListParagraph"/>
        <w:numPr>
          <w:ilvl w:val="0"/>
          <w:numId w:val="37"/>
        </w:numPr>
        <w:rPr>
          <w:rFonts w:ascii="Arial" w:hAnsi="Arial" w:cs="Arial"/>
          <w:sz w:val="22"/>
        </w:rPr>
      </w:pPr>
      <w:r w:rsidRPr="00E930A5">
        <w:rPr>
          <w:rFonts w:ascii="Arial" w:hAnsi="Arial" w:cs="Arial"/>
          <w:sz w:val="22"/>
        </w:rPr>
        <w:t xml:space="preserve">Operating profit </w:t>
      </w:r>
      <w:r>
        <w:rPr>
          <w:rFonts w:ascii="Arial" w:hAnsi="Arial" w:cs="Arial"/>
          <w:sz w:val="22"/>
        </w:rPr>
        <w:t>includes headwinds from severe winter weather of $85 million, Saturday deployment, network projects and higher pension expenses.</w:t>
      </w:r>
    </w:p>
    <w:p w:rsidR="001F7F1D" w:rsidRPr="00C5142D" w:rsidRDefault="001F7F1D" w:rsidP="00C5142D">
      <w:pPr>
        <w:rPr>
          <w:rFonts w:ascii="Arial" w:hAnsi="Arial" w:cs="Arial"/>
          <w:sz w:val="22"/>
        </w:rPr>
      </w:pPr>
    </w:p>
    <w:p w:rsidR="001F7F1D" w:rsidRDefault="001F7F1D" w:rsidP="00D12477">
      <w:pPr>
        <w:rPr>
          <w:rFonts w:ascii="Arial" w:hAnsi="Arial" w:cs="Arial"/>
          <w:b/>
          <w:sz w:val="22"/>
          <w:szCs w:val="20"/>
          <w:u w:val="single"/>
        </w:rPr>
      </w:pPr>
    </w:p>
    <w:p w:rsidR="001F7F1D" w:rsidRPr="004914AA" w:rsidRDefault="001F7F1D" w:rsidP="00D12477">
      <w:pPr>
        <w:rPr>
          <w:rFonts w:ascii="Arial" w:hAnsi="Arial" w:cs="Arial"/>
          <w:b/>
          <w:sz w:val="22"/>
          <w:szCs w:val="20"/>
          <w:u w:val="single"/>
        </w:rPr>
      </w:pPr>
      <w:r w:rsidRPr="004914AA">
        <w:rPr>
          <w:rFonts w:ascii="Arial" w:hAnsi="Arial" w:cs="Arial"/>
          <w:b/>
          <w:sz w:val="22"/>
          <w:szCs w:val="20"/>
          <w:u w:val="single"/>
        </w:rPr>
        <w:t>International</w:t>
      </w:r>
      <w:r>
        <w:rPr>
          <w:rFonts w:ascii="Arial" w:hAnsi="Arial" w:cs="Arial"/>
          <w:b/>
          <w:sz w:val="22"/>
          <w:szCs w:val="20"/>
          <w:u w:val="single"/>
        </w:rPr>
        <w:t xml:space="preserve"> </w:t>
      </w:r>
      <w:r w:rsidRPr="004914AA">
        <w:rPr>
          <w:rFonts w:ascii="Arial" w:hAnsi="Arial" w:cs="Arial"/>
          <w:b/>
          <w:sz w:val="22"/>
          <w:szCs w:val="20"/>
          <w:u w:val="single"/>
        </w:rPr>
        <w:t>Segment</w:t>
      </w:r>
    </w:p>
    <w:p w:rsidR="001F7F1D" w:rsidRDefault="001F7F1D" w:rsidP="00D12477">
      <w:pPr>
        <w:rPr>
          <w:rFonts w:ascii="Arial" w:hAnsi="Arial" w:cs="Arial"/>
          <w:sz w:val="22"/>
          <w:szCs w:val="20"/>
        </w:rPr>
      </w:pPr>
    </w:p>
    <w:p w:rsidR="001F7F1D" w:rsidRDefault="001F7F1D" w:rsidP="00D12477">
      <w:pPr>
        <w:rPr>
          <w:rFonts w:ascii="Arial" w:hAnsi="Arial" w:cs="Arial"/>
          <w:sz w:val="22"/>
          <w:szCs w:val="20"/>
        </w:rPr>
      </w:pPr>
      <w:r>
        <w:rPr>
          <w:rFonts w:ascii="Arial" w:hAnsi="Arial" w:cs="Arial"/>
          <w:sz w:val="22"/>
          <w:szCs w:val="20"/>
        </w:rPr>
        <w:t>“The execution of our diversified global strategies and our investments produced double-digit growth in revenue and profit,” said Abney</w:t>
      </w:r>
      <w:r w:rsidRPr="002A0FDD">
        <w:rPr>
          <w:rFonts w:ascii="Arial" w:hAnsi="Arial" w:cs="Arial"/>
          <w:sz w:val="22"/>
          <w:szCs w:val="20"/>
        </w:rPr>
        <w:t>.</w:t>
      </w:r>
      <w:r>
        <w:rPr>
          <w:rFonts w:ascii="Arial" w:hAnsi="Arial" w:cs="Arial"/>
          <w:sz w:val="22"/>
          <w:szCs w:val="20"/>
        </w:rPr>
        <w:t xml:space="preserve">  “Each of our International regions is contributing to our financial gains, and we expect this strong momentum to continue.” </w:t>
      </w:r>
    </w:p>
    <w:p w:rsidR="001F7F1D" w:rsidRDefault="001F7F1D" w:rsidP="00D12477">
      <w:pPr>
        <w:rPr>
          <w:rFonts w:ascii="Arial" w:hAnsi="Arial" w:cs="Arial"/>
          <w:sz w:val="22"/>
          <w:szCs w:val="20"/>
        </w:rPr>
      </w:pPr>
    </w:p>
    <w:tbl>
      <w:tblPr>
        <w:tblW w:w="6768" w:type="dxa"/>
        <w:jc w:val="center"/>
        <w:tblLook w:val="00A0" w:firstRow="1" w:lastRow="0" w:firstColumn="1" w:lastColumn="0" w:noHBand="0" w:noVBand="0"/>
      </w:tblPr>
      <w:tblGrid>
        <w:gridCol w:w="3024"/>
        <w:gridCol w:w="1872"/>
        <w:gridCol w:w="1872"/>
      </w:tblGrid>
      <w:tr w:rsidR="001F7F1D" w:rsidRPr="001E1EB6" w:rsidTr="00C1043C">
        <w:trPr>
          <w:jc w:val="center"/>
        </w:trPr>
        <w:tc>
          <w:tcPr>
            <w:tcW w:w="3024" w:type="dxa"/>
          </w:tcPr>
          <w:p w:rsidR="001F7F1D" w:rsidRPr="00C1043C" w:rsidRDefault="001F7F1D" w:rsidP="005A5BC6">
            <w:pPr>
              <w:rPr>
                <w:rFonts w:ascii="Arial" w:hAnsi="Arial" w:cs="Arial"/>
                <w:b/>
                <w:sz w:val="20"/>
                <w:szCs w:val="22"/>
                <w:u w:val="single"/>
              </w:rPr>
            </w:pPr>
          </w:p>
          <w:p w:rsidR="001F7F1D" w:rsidRPr="00C1043C" w:rsidRDefault="001F7F1D" w:rsidP="005A5BC6">
            <w:pPr>
              <w:rPr>
                <w:rFonts w:ascii="Arial" w:hAnsi="Arial" w:cs="Arial"/>
                <w:b/>
                <w:sz w:val="20"/>
                <w:szCs w:val="22"/>
                <w:u w:val="single"/>
              </w:rPr>
            </w:pPr>
          </w:p>
          <w:p w:rsidR="001F7F1D" w:rsidRPr="00C1043C" w:rsidRDefault="001F7F1D" w:rsidP="005A5BC6">
            <w:pPr>
              <w:rPr>
                <w:rFonts w:ascii="Arial" w:hAnsi="Arial" w:cs="Arial"/>
                <w:b/>
                <w:sz w:val="20"/>
                <w:szCs w:val="22"/>
                <w:u w:val="single"/>
              </w:rPr>
            </w:pP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2018</w:t>
            </w: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2017</w:t>
            </w:r>
          </w:p>
        </w:tc>
      </w:tr>
      <w:tr w:rsidR="001F7F1D" w:rsidRPr="001E1EB6" w:rsidTr="00C1043C">
        <w:trPr>
          <w:jc w:val="center"/>
        </w:trPr>
        <w:tc>
          <w:tcPr>
            <w:tcW w:w="3024" w:type="dxa"/>
          </w:tcPr>
          <w:p w:rsidR="001F7F1D" w:rsidRPr="00C1043C" w:rsidRDefault="001F7F1D" w:rsidP="005A5BC6">
            <w:pPr>
              <w:rPr>
                <w:rFonts w:ascii="Arial" w:hAnsi="Arial" w:cs="Arial"/>
                <w:sz w:val="20"/>
                <w:szCs w:val="22"/>
              </w:rPr>
            </w:pPr>
            <w:r w:rsidRPr="00C1043C">
              <w:rPr>
                <w:rFonts w:ascii="Arial" w:hAnsi="Arial" w:cs="Arial"/>
                <w:sz w:val="20"/>
                <w:szCs w:val="22"/>
              </w:rPr>
              <w:t>Revenue</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$3,533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$3,074 M</w:t>
            </w:r>
          </w:p>
        </w:tc>
      </w:tr>
      <w:tr w:rsidR="001F7F1D" w:rsidRPr="001E1EB6" w:rsidTr="00C1043C">
        <w:trPr>
          <w:jc w:val="center"/>
        </w:trPr>
        <w:tc>
          <w:tcPr>
            <w:tcW w:w="3024" w:type="dxa"/>
          </w:tcPr>
          <w:p w:rsidR="001F7F1D" w:rsidRPr="00C1043C" w:rsidRDefault="001F7F1D" w:rsidP="005A5BC6">
            <w:pPr>
              <w:rPr>
                <w:rFonts w:ascii="Arial" w:hAnsi="Arial" w:cs="Arial"/>
                <w:sz w:val="20"/>
                <w:szCs w:val="22"/>
              </w:rPr>
            </w:pPr>
            <w:r w:rsidRPr="00C1043C">
              <w:rPr>
                <w:rFonts w:ascii="Arial" w:hAnsi="Arial" w:cs="Arial"/>
                <w:sz w:val="20"/>
                <w:szCs w:val="22"/>
              </w:rPr>
              <w:t>Operating profit</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$594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$518 M</w:t>
            </w:r>
          </w:p>
        </w:tc>
      </w:tr>
    </w:tbl>
    <w:p w:rsidR="001F7F1D" w:rsidRDefault="001F7F1D" w:rsidP="00512620">
      <w:pPr>
        <w:ind w:left="720" w:hanging="720"/>
        <w:rPr>
          <w:rFonts w:ascii="Arial" w:hAnsi="Arial" w:cs="Arial"/>
          <w:szCs w:val="22"/>
        </w:rPr>
      </w:pPr>
    </w:p>
    <w:p w:rsidR="001F7F1D" w:rsidRPr="008F282D" w:rsidRDefault="001F7F1D" w:rsidP="00512620">
      <w:pPr>
        <w:ind w:left="720" w:hanging="720"/>
        <w:rPr>
          <w:rFonts w:ascii="Arial" w:hAnsi="Arial" w:cs="Arial"/>
          <w:szCs w:val="22"/>
        </w:rPr>
      </w:pPr>
      <w:r w:rsidRPr="008F282D">
        <w:rPr>
          <w:rFonts w:ascii="Arial" w:hAnsi="Arial" w:cs="Arial"/>
          <w:sz w:val="22"/>
          <w:szCs w:val="22"/>
        </w:rPr>
        <w:t>For the International segment in 1Q 2018</w:t>
      </w:r>
      <w:r w:rsidRPr="008F282D">
        <w:rPr>
          <w:rFonts w:ascii="Arial" w:hAnsi="Arial" w:cs="Arial"/>
          <w:szCs w:val="22"/>
        </w:rPr>
        <w:t>:</w:t>
      </w:r>
    </w:p>
    <w:p w:rsidR="001F7F1D" w:rsidRDefault="001F7F1D" w:rsidP="00D8122D">
      <w:pPr>
        <w:pStyle w:val="ListParagraph"/>
        <w:numPr>
          <w:ilvl w:val="0"/>
          <w:numId w:val="37"/>
        </w:numPr>
        <w:rPr>
          <w:rFonts w:ascii="Arial" w:hAnsi="Arial" w:cs="Arial"/>
          <w:sz w:val="22"/>
        </w:rPr>
      </w:pPr>
      <w:r>
        <w:rPr>
          <w:rFonts w:ascii="Arial" w:hAnsi="Arial" w:cs="Arial"/>
          <w:sz w:val="22"/>
        </w:rPr>
        <w:t>International revenue increased 15% despite two fewer operating days in many countries. Currency-neutral revenue increased 8.7%.</w:t>
      </w:r>
    </w:p>
    <w:p w:rsidR="001F7F1D" w:rsidRDefault="001F7F1D" w:rsidP="00D8122D">
      <w:pPr>
        <w:pStyle w:val="ListParagraph"/>
        <w:numPr>
          <w:ilvl w:val="0"/>
          <w:numId w:val="37"/>
        </w:numPr>
        <w:rPr>
          <w:rFonts w:ascii="Arial" w:hAnsi="Arial" w:cs="Arial"/>
          <w:sz w:val="22"/>
        </w:rPr>
      </w:pPr>
      <w:r>
        <w:rPr>
          <w:rFonts w:ascii="Arial" w:hAnsi="Arial" w:cs="Arial"/>
          <w:sz w:val="22"/>
        </w:rPr>
        <w:t xml:space="preserve">Export, Domestic and Cargo product groups all achieved double-digit revenue growth. </w:t>
      </w:r>
    </w:p>
    <w:p w:rsidR="001F7F1D" w:rsidRDefault="001F7F1D" w:rsidP="00D8122D">
      <w:pPr>
        <w:pStyle w:val="ListParagraph"/>
        <w:numPr>
          <w:ilvl w:val="0"/>
          <w:numId w:val="37"/>
        </w:numPr>
        <w:rPr>
          <w:rFonts w:ascii="Arial" w:hAnsi="Arial" w:cs="Arial"/>
          <w:sz w:val="22"/>
        </w:rPr>
      </w:pPr>
      <w:r>
        <w:rPr>
          <w:rFonts w:ascii="Arial" w:hAnsi="Arial" w:cs="Arial"/>
          <w:sz w:val="22"/>
        </w:rPr>
        <w:t>E</w:t>
      </w:r>
      <w:r w:rsidRPr="00D828A7">
        <w:rPr>
          <w:rFonts w:ascii="Arial" w:hAnsi="Arial" w:cs="Arial"/>
          <w:sz w:val="22"/>
        </w:rPr>
        <w:t xml:space="preserve">xport </w:t>
      </w:r>
      <w:r>
        <w:rPr>
          <w:rFonts w:ascii="Arial" w:hAnsi="Arial" w:cs="Arial"/>
          <w:sz w:val="22"/>
        </w:rPr>
        <w:t xml:space="preserve">shipments per day </w:t>
      </w:r>
      <w:r w:rsidRPr="00D828A7">
        <w:rPr>
          <w:rFonts w:ascii="Arial" w:hAnsi="Arial" w:cs="Arial"/>
          <w:sz w:val="22"/>
        </w:rPr>
        <w:t>gr</w:t>
      </w:r>
      <w:r>
        <w:rPr>
          <w:rFonts w:ascii="Arial" w:hAnsi="Arial" w:cs="Arial"/>
          <w:sz w:val="22"/>
        </w:rPr>
        <w:t>e</w:t>
      </w:r>
      <w:r w:rsidRPr="00D828A7">
        <w:rPr>
          <w:rFonts w:ascii="Arial" w:hAnsi="Arial" w:cs="Arial"/>
          <w:sz w:val="22"/>
        </w:rPr>
        <w:t>w</w:t>
      </w:r>
      <w:r>
        <w:rPr>
          <w:rFonts w:ascii="Arial" w:hAnsi="Arial" w:cs="Arial"/>
          <w:sz w:val="22"/>
        </w:rPr>
        <w:t xml:space="preserve"> an average 12% as premium products continue to outpace non-premium</w:t>
      </w:r>
      <w:r w:rsidRPr="00D828A7">
        <w:rPr>
          <w:rFonts w:ascii="Arial" w:hAnsi="Arial" w:cs="Arial"/>
          <w:sz w:val="22"/>
        </w:rPr>
        <w:t xml:space="preserve">. </w:t>
      </w:r>
    </w:p>
    <w:p w:rsidR="001F7F1D" w:rsidRPr="00D828A7" w:rsidRDefault="001F7F1D" w:rsidP="00D8122D">
      <w:pPr>
        <w:pStyle w:val="ListParagraph"/>
        <w:numPr>
          <w:ilvl w:val="0"/>
          <w:numId w:val="37"/>
        </w:numPr>
        <w:rPr>
          <w:rFonts w:ascii="Arial" w:hAnsi="Arial" w:cs="Arial"/>
          <w:sz w:val="22"/>
        </w:rPr>
      </w:pPr>
      <w:r>
        <w:rPr>
          <w:rFonts w:ascii="Arial" w:hAnsi="Arial" w:cs="Arial"/>
          <w:sz w:val="22"/>
        </w:rPr>
        <w:t>Export volume growth in Europe and the U.S. continued to be strong for the quarter.</w:t>
      </w:r>
      <w:r w:rsidRPr="00D828A7">
        <w:rPr>
          <w:rFonts w:ascii="Arial" w:hAnsi="Arial" w:cs="Arial"/>
          <w:sz w:val="22"/>
        </w:rPr>
        <w:t xml:space="preserve"> </w:t>
      </w:r>
    </w:p>
    <w:p w:rsidR="001F7F1D" w:rsidRDefault="001F7F1D" w:rsidP="00CC6CB3">
      <w:pPr>
        <w:pStyle w:val="ListParagraph"/>
        <w:numPr>
          <w:ilvl w:val="0"/>
          <w:numId w:val="37"/>
        </w:numPr>
        <w:rPr>
          <w:rFonts w:ascii="Arial" w:hAnsi="Arial" w:cs="Arial"/>
          <w:sz w:val="22"/>
        </w:rPr>
      </w:pPr>
      <w:r>
        <w:rPr>
          <w:rFonts w:ascii="Arial" w:hAnsi="Arial" w:cs="Arial"/>
          <w:sz w:val="22"/>
        </w:rPr>
        <w:t>O</w:t>
      </w:r>
      <w:r w:rsidRPr="00E466EA">
        <w:rPr>
          <w:rFonts w:ascii="Arial" w:hAnsi="Arial" w:cs="Arial"/>
          <w:sz w:val="22"/>
        </w:rPr>
        <w:t>perating profit was $</w:t>
      </w:r>
      <w:r>
        <w:rPr>
          <w:rFonts w:ascii="Arial" w:hAnsi="Arial" w:cs="Arial"/>
          <w:sz w:val="22"/>
        </w:rPr>
        <w:t>594</w:t>
      </w:r>
      <w:r w:rsidRPr="00E466EA">
        <w:rPr>
          <w:rFonts w:ascii="Arial" w:hAnsi="Arial" w:cs="Arial"/>
          <w:sz w:val="22"/>
        </w:rPr>
        <w:t xml:space="preserve"> million</w:t>
      </w:r>
      <w:r>
        <w:rPr>
          <w:rFonts w:ascii="Arial" w:hAnsi="Arial" w:cs="Arial"/>
          <w:sz w:val="22"/>
        </w:rPr>
        <w:t>, up 15% on higher Export shipments and e</w:t>
      </w:r>
      <w:r w:rsidRPr="00E466EA">
        <w:rPr>
          <w:rFonts w:ascii="Arial" w:hAnsi="Arial" w:cs="Arial"/>
          <w:sz w:val="22"/>
        </w:rPr>
        <w:t xml:space="preserve">xpanded </w:t>
      </w:r>
      <w:r>
        <w:rPr>
          <w:rFonts w:ascii="Arial" w:hAnsi="Arial" w:cs="Arial"/>
          <w:sz w:val="22"/>
        </w:rPr>
        <w:t xml:space="preserve">product </w:t>
      </w:r>
      <w:r w:rsidRPr="00E466EA">
        <w:rPr>
          <w:rFonts w:ascii="Arial" w:hAnsi="Arial" w:cs="Arial"/>
          <w:sz w:val="22"/>
        </w:rPr>
        <w:t>yields.</w:t>
      </w:r>
      <w:r>
        <w:rPr>
          <w:rFonts w:ascii="Arial" w:hAnsi="Arial" w:cs="Arial"/>
          <w:sz w:val="22"/>
        </w:rPr>
        <w:t xml:space="preserve">  Currency-neutral operating profit increased 10%.</w:t>
      </w:r>
    </w:p>
    <w:p w:rsidR="001F7F1D" w:rsidRDefault="001F7F1D" w:rsidP="000F1F16">
      <w:pPr>
        <w:rPr>
          <w:rFonts w:ascii="Arial" w:hAnsi="Arial" w:cs="Arial"/>
          <w:sz w:val="22"/>
          <w:highlight w:val="yellow"/>
        </w:rPr>
      </w:pPr>
    </w:p>
    <w:p w:rsidR="001F7F1D" w:rsidRPr="00E47C8B" w:rsidRDefault="001F7F1D" w:rsidP="000F1F16"/>
    <w:p w:rsidR="001F7F1D" w:rsidRDefault="001F7F1D" w:rsidP="000F1F16">
      <w:pPr>
        <w:rPr>
          <w:rFonts w:ascii="Arial" w:hAnsi="Arial" w:cs="Arial"/>
          <w:b/>
          <w:sz w:val="22"/>
          <w:vertAlign w:val="subscript"/>
        </w:rPr>
      </w:pPr>
    </w:p>
    <w:p w:rsidR="001F7F1D" w:rsidRDefault="001F7F1D" w:rsidP="000F1F16">
      <w:pPr>
        <w:rPr>
          <w:rFonts w:ascii="Arial" w:hAnsi="Arial" w:cs="Arial"/>
          <w:b/>
          <w:sz w:val="22"/>
          <w:vertAlign w:val="subscript"/>
        </w:rPr>
      </w:pPr>
    </w:p>
    <w:p w:rsidR="001F7F1D" w:rsidRDefault="001F7F1D" w:rsidP="000F1F16">
      <w:pPr>
        <w:rPr>
          <w:rFonts w:ascii="Arial" w:hAnsi="Arial" w:cs="Arial"/>
          <w:b/>
          <w:sz w:val="22"/>
          <w:vertAlign w:val="subscript"/>
        </w:rPr>
      </w:pPr>
    </w:p>
    <w:p w:rsidR="001F7F1D" w:rsidRDefault="001F7F1D" w:rsidP="000F1F16">
      <w:pPr>
        <w:rPr>
          <w:rFonts w:ascii="Arial" w:hAnsi="Arial" w:cs="Arial"/>
          <w:b/>
          <w:sz w:val="22"/>
          <w:vertAlign w:val="subscript"/>
        </w:rPr>
      </w:pPr>
    </w:p>
    <w:p w:rsidR="001F7F1D" w:rsidRPr="000F1F16" w:rsidRDefault="001F7F1D" w:rsidP="000F1F16">
      <w:pPr>
        <w:rPr>
          <w:rFonts w:ascii="Arial" w:hAnsi="Arial" w:cs="Arial"/>
          <w:b/>
          <w:sz w:val="22"/>
          <w:vertAlign w:val="subscript"/>
        </w:rPr>
      </w:pPr>
      <w:r w:rsidRPr="000F1F16">
        <w:rPr>
          <w:rFonts w:ascii="Arial" w:hAnsi="Arial" w:cs="Arial"/>
          <w:b/>
          <w:sz w:val="22"/>
          <w:vertAlign w:val="subscript"/>
        </w:rPr>
        <w:t>* Information on non-GAAP financial measures is attached to this press release.</w:t>
      </w:r>
    </w:p>
    <w:p w:rsidR="001F7F1D" w:rsidRPr="000F1F16" w:rsidRDefault="001F7F1D" w:rsidP="000F1F16">
      <w:pPr>
        <w:rPr>
          <w:rFonts w:ascii="Arial" w:hAnsi="Arial" w:cs="Arial"/>
          <w:b/>
          <w:sz w:val="22"/>
          <w:vertAlign w:val="subscript"/>
        </w:rPr>
      </w:pPr>
    </w:p>
    <w:p w:rsidR="001F7F1D" w:rsidRPr="000F1F16" w:rsidRDefault="001F7F1D" w:rsidP="000F1F16">
      <w:pPr>
        <w:jc w:val="center"/>
        <w:rPr>
          <w:rFonts w:ascii="Arial" w:hAnsi="Arial" w:cs="Arial"/>
          <w:sz w:val="20"/>
          <w:szCs w:val="20"/>
        </w:rPr>
      </w:pPr>
      <w:r w:rsidRPr="000F1F16">
        <w:rPr>
          <w:rFonts w:ascii="Arial" w:hAnsi="Arial" w:cs="Arial"/>
          <w:sz w:val="20"/>
          <w:szCs w:val="20"/>
        </w:rPr>
        <w:t>– more –</w:t>
      </w:r>
    </w:p>
    <w:p w:rsidR="001F7F1D" w:rsidRPr="00BA689F" w:rsidRDefault="001F7F1D" w:rsidP="004914AA">
      <w:pPr>
        <w:rPr>
          <w:rFonts w:ascii="Arial" w:hAnsi="Arial" w:cs="Arial"/>
          <w:sz w:val="22"/>
        </w:rPr>
      </w:pPr>
      <w:r w:rsidRPr="00BA689F">
        <w:rPr>
          <w:rFonts w:ascii="Arial" w:hAnsi="Arial" w:cs="Arial"/>
          <w:sz w:val="22"/>
        </w:rPr>
        <w:t>3-3-3</w:t>
      </w:r>
    </w:p>
    <w:p w:rsidR="001F7F1D" w:rsidRPr="00BA689F" w:rsidRDefault="001F7F1D" w:rsidP="004914AA">
      <w:pPr>
        <w:rPr>
          <w:rFonts w:ascii="Arial" w:hAnsi="Arial" w:cs="Arial"/>
          <w:sz w:val="22"/>
        </w:rPr>
      </w:pPr>
    </w:p>
    <w:p w:rsidR="001F7F1D" w:rsidRPr="00BA689F" w:rsidRDefault="001F7F1D" w:rsidP="004914AA">
      <w:pPr>
        <w:rPr>
          <w:rFonts w:ascii="Arial" w:hAnsi="Arial" w:cs="Arial"/>
          <w:sz w:val="22"/>
        </w:rPr>
      </w:pPr>
    </w:p>
    <w:p w:rsidR="001F7F1D" w:rsidRDefault="001F7F1D" w:rsidP="004914AA">
      <w:pPr>
        <w:rPr>
          <w:rFonts w:ascii="Arial" w:hAnsi="Arial" w:cs="Arial"/>
          <w:b/>
          <w:sz w:val="22"/>
          <w:u w:val="single"/>
        </w:rPr>
      </w:pPr>
      <w:r w:rsidRPr="000E624D">
        <w:rPr>
          <w:rFonts w:ascii="Arial" w:hAnsi="Arial" w:cs="Arial"/>
          <w:b/>
          <w:sz w:val="22"/>
          <w:u w:val="single"/>
        </w:rPr>
        <w:t>Supply Chain and Freight Segment</w:t>
      </w:r>
    </w:p>
    <w:p w:rsidR="001F7F1D" w:rsidRPr="000E624D" w:rsidRDefault="001F7F1D" w:rsidP="004914AA">
      <w:pPr>
        <w:rPr>
          <w:rFonts w:ascii="Arial" w:hAnsi="Arial" w:cs="Arial"/>
          <w:b/>
          <w:sz w:val="22"/>
          <w:u w:val="single"/>
        </w:rPr>
      </w:pPr>
    </w:p>
    <w:p w:rsidR="001F7F1D" w:rsidRDefault="001F7F1D" w:rsidP="002C0AD0">
      <w:pPr>
        <w:rPr>
          <w:rFonts w:ascii="Arial" w:hAnsi="Arial" w:cs="Arial"/>
          <w:szCs w:val="22"/>
        </w:rPr>
      </w:pPr>
      <w:r>
        <w:rPr>
          <w:rFonts w:ascii="Arial" w:hAnsi="Arial" w:cs="Arial"/>
          <w:sz w:val="22"/>
        </w:rPr>
        <w:t xml:space="preserve">The </w:t>
      </w:r>
      <w:r w:rsidRPr="00C945DC">
        <w:rPr>
          <w:rFonts w:ascii="Arial" w:hAnsi="Arial" w:cs="Arial"/>
          <w:sz w:val="22"/>
        </w:rPr>
        <w:t xml:space="preserve">Supply Chain and Freight </w:t>
      </w:r>
      <w:r>
        <w:rPr>
          <w:rFonts w:ascii="Arial" w:hAnsi="Arial" w:cs="Arial"/>
          <w:sz w:val="22"/>
        </w:rPr>
        <w:t>segment produced another quarter of strong financial results.  Revenue and operating profit grew by double digits due to successful revenue-quality initiatives, opportunistic growth strategies and structural cost reductions.</w:t>
      </w:r>
      <w:r w:rsidRPr="00C945DC">
        <w:rPr>
          <w:rFonts w:ascii="Arial" w:hAnsi="Arial" w:cs="Arial"/>
          <w:sz w:val="22"/>
        </w:rPr>
        <w:t xml:space="preserve"> </w:t>
      </w:r>
    </w:p>
    <w:tbl>
      <w:tblPr>
        <w:tblW w:w="6768" w:type="dxa"/>
        <w:jc w:val="center"/>
        <w:tblLook w:val="00A0" w:firstRow="1" w:lastRow="0" w:firstColumn="1" w:lastColumn="0" w:noHBand="0" w:noVBand="0"/>
      </w:tblPr>
      <w:tblGrid>
        <w:gridCol w:w="3024"/>
        <w:gridCol w:w="1872"/>
        <w:gridCol w:w="1872"/>
      </w:tblGrid>
      <w:tr w:rsidR="001F7F1D" w:rsidRPr="001E1EB6" w:rsidTr="00C1043C">
        <w:trPr>
          <w:jc w:val="center"/>
        </w:trPr>
        <w:tc>
          <w:tcPr>
            <w:tcW w:w="3024" w:type="dxa"/>
          </w:tcPr>
          <w:p w:rsidR="001F7F1D" w:rsidRPr="00C1043C" w:rsidRDefault="001F7F1D" w:rsidP="007E6DF7">
            <w:pPr>
              <w:rPr>
                <w:rFonts w:ascii="Arial" w:hAnsi="Arial" w:cs="Arial"/>
                <w:b/>
                <w:sz w:val="20"/>
                <w:szCs w:val="22"/>
                <w:u w:val="single"/>
              </w:rPr>
            </w:pPr>
          </w:p>
          <w:p w:rsidR="001F7F1D" w:rsidRPr="00C1043C" w:rsidRDefault="001F7F1D" w:rsidP="007E6DF7">
            <w:pPr>
              <w:rPr>
                <w:rFonts w:ascii="Arial" w:hAnsi="Arial" w:cs="Arial"/>
                <w:b/>
                <w:sz w:val="20"/>
                <w:szCs w:val="22"/>
                <w:u w:val="single"/>
              </w:rPr>
            </w:pP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2018</w:t>
            </w:r>
          </w:p>
        </w:tc>
        <w:tc>
          <w:tcPr>
            <w:tcW w:w="1872" w:type="dxa"/>
          </w:tcPr>
          <w:p w:rsidR="001F7F1D" w:rsidRPr="00C1043C" w:rsidRDefault="001F7F1D" w:rsidP="00C1043C">
            <w:pPr>
              <w:jc w:val="right"/>
              <w:rPr>
                <w:rFonts w:ascii="Arial" w:hAnsi="Arial" w:cs="Arial"/>
                <w:b/>
                <w:sz w:val="20"/>
                <w:szCs w:val="22"/>
                <w:u w:val="single"/>
              </w:rPr>
            </w:pPr>
          </w:p>
          <w:p w:rsidR="001F7F1D" w:rsidRPr="00C1043C" w:rsidRDefault="001F7F1D" w:rsidP="00C1043C">
            <w:pPr>
              <w:jc w:val="right"/>
              <w:rPr>
                <w:rFonts w:ascii="Arial" w:hAnsi="Arial" w:cs="Arial"/>
                <w:b/>
                <w:sz w:val="20"/>
                <w:szCs w:val="22"/>
                <w:u w:val="single"/>
              </w:rPr>
            </w:pPr>
            <w:r w:rsidRPr="00C1043C">
              <w:rPr>
                <w:rFonts w:ascii="Arial" w:hAnsi="Arial" w:cs="Arial"/>
                <w:b/>
                <w:sz w:val="20"/>
                <w:szCs w:val="22"/>
                <w:u w:val="single"/>
              </w:rPr>
              <w:t>1Q 2017</w:t>
            </w:r>
          </w:p>
        </w:tc>
      </w:tr>
      <w:tr w:rsidR="001F7F1D" w:rsidRPr="001E1EB6" w:rsidTr="00C1043C">
        <w:trPr>
          <w:jc w:val="center"/>
        </w:trPr>
        <w:tc>
          <w:tcPr>
            <w:tcW w:w="3024" w:type="dxa"/>
          </w:tcPr>
          <w:p w:rsidR="001F7F1D" w:rsidRPr="00C1043C" w:rsidRDefault="001F7F1D" w:rsidP="007E6DF7">
            <w:pPr>
              <w:rPr>
                <w:rFonts w:ascii="Arial" w:hAnsi="Arial" w:cs="Arial"/>
                <w:sz w:val="20"/>
                <w:szCs w:val="22"/>
              </w:rPr>
            </w:pPr>
            <w:r w:rsidRPr="00C1043C">
              <w:rPr>
                <w:rFonts w:ascii="Arial" w:hAnsi="Arial" w:cs="Arial"/>
                <w:sz w:val="20"/>
                <w:szCs w:val="22"/>
              </w:rPr>
              <w:t>Revenue</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$3,353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$2,900 M</w:t>
            </w:r>
          </w:p>
        </w:tc>
      </w:tr>
      <w:tr w:rsidR="001F7F1D" w:rsidRPr="001E1EB6" w:rsidTr="00C1043C">
        <w:trPr>
          <w:jc w:val="center"/>
        </w:trPr>
        <w:tc>
          <w:tcPr>
            <w:tcW w:w="3024" w:type="dxa"/>
          </w:tcPr>
          <w:p w:rsidR="001F7F1D" w:rsidRPr="00C1043C" w:rsidRDefault="001F7F1D">
            <w:pPr>
              <w:rPr>
                <w:rFonts w:ascii="Arial" w:hAnsi="Arial" w:cs="Arial"/>
                <w:sz w:val="20"/>
                <w:szCs w:val="22"/>
              </w:rPr>
            </w:pPr>
            <w:r w:rsidRPr="00C1043C">
              <w:rPr>
                <w:rFonts w:ascii="Arial" w:hAnsi="Arial" w:cs="Arial"/>
                <w:sz w:val="20"/>
                <w:szCs w:val="22"/>
              </w:rPr>
              <w:t>Operating profit</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$170 M</w:t>
            </w:r>
          </w:p>
        </w:tc>
        <w:tc>
          <w:tcPr>
            <w:tcW w:w="1872" w:type="dxa"/>
          </w:tcPr>
          <w:p w:rsidR="001F7F1D" w:rsidRPr="00C1043C" w:rsidRDefault="001F7F1D" w:rsidP="00C1043C">
            <w:pPr>
              <w:jc w:val="right"/>
              <w:rPr>
                <w:rFonts w:ascii="Arial" w:hAnsi="Arial" w:cs="Arial"/>
                <w:sz w:val="20"/>
                <w:szCs w:val="22"/>
              </w:rPr>
            </w:pPr>
            <w:r w:rsidRPr="00C1043C">
              <w:rPr>
                <w:rFonts w:ascii="Arial" w:hAnsi="Arial" w:cs="Arial"/>
                <w:sz w:val="20"/>
                <w:szCs w:val="22"/>
              </w:rPr>
              <w:t>$149 M</w:t>
            </w:r>
          </w:p>
        </w:tc>
      </w:tr>
    </w:tbl>
    <w:p w:rsidR="001F7F1D" w:rsidRDefault="001F7F1D" w:rsidP="00556A78">
      <w:pPr>
        <w:jc w:val="center"/>
        <w:rPr>
          <w:rFonts w:ascii="Arial" w:hAnsi="Arial" w:cs="Arial"/>
          <w:sz w:val="20"/>
          <w:szCs w:val="20"/>
        </w:rPr>
      </w:pPr>
    </w:p>
    <w:p w:rsidR="001F7F1D" w:rsidRDefault="001F7F1D" w:rsidP="00B47CCC">
      <w:pPr>
        <w:ind w:left="720" w:hanging="720"/>
        <w:rPr>
          <w:rFonts w:ascii="Arial" w:hAnsi="Arial" w:cs="Arial"/>
          <w:sz w:val="22"/>
          <w:szCs w:val="22"/>
        </w:rPr>
      </w:pPr>
    </w:p>
    <w:p w:rsidR="001F7F1D" w:rsidRPr="008F282D" w:rsidRDefault="001F7F1D" w:rsidP="00B47CCC">
      <w:pPr>
        <w:ind w:left="720" w:hanging="720"/>
        <w:rPr>
          <w:rFonts w:ascii="Arial" w:hAnsi="Arial" w:cs="Arial"/>
          <w:szCs w:val="22"/>
        </w:rPr>
      </w:pPr>
      <w:r w:rsidRPr="008F282D">
        <w:rPr>
          <w:rFonts w:ascii="Arial" w:hAnsi="Arial" w:cs="Arial"/>
          <w:sz w:val="22"/>
          <w:szCs w:val="22"/>
        </w:rPr>
        <w:t>For the Supply Chain and Freight segment in 1Q 2018</w:t>
      </w:r>
      <w:r w:rsidRPr="008F282D">
        <w:rPr>
          <w:rFonts w:ascii="Arial" w:hAnsi="Arial" w:cs="Arial"/>
          <w:szCs w:val="22"/>
        </w:rPr>
        <w:t>:</w:t>
      </w:r>
    </w:p>
    <w:p w:rsidR="001F7F1D" w:rsidRPr="004F5D76" w:rsidRDefault="001F7F1D" w:rsidP="00690801">
      <w:pPr>
        <w:pStyle w:val="ListParagraph"/>
        <w:numPr>
          <w:ilvl w:val="0"/>
          <w:numId w:val="37"/>
        </w:numPr>
        <w:rPr>
          <w:rFonts w:ascii="Arial" w:hAnsi="Arial" w:cs="Arial"/>
          <w:sz w:val="22"/>
        </w:rPr>
      </w:pPr>
      <w:r w:rsidRPr="00666CFA">
        <w:rPr>
          <w:rFonts w:ascii="Arial" w:hAnsi="Arial" w:cs="Arial"/>
          <w:sz w:val="22"/>
        </w:rPr>
        <w:t xml:space="preserve">Revenue increased </w:t>
      </w:r>
      <w:r>
        <w:rPr>
          <w:rFonts w:ascii="Arial" w:hAnsi="Arial" w:cs="Arial"/>
          <w:sz w:val="22"/>
        </w:rPr>
        <w:t>to $3.4 billion, up 16</w:t>
      </w:r>
      <w:r w:rsidRPr="00666CFA">
        <w:rPr>
          <w:rFonts w:ascii="Arial" w:hAnsi="Arial" w:cs="Arial"/>
          <w:sz w:val="22"/>
        </w:rPr>
        <w:t xml:space="preserve">% over </w:t>
      </w:r>
      <w:r>
        <w:rPr>
          <w:rFonts w:ascii="Arial" w:hAnsi="Arial" w:cs="Arial"/>
          <w:sz w:val="22"/>
        </w:rPr>
        <w:t xml:space="preserve">1Q 2017.  The business units focused on high quality, middle-market customers.  </w:t>
      </w:r>
    </w:p>
    <w:p w:rsidR="001F7F1D" w:rsidRDefault="001F7F1D" w:rsidP="00AE7B9A">
      <w:pPr>
        <w:pStyle w:val="ListParagraph"/>
        <w:numPr>
          <w:ilvl w:val="0"/>
          <w:numId w:val="37"/>
        </w:numPr>
        <w:rPr>
          <w:rFonts w:ascii="Arial" w:hAnsi="Arial" w:cs="Arial"/>
          <w:sz w:val="22"/>
        </w:rPr>
      </w:pPr>
      <w:r>
        <w:rPr>
          <w:rFonts w:ascii="Arial" w:hAnsi="Arial" w:cs="Arial"/>
          <w:sz w:val="22"/>
        </w:rPr>
        <w:t>The Forwarding business led all units with 27% revenue growth, a</w:t>
      </w:r>
      <w:r w:rsidRPr="00255A34">
        <w:rPr>
          <w:rFonts w:ascii="Arial" w:hAnsi="Arial" w:cs="Arial"/>
          <w:sz w:val="22"/>
        </w:rPr>
        <w:t xml:space="preserve">s revenue management initiatives </w:t>
      </w:r>
      <w:r>
        <w:rPr>
          <w:rFonts w:ascii="Arial" w:hAnsi="Arial" w:cs="Arial"/>
          <w:sz w:val="22"/>
        </w:rPr>
        <w:t>and stable market conditions drove top-line gains</w:t>
      </w:r>
      <w:r w:rsidRPr="00255A34">
        <w:rPr>
          <w:rFonts w:ascii="Arial" w:hAnsi="Arial" w:cs="Arial"/>
          <w:sz w:val="22"/>
        </w:rPr>
        <w:t>.</w:t>
      </w:r>
    </w:p>
    <w:p w:rsidR="001F7F1D" w:rsidRPr="007C589B" w:rsidRDefault="001F7F1D" w:rsidP="00A75041">
      <w:pPr>
        <w:pStyle w:val="ListParagraph"/>
        <w:numPr>
          <w:ilvl w:val="0"/>
          <w:numId w:val="37"/>
        </w:numPr>
        <w:rPr>
          <w:rFonts w:ascii="Arial" w:hAnsi="Arial" w:cs="Arial"/>
          <w:sz w:val="22"/>
        </w:rPr>
      </w:pPr>
      <w:r w:rsidRPr="000F1F16">
        <w:rPr>
          <w:rFonts w:ascii="Arial" w:hAnsi="Arial" w:cs="Arial"/>
          <w:sz w:val="22"/>
        </w:rPr>
        <w:t xml:space="preserve">UPS Freight revenue </w:t>
      </w:r>
      <w:r>
        <w:rPr>
          <w:rFonts w:ascii="Arial" w:hAnsi="Arial" w:cs="Arial"/>
          <w:sz w:val="22"/>
        </w:rPr>
        <w:t>increased</w:t>
      </w:r>
      <w:r w:rsidRPr="000F1F16">
        <w:rPr>
          <w:rFonts w:ascii="Arial" w:hAnsi="Arial" w:cs="Arial"/>
          <w:sz w:val="22"/>
        </w:rPr>
        <w:t xml:space="preserve"> 9.9% on </w:t>
      </w:r>
      <w:r>
        <w:rPr>
          <w:rFonts w:ascii="Arial" w:hAnsi="Arial" w:cs="Arial"/>
          <w:sz w:val="22"/>
        </w:rPr>
        <w:t>solid</w:t>
      </w:r>
      <w:r w:rsidRPr="000F1F16">
        <w:rPr>
          <w:rFonts w:ascii="Arial" w:hAnsi="Arial" w:cs="Arial"/>
          <w:sz w:val="22"/>
        </w:rPr>
        <w:t xml:space="preserve"> LTL </w:t>
      </w:r>
      <w:r>
        <w:rPr>
          <w:rFonts w:ascii="Arial" w:hAnsi="Arial" w:cs="Arial"/>
          <w:sz w:val="22"/>
        </w:rPr>
        <w:t xml:space="preserve">(less-than-truckload) </w:t>
      </w:r>
      <w:r w:rsidRPr="000F1F16">
        <w:rPr>
          <w:rFonts w:ascii="Arial" w:hAnsi="Arial" w:cs="Arial"/>
          <w:sz w:val="22"/>
        </w:rPr>
        <w:t>pricing and tonnage growth.</w:t>
      </w:r>
    </w:p>
    <w:p w:rsidR="001F7F1D" w:rsidRPr="007C589B" w:rsidRDefault="001F7F1D" w:rsidP="007D7949">
      <w:pPr>
        <w:pStyle w:val="ListParagraph"/>
        <w:numPr>
          <w:ilvl w:val="0"/>
          <w:numId w:val="37"/>
        </w:numPr>
        <w:rPr>
          <w:rFonts w:ascii="Arial" w:hAnsi="Arial" w:cs="Arial"/>
          <w:sz w:val="22"/>
        </w:rPr>
      </w:pPr>
      <w:r w:rsidRPr="007C589B">
        <w:rPr>
          <w:rFonts w:ascii="Arial" w:hAnsi="Arial" w:cs="Arial"/>
          <w:sz w:val="22"/>
        </w:rPr>
        <w:t xml:space="preserve">Operating profit was $170 million, up 14% </w:t>
      </w:r>
      <w:r>
        <w:rPr>
          <w:rFonts w:ascii="Arial" w:hAnsi="Arial" w:cs="Arial"/>
          <w:sz w:val="22"/>
        </w:rPr>
        <w:t>from</w:t>
      </w:r>
      <w:r w:rsidRPr="007C589B">
        <w:rPr>
          <w:rFonts w:ascii="Arial" w:hAnsi="Arial" w:cs="Arial"/>
          <w:sz w:val="22"/>
        </w:rPr>
        <w:t xml:space="preserve"> the </w:t>
      </w:r>
      <w:r>
        <w:rPr>
          <w:rFonts w:ascii="Arial" w:hAnsi="Arial" w:cs="Arial"/>
          <w:sz w:val="22"/>
        </w:rPr>
        <w:t xml:space="preserve">same </w:t>
      </w:r>
      <w:r w:rsidRPr="007C589B">
        <w:rPr>
          <w:rFonts w:ascii="Arial" w:hAnsi="Arial" w:cs="Arial"/>
          <w:sz w:val="22"/>
        </w:rPr>
        <w:t>quarter</w:t>
      </w:r>
      <w:r>
        <w:rPr>
          <w:rFonts w:ascii="Arial" w:hAnsi="Arial" w:cs="Arial"/>
          <w:sz w:val="22"/>
        </w:rPr>
        <w:t xml:space="preserve"> in 2017</w:t>
      </w:r>
      <w:r w:rsidRPr="007C589B">
        <w:rPr>
          <w:rFonts w:ascii="Arial" w:hAnsi="Arial" w:cs="Arial"/>
          <w:sz w:val="22"/>
        </w:rPr>
        <w:t xml:space="preserve">. </w:t>
      </w:r>
    </w:p>
    <w:p w:rsidR="001F7F1D" w:rsidRPr="00F8001F" w:rsidRDefault="001F7F1D" w:rsidP="00516C9E">
      <w:pPr>
        <w:pStyle w:val="ListParagraph"/>
        <w:ind w:left="360"/>
        <w:rPr>
          <w:rFonts w:ascii="Arial" w:hAnsi="Arial" w:cs="Arial"/>
          <w:sz w:val="22"/>
        </w:rPr>
      </w:pPr>
    </w:p>
    <w:p w:rsidR="001F7F1D" w:rsidRDefault="001F7F1D" w:rsidP="00FB040E">
      <w:pPr>
        <w:ind w:firstLine="720"/>
        <w:rPr>
          <w:rFonts w:ascii="Arial" w:hAnsi="Arial" w:cs="Arial"/>
          <w:sz w:val="22"/>
          <w:szCs w:val="22"/>
        </w:rPr>
      </w:pPr>
    </w:p>
    <w:p w:rsidR="001F7F1D" w:rsidRPr="00EC663B" w:rsidRDefault="001F7F1D" w:rsidP="005A5BC6">
      <w:pPr>
        <w:rPr>
          <w:rFonts w:ascii="Arial" w:hAnsi="Arial" w:cs="Arial"/>
          <w:b/>
          <w:u w:val="single"/>
        </w:rPr>
      </w:pPr>
      <w:r w:rsidRPr="00EC663B">
        <w:rPr>
          <w:rFonts w:ascii="Arial" w:hAnsi="Arial" w:cs="Arial"/>
          <w:b/>
          <w:u w:val="single"/>
        </w:rPr>
        <w:t>Outlook</w:t>
      </w:r>
    </w:p>
    <w:p w:rsidR="001F7F1D" w:rsidRDefault="001F7F1D" w:rsidP="005A5BC6">
      <w:pPr>
        <w:ind w:firstLine="720"/>
        <w:rPr>
          <w:rFonts w:ascii="Arial" w:hAnsi="Arial" w:cs="Arial"/>
        </w:rPr>
      </w:pPr>
    </w:p>
    <w:p w:rsidR="001F7F1D" w:rsidRPr="004F5D76" w:rsidRDefault="001F7F1D" w:rsidP="005A5BC6">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w:t>
      </w:r>
      <w:r>
        <w:rPr>
          <w:rFonts w:ascii="Arial" w:hAnsi="Arial" w:cs="Arial"/>
          <w:sz w:val="22"/>
          <w:szCs w:val="22"/>
        </w:rPr>
        <w:t xml:space="preserve"> or other unanticipated events</w:t>
      </w:r>
      <w:r w:rsidRPr="004F5D76">
        <w:rPr>
          <w:rFonts w:ascii="Arial" w:hAnsi="Arial" w:cs="Arial"/>
          <w:sz w:val="22"/>
          <w:szCs w:val="22"/>
        </w:rPr>
        <w:t>, which would be included in reported (GAAP) results and could be material.</w:t>
      </w:r>
    </w:p>
    <w:p w:rsidR="001F7F1D" w:rsidRDefault="001F7F1D" w:rsidP="005A5BC6">
      <w:pPr>
        <w:ind w:firstLine="720"/>
        <w:rPr>
          <w:rFonts w:ascii="Arial" w:hAnsi="Arial" w:cs="Arial"/>
          <w:sz w:val="22"/>
          <w:szCs w:val="22"/>
        </w:rPr>
      </w:pPr>
    </w:p>
    <w:p w:rsidR="001F7F1D" w:rsidRDefault="001F7F1D" w:rsidP="005A5BC6">
      <w:pPr>
        <w:ind w:firstLine="720"/>
        <w:rPr>
          <w:rFonts w:ascii="Arial" w:hAnsi="Arial" w:cs="Arial"/>
          <w:sz w:val="22"/>
        </w:rPr>
      </w:pPr>
      <w:r w:rsidRPr="004A031D">
        <w:rPr>
          <w:rFonts w:ascii="Arial" w:hAnsi="Arial" w:cs="Arial"/>
          <w:sz w:val="22"/>
        </w:rPr>
        <w:t>“</w:t>
      </w:r>
      <w:r>
        <w:rPr>
          <w:rFonts w:ascii="Arial" w:hAnsi="Arial" w:cs="Arial"/>
          <w:sz w:val="22"/>
        </w:rPr>
        <w:t>Our focused business strategies are producing strong results in both the International and Supply Chain segments,</w:t>
      </w:r>
      <w:r w:rsidRPr="004A031D">
        <w:rPr>
          <w:rFonts w:ascii="Arial" w:hAnsi="Arial" w:cs="Arial"/>
          <w:sz w:val="22"/>
        </w:rPr>
        <w:t>” said Richard Peretz, UPS</w:t>
      </w:r>
      <w:r>
        <w:rPr>
          <w:rFonts w:ascii="Arial" w:hAnsi="Arial" w:cs="Arial"/>
          <w:sz w:val="22"/>
        </w:rPr>
        <w:t>’s</w:t>
      </w:r>
      <w:r w:rsidRPr="004A031D">
        <w:rPr>
          <w:rFonts w:ascii="Arial" w:hAnsi="Arial" w:cs="Arial"/>
          <w:sz w:val="22"/>
        </w:rPr>
        <w:t xml:space="preserve"> chief financial officer.  </w:t>
      </w:r>
      <w:r>
        <w:rPr>
          <w:rFonts w:ascii="Arial" w:hAnsi="Arial" w:cs="Arial"/>
          <w:sz w:val="22"/>
        </w:rPr>
        <w:t>“</w:t>
      </w:r>
      <w:r w:rsidRPr="00251650">
        <w:rPr>
          <w:rFonts w:ascii="Arial" w:hAnsi="Arial" w:cs="Arial"/>
          <w:sz w:val="22"/>
        </w:rPr>
        <w:t xml:space="preserve">The benefits from </w:t>
      </w:r>
      <w:r>
        <w:rPr>
          <w:rFonts w:ascii="Arial" w:hAnsi="Arial" w:cs="Arial"/>
          <w:sz w:val="22"/>
        </w:rPr>
        <w:t>our</w:t>
      </w:r>
      <w:r w:rsidRPr="00251650">
        <w:rPr>
          <w:rFonts w:ascii="Arial" w:hAnsi="Arial" w:cs="Arial"/>
          <w:sz w:val="22"/>
        </w:rPr>
        <w:t xml:space="preserve"> investments, new multi-year transformation efficiencies and </w:t>
      </w:r>
      <w:r>
        <w:rPr>
          <w:rFonts w:ascii="Arial" w:hAnsi="Arial" w:cs="Arial"/>
          <w:sz w:val="22"/>
        </w:rPr>
        <w:t>stronger</w:t>
      </w:r>
      <w:r w:rsidRPr="00251650">
        <w:rPr>
          <w:rFonts w:ascii="Arial" w:hAnsi="Arial" w:cs="Arial"/>
          <w:sz w:val="22"/>
        </w:rPr>
        <w:t xml:space="preserve"> pricing position us well </w:t>
      </w:r>
      <w:r>
        <w:rPr>
          <w:rFonts w:ascii="Arial" w:hAnsi="Arial" w:cs="Arial"/>
          <w:sz w:val="22"/>
        </w:rPr>
        <w:t>for shareowner value creation.”</w:t>
      </w:r>
    </w:p>
    <w:p w:rsidR="001F7F1D" w:rsidRPr="004F5D76" w:rsidRDefault="001F7F1D" w:rsidP="005A5BC6">
      <w:pPr>
        <w:ind w:firstLine="720"/>
        <w:rPr>
          <w:rFonts w:ascii="Arial" w:hAnsi="Arial" w:cs="Arial"/>
          <w:sz w:val="22"/>
          <w:szCs w:val="22"/>
        </w:rPr>
      </w:pPr>
    </w:p>
    <w:p w:rsidR="001F7F1D" w:rsidRDefault="001F7F1D" w:rsidP="000F1F16">
      <w:pPr>
        <w:pStyle w:val="ListParagraph"/>
        <w:numPr>
          <w:ilvl w:val="0"/>
          <w:numId w:val="46"/>
        </w:numPr>
        <w:rPr>
          <w:rFonts w:ascii="Arial" w:hAnsi="Arial" w:cs="Arial"/>
          <w:sz w:val="22"/>
        </w:rPr>
      </w:pPr>
      <w:r w:rsidRPr="00C76EE5">
        <w:rPr>
          <w:rFonts w:ascii="Arial" w:hAnsi="Arial" w:cs="Arial"/>
          <w:sz w:val="22"/>
        </w:rPr>
        <w:t>UPS expects 2018 adjusted diluted earnings per share to be in a range of $</w:t>
      </w:r>
      <w:r>
        <w:rPr>
          <w:rFonts w:ascii="Arial" w:hAnsi="Arial" w:cs="Arial"/>
          <w:sz w:val="22"/>
        </w:rPr>
        <w:t>7.03</w:t>
      </w:r>
      <w:r w:rsidRPr="00C76EE5">
        <w:rPr>
          <w:rFonts w:ascii="Arial" w:hAnsi="Arial" w:cs="Arial"/>
          <w:sz w:val="22"/>
        </w:rPr>
        <w:t xml:space="preserve"> to $</w:t>
      </w:r>
      <w:r>
        <w:rPr>
          <w:rFonts w:ascii="Arial" w:hAnsi="Arial" w:cs="Arial"/>
          <w:sz w:val="22"/>
        </w:rPr>
        <w:t xml:space="preserve">7.37. </w:t>
      </w:r>
    </w:p>
    <w:p w:rsidR="001F7F1D" w:rsidRPr="00E47C8B" w:rsidRDefault="001F7F1D">
      <w:pPr>
        <w:pStyle w:val="ListParagraph"/>
        <w:numPr>
          <w:ilvl w:val="0"/>
          <w:numId w:val="37"/>
        </w:numPr>
        <w:rPr>
          <w:rFonts w:ascii="Arial" w:hAnsi="Arial" w:cs="Arial"/>
          <w:sz w:val="22"/>
        </w:rPr>
      </w:pPr>
      <w:r w:rsidRPr="00E47C8B">
        <w:rPr>
          <w:rFonts w:ascii="Arial" w:hAnsi="Arial" w:cs="Arial"/>
          <w:sz w:val="22"/>
        </w:rPr>
        <w:t xml:space="preserve">The company </w:t>
      </w:r>
      <w:r>
        <w:rPr>
          <w:rFonts w:ascii="Arial" w:hAnsi="Arial" w:cs="Arial"/>
          <w:sz w:val="22"/>
        </w:rPr>
        <w:t>projects</w:t>
      </w:r>
      <w:r w:rsidRPr="00E47C8B">
        <w:rPr>
          <w:rFonts w:ascii="Arial" w:hAnsi="Arial" w:cs="Arial"/>
          <w:sz w:val="22"/>
        </w:rPr>
        <w:t xml:space="preserve"> free cash flow of $4.5 billion to $5.0 billion in 2018</w:t>
      </w:r>
      <w:r>
        <w:rPr>
          <w:rFonts w:ascii="Arial" w:hAnsi="Arial" w:cs="Arial"/>
          <w:sz w:val="22"/>
        </w:rPr>
        <w:t xml:space="preserve">. </w:t>
      </w:r>
    </w:p>
    <w:p w:rsidR="001F7F1D" w:rsidRPr="000F1F16" w:rsidRDefault="001F7F1D">
      <w:pPr>
        <w:pStyle w:val="ListParagraph"/>
        <w:numPr>
          <w:ilvl w:val="0"/>
          <w:numId w:val="37"/>
        </w:numPr>
        <w:rPr>
          <w:rFonts w:ascii="Arial" w:hAnsi="Arial" w:cs="Arial"/>
          <w:sz w:val="22"/>
        </w:rPr>
      </w:pPr>
      <w:r>
        <w:rPr>
          <w:rFonts w:ascii="Arial" w:hAnsi="Arial" w:cs="Arial"/>
          <w:sz w:val="22"/>
        </w:rPr>
        <w:t>The effective t</w:t>
      </w:r>
      <w:r w:rsidRPr="007C589B">
        <w:rPr>
          <w:rFonts w:ascii="Arial" w:hAnsi="Arial" w:cs="Arial"/>
          <w:sz w:val="22"/>
        </w:rPr>
        <w:t xml:space="preserve">ax rate </w:t>
      </w:r>
      <w:r>
        <w:rPr>
          <w:rFonts w:ascii="Arial" w:hAnsi="Arial" w:cs="Arial"/>
          <w:sz w:val="22"/>
        </w:rPr>
        <w:t>should be in a range of</w:t>
      </w:r>
      <w:r w:rsidRPr="007C589B">
        <w:rPr>
          <w:rFonts w:ascii="Arial" w:hAnsi="Arial" w:cs="Arial"/>
          <w:sz w:val="22"/>
        </w:rPr>
        <w:t xml:space="preserve"> </w:t>
      </w:r>
      <w:r>
        <w:rPr>
          <w:rFonts w:ascii="Arial" w:hAnsi="Arial" w:cs="Arial"/>
          <w:sz w:val="22"/>
        </w:rPr>
        <w:t>23% to</w:t>
      </w:r>
      <w:r w:rsidRPr="007C589B">
        <w:rPr>
          <w:rFonts w:ascii="Arial" w:hAnsi="Arial" w:cs="Arial"/>
          <w:sz w:val="22"/>
        </w:rPr>
        <w:t xml:space="preserve"> </w:t>
      </w:r>
      <w:r>
        <w:rPr>
          <w:rFonts w:ascii="Arial" w:hAnsi="Arial" w:cs="Arial"/>
          <w:sz w:val="22"/>
        </w:rPr>
        <w:t>24</w:t>
      </w:r>
      <w:r w:rsidRPr="007C589B">
        <w:rPr>
          <w:rFonts w:ascii="Arial" w:hAnsi="Arial" w:cs="Arial"/>
          <w:sz w:val="22"/>
        </w:rPr>
        <w:t xml:space="preserve">% </w:t>
      </w:r>
      <w:r>
        <w:rPr>
          <w:rFonts w:ascii="Arial" w:hAnsi="Arial" w:cs="Arial"/>
          <w:sz w:val="22"/>
        </w:rPr>
        <w:t>for</w:t>
      </w:r>
      <w:r w:rsidRPr="007C589B">
        <w:rPr>
          <w:rFonts w:ascii="Arial" w:hAnsi="Arial" w:cs="Arial"/>
          <w:sz w:val="22"/>
        </w:rPr>
        <w:t xml:space="preserve"> the remainder of the year</w:t>
      </w:r>
      <w:r>
        <w:rPr>
          <w:rFonts w:ascii="Arial" w:hAnsi="Arial" w:cs="Arial"/>
          <w:sz w:val="22"/>
        </w:rPr>
        <w:t>.</w:t>
      </w:r>
    </w:p>
    <w:p w:rsidR="001F7F1D" w:rsidRDefault="001F7F1D">
      <w:pPr>
        <w:pStyle w:val="ListParagraph"/>
        <w:numPr>
          <w:ilvl w:val="0"/>
          <w:numId w:val="37"/>
        </w:numPr>
        <w:rPr>
          <w:rFonts w:ascii="Arial" w:hAnsi="Arial" w:cs="Arial"/>
          <w:sz w:val="22"/>
        </w:rPr>
      </w:pPr>
      <w:r w:rsidRPr="00C76EE5">
        <w:rPr>
          <w:rFonts w:ascii="Arial" w:hAnsi="Arial" w:cs="Arial"/>
          <w:sz w:val="22"/>
        </w:rPr>
        <w:t xml:space="preserve">Capital expenditures </w:t>
      </w:r>
      <w:r>
        <w:rPr>
          <w:rFonts w:ascii="Arial" w:hAnsi="Arial" w:cs="Arial"/>
          <w:sz w:val="22"/>
        </w:rPr>
        <w:t xml:space="preserve">in </w:t>
      </w:r>
      <w:r w:rsidRPr="00C76EE5">
        <w:rPr>
          <w:rFonts w:ascii="Arial" w:hAnsi="Arial" w:cs="Arial"/>
          <w:sz w:val="22"/>
        </w:rPr>
        <w:t>2018 are planned between $6.5 billion to $7.0 billion</w:t>
      </w:r>
      <w:r>
        <w:rPr>
          <w:rFonts w:ascii="Arial" w:hAnsi="Arial" w:cs="Arial"/>
          <w:sz w:val="22"/>
        </w:rPr>
        <w:t>.</w:t>
      </w:r>
      <w:r w:rsidRPr="00C76EE5">
        <w:rPr>
          <w:rFonts w:ascii="Arial" w:hAnsi="Arial" w:cs="Arial"/>
          <w:sz w:val="22"/>
        </w:rPr>
        <w:t xml:space="preserve"> </w:t>
      </w:r>
    </w:p>
    <w:p w:rsidR="001F7F1D" w:rsidRPr="00D54D52" w:rsidRDefault="001F7F1D" w:rsidP="00D54D52">
      <w:pPr>
        <w:rPr>
          <w:rFonts w:ascii="Arial" w:hAnsi="Arial" w:cs="Arial"/>
          <w:sz w:val="22"/>
        </w:rPr>
      </w:pPr>
    </w:p>
    <w:p w:rsidR="001F7F1D" w:rsidRDefault="001F7F1D"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rsidR="001F7F1D" w:rsidRDefault="001F7F1D" w:rsidP="00B86C7E">
      <w:pPr>
        <w:rPr>
          <w:rFonts w:ascii="Arial" w:hAnsi="Arial" w:cs="Arial"/>
          <w:color w:val="003436"/>
          <w:sz w:val="22"/>
          <w:szCs w:val="22"/>
        </w:rPr>
      </w:pPr>
    </w:p>
    <w:p w:rsidR="001F7F1D" w:rsidRDefault="001F7F1D" w:rsidP="00B86C7E">
      <w:pPr>
        <w:rPr>
          <w:rFonts w:ascii="Arial" w:hAnsi="Arial" w:cs="Arial"/>
          <w:b/>
          <w:sz w:val="22"/>
          <w:szCs w:val="22"/>
          <w:u w:val="single"/>
        </w:rPr>
      </w:pPr>
    </w:p>
    <w:p w:rsidR="001F7F1D" w:rsidRDefault="001F7F1D" w:rsidP="00B86C7E">
      <w:pPr>
        <w:rPr>
          <w:rFonts w:ascii="Arial" w:hAnsi="Arial" w:cs="Arial"/>
          <w:b/>
          <w:sz w:val="22"/>
          <w:szCs w:val="22"/>
          <w:u w:val="single"/>
        </w:rPr>
      </w:pPr>
    </w:p>
    <w:p w:rsidR="001F7F1D" w:rsidRPr="00B50A8C" w:rsidRDefault="001F7F1D" w:rsidP="00B86C7E">
      <w:pPr>
        <w:rPr>
          <w:rFonts w:ascii="Arial" w:hAnsi="Arial" w:cs="Arial"/>
          <w:sz w:val="22"/>
          <w:szCs w:val="22"/>
          <w:u w:val="single"/>
        </w:rPr>
      </w:pPr>
      <w:r w:rsidRPr="00B50A8C">
        <w:rPr>
          <w:rFonts w:ascii="Arial" w:hAnsi="Arial" w:cs="Arial"/>
          <w:b/>
          <w:sz w:val="22"/>
          <w:szCs w:val="22"/>
          <w:u w:val="single"/>
        </w:rPr>
        <w:t>Conference Call Information</w:t>
      </w:r>
    </w:p>
    <w:p w:rsidR="001F7F1D" w:rsidRDefault="001F7F1D" w:rsidP="00B86C7E">
      <w:pPr>
        <w:rPr>
          <w:rFonts w:ascii="Arial" w:hAnsi="Arial" w:cs="Arial"/>
          <w:sz w:val="22"/>
          <w:szCs w:val="22"/>
        </w:rPr>
      </w:pPr>
      <w:r w:rsidRPr="00A85056">
        <w:rPr>
          <w:rFonts w:ascii="Arial" w:hAnsi="Arial" w:cs="Arial"/>
          <w:sz w:val="22"/>
          <w:szCs w:val="22"/>
        </w:rPr>
        <w:tab/>
      </w:r>
    </w:p>
    <w:p w:rsidR="001F7F1D" w:rsidRPr="00E466EA" w:rsidRDefault="001F7F1D" w:rsidP="00B86C7E">
      <w:pPr>
        <w:ind w:firstLine="720"/>
        <w:rPr>
          <w:rFonts w:ascii="Arial" w:hAnsi="Arial" w:cs="Arial"/>
          <w:sz w:val="22"/>
          <w:szCs w:val="22"/>
        </w:rPr>
      </w:pPr>
      <w:r w:rsidRPr="00E466EA">
        <w:rPr>
          <w:rFonts w:ascii="Arial" w:hAnsi="Arial" w:cs="Arial"/>
          <w:sz w:val="22"/>
          <w:szCs w:val="22"/>
        </w:rPr>
        <w:t xml:space="preserve">UPS CEO David Abney and CFO Richard Peretz will discuss </w:t>
      </w:r>
      <w:r>
        <w:rPr>
          <w:rFonts w:ascii="Arial" w:hAnsi="Arial" w:cs="Arial"/>
          <w:sz w:val="22"/>
          <w:szCs w:val="22"/>
        </w:rPr>
        <w:t>first</w:t>
      </w:r>
      <w:r w:rsidRPr="00E466EA">
        <w:rPr>
          <w:rFonts w:ascii="Arial" w:hAnsi="Arial" w:cs="Arial"/>
          <w:sz w:val="22"/>
          <w:szCs w:val="22"/>
        </w:rPr>
        <w:t xml:space="preserve">-quarter results with investors and analysts during a conference call at 8:30 a.m. ET, </w:t>
      </w:r>
      <w:r>
        <w:rPr>
          <w:rFonts w:ascii="Arial" w:hAnsi="Arial" w:cs="Arial"/>
          <w:sz w:val="22"/>
          <w:szCs w:val="22"/>
        </w:rPr>
        <w:t>April 26</w:t>
      </w:r>
      <w:r w:rsidRPr="00E466EA">
        <w:rPr>
          <w:rFonts w:ascii="Arial" w:hAnsi="Arial" w:cs="Arial"/>
          <w:sz w:val="22"/>
          <w:szCs w:val="22"/>
        </w:rPr>
        <w:t>, 2018.  That call is open to others</w:t>
      </w:r>
      <w:r w:rsidRPr="000D66BE">
        <w:rPr>
          <w:rFonts w:ascii="Arial" w:hAnsi="Arial" w:cs="Arial"/>
          <w:sz w:val="22"/>
          <w:szCs w:val="22"/>
        </w:rPr>
        <w:t xml:space="preserve"> through a live Webcast.  To access the call, go to </w:t>
      </w:r>
      <w:hyperlink r:id="rId8" w:history="1">
        <w:r w:rsidRPr="00E466EA">
          <w:rPr>
            <w:rStyle w:val="Hyperlink"/>
            <w:rFonts w:ascii="Arial" w:hAnsi="Arial" w:cs="Arial"/>
            <w:sz w:val="22"/>
            <w:szCs w:val="22"/>
          </w:rPr>
          <w:t>www.investors.ups.com</w:t>
        </w:r>
      </w:hyperlink>
      <w:r w:rsidRPr="00E466EA">
        <w:rPr>
          <w:rFonts w:ascii="Arial" w:hAnsi="Arial" w:cs="Arial"/>
          <w:sz w:val="22"/>
          <w:szCs w:val="22"/>
          <w:u w:val="single"/>
        </w:rPr>
        <w:t xml:space="preserve"> </w:t>
      </w:r>
      <w:r w:rsidRPr="00E466EA">
        <w:rPr>
          <w:rFonts w:ascii="Arial" w:hAnsi="Arial" w:cs="Arial"/>
          <w:sz w:val="22"/>
          <w:szCs w:val="22"/>
        </w:rPr>
        <w:t>and click on “Earnings Webcast.”</w:t>
      </w:r>
    </w:p>
    <w:p w:rsidR="001F7F1D" w:rsidRDefault="001F7F1D">
      <w:pPr>
        <w:rPr>
          <w:rFonts w:ascii="Arial" w:hAnsi="Arial" w:cs="Arial"/>
          <w:sz w:val="22"/>
          <w:szCs w:val="22"/>
        </w:rPr>
      </w:pPr>
    </w:p>
    <w:p w:rsidR="001F7F1D" w:rsidRDefault="001F7F1D" w:rsidP="00C95306">
      <w:pPr>
        <w:spacing w:after="240"/>
        <w:rPr>
          <w:rFonts w:ascii="Arial" w:hAnsi="Arial" w:cs="Arial"/>
          <w:u w:val="single"/>
        </w:rPr>
      </w:pPr>
    </w:p>
    <w:p w:rsidR="001F7F1D" w:rsidRPr="00912A35" w:rsidRDefault="001F7F1D" w:rsidP="00912A35">
      <w:pPr>
        <w:spacing w:after="240"/>
        <w:rPr>
          <w:rFonts w:ascii="Arial" w:hAnsi="Arial" w:cs="Arial"/>
          <w:sz w:val="22"/>
          <w:u w:val="single"/>
        </w:rPr>
      </w:pPr>
      <w:r w:rsidRPr="00912A35">
        <w:rPr>
          <w:rFonts w:ascii="Arial" w:hAnsi="Arial" w:cs="Arial"/>
          <w:sz w:val="22"/>
          <w:u w:val="single"/>
        </w:rPr>
        <w:t>Forward-Looking Statements</w:t>
      </w:r>
    </w:p>
    <w:p w:rsidR="001F7F1D" w:rsidRPr="00912A35" w:rsidRDefault="001F7F1D" w:rsidP="00912A35">
      <w:pPr>
        <w:spacing w:after="240"/>
        <w:ind w:firstLine="720"/>
        <w:rPr>
          <w:rFonts w:ascii="Arial" w:hAnsi="Arial" w:cs="Arial"/>
          <w:sz w:val="22"/>
        </w:rPr>
      </w:pPr>
      <w:r w:rsidRPr="00912A35">
        <w:rPr>
          <w:rFonts w:ascii="Arial" w:hAnsi="Arial" w:cs="Arial"/>
          <w:sz w:val="22"/>
        </w:rPr>
        <w:t xml:space="preserve">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directions, prospects and future results, involve certain risks and uncertainties. </w:t>
      </w:r>
    </w:p>
    <w:p w:rsidR="001F7F1D" w:rsidRPr="00912A35" w:rsidRDefault="001F7F1D" w:rsidP="00912A35">
      <w:pPr>
        <w:spacing w:after="240"/>
        <w:ind w:firstLine="720"/>
        <w:rPr>
          <w:rFonts w:ascii="Arial" w:hAnsi="Arial" w:cs="Arial"/>
          <w:sz w:val="22"/>
          <w:u w:val="single"/>
        </w:rPr>
      </w:pPr>
      <w:r w:rsidRPr="00912A35">
        <w:rPr>
          <w:rFonts w:ascii="Arial" w:hAnsi="Arial" w:cs="Arial"/>
          <w:sz w:val="22"/>
        </w:rPr>
        <w:t>Certain factors may cause actual results to differ materially from those contained in the forward-looking statements, including economic and other conditions in the markets in which we operate, governmental regulations (including tax laws and regulations), our competitive environment, changes in the facts or assumptions underlying our health and pension benefit funding obligations, negotiation and ratification of labor contracts, strikes, work stoppages and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1F7F1D" w:rsidRPr="00912A35" w:rsidRDefault="001F7F1D" w:rsidP="00912A35">
      <w:pPr>
        <w:spacing w:after="240"/>
        <w:rPr>
          <w:rFonts w:ascii="Arial" w:hAnsi="Arial" w:cs="Arial"/>
          <w:sz w:val="22"/>
          <w:u w:val="single"/>
        </w:rPr>
      </w:pPr>
      <w:r w:rsidRPr="00912A35">
        <w:rPr>
          <w:rFonts w:ascii="Arial" w:hAnsi="Arial" w:cs="Arial"/>
          <w:sz w:val="22"/>
          <w:u w:val="single"/>
        </w:rPr>
        <w:t>Reconciliation of GAAP and non-GAAP Financial Measures</w:t>
      </w:r>
    </w:p>
    <w:p w:rsidR="001F7F1D" w:rsidRPr="00912A35" w:rsidRDefault="001F7F1D" w:rsidP="00912A35">
      <w:pPr>
        <w:spacing w:after="240"/>
        <w:ind w:firstLine="720"/>
        <w:rPr>
          <w:rFonts w:ascii="Arial" w:hAnsi="Arial" w:cs="Arial"/>
          <w:sz w:val="22"/>
        </w:rPr>
      </w:pPr>
      <w:r w:rsidRPr="00912A35">
        <w:rPr>
          <w:rFonts w:ascii="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w:t>
      </w:r>
      <w:r>
        <w:rPr>
          <w:rFonts w:ascii="Arial" w:hAnsi="Arial" w:cs="Arial"/>
          <w:sz w:val="22"/>
        </w:rPr>
        <w:t xml:space="preserve">other income (expense), </w:t>
      </w:r>
      <w:r w:rsidRPr="00912A35">
        <w:rPr>
          <w:rFonts w:ascii="Arial" w:hAnsi="Arial" w:cs="Arial"/>
          <w:sz w:val="22"/>
        </w:rPr>
        <w:t xml:space="preserve">pre-tax income, net income and earnings per share. The equivalent measures determined in accordance with GAAP are also referred to as "reported" or "unadjusted.” Additionally, we periodically disclose free cash flow, free cash flow excluding discretionary pension contributions, as well as currency-neutral revenue, revenue per piece and operating profit. </w:t>
      </w:r>
    </w:p>
    <w:p w:rsidR="001F7F1D" w:rsidRPr="00912A35" w:rsidRDefault="001F7F1D" w:rsidP="00912A35">
      <w:pPr>
        <w:spacing w:after="240"/>
        <w:ind w:firstLine="720"/>
        <w:rPr>
          <w:rFonts w:ascii="Arial" w:hAnsi="Arial" w:cs="Arial"/>
          <w:sz w:val="22"/>
        </w:rPr>
      </w:pPr>
      <w:r w:rsidRPr="00912A35">
        <w:rPr>
          <w:rFonts w:ascii="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asset impairments (non-cash); amounts related to changes in tax regulations or positions; pension and postretirement related items; and debt modifications.</w:t>
      </w:r>
    </w:p>
    <w:p w:rsidR="001F7F1D" w:rsidRPr="00912A35" w:rsidRDefault="001F7F1D" w:rsidP="00912A35">
      <w:pPr>
        <w:spacing w:after="240"/>
        <w:ind w:firstLine="720"/>
        <w:rPr>
          <w:rFonts w:ascii="Arial" w:hAnsi="Arial" w:cs="Arial"/>
          <w:sz w:val="22"/>
        </w:rPr>
      </w:pPr>
      <w:r w:rsidRPr="00912A35">
        <w:rPr>
          <w:rFonts w:ascii="Arial" w:hAnsi="Arial" w:cs="Arial"/>
          <w:sz w:val="22"/>
        </w:rPr>
        <w:t xml:space="preserve">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 </w:t>
      </w:r>
    </w:p>
    <w:p w:rsidR="001F7F1D" w:rsidRPr="00912A35" w:rsidRDefault="001F7F1D" w:rsidP="00912A35">
      <w:pPr>
        <w:spacing w:after="240"/>
        <w:ind w:firstLine="720"/>
        <w:rPr>
          <w:sz w:val="22"/>
        </w:rPr>
      </w:pPr>
      <w:r w:rsidRPr="00912A35">
        <w:rPr>
          <w:rFonts w:ascii="Arial" w:hAnsi="Arial" w:cs="Arial"/>
          <w:sz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rsidR="001F7F1D" w:rsidRDefault="001F7F1D" w:rsidP="00912A35">
      <w:pPr>
        <w:spacing w:after="240"/>
        <w:rPr>
          <w:rFonts w:ascii="Arial" w:hAnsi="Arial" w:cs="Arial"/>
          <w:i/>
          <w:sz w:val="22"/>
        </w:rPr>
      </w:pPr>
    </w:p>
    <w:p w:rsidR="001F7F1D" w:rsidRPr="00912A35" w:rsidRDefault="001F7F1D" w:rsidP="00912A35">
      <w:pPr>
        <w:spacing w:after="240"/>
        <w:rPr>
          <w:rFonts w:ascii="Arial" w:hAnsi="Arial" w:cs="Arial"/>
          <w:i/>
          <w:sz w:val="22"/>
        </w:rPr>
      </w:pPr>
      <w:r w:rsidRPr="00912A35">
        <w:rPr>
          <w:rFonts w:ascii="Arial" w:hAnsi="Arial" w:cs="Arial"/>
          <w:i/>
          <w:sz w:val="22"/>
        </w:rPr>
        <w:t>Currency-Neutral Revenue, Revenue per Piece and Operating Profit</w:t>
      </w:r>
    </w:p>
    <w:p w:rsidR="001F7F1D" w:rsidRPr="00912A35" w:rsidRDefault="001F7F1D" w:rsidP="00912A35">
      <w:pPr>
        <w:spacing w:after="240"/>
        <w:ind w:firstLine="720"/>
        <w:rPr>
          <w:rFonts w:ascii="Arial" w:hAnsi="Arial" w:cs="Arial"/>
          <w:sz w:val="22"/>
        </w:rPr>
      </w:pPr>
      <w:r w:rsidRPr="00912A35">
        <w:rPr>
          <w:rFonts w:ascii="Arial" w:hAnsi="Arial" w:cs="Arial"/>
          <w:sz w:val="22"/>
        </w:rPr>
        <w:t>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businesses on a currency-neutral basis.</w:t>
      </w:r>
    </w:p>
    <w:p w:rsidR="001F7F1D" w:rsidRPr="00912A35" w:rsidRDefault="001F7F1D" w:rsidP="00912A35">
      <w:pPr>
        <w:spacing w:after="240"/>
        <w:ind w:firstLine="720"/>
        <w:rPr>
          <w:rFonts w:ascii="Arial" w:hAnsi="Arial" w:cs="Arial"/>
          <w:i/>
          <w:sz w:val="22"/>
        </w:rPr>
      </w:pPr>
      <w:r w:rsidRPr="00912A35">
        <w:rPr>
          <w:rFonts w:ascii="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1F7F1D" w:rsidRPr="00912A35" w:rsidRDefault="001F7F1D" w:rsidP="00912A35">
      <w:pPr>
        <w:spacing w:after="240"/>
        <w:rPr>
          <w:rFonts w:ascii="Arial" w:hAnsi="Arial" w:cs="Arial"/>
          <w:i/>
          <w:sz w:val="22"/>
        </w:rPr>
      </w:pPr>
      <w:r w:rsidRPr="00912A35">
        <w:rPr>
          <w:rFonts w:ascii="Arial" w:hAnsi="Arial" w:cs="Arial"/>
          <w:i/>
          <w:sz w:val="22"/>
        </w:rPr>
        <w:t>Free Cash Flow</w:t>
      </w:r>
    </w:p>
    <w:p w:rsidR="001F7F1D" w:rsidRPr="00912A35" w:rsidRDefault="001F7F1D" w:rsidP="00912A35">
      <w:pPr>
        <w:spacing w:after="240"/>
        <w:ind w:firstLine="720"/>
        <w:rPr>
          <w:rFonts w:ascii="Arial" w:hAnsi="Arial" w:cs="Arial"/>
          <w:sz w:val="22"/>
        </w:rPr>
      </w:pPr>
      <w:r w:rsidRPr="00912A35">
        <w:rPr>
          <w:rFonts w:ascii="Arial" w:hAnsi="Arial" w:cs="Arial"/>
          <w:sz w:val="22"/>
        </w:rPr>
        <w:t xml:space="preserve">We supplement the reporting of cash flows from operating activities with free cash flow, a non-GAAP liquidity measure. We believe free cash flow is an important indicator of how much cash is generated by regular business operations and we use it as a measure of incremental cash available to invest in our business, meet our debt obligations and return cash to shareowners. We calculate free cash flow as cash flows from operating activities less capital expenditures, proceeds from disposals of property, plant and equipment, and plus or minus the net changes in finance receivables and other investing activities. </w:t>
      </w:r>
    </w:p>
    <w:p w:rsidR="001F7F1D" w:rsidRDefault="001F7F1D">
      <w:pPr>
        <w:rPr>
          <w:rFonts w:ascii="Arial" w:hAnsi="Arial" w:cs="Arial"/>
          <w:b/>
          <w:sz w:val="20"/>
          <w:szCs w:val="20"/>
        </w:rPr>
      </w:pPr>
      <w:r>
        <w:rPr>
          <w:rFonts w:ascii="Arial" w:hAnsi="Arial" w:cs="Arial"/>
          <w:b/>
          <w:sz w:val="20"/>
          <w:szCs w:val="20"/>
        </w:rPr>
        <w:br w:type="page"/>
      </w:r>
    </w:p>
    <w:p w:rsidR="001F7F1D" w:rsidRDefault="001F7F1D" w:rsidP="00912A35">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w:t>
      </w:r>
      <w:r>
        <w:rPr>
          <w:rFonts w:ascii="Arial" w:hAnsi="Arial" w:cs="Arial"/>
          <w:b/>
          <w:sz w:val="20"/>
          <w:szCs w:val="20"/>
        </w:rPr>
        <w:t>Revenue, Revenue Per Piece and Operating Profit</w:t>
      </w:r>
      <w:r w:rsidRPr="00D12477">
        <w:rPr>
          <w:rFonts w:ascii="Arial" w:hAnsi="Arial" w:cs="Arial"/>
          <w:b/>
          <w:sz w:val="20"/>
          <w:szCs w:val="20"/>
        </w:rPr>
        <w:t xml:space="preserve"> </w:t>
      </w:r>
    </w:p>
    <w:p w:rsidR="001F7F1D" w:rsidRPr="00D12477" w:rsidRDefault="001F7F1D" w:rsidP="00912A35">
      <w:pPr>
        <w:jc w:val="center"/>
        <w:rPr>
          <w:rFonts w:ascii="Arial" w:hAnsi="Arial" w:cs="Arial"/>
          <w:b/>
          <w:sz w:val="20"/>
          <w:szCs w:val="20"/>
        </w:rPr>
      </w:pPr>
      <w:r w:rsidRPr="00D12477">
        <w:rPr>
          <w:rFonts w:ascii="Arial" w:hAnsi="Arial" w:cs="Arial"/>
          <w:b/>
          <w:sz w:val="20"/>
          <w:szCs w:val="20"/>
        </w:rPr>
        <w:t xml:space="preserve">(in </w:t>
      </w:r>
      <w:r>
        <w:rPr>
          <w:rFonts w:ascii="Arial" w:hAnsi="Arial" w:cs="Arial"/>
          <w:b/>
          <w:sz w:val="20"/>
          <w:szCs w:val="20"/>
        </w:rPr>
        <w:t>m</w:t>
      </w:r>
      <w:r w:rsidRPr="00D12477">
        <w:rPr>
          <w:rFonts w:ascii="Arial" w:hAnsi="Arial" w:cs="Arial"/>
          <w:b/>
          <w:sz w:val="20"/>
          <w:szCs w:val="20"/>
        </w:rPr>
        <w:t xml:space="preserve">illions, except </w:t>
      </w:r>
      <w:r>
        <w:rPr>
          <w:rFonts w:ascii="Arial" w:hAnsi="Arial" w:cs="Arial"/>
          <w:b/>
          <w:sz w:val="20"/>
          <w:szCs w:val="20"/>
        </w:rPr>
        <w:t>P</w:t>
      </w:r>
      <w:r w:rsidRPr="00D12477">
        <w:rPr>
          <w:rFonts w:ascii="Arial" w:hAnsi="Arial" w:cs="Arial"/>
          <w:b/>
          <w:sz w:val="20"/>
          <w:szCs w:val="20"/>
        </w:rPr>
        <w:t>er Piece amounts):</w:t>
      </w:r>
    </w:p>
    <w:p w:rsidR="001F7F1D" w:rsidRDefault="001F7F1D" w:rsidP="00912A35">
      <w:pPr>
        <w:rPr>
          <w:rFonts w:ascii="Arial" w:hAnsi="Arial" w:cs="Arial"/>
          <w:sz w:val="18"/>
          <w:szCs w:val="20"/>
        </w:rPr>
      </w:pPr>
    </w:p>
    <w:tbl>
      <w:tblPr>
        <w:tblpPr w:leftFromText="180" w:rightFromText="180" w:vertAnchor="text"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8"/>
        <w:gridCol w:w="1065"/>
        <w:gridCol w:w="87"/>
        <w:gridCol w:w="468"/>
        <w:gridCol w:w="510"/>
        <w:gridCol w:w="174"/>
        <w:gridCol w:w="891"/>
        <w:gridCol w:w="261"/>
        <w:gridCol w:w="804"/>
        <w:gridCol w:w="348"/>
        <w:gridCol w:w="184"/>
        <w:gridCol w:w="745"/>
        <w:gridCol w:w="223"/>
        <w:gridCol w:w="630"/>
        <w:gridCol w:w="522"/>
      </w:tblGrid>
      <w:tr w:rsidR="001F7F1D" w:rsidTr="00C1043C">
        <w:trPr>
          <w:gridAfter w:val="1"/>
          <w:wAfter w:w="522" w:type="dxa"/>
        </w:trPr>
        <w:tc>
          <w:tcPr>
            <w:tcW w:w="9398" w:type="dxa"/>
            <w:gridSpan w:val="14"/>
          </w:tcPr>
          <w:p w:rsidR="001F7F1D" w:rsidRPr="00C1043C" w:rsidRDefault="001F7F1D" w:rsidP="00C1043C">
            <w:pPr>
              <w:autoSpaceDE w:val="0"/>
              <w:autoSpaceDN w:val="0"/>
              <w:adjustRightInd w:val="0"/>
              <w:jc w:val="center"/>
              <w:rPr>
                <w:rFonts w:ascii="Arial" w:hAnsi="Arial" w:cs="Arial"/>
                <w:b/>
                <w:sz w:val="18"/>
                <w:szCs w:val="20"/>
              </w:rPr>
            </w:pPr>
            <w:r w:rsidRPr="00C1043C">
              <w:rPr>
                <w:rFonts w:ascii="Arial" w:hAnsi="Arial" w:cs="Arial"/>
                <w:b/>
                <w:sz w:val="18"/>
                <w:szCs w:val="20"/>
              </w:rPr>
              <w:t>Three Months Ended March 31</w:t>
            </w:r>
          </w:p>
        </w:tc>
      </w:tr>
      <w:tr w:rsidR="001F7F1D" w:rsidTr="00C1043C">
        <w:trPr>
          <w:gridAfter w:val="1"/>
          <w:wAfter w:w="522" w:type="dxa"/>
        </w:trPr>
        <w:tc>
          <w:tcPr>
            <w:tcW w:w="3008" w:type="dxa"/>
            <w:tcBorders>
              <w:left w:val="nil"/>
              <w:bottom w:val="nil"/>
              <w:right w:val="nil"/>
            </w:tcBorders>
          </w:tcPr>
          <w:p w:rsidR="001F7F1D" w:rsidRPr="00C1043C" w:rsidRDefault="001F7F1D" w:rsidP="00C1043C">
            <w:pPr>
              <w:autoSpaceDE w:val="0"/>
              <w:autoSpaceDN w:val="0"/>
              <w:adjustRightInd w:val="0"/>
              <w:rPr>
                <w:rFonts w:ascii="Arial" w:hAnsi="Arial" w:cs="Arial"/>
                <w:sz w:val="18"/>
                <w:szCs w:val="20"/>
              </w:rPr>
            </w:pPr>
          </w:p>
        </w:tc>
        <w:tc>
          <w:tcPr>
            <w:tcW w:w="1620" w:type="dxa"/>
            <w:gridSpan w:val="3"/>
            <w:tcBorders>
              <w:top w:val="nil"/>
              <w:left w:val="nil"/>
              <w:bottom w:val="nil"/>
              <w:right w:val="nil"/>
            </w:tcBorders>
            <w:vAlign w:val="bottom"/>
          </w:tcPr>
          <w:p w:rsidR="001F7F1D" w:rsidRPr="00C1043C" w:rsidRDefault="001F7F1D" w:rsidP="00C1043C">
            <w:pPr>
              <w:autoSpaceDE w:val="0"/>
              <w:autoSpaceDN w:val="0"/>
              <w:adjustRightInd w:val="0"/>
              <w:jc w:val="center"/>
              <w:rPr>
                <w:rFonts w:ascii="Arial" w:hAnsi="Arial" w:cs="Arial"/>
                <w:b/>
                <w:sz w:val="18"/>
                <w:szCs w:val="20"/>
              </w:rPr>
            </w:pPr>
          </w:p>
        </w:tc>
        <w:tc>
          <w:tcPr>
            <w:tcW w:w="1575" w:type="dxa"/>
            <w:gridSpan w:val="3"/>
            <w:tcBorders>
              <w:top w:val="nil"/>
              <w:left w:val="nil"/>
              <w:bottom w:val="nil"/>
              <w:right w:val="nil"/>
            </w:tcBorders>
            <w:vAlign w:val="bottom"/>
          </w:tcPr>
          <w:p w:rsidR="001F7F1D" w:rsidRPr="00C1043C" w:rsidRDefault="001F7F1D" w:rsidP="00C1043C">
            <w:pPr>
              <w:autoSpaceDE w:val="0"/>
              <w:autoSpaceDN w:val="0"/>
              <w:adjustRightInd w:val="0"/>
              <w:jc w:val="center"/>
              <w:rPr>
                <w:rFonts w:ascii="Arial" w:hAnsi="Arial" w:cs="Arial"/>
                <w:b/>
                <w:sz w:val="18"/>
                <w:szCs w:val="20"/>
              </w:rPr>
            </w:pPr>
          </w:p>
        </w:tc>
        <w:tc>
          <w:tcPr>
            <w:tcW w:w="1597" w:type="dxa"/>
            <w:gridSpan w:val="4"/>
            <w:tcBorders>
              <w:top w:val="nil"/>
              <w:left w:val="nil"/>
              <w:bottom w:val="nil"/>
              <w:right w:val="nil"/>
            </w:tcBorders>
          </w:tcPr>
          <w:p w:rsidR="001F7F1D" w:rsidRPr="00C1043C" w:rsidRDefault="001F7F1D" w:rsidP="00C1043C">
            <w:pPr>
              <w:autoSpaceDE w:val="0"/>
              <w:autoSpaceDN w:val="0"/>
              <w:adjustRightInd w:val="0"/>
              <w:jc w:val="center"/>
              <w:rPr>
                <w:rFonts w:ascii="Arial" w:hAnsi="Arial" w:cs="Arial"/>
                <w:b/>
                <w:sz w:val="18"/>
                <w:szCs w:val="20"/>
              </w:rPr>
            </w:pPr>
          </w:p>
        </w:tc>
        <w:tc>
          <w:tcPr>
            <w:tcW w:w="1598" w:type="dxa"/>
            <w:gridSpan w:val="3"/>
            <w:tcBorders>
              <w:top w:val="nil"/>
              <w:left w:val="nil"/>
              <w:bottom w:val="nil"/>
              <w:right w:val="nil"/>
            </w:tcBorders>
            <w:vAlign w:val="bottom"/>
          </w:tcPr>
          <w:p w:rsidR="001F7F1D" w:rsidRPr="00C1043C" w:rsidRDefault="001F7F1D" w:rsidP="00C1043C">
            <w:pPr>
              <w:autoSpaceDE w:val="0"/>
              <w:autoSpaceDN w:val="0"/>
              <w:adjustRightInd w:val="0"/>
              <w:jc w:val="center"/>
              <w:rPr>
                <w:rFonts w:ascii="Arial" w:hAnsi="Arial" w:cs="Arial"/>
                <w:b/>
                <w:sz w:val="18"/>
                <w:szCs w:val="20"/>
              </w:rPr>
            </w:pP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p>
        </w:tc>
        <w:tc>
          <w:tcPr>
            <w:tcW w:w="1152" w:type="dxa"/>
            <w:gridSpan w:val="2"/>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2018 As-Reported (GAAP)</w:t>
            </w:r>
          </w:p>
        </w:tc>
        <w:tc>
          <w:tcPr>
            <w:tcW w:w="1152" w:type="dxa"/>
            <w:gridSpan w:val="3"/>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2017 As-Reported (GAAP)</w:t>
            </w:r>
          </w:p>
        </w:tc>
        <w:tc>
          <w:tcPr>
            <w:tcW w:w="1152" w:type="dxa"/>
            <w:gridSpan w:val="2"/>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 Change (GAAP)</w:t>
            </w:r>
          </w:p>
        </w:tc>
        <w:tc>
          <w:tcPr>
            <w:tcW w:w="1152" w:type="dxa"/>
            <w:gridSpan w:val="2"/>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Currency Impact</w:t>
            </w:r>
          </w:p>
        </w:tc>
        <w:tc>
          <w:tcPr>
            <w:tcW w:w="1152" w:type="dxa"/>
            <w:gridSpan w:val="3"/>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 xml:space="preserve">2018 </w:t>
            </w:r>
          </w:p>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Currency-Neutral (non-GAAP)</w:t>
            </w:r>
          </w:p>
        </w:tc>
        <w:tc>
          <w:tcPr>
            <w:tcW w:w="1152" w:type="dxa"/>
            <w:gridSpan w:val="2"/>
            <w:tcBorders>
              <w:top w:val="nil"/>
              <w:left w:val="nil"/>
              <w:right w:val="nil"/>
            </w:tcBorders>
            <w:vAlign w:val="bottom"/>
          </w:tcPr>
          <w:p w:rsidR="001F7F1D" w:rsidRPr="00C1043C" w:rsidRDefault="001F7F1D" w:rsidP="00C1043C">
            <w:pPr>
              <w:autoSpaceDE w:val="0"/>
              <w:autoSpaceDN w:val="0"/>
              <w:adjustRightInd w:val="0"/>
              <w:jc w:val="center"/>
              <w:rPr>
                <w:rFonts w:ascii="Arial" w:hAnsi="Arial" w:cs="Arial"/>
                <w:b/>
                <w:sz w:val="16"/>
                <w:szCs w:val="16"/>
              </w:rPr>
            </w:pPr>
            <w:r w:rsidRPr="00C1043C">
              <w:rPr>
                <w:rFonts w:ascii="Arial" w:hAnsi="Arial" w:cs="Arial"/>
                <w:b/>
                <w:sz w:val="16"/>
                <w:szCs w:val="16"/>
              </w:rPr>
              <w:t>% Change (non-GAAP)</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b/>
                <w:sz w:val="16"/>
                <w:szCs w:val="16"/>
              </w:rPr>
            </w:pPr>
            <w:r w:rsidRPr="00C1043C">
              <w:rPr>
                <w:rFonts w:ascii="Arial" w:hAnsi="Arial" w:cs="Arial"/>
                <w:b/>
                <w:sz w:val="16"/>
                <w:szCs w:val="16"/>
              </w:rPr>
              <w:t>Average Revenue Per Piece: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International Package: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Domestic</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6.70</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5.69</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17.8%</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$(0.74)</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5.96</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4.7%</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Export</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28.87</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28.15</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2.6%</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(1.21)</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27.66</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-1.7%</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Total International Package</w:t>
            </w:r>
          </w:p>
        </w:tc>
        <w:tc>
          <w:tcPr>
            <w:tcW w:w="1152" w:type="dxa"/>
            <w:gridSpan w:val="2"/>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16.99</w:t>
            </w:r>
          </w:p>
        </w:tc>
        <w:tc>
          <w:tcPr>
            <w:tcW w:w="1152" w:type="dxa"/>
            <w:gridSpan w:val="3"/>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15.47</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9.8%</w:t>
            </w:r>
          </w:p>
        </w:tc>
        <w:tc>
          <w:tcPr>
            <w:tcW w:w="1152" w:type="dxa"/>
            <w:gridSpan w:val="2"/>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$(0.96)</w:t>
            </w:r>
          </w:p>
        </w:tc>
        <w:tc>
          <w:tcPr>
            <w:tcW w:w="1152" w:type="dxa"/>
            <w:gridSpan w:val="3"/>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16.03</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3.6%</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p>
        </w:tc>
        <w:tc>
          <w:tcPr>
            <w:tcW w:w="1152" w:type="dxa"/>
            <w:gridSpan w:val="2"/>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Consolidated</w:t>
            </w:r>
          </w:p>
        </w:tc>
        <w:tc>
          <w:tcPr>
            <w:tcW w:w="1152" w:type="dxa"/>
            <w:gridSpan w:val="2"/>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10.97</w:t>
            </w:r>
          </w:p>
        </w:tc>
        <w:tc>
          <w:tcPr>
            <w:tcW w:w="1152" w:type="dxa"/>
            <w:gridSpan w:val="3"/>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10.52</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4.3%</w:t>
            </w:r>
          </w:p>
        </w:tc>
        <w:tc>
          <w:tcPr>
            <w:tcW w:w="1152" w:type="dxa"/>
            <w:gridSpan w:val="2"/>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$(0.16)</w:t>
            </w:r>
          </w:p>
        </w:tc>
        <w:tc>
          <w:tcPr>
            <w:tcW w:w="1152" w:type="dxa"/>
            <w:gridSpan w:val="3"/>
            <w:tcBorders>
              <w:top w:val="nil"/>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10.81</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2.8%</w:t>
            </w: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b/>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b/>
                <w:sz w:val="16"/>
                <w:szCs w:val="16"/>
              </w:rPr>
            </w:pPr>
            <w:r w:rsidRPr="00C1043C">
              <w:rPr>
                <w:rFonts w:ascii="Arial" w:hAnsi="Arial" w:cs="Arial"/>
                <w:b/>
                <w:sz w:val="16"/>
                <w:szCs w:val="16"/>
              </w:rPr>
              <w:t>Revenue: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U.S. Domestic Package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10,227</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9,536</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7.2%</w:t>
            </w:r>
          </w:p>
        </w:tc>
        <w:tc>
          <w:tcPr>
            <w:tcW w:w="1152" w:type="dxa"/>
            <w:gridSpan w:val="2"/>
            <w:tcBorders>
              <w:top w:val="nil"/>
              <w:left w:val="nil"/>
              <w:bottom w:val="nil"/>
              <w:right w:val="nil"/>
            </w:tcBorders>
          </w:tcPr>
          <w:p w:rsidR="001F7F1D" w:rsidRPr="00C1043C" w:rsidRDefault="001F7F1D" w:rsidP="00C1043C">
            <w:pPr>
              <w:rPr>
                <w:rFonts w:ascii="Arial" w:hAnsi="Arial" w:cs="Arial"/>
                <w:sz w:val="16"/>
                <w:szCs w:val="16"/>
              </w:rPr>
            </w:pPr>
            <w:r w:rsidRPr="00C1043C">
              <w:rPr>
                <w:rFonts w:ascii="Arial" w:hAnsi="Arial" w:cs="Arial"/>
                <w:sz w:val="16"/>
                <w:szCs w:val="16"/>
              </w:rPr>
              <w:t xml:space="preserve">         $      -</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10,227</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7.2%</w:t>
            </w: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International Package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3,533</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3,074</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14.9%</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(193)</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3,340</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8.7%</w:t>
            </w: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Supply Chain &amp; Freight</w:t>
            </w:r>
          </w:p>
        </w:tc>
        <w:tc>
          <w:tcPr>
            <w:tcW w:w="1152" w:type="dxa"/>
            <w:gridSpan w:val="2"/>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3,353</w:t>
            </w:r>
          </w:p>
        </w:tc>
        <w:tc>
          <w:tcPr>
            <w:tcW w:w="1152" w:type="dxa"/>
            <w:gridSpan w:val="3"/>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2,900</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15.6%</w:t>
            </w:r>
          </w:p>
        </w:tc>
        <w:tc>
          <w:tcPr>
            <w:tcW w:w="1152" w:type="dxa"/>
            <w:gridSpan w:val="2"/>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(51)</w:t>
            </w:r>
          </w:p>
        </w:tc>
        <w:tc>
          <w:tcPr>
            <w:tcW w:w="1152" w:type="dxa"/>
            <w:gridSpan w:val="3"/>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3,302</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13.9%</w:t>
            </w:r>
          </w:p>
        </w:tc>
      </w:tr>
      <w:tr w:rsidR="001F7F1D"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Total revenue</w:t>
            </w:r>
          </w:p>
        </w:tc>
        <w:tc>
          <w:tcPr>
            <w:tcW w:w="1152" w:type="dxa"/>
            <w:gridSpan w:val="2"/>
            <w:tcBorders>
              <w:left w:val="nil"/>
              <w:bottom w:val="double" w:sz="4" w:space="0" w:color="auto"/>
              <w:right w:val="nil"/>
            </w:tcBorders>
          </w:tcPr>
          <w:p w:rsidR="001F7F1D" w:rsidRPr="00C1043C" w:rsidRDefault="001F7F1D" w:rsidP="00C1043C">
            <w:pPr>
              <w:jc w:val="right"/>
              <w:rPr>
                <w:rFonts w:ascii="Arial" w:hAnsi="Arial" w:cs="Arial"/>
                <w:sz w:val="16"/>
                <w:szCs w:val="16"/>
              </w:rPr>
            </w:pPr>
            <w:r w:rsidRPr="00C1043C">
              <w:rPr>
                <w:rFonts w:ascii="Arial" w:hAnsi="Arial" w:cs="Arial"/>
                <w:sz w:val="16"/>
                <w:szCs w:val="16"/>
              </w:rPr>
              <w:t>$  17,113</w:t>
            </w:r>
          </w:p>
        </w:tc>
        <w:tc>
          <w:tcPr>
            <w:tcW w:w="1152" w:type="dxa"/>
            <w:gridSpan w:val="3"/>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15,510</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10.3%</w:t>
            </w:r>
          </w:p>
        </w:tc>
        <w:tc>
          <w:tcPr>
            <w:tcW w:w="1152" w:type="dxa"/>
            <w:gridSpan w:val="2"/>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(244)</w:t>
            </w:r>
          </w:p>
        </w:tc>
        <w:tc>
          <w:tcPr>
            <w:tcW w:w="1152" w:type="dxa"/>
            <w:gridSpan w:val="3"/>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16,869</w:t>
            </w:r>
          </w:p>
        </w:tc>
        <w:tc>
          <w:tcPr>
            <w:tcW w:w="1152" w:type="dxa"/>
            <w:gridSpan w:val="2"/>
            <w:tcBorders>
              <w:top w:val="nil"/>
              <w:left w:val="nil"/>
              <w:bottom w:val="nil"/>
              <w:right w:val="nil"/>
            </w:tcBorders>
          </w:tcPr>
          <w:p w:rsidR="001F7F1D" w:rsidRPr="00C1043C" w:rsidRDefault="001F7F1D" w:rsidP="00C1043C">
            <w:pPr>
              <w:tabs>
                <w:tab w:val="left" w:pos="344"/>
                <w:tab w:val="left" w:pos="539"/>
              </w:tabs>
              <w:autoSpaceDE w:val="0"/>
              <w:autoSpaceDN w:val="0"/>
              <w:adjustRightInd w:val="0"/>
              <w:jc w:val="right"/>
              <w:rPr>
                <w:rFonts w:ascii="Arial" w:hAnsi="Arial" w:cs="Arial"/>
                <w:sz w:val="16"/>
                <w:szCs w:val="16"/>
              </w:rPr>
            </w:pPr>
            <w:r w:rsidRPr="00C1043C">
              <w:rPr>
                <w:rFonts w:ascii="Arial" w:hAnsi="Arial" w:cs="Arial"/>
                <w:sz w:val="16"/>
                <w:szCs w:val="16"/>
              </w:rPr>
              <w:t>8.8%</w:t>
            </w:r>
          </w:p>
        </w:tc>
      </w:tr>
      <w:tr w:rsidR="001F7F1D" w:rsidTr="00C1043C">
        <w:trPr>
          <w:gridAfter w:val="1"/>
          <w:wAfter w:w="522" w:type="dxa"/>
        </w:trPr>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3"/>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277" w:type="dxa"/>
            <w:gridSpan w:val="3"/>
            <w:tcBorders>
              <w:top w:val="double" w:sz="4" w:space="0" w:color="auto"/>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853"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b/>
                <w:sz w:val="16"/>
                <w:szCs w:val="16"/>
              </w:rPr>
            </w:pPr>
            <w:r w:rsidRPr="00C1043C">
              <w:rPr>
                <w:rFonts w:ascii="Arial" w:hAnsi="Arial" w:cs="Arial"/>
                <w:b/>
                <w:sz w:val="16"/>
                <w:szCs w:val="16"/>
              </w:rPr>
              <w:t>Operating Profit:</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U.S. Domestic Package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756</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950</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-20.4%</w:t>
            </w:r>
          </w:p>
        </w:tc>
        <w:tc>
          <w:tcPr>
            <w:tcW w:w="1152" w:type="dxa"/>
            <w:gridSpan w:val="2"/>
            <w:tcBorders>
              <w:top w:val="nil"/>
              <w:left w:val="nil"/>
              <w:bottom w:val="nil"/>
              <w:right w:val="nil"/>
            </w:tcBorders>
          </w:tcPr>
          <w:p w:rsidR="001F7F1D" w:rsidRPr="00C1043C" w:rsidRDefault="001F7F1D" w:rsidP="00C1043C">
            <w:pPr>
              <w:rPr>
                <w:rFonts w:ascii="Arial" w:hAnsi="Arial" w:cs="Arial"/>
                <w:sz w:val="16"/>
                <w:szCs w:val="16"/>
              </w:rPr>
            </w:pPr>
            <w:r w:rsidRPr="00C1043C">
              <w:rPr>
                <w:rFonts w:ascii="Arial" w:hAnsi="Arial" w:cs="Arial"/>
                <w:sz w:val="16"/>
                <w:szCs w:val="16"/>
              </w:rPr>
              <w:t xml:space="preserve">         $      -</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756</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-20.4%</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International Package</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594</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518</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14.7%</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(22)</w:t>
            </w:r>
          </w:p>
        </w:tc>
        <w:tc>
          <w:tcPr>
            <w:tcW w:w="1152"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572</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10.4%</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Supply Chain &amp; Freight</w:t>
            </w:r>
          </w:p>
        </w:tc>
        <w:tc>
          <w:tcPr>
            <w:tcW w:w="1152" w:type="dxa"/>
            <w:gridSpan w:val="2"/>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170</w:t>
            </w:r>
          </w:p>
        </w:tc>
        <w:tc>
          <w:tcPr>
            <w:tcW w:w="1152" w:type="dxa"/>
            <w:gridSpan w:val="3"/>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149</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14.1%</w:t>
            </w:r>
          </w:p>
        </w:tc>
        <w:tc>
          <w:tcPr>
            <w:tcW w:w="1152" w:type="dxa"/>
            <w:gridSpan w:val="2"/>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xml:space="preserve">      (1)</w:t>
            </w:r>
          </w:p>
        </w:tc>
        <w:tc>
          <w:tcPr>
            <w:tcW w:w="1152" w:type="dxa"/>
            <w:gridSpan w:val="3"/>
            <w:tcBorders>
              <w:top w:val="nil"/>
              <w:left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169</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13.4%</w:t>
            </w:r>
          </w:p>
        </w:tc>
      </w:tr>
      <w:tr w:rsidR="001F7F1D" w:rsidRPr="00D12477" w:rsidTr="00C1043C">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r w:rsidRPr="00C1043C">
              <w:rPr>
                <w:rFonts w:ascii="Arial" w:hAnsi="Arial" w:cs="Arial"/>
                <w:sz w:val="16"/>
                <w:szCs w:val="16"/>
              </w:rPr>
              <w:t xml:space="preserve">       Total operating profit</w:t>
            </w:r>
          </w:p>
        </w:tc>
        <w:tc>
          <w:tcPr>
            <w:tcW w:w="1152" w:type="dxa"/>
            <w:gridSpan w:val="2"/>
            <w:tcBorders>
              <w:left w:val="nil"/>
              <w:bottom w:val="double" w:sz="4" w:space="0" w:color="auto"/>
              <w:right w:val="nil"/>
            </w:tcBorders>
          </w:tcPr>
          <w:p w:rsidR="001F7F1D" w:rsidRPr="00C1043C" w:rsidRDefault="001F7F1D" w:rsidP="00C1043C">
            <w:pPr>
              <w:jc w:val="right"/>
              <w:rPr>
                <w:rFonts w:ascii="Arial" w:hAnsi="Arial" w:cs="Arial"/>
                <w:sz w:val="16"/>
                <w:szCs w:val="16"/>
              </w:rPr>
            </w:pPr>
            <w:r w:rsidRPr="00C1043C">
              <w:rPr>
                <w:rFonts w:ascii="Arial" w:hAnsi="Arial" w:cs="Arial"/>
                <w:sz w:val="16"/>
                <w:szCs w:val="16"/>
              </w:rPr>
              <w:t>$  1,520</w:t>
            </w:r>
          </w:p>
        </w:tc>
        <w:tc>
          <w:tcPr>
            <w:tcW w:w="1152" w:type="dxa"/>
            <w:gridSpan w:val="3"/>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1,617</w:t>
            </w:r>
          </w:p>
        </w:tc>
        <w:tc>
          <w:tcPr>
            <w:tcW w:w="1152"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-6.0%</w:t>
            </w:r>
          </w:p>
        </w:tc>
        <w:tc>
          <w:tcPr>
            <w:tcW w:w="1152" w:type="dxa"/>
            <w:gridSpan w:val="2"/>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(23)</w:t>
            </w:r>
          </w:p>
        </w:tc>
        <w:tc>
          <w:tcPr>
            <w:tcW w:w="1152" w:type="dxa"/>
            <w:gridSpan w:val="3"/>
            <w:tcBorders>
              <w:left w:val="nil"/>
              <w:bottom w:val="double" w:sz="4" w:space="0" w:color="auto"/>
              <w:right w:val="nil"/>
            </w:tcBorders>
          </w:tcPr>
          <w:p w:rsidR="001F7F1D" w:rsidRPr="00C1043C" w:rsidRDefault="001F7F1D" w:rsidP="00C1043C">
            <w:pPr>
              <w:autoSpaceDE w:val="0"/>
              <w:autoSpaceDN w:val="0"/>
              <w:adjustRightInd w:val="0"/>
              <w:jc w:val="right"/>
              <w:rPr>
                <w:rFonts w:ascii="Arial" w:hAnsi="Arial" w:cs="Arial"/>
                <w:sz w:val="16"/>
                <w:szCs w:val="16"/>
              </w:rPr>
            </w:pPr>
            <w:r w:rsidRPr="00C1043C">
              <w:rPr>
                <w:rFonts w:ascii="Arial" w:hAnsi="Arial" w:cs="Arial"/>
                <w:sz w:val="16"/>
                <w:szCs w:val="16"/>
              </w:rPr>
              <w:t>$  1,497</w:t>
            </w:r>
          </w:p>
        </w:tc>
        <w:tc>
          <w:tcPr>
            <w:tcW w:w="1152" w:type="dxa"/>
            <w:gridSpan w:val="2"/>
            <w:tcBorders>
              <w:top w:val="nil"/>
              <w:left w:val="nil"/>
              <w:bottom w:val="nil"/>
              <w:right w:val="nil"/>
            </w:tcBorders>
          </w:tcPr>
          <w:p w:rsidR="001F7F1D" w:rsidRPr="00C1043C" w:rsidRDefault="001F7F1D" w:rsidP="00C1043C">
            <w:pPr>
              <w:tabs>
                <w:tab w:val="left" w:pos="344"/>
                <w:tab w:val="left" w:pos="539"/>
              </w:tabs>
              <w:autoSpaceDE w:val="0"/>
              <w:autoSpaceDN w:val="0"/>
              <w:adjustRightInd w:val="0"/>
              <w:jc w:val="right"/>
              <w:rPr>
                <w:rFonts w:ascii="Arial" w:hAnsi="Arial" w:cs="Arial"/>
                <w:sz w:val="16"/>
                <w:szCs w:val="16"/>
              </w:rPr>
            </w:pPr>
            <w:r w:rsidRPr="00C1043C">
              <w:rPr>
                <w:rFonts w:ascii="Arial" w:hAnsi="Arial" w:cs="Arial"/>
                <w:sz w:val="16"/>
                <w:szCs w:val="16"/>
              </w:rPr>
              <w:t>-7.4%</w:t>
            </w:r>
          </w:p>
        </w:tc>
      </w:tr>
      <w:tr w:rsidR="001F7F1D" w:rsidTr="00C1043C">
        <w:trPr>
          <w:gridAfter w:val="1"/>
          <w:wAfter w:w="522" w:type="dxa"/>
        </w:trPr>
        <w:tc>
          <w:tcPr>
            <w:tcW w:w="3008"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16"/>
                <w:szCs w:val="16"/>
              </w:rPr>
            </w:pPr>
          </w:p>
        </w:tc>
        <w:tc>
          <w:tcPr>
            <w:tcW w:w="1065" w:type="dxa"/>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1277" w:type="dxa"/>
            <w:gridSpan w:val="3"/>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c>
          <w:tcPr>
            <w:tcW w:w="853" w:type="dxa"/>
            <w:gridSpan w:val="2"/>
            <w:tcBorders>
              <w:top w:val="nil"/>
              <w:left w:val="nil"/>
              <w:bottom w:val="nil"/>
              <w:right w:val="nil"/>
            </w:tcBorders>
          </w:tcPr>
          <w:p w:rsidR="001F7F1D" w:rsidRPr="00C1043C" w:rsidRDefault="001F7F1D" w:rsidP="00C1043C">
            <w:pPr>
              <w:autoSpaceDE w:val="0"/>
              <w:autoSpaceDN w:val="0"/>
              <w:adjustRightInd w:val="0"/>
              <w:jc w:val="right"/>
              <w:rPr>
                <w:rFonts w:ascii="Arial" w:hAnsi="Arial" w:cs="Arial"/>
                <w:sz w:val="16"/>
                <w:szCs w:val="16"/>
              </w:rPr>
            </w:pPr>
          </w:p>
        </w:tc>
      </w:tr>
    </w:tbl>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pPr>
        <w:rPr>
          <w:rFonts w:ascii="Arial" w:hAnsi="Arial" w:cs="Arial"/>
          <w:b/>
          <w:sz w:val="20"/>
          <w:szCs w:val="20"/>
        </w:rPr>
      </w:pPr>
      <w:r>
        <w:rPr>
          <w:rFonts w:ascii="Arial" w:hAnsi="Arial" w:cs="Arial"/>
          <w:b/>
          <w:sz w:val="20"/>
          <w:szCs w:val="20"/>
        </w:rPr>
        <w:br w:type="page"/>
      </w:r>
    </w:p>
    <w:p w:rsidR="001F7F1D" w:rsidRDefault="001F7F1D" w:rsidP="00912A35">
      <w:pPr>
        <w:autoSpaceDE w:val="0"/>
        <w:autoSpaceDN w:val="0"/>
        <w:adjustRightInd w:val="0"/>
        <w:ind w:firstLine="720"/>
        <w:jc w:val="center"/>
        <w:rPr>
          <w:rFonts w:ascii="Arial" w:hAnsi="Arial" w:cs="Arial"/>
          <w:b/>
          <w:sz w:val="20"/>
          <w:szCs w:val="20"/>
        </w:rPr>
      </w:pPr>
    </w:p>
    <w:p w:rsidR="001F7F1D" w:rsidRDefault="001F7F1D" w:rsidP="00912A35">
      <w:pPr>
        <w:autoSpaceDE w:val="0"/>
        <w:autoSpaceDN w:val="0"/>
        <w:adjustRightInd w:val="0"/>
        <w:ind w:firstLine="720"/>
        <w:jc w:val="center"/>
        <w:rPr>
          <w:rFonts w:ascii="Arial" w:hAnsi="Arial" w:cs="Arial"/>
          <w:color w:val="003436"/>
          <w:sz w:val="22"/>
          <w:szCs w:val="22"/>
        </w:rPr>
      </w:pPr>
      <w:r w:rsidRPr="00C171A6">
        <w:rPr>
          <w:rFonts w:ascii="Arial" w:hAnsi="Arial" w:cs="Arial"/>
          <w:b/>
          <w:sz w:val="20"/>
          <w:szCs w:val="20"/>
        </w:rPr>
        <w:t xml:space="preserve">Reconciliation of GAAP and </w:t>
      </w:r>
      <w:r>
        <w:rPr>
          <w:rFonts w:ascii="Arial" w:hAnsi="Arial" w:cs="Arial"/>
          <w:b/>
          <w:sz w:val="20"/>
          <w:szCs w:val="20"/>
        </w:rPr>
        <w:t>n</w:t>
      </w:r>
      <w:r w:rsidRPr="00C171A6">
        <w:rPr>
          <w:rFonts w:ascii="Arial" w:hAnsi="Arial" w:cs="Arial"/>
          <w:b/>
          <w:sz w:val="20"/>
          <w:szCs w:val="20"/>
        </w:rPr>
        <w:t xml:space="preserve">on-GAAP </w:t>
      </w:r>
      <w:r>
        <w:rPr>
          <w:rFonts w:ascii="Arial" w:hAnsi="Arial" w:cs="Arial"/>
          <w:b/>
          <w:sz w:val="20"/>
          <w:szCs w:val="20"/>
        </w:rPr>
        <w:t xml:space="preserve">Liquidity Measures </w:t>
      </w:r>
      <w:r w:rsidRPr="00C171A6">
        <w:rPr>
          <w:rFonts w:ascii="Arial" w:hAnsi="Arial" w:cs="Arial"/>
          <w:b/>
          <w:sz w:val="20"/>
          <w:szCs w:val="20"/>
        </w:rPr>
        <w:t xml:space="preserve">(in </w:t>
      </w:r>
      <w:r>
        <w:rPr>
          <w:rFonts w:ascii="Arial" w:hAnsi="Arial" w:cs="Arial"/>
          <w:b/>
          <w:sz w:val="20"/>
          <w:szCs w:val="20"/>
        </w:rPr>
        <w:t>m</w:t>
      </w:r>
      <w:r w:rsidRPr="00C171A6">
        <w:rPr>
          <w:rFonts w:ascii="Arial" w:hAnsi="Arial" w:cs="Arial"/>
          <w:b/>
          <w:sz w:val="20"/>
          <w:szCs w:val="20"/>
        </w:rPr>
        <w:t>illions</w:t>
      </w:r>
      <w:r>
        <w:rPr>
          <w:rFonts w:ascii="Arial" w:hAnsi="Arial" w:cs="Arial"/>
          <w:b/>
          <w:sz w:val="20"/>
          <w:szCs w:val="20"/>
        </w:rPr>
        <w:t>)</w:t>
      </w:r>
    </w:p>
    <w:p w:rsidR="001F7F1D" w:rsidRDefault="001F7F1D" w:rsidP="00912A35">
      <w:pPr>
        <w:autoSpaceDE w:val="0"/>
        <w:autoSpaceDN w:val="0"/>
        <w:adjustRightInd w:val="0"/>
        <w:ind w:firstLine="720"/>
        <w:rPr>
          <w:rFonts w:ascii="Arial" w:hAnsi="Arial" w:cs="Arial"/>
          <w:color w:val="003436"/>
          <w:sz w:val="22"/>
          <w:szCs w:val="22"/>
        </w:rPr>
      </w:pPr>
    </w:p>
    <w:tbl>
      <w:tblPr>
        <w:tblpPr w:leftFromText="180" w:rightFromText="180" w:vertAnchor="text" w:tblpXSpec="center"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1710"/>
      </w:tblGrid>
      <w:tr w:rsidR="001F7F1D" w:rsidTr="00C1043C">
        <w:tc>
          <w:tcPr>
            <w:tcW w:w="7200" w:type="dxa"/>
            <w:tcBorders>
              <w:top w:val="nil"/>
              <w:left w:val="nil"/>
              <w:right w:val="nil"/>
            </w:tcBorders>
          </w:tcPr>
          <w:p w:rsidR="001F7F1D" w:rsidRPr="00C1043C" w:rsidRDefault="001F7F1D" w:rsidP="00C1043C">
            <w:pPr>
              <w:autoSpaceDE w:val="0"/>
              <w:autoSpaceDN w:val="0"/>
              <w:adjustRightInd w:val="0"/>
              <w:rPr>
                <w:rFonts w:ascii="Arial" w:hAnsi="Arial" w:cs="Arial"/>
                <w:sz w:val="16"/>
                <w:szCs w:val="16"/>
              </w:rPr>
            </w:pPr>
          </w:p>
        </w:tc>
        <w:tc>
          <w:tcPr>
            <w:tcW w:w="1710" w:type="dxa"/>
            <w:tcBorders>
              <w:top w:val="nil"/>
              <w:left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16"/>
                <w:szCs w:val="16"/>
              </w:rPr>
            </w:pPr>
          </w:p>
        </w:tc>
      </w:tr>
      <w:tr w:rsidR="001F7F1D" w:rsidTr="00C1043C">
        <w:tc>
          <w:tcPr>
            <w:tcW w:w="8910" w:type="dxa"/>
            <w:gridSpan w:val="2"/>
          </w:tcPr>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Three Months Ended March 31</w:t>
            </w:r>
          </w:p>
        </w:tc>
      </w:tr>
      <w:tr w:rsidR="001F7F1D" w:rsidTr="00C1043C">
        <w:tc>
          <w:tcPr>
            <w:tcW w:w="7200" w:type="dxa"/>
            <w:tcBorders>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left w:val="nil"/>
              <w:bottom w:val="nil"/>
              <w:right w:val="nil"/>
            </w:tcBorders>
            <w:vAlign w:val="bottom"/>
          </w:tcPr>
          <w:p w:rsidR="001F7F1D" w:rsidRPr="00C1043C" w:rsidRDefault="001F7F1D" w:rsidP="00C1043C">
            <w:pPr>
              <w:tabs>
                <w:tab w:val="left" w:pos="600"/>
              </w:tabs>
              <w:autoSpaceDE w:val="0"/>
              <w:autoSpaceDN w:val="0"/>
              <w:adjustRightInd w:val="0"/>
              <w:jc w:val="center"/>
              <w:rPr>
                <w:rFonts w:ascii="Arial" w:hAnsi="Arial" w:cs="Arial"/>
                <w:b/>
                <w:sz w:val="20"/>
                <w:szCs w:val="20"/>
              </w:rPr>
            </w:pPr>
          </w:p>
        </w:tc>
      </w:tr>
      <w:tr w:rsidR="001F7F1D" w:rsidTr="00C1043C">
        <w:tc>
          <w:tcPr>
            <w:tcW w:w="8910" w:type="dxa"/>
            <w:gridSpan w:val="2"/>
            <w:tcBorders>
              <w:top w:val="nil"/>
              <w:left w:val="nil"/>
              <w:bottom w:val="nil"/>
              <w:right w:val="nil"/>
            </w:tcBorders>
          </w:tcPr>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Net Increase in Cash, Cash Equivalents and Restricted Cash</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1F7F1D" w:rsidRPr="00C1043C" w:rsidRDefault="001F7F1D" w:rsidP="00C1043C">
            <w:pPr>
              <w:tabs>
                <w:tab w:val="left" w:pos="600"/>
              </w:tabs>
              <w:autoSpaceDE w:val="0"/>
              <w:autoSpaceDN w:val="0"/>
              <w:adjustRightInd w:val="0"/>
              <w:jc w:val="center"/>
              <w:rPr>
                <w:rFonts w:ascii="Arial" w:hAnsi="Arial" w:cs="Arial"/>
                <w:b/>
                <w:sz w:val="20"/>
                <w:szCs w:val="20"/>
              </w:rPr>
            </w:pP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Preliminary</w:t>
            </w:r>
          </w:p>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2018</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Cash flows from operating activities</w:t>
            </w:r>
          </w:p>
        </w:tc>
        <w:tc>
          <w:tcPr>
            <w:tcW w:w="1710" w:type="dxa"/>
            <w:tcBorders>
              <w:top w:val="nil"/>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     4,067</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Cash flows used in investing activities</w:t>
            </w:r>
          </w:p>
        </w:tc>
        <w:tc>
          <w:tcPr>
            <w:tcW w:w="1710" w:type="dxa"/>
            <w:tcBorders>
              <w:top w:val="nil"/>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(1,446)</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Cash flows used in financing activities</w:t>
            </w:r>
          </w:p>
        </w:tc>
        <w:tc>
          <w:tcPr>
            <w:tcW w:w="1710" w:type="dxa"/>
            <w:tcBorders>
              <w:top w:val="nil"/>
              <w:left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(2,550)</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Effect of exchange rate changes on cash, cash equivalents and restricted cash</w:t>
            </w:r>
          </w:p>
        </w:tc>
        <w:tc>
          <w:tcPr>
            <w:tcW w:w="1710" w:type="dxa"/>
            <w:tcBorders>
              <w:left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(14)</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Net increase in cash, cash equivalents and restricted cash</w:t>
            </w:r>
          </w:p>
        </w:tc>
        <w:tc>
          <w:tcPr>
            <w:tcW w:w="1710" w:type="dxa"/>
            <w:tcBorders>
              <w:left w:val="nil"/>
              <w:bottom w:val="double" w:sz="4" w:space="0" w:color="auto"/>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          57</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top w:val="double" w:sz="4" w:space="0" w:color="auto"/>
              <w:left w:val="nil"/>
              <w:bottom w:val="nil"/>
              <w:right w:val="nil"/>
            </w:tcBorders>
            <w:vAlign w:val="bottom"/>
          </w:tcPr>
          <w:p w:rsidR="001F7F1D" w:rsidRPr="00C1043C" w:rsidRDefault="001F7F1D" w:rsidP="00C1043C">
            <w:pPr>
              <w:tabs>
                <w:tab w:val="left" w:pos="600"/>
              </w:tabs>
              <w:autoSpaceDE w:val="0"/>
              <w:autoSpaceDN w:val="0"/>
              <w:adjustRightInd w:val="0"/>
              <w:jc w:val="right"/>
              <w:rPr>
                <w:rFonts w:ascii="Arial" w:hAnsi="Arial" w:cs="Arial"/>
                <w:b/>
                <w:sz w:val="20"/>
                <w:szCs w:val="20"/>
              </w:rPr>
            </w:pPr>
          </w:p>
        </w:tc>
      </w:tr>
      <w:tr w:rsidR="001F7F1D" w:rsidTr="00C1043C">
        <w:tc>
          <w:tcPr>
            <w:tcW w:w="8910" w:type="dxa"/>
            <w:gridSpan w:val="2"/>
            <w:tcBorders>
              <w:top w:val="nil"/>
              <w:left w:val="nil"/>
              <w:bottom w:val="nil"/>
              <w:right w:val="nil"/>
            </w:tcBorders>
          </w:tcPr>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Reconciliation of Free Cash Flow (non-GAAP)</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top w:val="nil"/>
              <w:left w:val="nil"/>
              <w:right w:val="nil"/>
            </w:tcBorders>
            <w:vAlign w:val="bottom"/>
          </w:tcPr>
          <w:p w:rsidR="001F7F1D" w:rsidRPr="00C1043C" w:rsidRDefault="001F7F1D" w:rsidP="00C1043C">
            <w:pPr>
              <w:tabs>
                <w:tab w:val="left" w:pos="600"/>
              </w:tabs>
              <w:autoSpaceDE w:val="0"/>
              <w:autoSpaceDN w:val="0"/>
              <w:adjustRightInd w:val="0"/>
              <w:jc w:val="center"/>
              <w:rPr>
                <w:rFonts w:ascii="Arial" w:hAnsi="Arial" w:cs="Arial"/>
                <w:b/>
                <w:sz w:val="20"/>
                <w:szCs w:val="20"/>
              </w:rPr>
            </w:pP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left w:val="nil"/>
              <w:right w:val="nil"/>
            </w:tcBorders>
            <w:vAlign w:val="bottom"/>
          </w:tcPr>
          <w:p w:rsidR="001F7F1D" w:rsidRPr="00C1043C" w:rsidRDefault="001F7F1D" w:rsidP="00C1043C">
            <w:pPr>
              <w:tabs>
                <w:tab w:val="left" w:pos="600"/>
              </w:tabs>
              <w:autoSpaceDE w:val="0"/>
              <w:autoSpaceDN w:val="0"/>
              <w:adjustRightInd w:val="0"/>
              <w:jc w:val="center"/>
              <w:rPr>
                <w:rFonts w:ascii="Arial" w:hAnsi="Arial" w:cs="Arial"/>
                <w:b/>
                <w:sz w:val="20"/>
                <w:szCs w:val="20"/>
              </w:rPr>
            </w:pPr>
            <w:r w:rsidRPr="00C1043C">
              <w:rPr>
                <w:rFonts w:ascii="Arial" w:hAnsi="Arial" w:cs="Arial"/>
                <w:b/>
                <w:sz w:val="20"/>
                <w:szCs w:val="20"/>
              </w:rPr>
              <w:t>Preliminary</w:t>
            </w:r>
          </w:p>
          <w:p w:rsidR="001F7F1D" w:rsidRPr="00C1043C" w:rsidRDefault="001F7F1D" w:rsidP="00C1043C">
            <w:pPr>
              <w:tabs>
                <w:tab w:val="left" w:pos="600"/>
              </w:tabs>
              <w:autoSpaceDE w:val="0"/>
              <w:autoSpaceDN w:val="0"/>
              <w:adjustRightInd w:val="0"/>
              <w:jc w:val="center"/>
              <w:rPr>
                <w:rFonts w:ascii="Arial" w:hAnsi="Arial" w:cs="Arial"/>
                <w:sz w:val="20"/>
                <w:szCs w:val="20"/>
              </w:rPr>
            </w:pPr>
            <w:r w:rsidRPr="00C1043C">
              <w:rPr>
                <w:rFonts w:ascii="Arial" w:hAnsi="Arial" w:cs="Arial"/>
                <w:b/>
                <w:sz w:val="20"/>
                <w:szCs w:val="20"/>
              </w:rPr>
              <w:t>2018</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p>
        </w:tc>
        <w:tc>
          <w:tcPr>
            <w:tcW w:w="1710" w:type="dxa"/>
            <w:tcBorders>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Cash flows from operating activities (GAAP)</w:t>
            </w:r>
          </w:p>
        </w:tc>
        <w:tc>
          <w:tcPr>
            <w:tcW w:w="1710" w:type="dxa"/>
            <w:tcBorders>
              <w:top w:val="nil"/>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     4,067</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Capital expenditures</w:t>
            </w:r>
          </w:p>
        </w:tc>
        <w:tc>
          <w:tcPr>
            <w:tcW w:w="1710" w:type="dxa"/>
            <w:tcBorders>
              <w:top w:val="nil"/>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(1,537)</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Proceeds from disposals of PP&amp;E</w:t>
            </w:r>
          </w:p>
        </w:tc>
        <w:tc>
          <w:tcPr>
            <w:tcW w:w="1710" w:type="dxa"/>
            <w:tcBorders>
              <w:top w:val="nil"/>
              <w:left w:val="nil"/>
              <w:bottom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20</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Net change in finance receivables</w:t>
            </w:r>
          </w:p>
        </w:tc>
        <w:tc>
          <w:tcPr>
            <w:tcW w:w="1710" w:type="dxa"/>
            <w:tcBorders>
              <w:top w:val="nil"/>
              <w:left w:val="nil"/>
              <w:bottom w:val="nil"/>
              <w:right w:val="nil"/>
            </w:tcBorders>
          </w:tcPr>
          <w:p w:rsidR="001F7F1D" w:rsidRPr="00C1043C" w:rsidRDefault="001F7F1D" w:rsidP="00C1043C">
            <w:pPr>
              <w:pStyle w:val="ListParagraph"/>
              <w:numPr>
                <w:ilvl w:val="0"/>
                <w:numId w:val="47"/>
              </w:numPr>
              <w:tabs>
                <w:tab w:val="left" w:pos="600"/>
              </w:tabs>
              <w:autoSpaceDE w:val="0"/>
              <w:autoSpaceDN w:val="0"/>
              <w:adjustRightInd w:val="0"/>
              <w:jc w:val="right"/>
              <w:rPr>
                <w:rFonts w:ascii="Arial" w:hAnsi="Arial" w:cs="Arial"/>
                <w:sz w:val="20"/>
                <w:szCs w:val="20"/>
              </w:rPr>
            </w:pP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Other investing activities</w:t>
            </w:r>
          </w:p>
        </w:tc>
        <w:tc>
          <w:tcPr>
            <w:tcW w:w="1710" w:type="dxa"/>
            <w:tcBorders>
              <w:top w:val="nil"/>
              <w:left w:val="nil"/>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2</w:t>
            </w:r>
          </w:p>
        </w:tc>
      </w:tr>
      <w:tr w:rsidR="001F7F1D" w:rsidTr="00C1043C">
        <w:tc>
          <w:tcPr>
            <w:tcW w:w="7200" w:type="dxa"/>
            <w:tcBorders>
              <w:top w:val="nil"/>
              <w:left w:val="nil"/>
              <w:bottom w:val="nil"/>
              <w:right w:val="nil"/>
            </w:tcBorders>
          </w:tcPr>
          <w:p w:rsidR="001F7F1D" w:rsidRPr="00C1043C" w:rsidRDefault="001F7F1D" w:rsidP="00C1043C">
            <w:pPr>
              <w:autoSpaceDE w:val="0"/>
              <w:autoSpaceDN w:val="0"/>
              <w:adjustRightInd w:val="0"/>
              <w:rPr>
                <w:rFonts w:ascii="Arial" w:hAnsi="Arial" w:cs="Arial"/>
                <w:sz w:val="20"/>
                <w:szCs w:val="20"/>
              </w:rPr>
            </w:pPr>
            <w:r w:rsidRPr="00C1043C">
              <w:rPr>
                <w:rFonts w:ascii="Arial" w:hAnsi="Arial" w:cs="Arial"/>
                <w:sz w:val="20"/>
                <w:szCs w:val="20"/>
              </w:rPr>
              <w:t xml:space="preserve">   Free cash flow (non-GAAP)</w:t>
            </w:r>
          </w:p>
        </w:tc>
        <w:tc>
          <w:tcPr>
            <w:tcW w:w="1710" w:type="dxa"/>
            <w:tcBorders>
              <w:left w:val="nil"/>
              <w:bottom w:val="double" w:sz="4" w:space="0" w:color="auto"/>
              <w:right w:val="nil"/>
            </w:tcBorders>
          </w:tcPr>
          <w:p w:rsidR="001F7F1D" w:rsidRPr="00C1043C" w:rsidRDefault="001F7F1D" w:rsidP="00C1043C">
            <w:pPr>
              <w:tabs>
                <w:tab w:val="left" w:pos="600"/>
              </w:tabs>
              <w:autoSpaceDE w:val="0"/>
              <w:autoSpaceDN w:val="0"/>
              <w:adjustRightInd w:val="0"/>
              <w:jc w:val="right"/>
              <w:rPr>
                <w:rFonts w:ascii="Arial" w:hAnsi="Arial" w:cs="Arial"/>
                <w:sz w:val="20"/>
                <w:szCs w:val="20"/>
              </w:rPr>
            </w:pPr>
            <w:r w:rsidRPr="00C1043C">
              <w:rPr>
                <w:rFonts w:ascii="Arial" w:hAnsi="Arial" w:cs="Arial"/>
                <w:sz w:val="20"/>
                <w:szCs w:val="20"/>
              </w:rPr>
              <w:t>$     2,552</w:t>
            </w:r>
          </w:p>
        </w:tc>
      </w:tr>
    </w:tbl>
    <w:p w:rsidR="001F7F1D" w:rsidRPr="005B02F3" w:rsidRDefault="001F7F1D" w:rsidP="00912A35">
      <w:pPr>
        <w:autoSpaceDE w:val="0"/>
        <w:autoSpaceDN w:val="0"/>
        <w:adjustRightInd w:val="0"/>
        <w:ind w:firstLine="720"/>
        <w:rPr>
          <w:rFonts w:ascii="Arial" w:hAnsi="Arial" w:cs="Arial"/>
          <w:color w:val="003436"/>
          <w:sz w:val="22"/>
          <w:szCs w:val="22"/>
        </w:rPr>
      </w:pPr>
    </w:p>
    <w:p w:rsidR="001F7F1D" w:rsidRPr="00A85056" w:rsidRDefault="001F7F1D" w:rsidP="00912A35">
      <w:pPr>
        <w:ind w:firstLine="720"/>
        <w:rPr>
          <w:rFonts w:ascii="Arial" w:hAnsi="Arial" w:cs="Arial"/>
          <w:sz w:val="22"/>
          <w:szCs w:val="22"/>
        </w:rPr>
      </w:pPr>
    </w:p>
    <w:p w:rsidR="001F7F1D" w:rsidRPr="00A85056" w:rsidRDefault="001F7F1D" w:rsidP="00912A35">
      <w:pPr>
        <w:rPr>
          <w:rFonts w:ascii="Arial" w:hAnsi="Arial" w:cs="Arial"/>
          <w:sz w:val="22"/>
          <w:szCs w:val="22"/>
        </w:rPr>
      </w:pPr>
    </w:p>
    <w:p w:rsidR="001F7F1D" w:rsidRPr="00A85056" w:rsidRDefault="001F7F1D" w:rsidP="00912A35">
      <w:pPr>
        <w:rPr>
          <w:rFonts w:ascii="Arial" w:hAnsi="Arial" w:cs="Arial"/>
          <w:sz w:val="22"/>
          <w:szCs w:val="22"/>
        </w:rPr>
      </w:pPr>
    </w:p>
    <w:p w:rsidR="001F7F1D" w:rsidRPr="00A85056" w:rsidRDefault="001F7F1D" w:rsidP="00912A35">
      <w:pPr>
        <w:rPr>
          <w:rFonts w:ascii="Arial" w:hAnsi="Arial" w:cs="Arial"/>
          <w:sz w:val="22"/>
          <w:szCs w:val="22"/>
        </w:rPr>
      </w:pPr>
    </w:p>
    <w:p w:rsidR="001F7F1D" w:rsidRDefault="001F7F1D" w:rsidP="00912A35"/>
    <w:p w:rsidR="001F7F1D" w:rsidRPr="00E466EA" w:rsidRDefault="001F7F1D" w:rsidP="00912A35">
      <w:pPr>
        <w:spacing w:after="240"/>
        <w:rPr>
          <w:rFonts w:ascii="Arial" w:hAnsi="Arial" w:cs="Arial"/>
          <w:sz w:val="22"/>
          <w:szCs w:val="22"/>
        </w:rPr>
      </w:pPr>
    </w:p>
    <w:sectPr w:rsidR="001F7F1D" w:rsidRPr="00E466EA" w:rsidSect="000346B8">
      <w:headerReference w:type="default" r:id="rId9"/>
      <w:footerReference w:type="default" r:id="rId10"/>
      <w:headerReference w:type="first" r:id="rId11"/>
      <w:footerReference w:type="first" r:id="rId12"/>
      <w:pgSz w:w="12240" w:h="15840" w:code="1"/>
      <w:pgMar w:top="72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1D" w:rsidRDefault="001F7F1D">
      <w:r>
        <w:separator/>
      </w:r>
    </w:p>
  </w:endnote>
  <w:endnote w:type="continuationSeparator" w:id="0">
    <w:p w:rsidR="001F7F1D" w:rsidRDefault="001F7F1D">
      <w:r>
        <w:continuationSeparator/>
      </w:r>
    </w:p>
  </w:endnote>
  <w:endnote w:type="continuationNotice" w:id="1">
    <w:p w:rsidR="001F7F1D" w:rsidRDefault="001F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1D" w:rsidRPr="00034414" w:rsidRDefault="001F7F1D" w:rsidP="00034414">
    <w:pPr>
      <w:pStyle w:val="Footer"/>
      <w:rPr>
        <w:rFonts w:ascii="Arial" w:hAnsi="Arial" w:cs="Arial"/>
      </w:rPr>
    </w:pPr>
    <w:r>
      <w:rPr>
        <w:rFonts w:ascii="Arial" w:hAnsi="Arial" w:cs="Arial"/>
      </w:rPr>
      <w:tab/>
    </w:r>
    <w:r>
      <w:rPr>
        <w:rFonts w:ascii="Arial" w:hAnsi="Arial" w:cs="Arial"/>
      </w:rPr>
      <w:tab/>
    </w:r>
  </w:p>
  <w:p w:rsidR="001F7F1D" w:rsidRDefault="001F7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1D" w:rsidRPr="00034414" w:rsidRDefault="001F7F1D"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1D" w:rsidRDefault="001F7F1D">
      <w:r>
        <w:separator/>
      </w:r>
    </w:p>
  </w:footnote>
  <w:footnote w:type="continuationSeparator" w:id="0">
    <w:p w:rsidR="001F7F1D" w:rsidRDefault="001F7F1D">
      <w:r>
        <w:continuationSeparator/>
      </w:r>
    </w:p>
  </w:footnote>
  <w:footnote w:type="continuationNotice" w:id="1">
    <w:p w:rsidR="001F7F1D" w:rsidRDefault="001F7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1D" w:rsidRPr="000346B8" w:rsidRDefault="001F7F1D" w:rsidP="000346B8">
    <w:pPr>
      <w:pStyle w:val="Header"/>
      <w:tabs>
        <w:tab w:val="clear" w:pos="4320"/>
        <w:tab w:val="center" w:pos="0"/>
        <w:tab w:val="left" w:pos="4665"/>
      </w:tabs>
      <w:ind w:left="3240" w:hanging="3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1D" w:rsidRDefault="001F7F1D">
    <w:pPr>
      <w:pStyle w:val="Header"/>
      <w:rPr>
        <w:lang w:val="cs-CZ"/>
      </w:rPr>
    </w:pPr>
  </w:p>
  <w:p w:rsidR="001F7F1D" w:rsidRPr="00F77F87" w:rsidRDefault="001F7F1D">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4"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FCD"/>
    <w:multiLevelType w:val="hybridMultilevel"/>
    <w:tmpl w:val="8368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D1B9B"/>
    <w:multiLevelType w:val="hybridMultilevel"/>
    <w:tmpl w:val="4C026E5E"/>
    <w:lvl w:ilvl="0" w:tplc="A3A46A52">
      <w:start w:val="1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333CD"/>
    <w:multiLevelType w:val="hybridMultilevel"/>
    <w:tmpl w:val="EE16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2"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0"/>
  </w:num>
  <w:num w:numId="3">
    <w:abstractNumId w:val="27"/>
  </w:num>
  <w:num w:numId="4">
    <w:abstractNumId w:val="21"/>
  </w:num>
  <w:num w:numId="5">
    <w:abstractNumId w:val="18"/>
  </w:num>
  <w:num w:numId="6">
    <w:abstractNumId w:val="7"/>
  </w:num>
  <w:num w:numId="7">
    <w:abstractNumId w:val="10"/>
  </w:num>
  <w:num w:numId="8">
    <w:abstractNumId w:val="37"/>
  </w:num>
  <w:num w:numId="9">
    <w:abstractNumId w:val="34"/>
  </w:num>
  <w:num w:numId="10">
    <w:abstractNumId w:val="33"/>
  </w:num>
  <w:num w:numId="11">
    <w:abstractNumId w:val="30"/>
  </w:num>
  <w:num w:numId="12">
    <w:abstractNumId w:val="42"/>
  </w:num>
  <w:num w:numId="13">
    <w:abstractNumId w:val="38"/>
  </w:num>
  <w:num w:numId="14">
    <w:abstractNumId w:val="6"/>
  </w:num>
  <w:num w:numId="15">
    <w:abstractNumId w:val="24"/>
  </w:num>
  <w:num w:numId="16">
    <w:abstractNumId w:val="0"/>
  </w:num>
  <w:num w:numId="17">
    <w:abstractNumId w:val="16"/>
  </w:num>
  <w:num w:numId="18">
    <w:abstractNumId w:val="20"/>
  </w:num>
  <w:num w:numId="19">
    <w:abstractNumId w:val="13"/>
  </w:num>
  <w:num w:numId="20">
    <w:abstractNumId w:val="25"/>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41"/>
  </w:num>
  <w:num w:numId="32">
    <w:abstractNumId w:val="39"/>
  </w:num>
  <w:num w:numId="33">
    <w:abstractNumId w:val="43"/>
  </w:num>
  <w:num w:numId="34">
    <w:abstractNumId w:val="19"/>
  </w:num>
  <w:num w:numId="35">
    <w:abstractNumId w:val="14"/>
  </w:num>
  <w:num w:numId="36">
    <w:abstractNumId w:val="17"/>
  </w:num>
  <w:num w:numId="37">
    <w:abstractNumId w:val="36"/>
  </w:num>
  <w:num w:numId="38">
    <w:abstractNumId w:val="3"/>
  </w:num>
  <w:num w:numId="39">
    <w:abstractNumId w:val="12"/>
  </w:num>
  <w:num w:numId="40">
    <w:abstractNumId w:val="31"/>
  </w:num>
  <w:num w:numId="41">
    <w:abstractNumId w:val="29"/>
  </w:num>
  <w:num w:numId="42">
    <w:abstractNumId w:val="11"/>
  </w:num>
  <w:num w:numId="43">
    <w:abstractNumId w:val="35"/>
  </w:num>
  <w:num w:numId="44">
    <w:abstractNumId w:val="5"/>
  </w:num>
  <w:num w:numId="45">
    <w:abstractNumId w:val="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4512"/>
    <w:rsid w:val="000152E7"/>
    <w:rsid w:val="00015BC1"/>
    <w:rsid w:val="00016177"/>
    <w:rsid w:val="00016298"/>
    <w:rsid w:val="00016A51"/>
    <w:rsid w:val="00017619"/>
    <w:rsid w:val="00017624"/>
    <w:rsid w:val="000209FE"/>
    <w:rsid w:val="00020EE2"/>
    <w:rsid w:val="00021289"/>
    <w:rsid w:val="0002227F"/>
    <w:rsid w:val="000223B2"/>
    <w:rsid w:val="00023555"/>
    <w:rsid w:val="000238FA"/>
    <w:rsid w:val="00024A62"/>
    <w:rsid w:val="00024AC7"/>
    <w:rsid w:val="00025957"/>
    <w:rsid w:val="00025ECA"/>
    <w:rsid w:val="000270C6"/>
    <w:rsid w:val="00030419"/>
    <w:rsid w:val="0003069C"/>
    <w:rsid w:val="00030EE2"/>
    <w:rsid w:val="000314AD"/>
    <w:rsid w:val="000314D4"/>
    <w:rsid w:val="00031BA6"/>
    <w:rsid w:val="00032756"/>
    <w:rsid w:val="0003277E"/>
    <w:rsid w:val="00032B7A"/>
    <w:rsid w:val="00032F33"/>
    <w:rsid w:val="00033409"/>
    <w:rsid w:val="00033412"/>
    <w:rsid w:val="00033574"/>
    <w:rsid w:val="00034084"/>
    <w:rsid w:val="00034414"/>
    <w:rsid w:val="000346B8"/>
    <w:rsid w:val="00034F95"/>
    <w:rsid w:val="00035AB9"/>
    <w:rsid w:val="000366A1"/>
    <w:rsid w:val="00036A2B"/>
    <w:rsid w:val="00036D8B"/>
    <w:rsid w:val="000370F6"/>
    <w:rsid w:val="000378FA"/>
    <w:rsid w:val="00037CBD"/>
    <w:rsid w:val="0004026C"/>
    <w:rsid w:val="000403BB"/>
    <w:rsid w:val="00041C86"/>
    <w:rsid w:val="0004240D"/>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19C8"/>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B00"/>
    <w:rsid w:val="00066E53"/>
    <w:rsid w:val="00066EC9"/>
    <w:rsid w:val="0006734E"/>
    <w:rsid w:val="00070311"/>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79"/>
    <w:rsid w:val="0008447A"/>
    <w:rsid w:val="00084CBC"/>
    <w:rsid w:val="00085354"/>
    <w:rsid w:val="00085810"/>
    <w:rsid w:val="000866E0"/>
    <w:rsid w:val="00086F86"/>
    <w:rsid w:val="000903AC"/>
    <w:rsid w:val="00090BCB"/>
    <w:rsid w:val="00090C7C"/>
    <w:rsid w:val="00090CFB"/>
    <w:rsid w:val="0009111F"/>
    <w:rsid w:val="00091121"/>
    <w:rsid w:val="000913F0"/>
    <w:rsid w:val="00091577"/>
    <w:rsid w:val="00091710"/>
    <w:rsid w:val="00093487"/>
    <w:rsid w:val="00094F32"/>
    <w:rsid w:val="0009544A"/>
    <w:rsid w:val="000954C0"/>
    <w:rsid w:val="000959E5"/>
    <w:rsid w:val="00095A24"/>
    <w:rsid w:val="00097F41"/>
    <w:rsid w:val="00097FCE"/>
    <w:rsid w:val="000A0456"/>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B0B29"/>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E02"/>
    <w:rsid w:val="000D19DD"/>
    <w:rsid w:val="000D1DDA"/>
    <w:rsid w:val="000D2521"/>
    <w:rsid w:val="000D4493"/>
    <w:rsid w:val="000D4587"/>
    <w:rsid w:val="000D584D"/>
    <w:rsid w:val="000D66BE"/>
    <w:rsid w:val="000D6778"/>
    <w:rsid w:val="000D6DF8"/>
    <w:rsid w:val="000D7811"/>
    <w:rsid w:val="000D78F7"/>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24D"/>
    <w:rsid w:val="000E6D0D"/>
    <w:rsid w:val="000E7712"/>
    <w:rsid w:val="000F03F7"/>
    <w:rsid w:val="000F1CE4"/>
    <w:rsid w:val="000F1D36"/>
    <w:rsid w:val="000F1F16"/>
    <w:rsid w:val="000F2042"/>
    <w:rsid w:val="000F2273"/>
    <w:rsid w:val="000F2933"/>
    <w:rsid w:val="000F2B05"/>
    <w:rsid w:val="000F2FEA"/>
    <w:rsid w:val="000F383E"/>
    <w:rsid w:val="000F41A5"/>
    <w:rsid w:val="000F4369"/>
    <w:rsid w:val="000F479D"/>
    <w:rsid w:val="000F5B11"/>
    <w:rsid w:val="000F5B30"/>
    <w:rsid w:val="000F6837"/>
    <w:rsid w:val="000F68C4"/>
    <w:rsid w:val="00100269"/>
    <w:rsid w:val="00100F59"/>
    <w:rsid w:val="00101242"/>
    <w:rsid w:val="00101735"/>
    <w:rsid w:val="001022AC"/>
    <w:rsid w:val="0010236F"/>
    <w:rsid w:val="0010313A"/>
    <w:rsid w:val="001031FE"/>
    <w:rsid w:val="0010360F"/>
    <w:rsid w:val="00103DEB"/>
    <w:rsid w:val="001049FC"/>
    <w:rsid w:val="00105EB9"/>
    <w:rsid w:val="00106029"/>
    <w:rsid w:val="00107994"/>
    <w:rsid w:val="00107CA6"/>
    <w:rsid w:val="00110702"/>
    <w:rsid w:val="00110FB5"/>
    <w:rsid w:val="0011100D"/>
    <w:rsid w:val="00111BC6"/>
    <w:rsid w:val="00112141"/>
    <w:rsid w:val="00112783"/>
    <w:rsid w:val="00112808"/>
    <w:rsid w:val="00112C0B"/>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9F6"/>
    <w:rsid w:val="00123A5B"/>
    <w:rsid w:val="00124D39"/>
    <w:rsid w:val="00126151"/>
    <w:rsid w:val="001262B3"/>
    <w:rsid w:val="0012670D"/>
    <w:rsid w:val="00126BB6"/>
    <w:rsid w:val="00126DED"/>
    <w:rsid w:val="00127993"/>
    <w:rsid w:val="00127D26"/>
    <w:rsid w:val="001303EA"/>
    <w:rsid w:val="00130B44"/>
    <w:rsid w:val="00131B97"/>
    <w:rsid w:val="00131BA1"/>
    <w:rsid w:val="00132068"/>
    <w:rsid w:val="00132DF4"/>
    <w:rsid w:val="00133D62"/>
    <w:rsid w:val="0013469F"/>
    <w:rsid w:val="001375F9"/>
    <w:rsid w:val="00137C83"/>
    <w:rsid w:val="00137E23"/>
    <w:rsid w:val="001410EB"/>
    <w:rsid w:val="00141755"/>
    <w:rsid w:val="001423E9"/>
    <w:rsid w:val="00142542"/>
    <w:rsid w:val="001427D7"/>
    <w:rsid w:val="00142850"/>
    <w:rsid w:val="001436B0"/>
    <w:rsid w:val="00143EEF"/>
    <w:rsid w:val="0014456D"/>
    <w:rsid w:val="00144BC1"/>
    <w:rsid w:val="00144E1A"/>
    <w:rsid w:val="0014511D"/>
    <w:rsid w:val="001457EA"/>
    <w:rsid w:val="00145A21"/>
    <w:rsid w:val="00147835"/>
    <w:rsid w:val="001478CF"/>
    <w:rsid w:val="00150193"/>
    <w:rsid w:val="00150D05"/>
    <w:rsid w:val="00151563"/>
    <w:rsid w:val="00151D74"/>
    <w:rsid w:val="001521FA"/>
    <w:rsid w:val="0015257B"/>
    <w:rsid w:val="00152718"/>
    <w:rsid w:val="001532F3"/>
    <w:rsid w:val="00153395"/>
    <w:rsid w:val="0015414E"/>
    <w:rsid w:val="001542F1"/>
    <w:rsid w:val="00154BB1"/>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1A92"/>
    <w:rsid w:val="001729EB"/>
    <w:rsid w:val="00172CC5"/>
    <w:rsid w:val="001737D8"/>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40E8"/>
    <w:rsid w:val="00184748"/>
    <w:rsid w:val="001847DD"/>
    <w:rsid w:val="00184CC5"/>
    <w:rsid w:val="00185C6D"/>
    <w:rsid w:val="00185F6B"/>
    <w:rsid w:val="00187E21"/>
    <w:rsid w:val="00190155"/>
    <w:rsid w:val="0019052C"/>
    <w:rsid w:val="00190B42"/>
    <w:rsid w:val="00191809"/>
    <w:rsid w:val="00192397"/>
    <w:rsid w:val="0019315A"/>
    <w:rsid w:val="001931AA"/>
    <w:rsid w:val="001949D1"/>
    <w:rsid w:val="00195500"/>
    <w:rsid w:val="00195D3E"/>
    <w:rsid w:val="00195F7B"/>
    <w:rsid w:val="0019618E"/>
    <w:rsid w:val="001968AC"/>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EED"/>
    <w:rsid w:val="001B2F0A"/>
    <w:rsid w:val="001B360A"/>
    <w:rsid w:val="001B400D"/>
    <w:rsid w:val="001B4031"/>
    <w:rsid w:val="001B516E"/>
    <w:rsid w:val="001B5736"/>
    <w:rsid w:val="001B5FF8"/>
    <w:rsid w:val="001B6575"/>
    <w:rsid w:val="001B6FA5"/>
    <w:rsid w:val="001B7B24"/>
    <w:rsid w:val="001C04E5"/>
    <w:rsid w:val="001C076A"/>
    <w:rsid w:val="001C0C20"/>
    <w:rsid w:val="001C0E47"/>
    <w:rsid w:val="001C10FD"/>
    <w:rsid w:val="001C186B"/>
    <w:rsid w:val="001C21A9"/>
    <w:rsid w:val="001C267F"/>
    <w:rsid w:val="001C37C9"/>
    <w:rsid w:val="001C437D"/>
    <w:rsid w:val="001C458D"/>
    <w:rsid w:val="001C4A87"/>
    <w:rsid w:val="001C525A"/>
    <w:rsid w:val="001C5786"/>
    <w:rsid w:val="001C5BE1"/>
    <w:rsid w:val="001C5DFB"/>
    <w:rsid w:val="001C6304"/>
    <w:rsid w:val="001C6BD2"/>
    <w:rsid w:val="001C6BFF"/>
    <w:rsid w:val="001C7B5B"/>
    <w:rsid w:val="001C7F78"/>
    <w:rsid w:val="001D0226"/>
    <w:rsid w:val="001D0C17"/>
    <w:rsid w:val="001D1E65"/>
    <w:rsid w:val="001D269F"/>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751"/>
    <w:rsid w:val="001E2B01"/>
    <w:rsid w:val="001E2BC9"/>
    <w:rsid w:val="001E32CA"/>
    <w:rsid w:val="001E46E2"/>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59B4"/>
    <w:rsid w:val="001F60BC"/>
    <w:rsid w:val="001F6890"/>
    <w:rsid w:val="001F68BC"/>
    <w:rsid w:val="001F6AC8"/>
    <w:rsid w:val="001F7B56"/>
    <w:rsid w:val="001F7F1D"/>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3B"/>
    <w:rsid w:val="00213A8A"/>
    <w:rsid w:val="00214CFB"/>
    <w:rsid w:val="00214F9F"/>
    <w:rsid w:val="00215286"/>
    <w:rsid w:val="002159CE"/>
    <w:rsid w:val="00216AD0"/>
    <w:rsid w:val="00216AFF"/>
    <w:rsid w:val="00216D83"/>
    <w:rsid w:val="002176E7"/>
    <w:rsid w:val="002215A6"/>
    <w:rsid w:val="00221A2E"/>
    <w:rsid w:val="00221AC5"/>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3C34"/>
    <w:rsid w:val="0023486D"/>
    <w:rsid w:val="0023562B"/>
    <w:rsid w:val="002367C5"/>
    <w:rsid w:val="00236E6A"/>
    <w:rsid w:val="002371CB"/>
    <w:rsid w:val="00237EDE"/>
    <w:rsid w:val="00240F9D"/>
    <w:rsid w:val="00241228"/>
    <w:rsid w:val="00241657"/>
    <w:rsid w:val="0024184D"/>
    <w:rsid w:val="00241D35"/>
    <w:rsid w:val="00242034"/>
    <w:rsid w:val="002421D3"/>
    <w:rsid w:val="002422D7"/>
    <w:rsid w:val="002441DE"/>
    <w:rsid w:val="002445FB"/>
    <w:rsid w:val="002449A5"/>
    <w:rsid w:val="00245DCF"/>
    <w:rsid w:val="00246AB8"/>
    <w:rsid w:val="002509AF"/>
    <w:rsid w:val="00250B77"/>
    <w:rsid w:val="00250CA1"/>
    <w:rsid w:val="00250D5B"/>
    <w:rsid w:val="0025113B"/>
    <w:rsid w:val="00251176"/>
    <w:rsid w:val="00251597"/>
    <w:rsid w:val="00251650"/>
    <w:rsid w:val="00252201"/>
    <w:rsid w:val="00252AB5"/>
    <w:rsid w:val="00252AF9"/>
    <w:rsid w:val="00252D76"/>
    <w:rsid w:val="00252F9C"/>
    <w:rsid w:val="002532E5"/>
    <w:rsid w:val="002543DD"/>
    <w:rsid w:val="0025556C"/>
    <w:rsid w:val="00255667"/>
    <w:rsid w:val="00255A34"/>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295C"/>
    <w:rsid w:val="0027337C"/>
    <w:rsid w:val="00273EF1"/>
    <w:rsid w:val="002740F5"/>
    <w:rsid w:val="00274794"/>
    <w:rsid w:val="00275B6F"/>
    <w:rsid w:val="002760EE"/>
    <w:rsid w:val="00276347"/>
    <w:rsid w:val="0027664C"/>
    <w:rsid w:val="0027702C"/>
    <w:rsid w:val="00277285"/>
    <w:rsid w:val="00277397"/>
    <w:rsid w:val="00280494"/>
    <w:rsid w:val="0028053D"/>
    <w:rsid w:val="00280BE3"/>
    <w:rsid w:val="002812FA"/>
    <w:rsid w:val="00281492"/>
    <w:rsid w:val="00282A71"/>
    <w:rsid w:val="00282E42"/>
    <w:rsid w:val="00283D40"/>
    <w:rsid w:val="00284120"/>
    <w:rsid w:val="00284372"/>
    <w:rsid w:val="0028470C"/>
    <w:rsid w:val="00285167"/>
    <w:rsid w:val="0028609B"/>
    <w:rsid w:val="00286555"/>
    <w:rsid w:val="00287C0A"/>
    <w:rsid w:val="00290263"/>
    <w:rsid w:val="002903C9"/>
    <w:rsid w:val="0029094C"/>
    <w:rsid w:val="00290C1E"/>
    <w:rsid w:val="00290F5C"/>
    <w:rsid w:val="002910F2"/>
    <w:rsid w:val="00291786"/>
    <w:rsid w:val="00291DB1"/>
    <w:rsid w:val="00291FDA"/>
    <w:rsid w:val="0029234C"/>
    <w:rsid w:val="00292462"/>
    <w:rsid w:val="0029295E"/>
    <w:rsid w:val="0029301C"/>
    <w:rsid w:val="002936E3"/>
    <w:rsid w:val="002937B7"/>
    <w:rsid w:val="00294857"/>
    <w:rsid w:val="00295586"/>
    <w:rsid w:val="00296337"/>
    <w:rsid w:val="0029677C"/>
    <w:rsid w:val="00296A00"/>
    <w:rsid w:val="00296D70"/>
    <w:rsid w:val="00296E9C"/>
    <w:rsid w:val="00297045"/>
    <w:rsid w:val="00297048"/>
    <w:rsid w:val="00297BF7"/>
    <w:rsid w:val="002A0B48"/>
    <w:rsid w:val="002A0FBC"/>
    <w:rsid w:val="002A0FDD"/>
    <w:rsid w:val="002A2042"/>
    <w:rsid w:val="002A2323"/>
    <w:rsid w:val="002A27F4"/>
    <w:rsid w:val="002A515E"/>
    <w:rsid w:val="002A5271"/>
    <w:rsid w:val="002A572E"/>
    <w:rsid w:val="002A7F95"/>
    <w:rsid w:val="002B04DE"/>
    <w:rsid w:val="002B0864"/>
    <w:rsid w:val="002B0A1D"/>
    <w:rsid w:val="002B0D25"/>
    <w:rsid w:val="002B1882"/>
    <w:rsid w:val="002B1E09"/>
    <w:rsid w:val="002B1E47"/>
    <w:rsid w:val="002B2779"/>
    <w:rsid w:val="002B2931"/>
    <w:rsid w:val="002B368D"/>
    <w:rsid w:val="002B3B76"/>
    <w:rsid w:val="002B3B98"/>
    <w:rsid w:val="002B3FA3"/>
    <w:rsid w:val="002B4324"/>
    <w:rsid w:val="002B435A"/>
    <w:rsid w:val="002B4570"/>
    <w:rsid w:val="002B4663"/>
    <w:rsid w:val="002B482C"/>
    <w:rsid w:val="002B5013"/>
    <w:rsid w:val="002B6068"/>
    <w:rsid w:val="002B60BC"/>
    <w:rsid w:val="002B6C9F"/>
    <w:rsid w:val="002B6FC1"/>
    <w:rsid w:val="002B76E5"/>
    <w:rsid w:val="002B7D6A"/>
    <w:rsid w:val="002C0AD0"/>
    <w:rsid w:val="002C0B11"/>
    <w:rsid w:val="002C0D11"/>
    <w:rsid w:val="002C10A9"/>
    <w:rsid w:val="002C1C46"/>
    <w:rsid w:val="002C3A21"/>
    <w:rsid w:val="002C3C90"/>
    <w:rsid w:val="002C3E0A"/>
    <w:rsid w:val="002C4A3E"/>
    <w:rsid w:val="002C6F3C"/>
    <w:rsid w:val="002C79D9"/>
    <w:rsid w:val="002C7BAF"/>
    <w:rsid w:val="002C7BF5"/>
    <w:rsid w:val="002C7FEB"/>
    <w:rsid w:val="002D0446"/>
    <w:rsid w:val="002D24F9"/>
    <w:rsid w:val="002D25D2"/>
    <w:rsid w:val="002D304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3D64"/>
    <w:rsid w:val="002F4199"/>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5F81"/>
    <w:rsid w:val="003064C6"/>
    <w:rsid w:val="00306FF6"/>
    <w:rsid w:val="0030747A"/>
    <w:rsid w:val="003074E3"/>
    <w:rsid w:val="003124EC"/>
    <w:rsid w:val="00312912"/>
    <w:rsid w:val="00312CCC"/>
    <w:rsid w:val="003139BF"/>
    <w:rsid w:val="00314276"/>
    <w:rsid w:val="00315FBD"/>
    <w:rsid w:val="00316A2C"/>
    <w:rsid w:val="00317653"/>
    <w:rsid w:val="00317D0B"/>
    <w:rsid w:val="00317DE0"/>
    <w:rsid w:val="00320495"/>
    <w:rsid w:val="00320D64"/>
    <w:rsid w:val="00321242"/>
    <w:rsid w:val="0032196C"/>
    <w:rsid w:val="003224C6"/>
    <w:rsid w:val="003239D1"/>
    <w:rsid w:val="00323C3C"/>
    <w:rsid w:val="00323CB0"/>
    <w:rsid w:val="003243FD"/>
    <w:rsid w:val="00324D15"/>
    <w:rsid w:val="00326231"/>
    <w:rsid w:val="00326687"/>
    <w:rsid w:val="00327104"/>
    <w:rsid w:val="00327DB0"/>
    <w:rsid w:val="00330FB1"/>
    <w:rsid w:val="00331983"/>
    <w:rsid w:val="003319EB"/>
    <w:rsid w:val="00331C20"/>
    <w:rsid w:val="003320A1"/>
    <w:rsid w:val="003321D6"/>
    <w:rsid w:val="0033266A"/>
    <w:rsid w:val="00332AB7"/>
    <w:rsid w:val="00332B30"/>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A40"/>
    <w:rsid w:val="00347E20"/>
    <w:rsid w:val="00347F13"/>
    <w:rsid w:val="00350267"/>
    <w:rsid w:val="00350D66"/>
    <w:rsid w:val="00350F88"/>
    <w:rsid w:val="00351062"/>
    <w:rsid w:val="0035169C"/>
    <w:rsid w:val="00351A7E"/>
    <w:rsid w:val="00351AF2"/>
    <w:rsid w:val="00351E15"/>
    <w:rsid w:val="003523FB"/>
    <w:rsid w:val="003535C6"/>
    <w:rsid w:val="0035394A"/>
    <w:rsid w:val="0035428A"/>
    <w:rsid w:val="003546F4"/>
    <w:rsid w:val="00354DEA"/>
    <w:rsid w:val="00356447"/>
    <w:rsid w:val="003576A7"/>
    <w:rsid w:val="00360288"/>
    <w:rsid w:val="00360A57"/>
    <w:rsid w:val="00361A91"/>
    <w:rsid w:val="00362756"/>
    <w:rsid w:val="00362ACC"/>
    <w:rsid w:val="003642C3"/>
    <w:rsid w:val="003644EA"/>
    <w:rsid w:val="0036461C"/>
    <w:rsid w:val="00364B8F"/>
    <w:rsid w:val="00365000"/>
    <w:rsid w:val="00365AC4"/>
    <w:rsid w:val="0036726F"/>
    <w:rsid w:val="00367A93"/>
    <w:rsid w:val="00370A24"/>
    <w:rsid w:val="00370B43"/>
    <w:rsid w:val="00371983"/>
    <w:rsid w:val="003728D0"/>
    <w:rsid w:val="003739B9"/>
    <w:rsid w:val="00373E6B"/>
    <w:rsid w:val="00374619"/>
    <w:rsid w:val="00374A01"/>
    <w:rsid w:val="00375A12"/>
    <w:rsid w:val="00375C98"/>
    <w:rsid w:val="00376F1A"/>
    <w:rsid w:val="00376FCB"/>
    <w:rsid w:val="0037705D"/>
    <w:rsid w:val="003778E4"/>
    <w:rsid w:val="00377D3D"/>
    <w:rsid w:val="0038030D"/>
    <w:rsid w:val="0038077D"/>
    <w:rsid w:val="00381158"/>
    <w:rsid w:val="00381A5B"/>
    <w:rsid w:val="0038206B"/>
    <w:rsid w:val="00382798"/>
    <w:rsid w:val="00383269"/>
    <w:rsid w:val="00383741"/>
    <w:rsid w:val="00383E0B"/>
    <w:rsid w:val="00384599"/>
    <w:rsid w:val="00385BF7"/>
    <w:rsid w:val="00385D23"/>
    <w:rsid w:val="00385E26"/>
    <w:rsid w:val="003862E2"/>
    <w:rsid w:val="003864EA"/>
    <w:rsid w:val="00387E9F"/>
    <w:rsid w:val="003904EC"/>
    <w:rsid w:val="003910AD"/>
    <w:rsid w:val="0039167B"/>
    <w:rsid w:val="003916CC"/>
    <w:rsid w:val="003919AC"/>
    <w:rsid w:val="00391A97"/>
    <w:rsid w:val="00391E3B"/>
    <w:rsid w:val="00392A12"/>
    <w:rsid w:val="003932B4"/>
    <w:rsid w:val="00393C5B"/>
    <w:rsid w:val="0039403B"/>
    <w:rsid w:val="00394997"/>
    <w:rsid w:val="00395B9E"/>
    <w:rsid w:val="00395E3A"/>
    <w:rsid w:val="003967E0"/>
    <w:rsid w:val="003968EE"/>
    <w:rsid w:val="00397836"/>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DF0"/>
    <w:rsid w:val="003B0EAC"/>
    <w:rsid w:val="003B113D"/>
    <w:rsid w:val="003B117B"/>
    <w:rsid w:val="003B1C05"/>
    <w:rsid w:val="003B26AB"/>
    <w:rsid w:val="003B28AD"/>
    <w:rsid w:val="003B30B4"/>
    <w:rsid w:val="003B365C"/>
    <w:rsid w:val="003B3E75"/>
    <w:rsid w:val="003B3F01"/>
    <w:rsid w:val="003B42A2"/>
    <w:rsid w:val="003B4545"/>
    <w:rsid w:val="003B48B6"/>
    <w:rsid w:val="003B5DD4"/>
    <w:rsid w:val="003B686F"/>
    <w:rsid w:val="003B6974"/>
    <w:rsid w:val="003B6D07"/>
    <w:rsid w:val="003B6D23"/>
    <w:rsid w:val="003B76D7"/>
    <w:rsid w:val="003C0061"/>
    <w:rsid w:val="003C04B5"/>
    <w:rsid w:val="003C0B68"/>
    <w:rsid w:val="003C230F"/>
    <w:rsid w:val="003C2AFF"/>
    <w:rsid w:val="003C4003"/>
    <w:rsid w:val="003C4861"/>
    <w:rsid w:val="003C51E7"/>
    <w:rsid w:val="003C6BFB"/>
    <w:rsid w:val="003C728E"/>
    <w:rsid w:val="003C77B5"/>
    <w:rsid w:val="003C7809"/>
    <w:rsid w:val="003D0898"/>
    <w:rsid w:val="003D0A86"/>
    <w:rsid w:val="003D0CF0"/>
    <w:rsid w:val="003D13D6"/>
    <w:rsid w:val="003D1430"/>
    <w:rsid w:val="003D1530"/>
    <w:rsid w:val="003D1745"/>
    <w:rsid w:val="003D1774"/>
    <w:rsid w:val="003D1905"/>
    <w:rsid w:val="003D1C68"/>
    <w:rsid w:val="003D344A"/>
    <w:rsid w:val="003D44AB"/>
    <w:rsid w:val="003D49CF"/>
    <w:rsid w:val="003D53A3"/>
    <w:rsid w:val="003D6BD1"/>
    <w:rsid w:val="003D7EDB"/>
    <w:rsid w:val="003E0627"/>
    <w:rsid w:val="003E08A7"/>
    <w:rsid w:val="003E0D67"/>
    <w:rsid w:val="003E199F"/>
    <w:rsid w:val="003E3D42"/>
    <w:rsid w:val="003E447F"/>
    <w:rsid w:val="003E4E31"/>
    <w:rsid w:val="003E55E6"/>
    <w:rsid w:val="003E7116"/>
    <w:rsid w:val="003E7E12"/>
    <w:rsid w:val="003F02CC"/>
    <w:rsid w:val="003F0361"/>
    <w:rsid w:val="003F0A0C"/>
    <w:rsid w:val="003F0D56"/>
    <w:rsid w:val="003F1617"/>
    <w:rsid w:val="003F1672"/>
    <w:rsid w:val="003F1AFC"/>
    <w:rsid w:val="003F1BC5"/>
    <w:rsid w:val="003F20D3"/>
    <w:rsid w:val="003F3821"/>
    <w:rsid w:val="003F4945"/>
    <w:rsid w:val="003F4A21"/>
    <w:rsid w:val="003F4D95"/>
    <w:rsid w:val="003F5055"/>
    <w:rsid w:val="003F5126"/>
    <w:rsid w:val="003F52DB"/>
    <w:rsid w:val="003F5322"/>
    <w:rsid w:val="003F693D"/>
    <w:rsid w:val="003F7B7C"/>
    <w:rsid w:val="0040016C"/>
    <w:rsid w:val="00400311"/>
    <w:rsid w:val="00400C12"/>
    <w:rsid w:val="00401285"/>
    <w:rsid w:val="00402E49"/>
    <w:rsid w:val="004033E4"/>
    <w:rsid w:val="00403F0E"/>
    <w:rsid w:val="0040408A"/>
    <w:rsid w:val="00404AFC"/>
    <w:rsid w:val="00404C6B"/>
    <w:rsid w:val="00404D37"/>
    <w:rsid w:val="004068B0"/>
    <w:rsid w:val="00407024"/>
    <w:rsid w:val="00410051"/>
    <w:rsid w:val="004109FD"/>
    <w:rsid w:val="00410B71"/>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0D7"/>
    <w:rsid w:val="00425824"/>
    <w:rsid w:val="00426303"/>
    <w:rsid w:val="00426804"/>
    <w:rsid w:val="00426CAB"/>
    <w:rsid w:val="00427ECF"/>
    <w:rsid w:val="004309E0"/>
    <w:rsid w:val="00430C3A"/>
    <w:rsid w:val="00430D60"/>
    <w:rsid w:val="00430F86"/>
    <w:rsid w:val="004320DC"/>
    <w:rsid w:val="00432854"/>
    <w:rsid w:val="00432C40"/>
    <w:rsid w:val="00433270"/>
    <w:rsid w:val="004335E5"/>
    <w:rsid w:val="00433995"/>
    <w:rsid w:val="004348F4"/>
    <w:rsid w:val="004359E0"/>
    <w:rsid w:val="00435A3A"/>
    <w:rsid w:val="00435ECF"/>
    <w:rsid w:val="00436410"/>
    <w:rsid w:val="00436936"/>
    <w:rsid w:val="00436B1F"/>
    <w:rsid w:val="00437ABF"/>
    <w:rsid w:val="00440C3E"/>
    <w:rsid w:val="00440D51"/>
    <w:rsid w:val="00441A0B"/>
    <w:rsid w:val="0044304B"/>
    <w:rsid w:val="00443251"/>
    <w:rsid w:val="00443631"/>
    <w:rsid w:val="00443ED4"/>
    <w:rsid w:val="00444E44"/>
    <w:rsid w:val="004469AC"/>
    <w:rsid w:val="00446ADF"/>
    <w:rsid w:val="00446EC6"/>
    <w:rsid w:val="004476F1"/>
    <w:rsid w:val="00447B63"/>
    <w:rsid w:val="00447C76"/>
    <w:rsid w:val="004501E1"/>
    <w:rsid w:val="004503E4"/>
    <w:rsid w:val="00451F11"/>
    <w:rsid w:val="004520D5"/>
    <w:rsid w:val="004528BA"/>
    <w:rsid w:val="00452F5A"/>
    <w:rsid w:val="00453183"/>
    <w:rsid w:val="00453378"/>
    <w:rsid w:val="00453D67"/>
    <w:rsid w:val="00453DAD"/>
    <w:rsid w:val="00455024"/>
    <w:rsid w:val="00456224"/>
    <w:rsid w:val="004562DC"/>
    <w:rsid w:val="00456544"/>
    <w:rsid w:val="00457A87"/>
    <w:rsid w:val="00457C69"/>
    <w:rsid w:val="00457D59"/>
    <w:rsid w:val="0046121D"/>
    <w:rsid w:val="0046290C"/>
    <w:rsid w:val="00463149"/>
    <w:rsid w:val="00463359"/>
    <w:rsid w:val="00463403"/>
    <w:rsid w:val="004634FB"/>
    <w:rsid w:val="00463640"/>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2A3"/>
    <w:rsid w:val="00480509"/>
    <w:rsid w:val="00480633"/>
    <w:rsid w:val="004806F6"/>
    <w:rsid w:val="004807FE"/>
    <w:rsid w:val="00480E3F"/>
    <w:rsid w:val="00481DE5"/>
    <w:rsid w:val="004822D0"/>
    <w:rsid w:val="00482D96"/>
    <w:rsid w:val="004837C0"/>
    <w:rsid w:val="00483908"/>
    <w:rsid w:val="0048454C"/>
    <w:rsid w:val="00484C92"/>
    <w:rsid w:val="00485163"/>
    <w:rsid w:val="004858F3"/>
    <w:rsid w:val="004858F7"/>
    <w:rsid w:val="004872C4"/>
    <w:rsid w:val="00491269"/>
    <w:rsid w:val="004914AA"/>
    <w:rsid w:val="004917E0"/>
    <w:rsid w:val="00492BF7"/>
    <w:rsid w:val="00494034"/>
    <w:rsid w:val="004940A3"/>
    <w:rsid w:val="00494292"/>
    <w:rsid w:val="00494295"/>
    <w:rsid w:val="00494452"/>
    <w:rsid w:val="00494F43"/>
    <w:rsid w:val="00494F87"/>
    <w:rsid w:val="004955CE"/>
    <w:rsid w:val="00495C19"/>
    <w:rsid w:val="00496E59"/>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5E8"/>
    <w:rsid w:val="004A7D94"/>
    <w:rsid w:val="004B0F42"/>
    <w:rsid w:val="004B1B99"/>
    <w:rsid w:val="004B2151"/>
    <w:rsid w:val="004B2AB9"/>
    <w:rsid w:val="004B2EC7"/>
    <w:rsid w:val="004B35CC"/>
    <w:rsid w:val="004B45A3"/>
    <w:rsid w:val="004B488D"/>
    <w:rsid w:val="004B62BA"/>
    <w:rsid w:val="004B63AD"/>
    <w:rsid w:val="004B63D7"/>
    <w:rsid w:val="004B7FD8"/>
    <w:rsid w:val="004C0123"/>
    <w:rsid w:val="004C118D"/>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6F8E"/>
    <w:rsid w:val="004D7BB1"/>
    <w:rsid w:val="004D7DF2"/>
    <w:rsid w:val="004E1433"/>
    <w:rsid w:val="004E1D2C"/>
    <w:rsid w:val="004E22EA"/>
    <w:rsid w:val="004E29EC"/>
    <w:rsid w:val="004E2D9B"/>
    <w:rsid w:val="004E2F2D"/>
    <w:rsid w:val="004E2FFD"/>
    <w:rsid w:val="004E4046"/>
    <w:rsid w:val="004E54BF"/>
    <w:rsid w:val="004E57D3"/>
    <w:rsid w:val="004E5AE0"/>
    <w:rsid w:val="004E6A1E"/>
    <w:rsid w:val="004E7682"/>
    <w:rsid w:val="004E76EC"/>
    <w:rsid w:val="004E79DA"/>
    <w:rsid w:val="004F01D4"/>
    <w:rsid w:val="004F149B"/>
    <w:rsid w:val="004F188B"/>
    <w:rsid w:val="004F19C4"/>
    <w:rsid w:val="004F1A8D"/>
    <w:rsid w:val="004F2DB0"/>
    <w:rsid w:val="004F41BD"/>
    <w:rsid w:val="004F4E4D"/>
    <w:rsid w:val="004F4FA0"/>
    <w:rsid w:val="004F564B"/>
    <w:rsid w:val="004F570B"/>
    <w:rsid w:val="004F58B8"/>
    <w:rsid w:val="004F5BFF"/>
    <w:rsid w:val="004F5D05"/>
    <w:rsid w:val="004F5D76"/>
    <w:rsid w:val="004F5DA4"/>
    <w:rsid w:val="004F66FF"/>
    <w:rsid w:val="004F7544"/>
    <w:rsid w:val="004F7BE1"/>
    <w:rsid w:val="00501B5C"/>
    <w:rsid w:val="00503AB6"/>
    <w:rsid w:val="00503F57"/>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2E39"/>
    <w:rsid w:val="00513898"/>
    <w:rsid w:val="005144E2"/>
    <w:rsid w:val="005147E8"/>
    <w:rsid w:val="00514BC7"/>
    <w:rsid w:val="00514FC2"/>
    <w:rsid w:val="005150D3"/>
    <w:rsid w:val="00515543"/>
    <w:rsid w:val="00515B4E"/>
    <w:rsid w:val="00516C64"/>
    <w:rsid w:val="00516C9E"/>
    <w:rsid w:val="00516FA6"/>
    <w:rsid w:val="005173E7"/>
    <w:rsid w:val="00517AC1"/>
    <w:rsid w:val="00520112"/>
    <w:rsid w:val="00520807"/>
    <w:rsid w:val="00520AAB"/>
    <w:rsid w:val="00522046"/>
    <w:rsid w:val="00522425"/>
    <w:rsid w:val="005224AB"/>
    <w:rsid w:val="00522708"/>
    <w:rsid w:val="0052299E"/>
    <w:rsid w:val="0052346A"/>
    <w:rsid w:val="0052364F"/>
    <w:rsid w:val="00523B11"/>
    <w:rsid w:val="00523F35"/>
    <w:rsid w:val="0052417E"/>
    <w:rsid w:val="00524BA3"/>
    <w:rsid w:val="005257D2"/>
    <w:rsid w:val="00526752"/>
    <w:rsid w:val="00526F93"/>
    <w:rsid w:val="0052761B"/>
    <w:rsid w:val="00527BC7"/>
    <w:rsid w:val="00531124"/>
    <w:rsid w:val="005313A2"/>
    <w:rsid w:val="005314E3"/>
    <w:rsid w:val="00531A13"/>
    <w:rsid w:val="005326E6"/>
    <w:rsid w:val="0053284E"/>
    <w:rsid w:val="0053294F"/>
    <w:rsid w:val="005329AE"/>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5AFB"/>
    <w:rsid w:val="00556A78"/>
    <w:rsid w:val="00556EC5"/>
    <w:rsid w:val="005576FD"/>
    <w:rsid w:val="00557941"/>
    <w:rsid w:val="005579D4"/>
    <w:rsid w:val="00560592"/>
    <w:rsid w:val="00561212"/>
    <w:rsid w:val="00561798"/>
    <w:rsid w:val="00561D5C"/>
    <w:rsid w:val="0056222E"/>
    <w:rsid w:val="00562E49"/>
    <w:rsid w:val="005630C3"/>
    <w:rsid w:val="00563AE2"/>
    <w:rsid w:val="00563C57"/>
    <w:rsid w:val="00563C58"/>
    <w:rsid w:val="0056459A"/>
    <w:rsid w:val="005645FE"/>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2B8"/>
    <w:rsid w:val="00572527"/>
    <w:rsid w:val="00572679"/>
    <w:rsid w:val="00572906"/>
    <w:rsid w:val="00572913"/>
    <w:rsid w:val="00573B50"/>
    <w:rsid w:val="00573DA7"/>
    <w:rsid w:val="00574702"/>
    <w:rsid w:val="005761EA"/>
    <w:rsid w:val="00576472"/>
    <w:rsid w:val="00576749"/>
    <w:rsid w:val="00576866"/>
    <w:rsid w:val="00581821"/>
    <w:rsid w:val="00581C75"/>
    <w:rsid w:val="005825B0"/>
    <w:rsid w:val="005833DB"/>
    <w:rsid w:val="005836EA"/>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4D96"/>
    <w:rsid w:val="00595339"/>
    <w:rsid w:val="005971B7"/>
    <w:rsid w:val="00597EF1"/>
    <w:rsid w:val="005A034C"/>
    <w:rsid w:val="005A04FD"/>
    <w:rsid w:val="005A0928"/>
    <w:rsid w:val="005A22E1"/>
    <w:rsid w:val="005A2749"/>
    <w:rsid w:val="005A2878"/>
    <w:rsid w:val="005A2CE0"/>
    <w:rsid w:val="005A3B36"/>
    <w:rsid w:val="005A3BE4"/>
    <w:rsid w:val="005A3D45"/>
    <w:rsid w:val="005A4ADF"/>
    <w:rsid w:val="005A5A79"/>
    <w:rsid w:val="005A5BC6"/>
    <w:rsid w:val="005A693E"/>
    <w:rsid w:val="005A7296"/>
    <w:rsid w:val="005B0150"/>
    <w:rsid w:val="005B01EE"/>
    <w:rsid w:val="005B02BE"/>
    <w:rsid w:val="005B02F3"/>
    <w:rsid w:val="005B2079"/>
    <w:rsid w:val="005B2E38"/>
    <w:rsid w:val="005B3713"/>
    <w:rsid w:val="005B4779"/>
    <w:rsid w:val="005B5735"/>
    <w:rsid w:val="005B5E46"/>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309"/>
    <w:rsid w:val="005C55F1"/>
    <w:rsid w:val="005C56AB"/>
    <w:rsid w:val="005C6632"/>
    <w:rsid w:val="005C6CB6"/>
    <w:rsid w:val="005C6D5D"/>
    <w:rsid w:val="005C6FE0"/>
    <w:rsid w:val="005C70FB"/>
    <w:rsid w:val="005C72E4"/>
    <w:rsid w:val="005C730A"/>
    <w:rsid w:val="005C7CBA"/>
    <w:rsid w:val="005D0301"/>
    <w:rsid w:val="005D0D69"/>
    <w:rsid w:val="005D0DF8"/>
    <w:rsid w:val="005D1240"/>
    <w:rsid w:val="005D162B"/>
    <w:rsid w:val="005D1D0A"/>
    <w:rsid w:val="005D2391"/>
    <w:rsid w:val="005D385D"/>
    <w:rsid w:val="005D3B25"/>
    <w:rsid w:val="005D4337"/>
    <w:rsid w:val="005D5304"/>
    <w:rsid w:val="005D5A41"/>
    <w:rsid w:val="005D7342"/>
    <w:rsid w:val="005D7529"/>
    <w:rsid w:val="005D77DE"/>
    <w:rsid w:val="005D7836"/>
    <w:rsid w:val="005D7C5C"/>
    <w:rsid w:val="005E03C5"/>
    <w:rsid w:val="005E0688"/>
    <w:rsid w:val="005E0B51"/>
    <w:rsid w:val="005E168E"/>
    <w:rsid w:val="005E23A8"/>
    <w:rsid w:val="005E2E01"/>
    <w:rsid w:val="005E364C"/>
    <w:rsid w:val="005E38BD"/>
    <w:rsid w:val="005E3C86"/>
    <w:rsid w:val="005E3FC5"/>
    <w:rsid w:val="005E43B9"/>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5E8"/>
    <w:rsid w:val="005F4C25"/>
    <w:rsid w:val="005F514B"/>
    <w:rsid w:val="005F55DA"/>
    <w:rsid w:val="005F6AE2"/>
    <w:rsid w:val="00600621"/>
    <w:rsid w:val="006010F4"/>
    <w:rsid w:val="006013E6"/>
    <w:rsid w:val="0060142A"/>
    <w:rsid w:val="00601583"/>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124"/>
    <w:rsid w:val="0061073C"/>
    <w:rsid w:val="00610DB7"/>
    <w:rsid w:val="006113E1"/>
    <w:rsid w:val="00611EF4"/>
    <w:rsid w:val="00612401"/>
    <w:rsid w:val="00613473"/>
    <w:rsid w:val="00613828"/>
    <w:rsid w:val="0061452D"/>
    <w:rsid w:val="006148E3"/>
    <w:rsid w:val="00614A9D"/>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F7F"/>
    <w:rsid w:val="00630170"/>
    <w:rsid w:val="006305F8"/>
    <w:rsid w:val="00630717"/>
    <w:rsid w:val="00630E22"/>
    <w:rsid w:val="00631159"/>
    <w:rsid w:val="0063196F"/>
    <w:rsid w:val="00632336"/>
    <w:rsid w:val="006325CA"/>
    <w:rsid w:val="00633827"/>
    <w:rsid w:val="00635123"/>
    <w:rsid w:val="00635A36"/>
    <w:rsid w:val="00636013"/>
    <w:rsid w:val="00636FC8"/>
    <w:rsid w:val="006376D6"/>
    <w:rsid w:val="00637754"/>
    <w:rsid w:val="00637C81"/>
    <w:rsid w:val="00637EC2"/>
    <w:rsid w:val="00640799"/>
    <w:rsid w:val="00640B90"/>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4F8"/>
    <w:rsid w:val="00664B26"/>
    <w:rsid w:val="006657DF"/>
    <w:rsid w:val="00666830"/>
    <w:rsid w:val="006669EF"/>
    <w:rsid w:val="00666CFA"/>
    <w:rsid w:val="00667D9F"/>
    <w:rsid w:val="00670CAA"/>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D42"/>
    <w:rsid w:val="00692FED"/>
    <w:rsid w:val="00693337"/>
    <w:rsid w:val="0069339F"/>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10D"/>
    <w:rsid w:val="006A32D1"/>
    <w:rsid w:val="006A32FB"/>
    <w:rsid w:val="006A3468"/>
    <w:rsid w:val="006A3691"/>
    <w:rsid w:val="006A3C43"/>
    <w:rsid w:val="006A3DD0"/>
    <w:rsid w:val="006A3E33"/>
    <w:rsid w:val="006A3E99"/>
    <w:rsid w:val="006A4970"/>
    <w:rsid w:val="006A56E7"/>
    <w:rsid w:val="006A570B"/>
    <w:rsid w:val="006A58CA"/>
    <w:rsid w:val="006A6141"/>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01C1"/>
    <w:rsid w:val="006C097A"/>
    <w:rsid w:val="006C1F54"/>
    <w:rsid w:val="006C2872"/>
    <w:rsid w:val="006C29D3"/>
    <w:rsid w:val="006C29DC"/>
    <w:rsid w:val="006C2BBD"/>
    <w:rsid w:val="006C356E"/>
    <w:rsid w:val="006C378F"/>
    <w:rsid w:val="006C3ADE"/>
    <w:rsid w:val="006C4EC9"/>
    <w:rsid w:val="006C5142"/>
    <w:rsid w:val="006C53CF"/>
    <w:rsid w:val="006C5790"/>
    <w:rsid w:val="006C5C35"/>
    <w:rsid w:val="006C5F1C"/>
    <w:rsid w:val="006C6383"/>
    <w:rsid w:val="006C656F"/>
    <w:rsid w:val="006C6D01"/>
    <w:rsid w:val="006C7CB1"/>
    <w:rsid w:val="006D03C6"/>
    <w:rsid w:val="006D0CE6"/>
    <w:rsid w:val="006D0D6E"/>
    <w:rsid w:val="006D2429"/>
    <w:rsid w:val="006D296C"/>
    <w:rsid w:val="006D31C3"/>
    <w:rsid w:val="006D3682"/>
    <w:rsid w:val="006D3ADE"/>
    <w:rsid w:val="006D4562"/>
    <w:rsid w:val="006D4DE7"/>
    <w:rsid w:val="006D4FA4"/>
    <w:rsid w:val="006D599C"/>
    <w:rsid w:val="006D5E9E"/>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4357"/>
    <w:rsid w:val="007144B9"/>
    <w:rsid w:val="0071456F"/>
    <w:rsid w:val="00714A4B"/>
    <w:rsid w:val="00715AF3"/>
    <w:rsid w:val="00716530"/>
    <w:rsid w:val="007168ED"/>
    <w:rsid w:val="00716A08"/>
    <w:rsid w:val="00716C8C"/>
    <w:rsid w:val="0071785D"/>
    <w:rsid w:val="00717C43"/>
    <w:rsid w:val="00720537"/>
    <w:rsid w:val="00720B05"/>
    <w:rsid w:val="00720B11"/>
    <w:rsid w:val="00721DC1"/>
    <w:rsid w:val="00721F83"/>
    <w:rsid w:val="007220B2"/>
    <w:rsid w:val="00722D24"/>
    <w:rsid w:val="0072320E"/>
    <w:rsid w:val="00724149"/>
    <w:rsid w:val="007241CD"/>
    <w:rsid w:val="00725069"/>
    <w:rsid w:val="007250D9"/>
    <w:rsid w:val="00725F95"/>
    <w:rsid w:val="007260C2"/>
    <w:rsid w:val="00726583"/>
    <w:rsid w:val="00726DB1"/>
    <w:rsid w:val="00727C98"/>
    <w:rsid w:val="00730FFA"/>
    <w:rsid w:val="00732FCE"/>
    <w:rsid w:val="0073314A"/>
    <w:rsid w:val="007338CE"/>
    <w:rsid w:val="00733AC3"/>
    <w:rsid w:val="00734501"/>
    <w:rsid w:val="0073474E"/>
    <w:rsid w:val="00734953"/>
    <w:rsid w:val="00735346"/>
    <w:rsid w:val="007357D9"/>
    <w:rsid w:val="00735A3C"/>
    <w:rsid w:val="007366A1"/>
    <w:rsid w:val="0073678C"/>
    <w:rsid w:val="00736BD5"/>
    <w:rsid w:val="00736C1B"/>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6CB8"/>
    <w:rsid w:val="00747008"/>
    <w:rsid w:val="007470DE"/>
    <w:rsid w:val="00747682"/>
    <w:rsid w:val="00747D68"/>
    <w:rsid w:val="00750424"/>
    <w:rsid w:val="00750542"/>
    <w:rsid w:val="00750BF7"/>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28DC"/>
    <w:rsid w:val="007630C1"/>
    <w:rsid w:val="0076377D"/>
    <w:rsid w:val="00763DE7"/>
    <w:rsid w:val="007643B4"/>
    <w:rsid w:val="00765295"/>
    <w:rsid w:val="00765FA9"/>
    <w:rsid w:val="007667DB"/>
    <w:rsid w:val="0076734B"/>
    <w:rsid w:val="0076761C"/>
    <w:rsid w:val="00770616"/>
    <w:rsid w:val="00770C08"/>
    <w:rsid w:val="007710B6"/>
    <w:rsid w:val="00771488"/>
    <w:rsid w:val="007717D0"/>
    <w:rsid w:val="0077218A"/>
    <w:rsid w:val="00772551"/>
    <w:rsid w:val="007728F2"/>
    <w:rsid w:val="0077335C"/>
    <w:rsid w:val="007733D5"/>
    <w:rsid w:val="00773A72"/>
    <w:rsid w:val="00774984"/>
    <w:rsid w:val="00774A2D"/>
    <w:rsid w:val="00775806"/>
    <w:rsid w:val="00775D61"/>
    <w:rsid w:val="00776478"/>
    <w:rsid w:val="00776E96"/>
    <w:rsid w:val="00776F27"/>
    <w:rsid w:val="00777B27"/>
    <w:rsid w:val="00777B94"/>
    <w:rsid w:val="007822DB"/>
    <w:rsid w:val="0078236D"/>
    <w:rsid w:val="007827B0"/>
    <w:rsid w:val="007831A8"/>
    <w:rsid w:val="00783FB0"/>
    <w:rsid w:val="007846A2"/>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516C"/>
    <w:rsid w:val="007951D3"/>
    <w:rsid w:val="00796A5C"/>
    <w:rsid w:val="00796CD2"/>
    <w:rsid w:val="00797DFF"/>
    <w:rsid w:val="00797EC9"/>
    <w:rsid w:val="007A19CD"/>
    <w:rsid w:val="007A23CC"/>
    <w:rsid w:val="007A2E5C"/>
    <w:rsid w:val="007A533B"/>
    <w:rsid w:val="007A55B5"/>
    <w:rsid w:val="007A59E2"/>
    <w:rsid w:val="007A5A58"/>
    <w:rsid w:val="007A5BD8"/>
    <w:rsid w:val="007A62C4"/>
    <w:rsid w:val="007A6A25"/>
    <w:rsid w:val="007A77C9"/>
    <w:rsid w:val="007A79A6"/>
    <w:rsid w:val="007A7FD3"/>
    <w:rsid w:val="007B0C53"/>
    <w:rsid w:val="007B1F33"/>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C09CD"/>
    <w:rsid w:val="007C338C"/>
    <w:rsid w:val="007C37EA"/>
    <w:rsid w:val="007C4BBF"/>
    <w:rsid w:val="007C4D9A"/>
    <w:rsid w:val="007C589B"/>
    <w:rsid w:val="007C6789"/>
    <w:rsid w:val="007C70B5"/>
    <w:rsid w:val="007C70E1"/>
    <w:rsid w:val="007C7BF2"/>
    <w:rsid w:val="007C7DEE"/>
    <w:rsid w:val="007D0A9F"/>
    <w:rsid w:val="007D0BBC"/>
    <w:rsid w:val="007D0FBA"/>
    <w:rsid w:val="007D16B9"/>
    <w:rsid w:val="007D3C11"/>
    <w:rsid w:val="007D4ACD"/>
    <w:rsid w:val="007D4D2A"/>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412A"/>
    <w:rsid w:val="007E502F"/>
    <w:rsid w:val="007E53D3"/>
    <w:rsid w:val="007E5954"/>
    <w:rsid w:val="007E5D88"/>
    <w:rsid w:val="007E5F41"/>
    <w:rsid w:val="007E5F87"/>
    <w:rsid w:val="007E6DF7"/>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4946"/>
    <w:rsid w:val="00815345"/>
    <w:rsid w:val="008169A2"/>
    <w:rsid w:val="00816BAD"/>
    <w:rsid w:val="0081777B"/>
    <w:rsid w:val="0081791F"/>
    <w:rsid w:val="008179B5"/>
    <w:rsid w:val="00821927"/>
    <w:rsid w:val="00821BD4"/>
    <w:rsid w:val="00822684"/>
    <w:rsid w:val="00822843"/>
    <w:rsid w:val="008244D3"/>
    <w:rsid w:val="00824AD9"/>
    <w:rsid w:val="00825A62"/>
    <w:rsid w:val="00826843"/>
    <w:rsid w:val="00826BE1"/>
    <w:rsid w:val="008271EE"/>
    <w:rsid w:val="00827D31"/>
    <w:rsid w:val="00827EFA"/>
    <w:rsid w:val="00830145"/>
    <w:rsid w:val="0083138F"/>
    <w:rsid w:val="00832233"/>
    <w:rsid w:val="00832759"/>
    <w:rsid w:val="00832CB9"/>
    <w:rsid w:val="00832F1A"/>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06C"/>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3"/>
    <w:rsid w:val="00861461"/>
    <w:rsid w:val="00861BEC"/>
    <w:rsid w:val="00862640"/>
    <w:rsid w:val="008632C2"/>
    <w:rsid w:val="00863344"/>
    <w:rsid w:val="00863491"/>
    <w:rsid w:val="00863593"/>
    <w:rsid w:val="008642CF"/>
    <w:rsid w:val="00865E87"/>
    <w:rsid w:val="008673BD"/>
    <w:rsid w:val="00871F5B"/>
    <w:rsid w:val="00872530"/>
    <w:rsid w:val="008726AD"/>
    <w:rsid w:val="00872BC4"/>
    <w:rsid w:val="00872CA1"/>
    <w:rsid w:val="008734B9"/>
    <w:rsid w:val="0087364A"/>
    <w:rsid w:val="00873C71"/>
    <w:rsid w:val="00873D35"/>
    <w:rsid w:val="00874706"/>
    <w:rsid w:val="00874B17"/>
    <w:rsid w:val="00875F9E"/>
    <w:rsid w:val="0087616E"/>
    <w:rsid w:val="00876FFB"/>
    <w:rsid w:val="00877091"/>
    <w:rsid w:val="00877242"/>
    <w:rsid w:val="00877587"/>
    <w:rsid w:val="00880BD0"/>
    <w:rsid w:val="00881B8E"/>
    <w:rsid w:val="008825E9"/>
    <w:rsid w:val="008829DC"/>
    <w:rsid w:val="008838E0"/>
    <w:rsid w:val="00883BC7"/>
    <w:rsid w:val="008845B3"/>
    <w:rsid w:val="00884F61"/>
    <w:rsid w:val="00885779"/>
    <w:rsid w:val="00885B88"/>
    <w:rsid w:val="008866EE"/>
    <w:rsid w:val="0088716B"/>
    <w:rsid w:val="00891746"/>
    <w:rsid w:val="00891CF6"/>
    <w:rsid w:val="00891FFE"/>
    <w:rsid w:val="008921E3"/>
    <w:rsid w:val="008922D9"/>
    <w:rsid w:val="00893DD6"/>
    <w:rsid w:val="00894915"/>
    <w:rsid w:val="0089611A"/>
    <w:rsid w:val="00896396"/>
    <w:rsid w:val="008A0771"/>
    <w:rsid w:val="008A0E14"/>
    <w:rsid w:val="008A1D38"/>
    <w:rsid w:val="008A1F7F"/>
    <w:rsid w:val="008A2393"/>
    <w:rsid w:val="008A29E7"/>
    <w:rsid w:val="008A2A70"/>
    <w:rsid w:val="008A2BAD"/>
    <w:rsid w:val="008A2FD0"/>
    <w:rsid w:val="008A383E"/>
    <w:rsid w:val="008A397B"/>
    <w:rsid w:val="008A3E32"/>
    <w:rsid w:val="008A3E52"/>
    <w:rsid w:val="008A41F0"/>
    <w:rsid w:val="008A4A62"/>
    <w:rsid w:val="008A52AB"/>
    <w:rsid w:val="008A59BF"/>
    <w:rsid w:val="008A5AA9"/>
    <w:rsid w:val="008A61BF"/>
    <w:rsid w:val="008A7C3C"/>
    <w:rsid w:val="008A7D8D"/>
    <w:rsid w:val="008A7FBC"/>
    <w:rsid w:val="008B005F"/>
    <w:rsid w:val="008B02E6"/>
    <w:rsid w:val="008B09C8"/>
    <w:rsid w:val="008B0B3C"/>
    <w:rsid w:val="008B135B"/>
    <w:rsid w:val="008B16FD"/>
    <w:rsid w:val="008B174E"/>
    <w:rsid w:val="008B3F7E"/>
    <w:rsid w:val="008B447F"/>
    <w:rsid w:val="008B4D10"/>
    <w:rsid w:val="008B53DC"/>
    <w:rsid w:val="008B61BA"/>
    <w:rsid w:val="008B6B8F"/>
    <w:rsid w:val="008B737A"/>
    <w:rsid w:val="008B7BB3"/>
    <w:rsid w:val="008C0F29"/>
    <w:rsid w:val="008C1315"/>
    <w:rsid w:val="008C1955"/>
    <w:rsid w:val="008C2071"/>
    <w:rsid w:val="008C30D5"/>
    <w:rsid w:val="008C36DE"/>
    <w:rsid w:val="008C53D4"/>
    <w:rsid w:val="008C5D48"/>
    <w:rsid w:val="008C5DEC"/>
    <w:rsid w:val="008C695E"/>
    <w:rsid w:val="008C71E2"/>
    <w:rsid w:val="008C759B"/>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877"/>
    <w:rsid w:val="008E1DBA"/>
    <w:rsid w:val="008E221B"/>
    <w:rsid w:val="008E2FE4"/>
    <w:rsid w:val="008E31DD"/>
    <w:rsid w:val="008E4408"/>
    <w:rsid w:val="008E4B15"/>
    <w:rsid w:val="008E510F"/>
    <w:rsid w:val="008E56E4"/>
    <w:rsid w:val="008E5C31"/>
    <w:rsid w:val="008E6258"/>
    <w:rsid w:val="008E66DC"/>
    <w:rsid w:val="008E73DF"/>
    <w:rsid w:val="008E7730"/>
    <w:rsid w:val="008F02D2"/>
    <w:rsid w:val="008F19DD"/>
    <w:rsid w:val="008F1CDB"/>
    <w:rsid w:val="008F210E"/>
    <w:rsid w:val="008F282D"/>
    <w:rsid w:val="008F2DE0"/>
    <w:rsid w:val="008F415C"/>
    <w:rsid w:val="008F4E90"/>
    <w:rsid w:val="008F4EE9"/>
    <w:rsid w:val="008F53EF"/>
    <w:rsid w:val="008F6EBA"/>
    <w:rsid w:val="008F7AAB"/>
    <w:rsid w:val="00900E91"/>
    <w:rsid w:val="00901059"/>
    <w:rsid w:val="00901D1D"/>
    <w:rsid w:val="0090288A"/>
    <w:rsid w:val="00902B38"/>
    <w:rsid w:val="009036A3"/>
    <w:rsid w:val="00903AEE"/>
    <w:rsid w:val="00904379"/>
    <w:rsid w:val="00904396"/>
    <w:rsid w:val="00910158"/>
    <w:rsid w:val="009101E9"/>
    <w:rsid w:val="009104B2"/>
    <w:rsid w:val="00911004"/>
    <w:rsid w:val="009115D5"/>
    <w:rsid w:val="009120DD"/>
    <w:rsid w:val="00912A35"/>
    <w:rsid w:val="009130E8"/>
    <w:rsid w:val="00913255"/>
    <w:rsid w:val="00913834"/>
    <w:rsid w:val="00914127"/>
    <w:rsid w:val="00914C73"/>
    <w:rsid w:val="009156B7"/>
    <w:rsid w:val="00915B38"/>
    <w:rsid w:val="00915CD8"/>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587"/>
    <w:rsid w:val="00934CD5"/>
    <w:rsid w:val="00935495"/>
    <w:rsid w:val="009356E8"/>
    <w:rsid w:val="00935C31"/>
    <w:rsid w:val="00935EC3"/>
    <w:rsid w:val="00936461"/>
    <w:rsid w:val="0093659E"/>
    <w:rsid w:val="00937234"/>
    <w:rsid w:val="0093787F"/>
    <w:rsid w:val="00940241"/>
    <w:rsid w:val="009403C9"/>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AF3"/>
    <w:rsid w:val="00947C81"/>
    <w:rsid w:val="0095048E"/>
    <w:rsid w:val="00950D38"/>
    <w:rsid w:val="009514EF"/>
    <w:rsid w:val="009516F2"/>
    <w:rsid w:val="009518EB"/>
    <w:rsid w:val="009527CC"/>
    <w:rsid w:val="00952F29"/>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70D3"/>
    <w:rsid w:val="00970832"/>
    <w:rsid w:val="00970A20"/>
    <w:rsid w:val="00971197"/>
    <w:rsid w:val="009712B6"/>
    <w:rsid w:val="009718F8"/>
    <w:rsid w:val="009720B9"/>
    <w:rsid w:val="00973D16"/>
    <w:rsid w:val="00974024"/>
    <w:rsid w:val="0097482B"/>
    <w:rsid w:val="00974B25"/>
    <w:rsid w:val="00974FCF"/>
    <w:rsid w:val="009755D0"/>
    <w:rsid w:val="00975676"/>
    <w:rsid w:val="0097774E"/>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81E"/>
    <w:rsid w:val="009909F4"/>
    <w:rsid w:val="009916CF"/>
    <w:rsid w:val="00991BC7"/>
    <w:rsid w:val="009921AA"/>
    <w:rsid w:val="009925A5"/>
    <w:rsid w:val="00992E10"/>
    <w:rsid w:val="00993D55"/>
    <w:rsid w:val="00994576"/>
    <w:rsid w:val="009945CE"/>
    <w:rsid w:val="00994718"/>
    <w:rsid w:val="009950D1"/>
    <w:rsid w:val="00995265"/>
    <w:rsid w:val="00995478"/>
    <w:rsid w:val="00996E0A"/>
    <w:rsid w:val="009974BC"/>
    <w:rsid w:val="00997EA1"/>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2BEB"/>
    <w:rsid w:val="009C548B"/>
    <w:rsid w:val="009C5536"/>
    <w:rsid w:val="009C60A0"/>
    <w:rsid w:val="009C66BA"/>
    <w:rsid w:val="009C6A36"/>
    <w:rsid w:val="009C75D0"/>
    <w:rsid w:val="009D0481"/>
    <w:rsid w:val="009D0C8C"/>
    <w:rsid w:val="009D0E69"/>
    <w:rsid w:val="009D0F6B"/>
    <w:rsid w:val="009D1E1F"/>
    <w:rsid w:val="009D21DD"/>
    <w:rsid w:val="009D2476"/>
    <w:rsid w:val="009D311B"/>
    <w:rsid w:val="009D3E47"/>
    <w:rsid w:val="009D3F11"/>
    <w:rsid w:val="009D452D"/>
    <w:rsid w:val="009D4AD6"/>
    <w:rsid w:val="009D516D"/>
    <w:rsid w:val="009D5377"/>
    <w:rsid w:val="009D70A8"/>
    <w:rsid w:val="009D72E9"/>
    <w:rsid w:val="009D756C"/>
    <w:rsid w:val="009D7FBB"/>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8BB"/>
    <w:rsid w:val="009E620E"/>
    <w:rsid w:val="009E712D"/>
    <w:rsid w:val="009E75C2"/>
    <w:rsid w:val="009E7DA3"/>
    <w:rsid w:val="009E7EED"/>
    <w:rsid w:val="009F04B2"/>
    <w:rsid w:val="009F04FB"/>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177"/>
    <w:rsid w:val="00A04642"/>
    <w:rsid w:val="00A04C1C"/>
    <w:rsid w:val="00A04C5E"/>
    <w:rsid w:val="00A063EE"/>
    <w:rsid w:val="00A066F8"/>
    <w:rsid w:val="00A06D28"/>
    <w:rsid w:val="00A06D5D"/>
    <w:rsid w:val="00A07295"/>
    <w:rsid w:val="00A073CF"/>
    <w:rsid w:val="00A104CC"/>
    <w:rsid w:val="00A105EE"/>
    <w:rsid w:val="00A1065C"/>
    <w:rsid w:val="00A10AB9"/>
    <w:rsid w:val="00A10AD6"/>
    <w:rsid w:val="00A113BF"/>
    <w:rsid w:val="00A113CC"/>
    <w:rsid w:val="00A12784"/>
    <w:rsid w:val="00A12E42"/>
    <w:rsid w:val="00A130E3"/>
    <w:rsid w:val="00A140F0"/>
    <w:rsid w:val="00A14364"/>
    <w:rsid w:val="00A14EF6"/>
    <w:rsid w:val="00A1543B"/>
    <w:rsid w:val="00A157EE"/>
    <w:rsid w:val="00A16209"/>
    <w:rsid w:val="00A16456"/>
    <w:rsid w:val="00A165C6"/>
    <w:rsid w:val="00A16C85"/>
    <w:rsid w:val="00A1726E"/>
    <w:rsid w:val="00A17696"/>
    <w:rsid w:val="00A17CF0"/>
    <w:rsid w:val="00A200DB"/>
    <w:rsid w:val="00A20181"/>
    <w:rsid w:val="00A201EE"/>
    <w:rsid w:val="00A20E87"/>
    <w:rsid w:val="00A22732"/>
    <w:rsid w:val="00A23497"/>
    <w:rsid w:val="00A24D43"/>
    <w:rsid w:val="00A25571"/>
    <w:rsid w:val="00A267C3"/>
    <w:rsid w:val="00A27335"/>
    <w:rsid w:val="00A30941"/>
    <w:rsid w:val="00A30A5D"/>
    <w:rsid w:val="00A3136F"/>
    <w:rsid w:val="00A31472"/>
    <w:rsid w:val="00A3155A"/>
    <w:rsid w:val="00A315B7"/>
    <w:rsid w:val="00A32534"/>
    <w:rsid w:val="00A32590"/>
    <w:rsid w:val="00A325CC"/>
    <w:rsid w:val="00A329BF"/>
    <w:rsid w:val="00A32F52"/>
    <w:rsid w:val="00A33161"/>
    <w:rsid w:val="00A342C9"/>
    <w:rsid w:val="00A34339"/>
    <w:rsid w:val="00A358DF"/>
    <w:rsid w:val="00A366FC"/>
    <w:rsid w:val="00A36AA7"/>
    <w:rsid w:val="00A37C93"/>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60"/>
    <w:rsid w:val="00A4464E"/>
    <w:rsid w:val="00A44671"/>
    <w:rsid w:val="00A4496C"/>
    <w:rsid w:val="00A44E3B"/>
    <w:rsid w:val="00A4567E"/>
    <w:rsid w:val="00A46B7B"/>
    <w:rsid w:val="00A50CF1"/>
    <w:rsid w:val="00A50DDD"/>
    <w:rsid w:val="00A51245"/>
    <w:rsid w:val="00A52656"/>
    <w:rsid w:val="00A52D01"/>
    <w:rsid w:val="00A52D69"/>
    <w:rsid w:val="00A532B0"/>
    <w:rsid w:val="00A539F6"/>
    <w:rsid w:val="00A53EF4"/>
    <w:rsid w:val="00A543A9"/>
    <w:rsid w:val="00A54EBB"/>
    <w:rsid w:val="00A55009"/>
    <w:rsid w:val="00A55AF4"/>
    <w:rsid w:val="00A560A5"/>
    <w:rsid w:val="00A5627D"/>
    <w:rsid w:val="00A566A0"/>
    <w:rsid w:val="00A57BF6"/>
    <w:rsid w:val="00A57C78"/>
    <w:rsid w:val="00A60067"/>
    <w:rsid w:val="00A603F1"/>
    <w:rsid w:val="00A61C61"/>
    <w:rsid w:val="00A62458"/>
    <w:rsid w:val="00A63566"/>
    <w:rsid w:val="00A637D3"/>
    <w:rsid w:val="00A64A0C"/>
    <w:rsid w:val="00A64C55"/>
    <w:rsid w:val="00A662B8"/>
    <w:rsid w:val="00A6688E"/>
    <w:rsid w:val="00A70C44"/>
    <w:rsid w:val="00A70DAD"/>
    <w:rsid w:val="00A7132A"/>
    <w:rsid w:val="00A71457"/>
    <w:rsid w:val="00A718C9"/>
    <w:rsid w:val="00A71921"/>
    <w:rsid w:val="00A7210D"/>
    <w:rsid w:val="00A725AE"/>
    <w:rsid w:val="00A7263A"/>
    <w:rsid w:val="00A72B86"/>
    <w:rsid w:val="00A73401"/>
    <w:rsid w:val="00A738B7"/>
    <w:rsid w:val="00A73FBF"/>
    <w:rsid w:val="00A7465C"/>
    <w:rsid w:val="00A75041"/>
    <w:rsid w:val="00A760B4"/>
    <w:rsid w:val="00A766A8"/>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703B"/>
    <w:rsid w:val="00AA176F"/>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74"/>
    <w:rsid w:val="00AC206E"/>
    <w:rsid w:val="00AC29A5"/>
    <w:rsid w:val="00AC367E"/>
    <w:rsid w:val="00AC394D"/>
    <w:rsid w:val="00AC3ABC"/>
    <w:rsid w:val="00AC4396"/>
    <w:rsid w:val="00AC57F9"/>
    <w:rsid w:val="00AC6324"/>
    <w:rsid w:val="00AC647D"/>
    <w:rsid w:val="00AC65C1"/>
    <w:rsid w:val="00AC6632"/>
    <w:rsid w:val="00AC7142"/>
    <w:rsid w:val="00AD0646"/>
    <w:rsid w:val="00AD070F"/>
    <w:rsid w:val="00AD1969"/>
    <w:rsid w:val="00AD279C"/>
    <w:rsid w:val="00AD2A30"/>
    <w:rsid w:val="00AD3589"/>
    <w:rsid w:val="00AD3A86"/>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2300"/>
    <w:rsid w:val="00AE299B"/>
    <w:rsid w:val="00AE3D3F"/>
    <w:rsid w:val="00AE4990"/>
    <w:rsid w:val="00AE4C23"/>
    <w:rsid w:val="00AE4E6F"/>
    <w:rsid w:val="00AE556B"/>
    <w:rsid w:val="00AE59A0"/>
    <w:rsid w:val="00AE5CDF"/>
    <w:rsid w:val="00AE5ED4"/>
    <w:rsid w:val="00AE5F32"/>
    <w:rsid w:val="00AE7014"/>
    <w:rsid w:val="00AE7403"/>
    <w:rsid w:val="00AE779E"/>
    <w:rsid w:val="00AE7B9A"/>
    <w:rsid w:val="00AE7E86"/>
    <w:rsid w:val="00AF057D"/>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D37"/>
    <w:rsid w:val="00B01E2D"/>
    <w:rsid w:val="00B01FEA"/>
    <w:rsid w:val="00B02815"/>
    <w:rsid w:val="00B02B03"/>
    <w:rsid w:val="00B035FB"/>
    <w:rsid w:val="00B0367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51D7"/>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CCC"/>
    <w:rsid w:val="00B47F01"/>
    <w:rsid w:val="00B500A0"/>
    <w:rsid w:val="00B5024E"/>
    <w:rsid w:val="00B50478"/>
    <w:rsid w:val="00B50A8C"/>
    <w:rsid w:val="00B51654"/>
    <w:rsid w:val="00B518E7"/>
    <w:rsid w:val="00B51E24"/>
    <w:rsid w:val="00B51F1E"/>
    <w:rsid w:val="00B52EAC"/>
    <w:rsid w:val="00B534DA"/>
    <w:rsid w:val="00B53C36"/>
    <w:rsid w:val="00B53F13"/>
    <w:rsid w:val="00B54057"/>
    <w:rsid w:val="00B54509"/>
    <w:rsid w:val="00B55419"/>
    <w:rsid w:val="00B55718"/>
    <w:rsid w:val="00B55A71"/>
    <w:rsid w:val="00B55DA4"/>
    <w:rsid w:val="00B56152"/>
    <w:rsid w:val="00B5666E"/>
    <w:rsid w:val="00B57761"/>
    <w:rsid w:val="00B57E40"/>
    <w:rsid w:val="00B61810"/>
    <w:rsid w:val="00B61F7C"/>
    <w:rsid w:val="00B6322E"/>
    <w:rsid w:val="00B63678"/>
    <w:rsid w:val="00B64B2B"/>
    <w:rsid w:val="00B64F36"/>
    <w:rsid w:val="00B67356"/>
    <w:rsid w:val="00B67465"/>
    <w:rsid w:val="00B674AC"/>
    <w:rsid w:val="00B708AB"/>
    <w:rsid w:val="00B708F6"/>
    <w:rsid w:val="00B7094B"/>
    <w:rsid w:val="00B70BA5"/>
    <w:rsid w:val="00B71814"/>
    <w:rsid w:val="00B71B34"/>
    <w:rsid w:val="00B71BD1"/>
    <w:rsid w:val="00B720B0"/>
    <w:rsid w:val="00B73442"/>
    <w:rsid w:val="00B73783"/>
    <w:rsid w:val="00B75E09"/>
    <w:rsid w:val="00B75F16"/>
    <w:rsid w:val="00B7649F"/>
    <w:rsid w:val="00B7675D"/>
    <w:rsid w:val="00B76E37"/>
    <w:rsid w:val="00B76FF1"/>
    <w:rsid w:val="00B771B0"/>
    <w:rsid w:val="00B77423"/>
    <w:rsid w:val="00B775B3"/>
    <w:rsid w:val="00B779CE"/>
    <w:rsid w:val="00B81CB9"/>
    <w:rsid w:val="00B81D30"/>
    <w:rsid w:val="00B8229C"/>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96AD7"/>
    <w:rsid w:val="00BA12D8"/>
    <w:rsid w:val="00BA1C19"/>
    <w:rsid w:val="00BA2280"/>
    <w:rsid w:val="00BA38A4"/>
    <w:rsid w:val="00BA38AF"/>
    <w:rsid w:val="00BA3F05"/>
    <w:rsid w:val="00BA4900"/>
    <w:rsid w:val="00BA5F92"/>
    <w:rsid w:val="00BA5FE0"/>
    <w:rsid w:val="00BA63E9"/>
    <w:rsid w:val="00BA689F"/>
    <w:rsid w:val="00BA6C65"/>
    <w:rsid w:val="00BB025D"/>
    <w:rsid w:val="00BB0902"/>
    <w:rsid w:val="00BB0ED4"/>
    <w:rsid w:val="00BB1444"/>
    <w:rsid w:val="00BB1AB9"/>
    <w:rsid w:val="00BB29EE"/>
    <w:rsid w:val="00BB2A80"/>
    <w:rsid w:val="00BB3168"/>
    <w:rsid w:val="00BB393B"/>
    <w:rsid w:val="00BB46C1"/>
    <w:rsid w:val="00BB4C5C"/>
    <w:rsid w:val="00BB4C9E"/>
    <w:rsid w:val="00BB50E4"/>
    <w:rsid w:val="00BB53C5"/>
    <w:rsid w:val="00BB5970"/>
    <w:rsid w:val="00BB62D1"/>
    <w:rsid w:val="00BB6FFE"/>
    <w:rsid w:val="00BC0583"/>
    <w:rsid w:val="00BC22F4"/>
    <w:rsid w:val="00BC25A7"/>
    <w:rsid w:val="00BC2708"/>
    <w:rsid w:val="00BC29D0"/>
    <w:rsid w:val="00BC2A7C"/>
    <w:rsid w:val="00BC2D3A"/>
    <w:rsid w:val="00BC2EC4"/>
    <w:rsid w:val="00BC38EC"/>
    <w:rsid w:val="00BC3B8B"/>
    <w:rsid w:val="00BC3E9F"/>
    <w:rsid w:val="00BC45BE"/>
    <w:rsid w:val="00BC5CF7"/>
    <w:rsid w:val="00BC6106"/>
    <w:rsid w:val="00BC7049"/>
    <w:rsid w:val="00BC7D50"/>
    <w:rsid w:val="00BD0611"/>
    <w:rsid w:val="00BD1519"/>
    <w:rsid w:val="00BD1F2A"/>
    <w:rsid w:val="00BD41CC"/>
    <w:rsid w:val="00BD42C6"/>
    <w:rsid w:val="00BD436C"/>
    <w:rsid w:val="00BD4763"/>
    <w:rsid w:val="00BD4DB8"/>
    <w:rsid w:val="00BD564B"/>
    <w:rsid w:val="00BD5A74"/>
    <w:rsid w:val="00BD6427"/>
    <w:rsid w:val="00BD65EE"/>
    <w:rsid w:val="00BD6760"/>
    <w:rsid w:val="00BE06FB"/>
    <w:rsid w:val="00BE0830"/>
    <w:rsid w:val="00BE0D54"/>
    <w:rsid w:val="00BE0DAF"/>
    <w:rsid w:val="00BE0F9A"/>
    <w:rsid w:val="00BE293B"/>
    <w:rsid w:val="00BE2B43"/>
    <w:rsid w:val="00BE2C4D"/>
    <w:rsid w:val="00BE3322"/>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73A7"/>
    <w:rsid w:val="00BF77CE"/>
    <w:rsid w:val="00C000BC"/>
    <w:rsid w:val="00C0026F"/>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43C"/>
    <w:rsid w:val="00C10536"/>
    <w:rsid w:val="00C10A32"/>
    <w:rsid w:val="00C112EE"/>
    <w:rsid w:val="00C11978"/>
    <w:rsid w:val="00C11D14"/>
    <w:rsid w:val="00C12580"/>
    <w:rsid w:val="00C1289C"/>
    <w:rsid w:val="00C12FDA"/>
    <w:rsid w:val="00C1336A"/>
    <w:rsid w:val="00C14B2F"/>
    <w:rsid w:val="00C1570C"/>
    <w:rsid w:val="00C1593B"/>
    <w:rsid w:val="00C15EF9"/>
    <w:rsid w:val="00C163AB"/>
    <w:rsid w:val="00C165A2"/>
    <w:rsid w:val="00C171A6"/>
    <w:rsid w:val="00C17E30"/>
    <w:rsid w:val="00C17E42"/>
    <w:rsid w:val="00C17E6E"/>
    <w:rsid w:val="00C2069E"/>
    <w:rsid w:val="00C20FFF"/>
    <w:rsid w:val="00C210E8"/>
    <w:rsid w:val="00C22275"/>
    <w:rsid w:val="00C22D61"/>
    <w:rsid w:val="00C23509"/>
    <w:rsid w:val="00C23CD1"/>
    <w:rsid w:val="00C242FD"/>
    <w:rsid w:val="00C244C5"/>
    <w:rsid w:val="00C24D53"/>
    <w:rsid w:val="00C254A4"/>
    <w:rsid w:val="00C258CB"/>
    <w:rsid w:val="00C259E6"/>
    <w:rsid w:val="00C261F3"/>
    <w:rsid w:val="00C2688D"/>
    <w:rsid w:val="00C2742D"/>
    <w:rsid w:val="00C27ECC"/>
    <w:rsid w:val="00C303B9"/>
    <w:rsid w:val="00C30A56"/>
    <w:rsid w:val="00C31199"/>
    <w:rsid w:val="00C31C95"/>
    <w:rsid w:val="00C323BA"/>
    <w:rsid w:val="00C32749"/>
    <w:rsid w:val="00C32CDB"/>
    <w:rsid w:val="00C332EE"/>
    <w:rsid w:val="00C35882"/>
    <w:rsid w:val="00C35A5F"/>
    <w:rsid w:val="00C35AC6"/>
    <w:rsid w:val="00C35E33"/>
    <w:rsid w:val="00C36109"/>
    <w:rsid w:val="00C36185"/>
    <w:rsid w:val="00C366F2"/>
    <w:rsid w:val="00C36CA7"/>
    <w:rsid w:val="00C3724C"/>
    <w:rsid w:val="00C40079"/>
    <w:rsid w:val="00C406DE"/>
    <w:rsid w:val="00C41503"/>
    <w:rsid w:val="00C42657"/>
    <w:rsid w:val="00C426DC"/>
    <w:rsid w:val="00C43017"/>
    <w:rsid w:val="00C43B27"/>
    <w:rsid w:val="00C44F7A"/>
    <w:rsid w:val="00C4548E"/>
    <w:rsid w:val="00C46A33"/>
    <w:rsid w:val="00C477BC"/>
    <w:rsid w:val="00C47985"/>
    <w:rsid w:val="00C47B80"/>
    <w:rsid w:val="00C50E31"/>
    <w:rsid w:val="00C5142D"/>
    <w:rsid w:val="00C51936"/>
    <w:rsid w:val="00C519CA"/>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F4A"/>
    <w:rsid w:val="00C63849"/>
    <w:rsid w:val="00C64612"/>
    <w:rsid w:val="00C65099"/>
    <w:rsid w:val="00C6537E"/>
    <w:rsid w:val="00C66BAA"/>
    <w:rsid w:val="00C67589"/>
    <w:rsid w:val="00C70520"/>
    <w:rsid w:val="00C71594"/>
    <w:rsid w:val="00C71BA0"/>
    <w:rsid w:val="00C71CE1"/>
    <w:rsid w:val="00C71D36"/>
    <w:rsid w:val="00C72268"/>
    <w:rsid w:val="00C734E5"/>
    <w:rsid w:val="00C73674"/>
    <w:rsid w:val="00C74040"/>
    <w:rsid w:val="00C745D6"/>
    <w:rsid w:val="00C750FA"/>
    <w:rsid w:val="00C7581B"/>
    <w:rsid w:val="00C75E98"/>
    <w:rsid w:val="00C7685F"/>
    <w:rsid w:val="00C76EE5"/>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4519"/>
    <w:rsid w:val="00C867D9"/>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306"/>
    <w:rsid w:val="00C9554F"/>
    <w:rsid w:val="00C95F5A"/>
    <w:rsid w:val="00C96645"/>
    <w:rsid w:val="00C96DDC"/>
    <w:rsid w:val="00C96F54"/>
    <w:rsid w:val="00C972DE"/>
    <w:rsid w:val="00C97AE6"/>
    <w:rsid w:val="00CA06BD"/>
    <w:rsid w:val="00CA0B61"/>
    <w:rsid w:val="00CA0D7D"/>
    <w:rsid w:val="00CA1E39"/>
    <w:rsid w:val="00CA1E58"/>
    <w:rsid w:val="00CA27DA"/>
    <w:rsid w:val="00CA3158"/>
    <w:rsid w:val="00CA32C0"/>
    <w:rsid w:val="00CA33EE"/>
    <w:rsid w:val="00CA3849"/>
    <w:rsid w:val="00CA47DE"/>
    <w:rsid w:val="00CA4942"/>
    <w:rsid w:val="00CA4B23"/>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CA8"/>
    <w:rsid w:val="00CC1D7A"/>
    <w:rsid w:val="00CC1F7A"/>
    <w:rsid w:val="00CC2252"/>
    <w:rsid w:val="00CC424D"/>
    <w:rsid w:val="00CC4689"/>
    <w:rsid w:val="00CC4947"/>
    <w:rsid w:val="00CC4A10"/>
    <w:rsid w:val="00CC4F42"/>
    <w:rsid w:val="00CC5D20"/>
    <w:rsid w:val="00CC699C"/>
    <w:rsid w:val="00CC6BD2"/>
    <w:rsid w:val="00CC6CB3"/>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422E"/>
    <w:rsid w:val="00CD471B"/>
    <w:rsid w:val="00CD4B34"/>
    <w:rsid w:val="00CD4C36"/>
    <w:rsid w:val="00CD538B"/>
    <w:rsid w:val="00CD5D4E"/>
    <w:rsid w:val="00CD653B"/>
    <w:rsid w:val="00CD6B4B"/>
    <w:rsid w:val="00CD6C42"/>
    <w:rsid w:val="00CD7F12"/>
    <w:rsid w:val="00CD7F56"/>
    <w:rsid w:val="00CE14C2"/>
    <w:rsid w:val="00CE1A62"/>
    <w:rsid w:val="00CE1E9D"/>
    <w:rsid w:val="00CE254C"/>
    <w:rsid w:val="00CE29BB"/>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C2A"/>
    <w:rsid w:val="00CF10B7"/>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2362"/>
    <w:rsid w:val="00D03012"/>
    <w:rsid w:val="00D03884"/>
    <w:rsid w:val="00D039CD"/>
    <w:rsid w:val="00D057A2"/>
    <w:rsid w:val="00D05840"/>
    <w:rsid w:val="00D05AA9"/>
    <w:rsid w:val="00D06164"/>
    <w:rsid w:val="00D069E4"/>
    <w:rsid w:val="00D076A4"/>
    <w:rsid w:val="00D07A0E"/>
    <w:rsid w:val="00D10351"/>
    <w:rsid w:val="00D10893"/>
    <w:rsid w:val="00D10D58"/>
    <w:rsid w:val="00D10FEF"/>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2355"/>
    <w:rsid w:val="00D23A03"/>
    <w:rsid w:val="00D25661"/>
    <w:rsid w:val="00D2568E"/>
    <w:rsid w:val="00D264B0"/>
    <w:rsid w:val="00D266F8"/>
    <w:rsid w:val="00D26D91"/>
    <w:rsid w:val="00D27AC5"/>
    <w:rsid w:val="00D30195"/>
    <w:rsid w:val="00D30DFB"/>
    <w:rsid w:val="00D31243"/>
    <w:rsid w:val="00D31426"/>
    <w:rsid w:val="00D31BF4"/>
    <w:rsid w:val="00D3230F"/>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6676"/>
    <w:rsid w:val="00D56B52"/>
    <w:rsid w:val="00D56C78"/>
    <w:rsid w:val="00D56F3B"/>
    <w:rsid w:val="00D576F8"/>
    <w:rsid w:val="00D57777"/>
    <w:rsid w:val="00D579A1"/>
    <w:rsid w:val="00D57D92"/>
    <w:rsid w:val="00D60D92"/>
    <w:rsid w:val="00D612AF"/>
    <w:rsid w:val="00D61BCF"/>
    <w:rsid w:val="00D61C85"/>
    <w:rsid w:val="00D62147"/>
    <w:rsid w:val="00D6222A"/>
    <w:rsid w:val="00D62B35"/>
    <w:rsid w:val="00D62CC8"/>
    <w:rsid w:val="00D62CF8"/>
    <w:rsid w:val="00D62D9D"/>
    <w:rsid w:val="00D62DFC"/>
    <w:rsid w:val="00D63B3E"/>
    <w:rsid w:val="00D63DFD"/>
    <w:rsid w:val="00D65509"/>
    <w:rsid w:val="00D657C9"/>
    <w:rsid w:val="00D6619E"/>
    <w:rsid w:val="00D66288"/>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22D"/>
    <w:rsid w:val="00D81563"/>
    <w:rsid w:val="00D824B5"/>
    <w:rsid w:val="00D828A7"/>
    <w:rsid w:val="00D833FA"/>
    <w:rsid w:val="00D8397A"/>
    <w:rsid w:val="00D841BE"/>
    <w:rsid w:val="00D84E10"/>
    <w:rsid w:val="00D84EA9"/>
    <w:rsid w:val="00D8561E"/>
    <w:rsid w:val="00D8587D"/>
    <w:rsid w:val="00D86289"/>
    <w:rsid w:val="00D86F8A"/>
    <w:rsid w:val="00D90F2E"/>
    <w:rsid w:val="00D91499"/>
    <w:rsid w:val="00D922EC"/>
    <w:rsid w:val="00D9270E"/>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229"/>
    <w:rsid w:val="00DB02EC"/>
    <w:rsid w:val="00DB0610"/>
    <w:rsid w:val="00DB0670"/>
    <w:rsid w:val="00DB09BF"/>
    <w:rsid w:val="00DB1213"/>
    <w:rsid w:val="00DB2F31"/>
    <w:rsid w:val="00DB3865"/>
    <w:rsid w:val="00DB39FF"/>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E7C"/>
    <w:rsid w:val="00DD33A0"/>
    <w:rsid w:val="00DD386B"/>
    <w:rsid w:val="00DD3B66"/>
    <w:rsid w:val="00DD3BCC"/>
    <w:rsid w:val="00DD472A"/>
    <w:rsid w:val="00DD5192"/>
    <w:rsid w:val="00DD5370"/>
    <w:rsid w:val="00DD5610"/>
    <w:rsid w:val="00DD5A1E"/>
    <w:rsid w:val="00DD5C40"/>
    <w:rsid w:val="00DD702F"/>
    <w:rsid w:val="00DD7244"/>
    <w:rsid w:val="00DE0363"/>
    <w:rsid w:val="00DE1100"/>
    <w:rsid w:val="00DE1672"/>
    <w:rsid w:val="00DE18FB"/>
    <w:rsid w:val="00DE22C4"/>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8DC"/>
    <w:rsid w:val="00DF3AD8"/>
    <w:rsid w:val="00DF4B67"/>
    <w:rsid w:val="00DF4CC7"/>
    <w:rsid w:val="00DF60EA"/>
    <w:rsid w:val="00DF641D"/>
    <w:rsid w:val="00DF6878"/>
    <w:rsid w:val="00DF6F68"/>
    <w:rsid w:val="00DF72D6"/>
    <w:rsid w:val="00DF7392"/>
    <w:rsid w:val="00DF758D"/>
    <w:rsid w:val="00DF77EB"/>
    <w:rsid w:val="00DF7902"/>
    <w:rsid w:val="00DF7C84"/>
    <w:rsid w:val="00E00EDC"/>
    <w:rsid w:val="00E011E7"/>
    <w:rsid w:val="00E016BE"/>
    <w:rsid w:val="00E0249C"/>
    <w:rsid w:val="00E0261C"/>
    <w:rsid w:val="00E02D12"/>
    <w:rsid w:val="00E02D38"/>
    <w:rsid w:val="00E037D2"/>
    <w:rsid w:val="00E03B2C"/>
    <w:rsid w:val="00E03C04"/>
    <w:rsid w:val="00E03D9C"/>
    <w:rsid w:val="00E03DD0"/>
    <w:rsid w:val="00E045EE"/>
    <w:rsid w:val="00E04FAE"/>
    <w:rsid w:val="00E051DB"/>
    <w:rsid w:val="00E057C3"/>
    <w:rsid w:val="00E10001"/>
    <w:rsid w:val="00E1008F"/>
    <w:rsid w:val="00E1052E"/>
    <w:rsid w:val="00E10BC1"/>
    <w:rsid w:val="00E10C20"/>
    <w:rsid w:val="00E10FC6"/>
    <w:rsid w:val="00E11B41"/>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2681B"/>
    <w:rsid w:val="00E30387"/>
    <w:rsid w:val="00E30897"/>
    <w:rsid w:val="00E30903"/>
    <w:rsid w:val="00E311BC"/>
    <w:rsid w:val="00E329D5"/>
    <w:rsid w:val="00E334AB"/>
    <w:rsid w:val="00E340C6"/>
    <w:rsid w:val="00E34422"/>
    <w:rsid w:val="00E34908"/>
    <w:rsid w:val="00E34F53"/>
    <w:rsid w:val="00E35A87"/>
    <w:rsid w:val="00E35BCA"/>
    <w:rsid w:val="00E35D21"/>
    <w:rsid w:val="00E369F1"/>
    <w:rsid w:val="00E36FDC"/>
    <w:rsid w:val="00E37475"/>
    <w:rsid w:val="00E37DD2"/>
    <w:rsid w:val="00E4007D"/>
    <w:rsid w:val="00E40131"/>
    <w:rsid w:val="00E40569"/>
    <w:rsid w:val="00E40AC6"/>
    <w:rsid w:val="00E40F22"/>
    <w:rsid w:val="00E413D5"/>
    <w:rsid w:val="00E41770"/>
    <w:rsid w:val="00E44691"/>
    <w:rsid w:val="00E44A70"/>
    <w:rsid w:val="00E45618"/>
    <w:rsid w:val="00E4625D"/>
    <w:rsid w:val="00E465B3"/>
    <w:rsid w:val="00E466EA"/>
    <w:rsid w:val="00E46E99"/>
    <w:rsid w:val="00E4792A"/>
    <w:rsid w:val="00E47C8B"/>
    <w:rsid w:val="00E504D5"/>
    <w:rsid w:val="00E50C82"/>
    <w:rsid w:val="00E523D9"/>
    <w:rsid w:val="00E524E4"/>
    <w:rsid w:val="00E52928"/>
    <w:rsid w:val="00E549DD"/>
    <w:rsid w:val="00E54D73"/>
    <w:rsid w:val="00E55255"/>
    <w:rsid w:val="00E55AC7"/>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700B"/>
    <w:rsid w:val="00E67137"/>
    <w:rsid w:val="00E679CA"/>
    <w:rsid w:val="00E70233"/>
    <w:rsid w:val="00E7085F"/>
    <w:rsid w:val="00E7120C"/>
    <w:rsid w:val="00E714E2"/>
    <w:rsid w:val="00E72387"/>
    <w:rsid w:val="00E733D5"/>
    <w:rsid w:val="00E73C49"/>
    <w:rsid w:val="00E74002"/>
    <w:rsid w:val="00E7437D"/>
    <w:rsid w:val="00E74574"/>
    <w:rsid w:val="00E74BF4"/>
    <w:rsid w:val="00E751EF"/>
    <w:rsid w:val="00E75454"/>
    <w:rsid w:val="00E75F85"/>
    <w:rsid w:val="00E77079"/>
    <w:rsid w:val="00E77F3A"/>
    <w:rsid w:val="00E80845"/>
    <w:rsid w:val="00E810FA"/>
    <w:rsid w:val="00E815E3"/>
    <w:rsid w:val="00E81732"/>
    <w:rsid w:val="00E81D5D"/>
    <w:rsid w:val="00E81E52"/>
    <w:rsid w:val="00E82D07"/>
    <w:rsid w:val="00E84074"/>
    <w:rsid w:val="00E84F4E"/>
    <w:rsid w:val="00E858D9"/>
    <w:rsid w:val="00E86212"/>
    <w:rsid w:val="00E86231"/>
    <w:rsid w:val="00E86369"/>
    <w:rsid w:val="00E86A52"/>
    <w:rsid w:val="00E86B94"/>
    <w:rsid w:val="00E876CA"/>
    <w:rsid w:val="00E8795E"/>
    <w:rsid w:val="00E90849"/>
    <w:rsid w:val="00E90B30"/>
    <w:rsid w:val="00E90C45"/>
    <w:rsid w:val="00E91D7C"/>
    <w:rsid w:val="00E930A5"/>
    <w:rsid w:val="00E93C1B"/>
    <w:rsid w:val="00E93F92"/>
    <w:rsid w:val="00E94439"/>
    <w:rsid w:val="00E95588"/>
    <w:rsid w:val="00E971BE"/>
    <w:rsid w:val="00EA004C"/>
    <w:rsid w:val="00EA01DB"/>
    <w:rsid w:val="00EA0759"/>
    <w:rsid w:val="00EA0B78"/>
    <w:rsid w:val="00EA0C8A"/>
    <w:rsid w:val="00EA14C1"/>
    <w:rsid w:val="00EA1DC5"/>
    <w:rsid w:val="00EA1F7D"/>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D89"/>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E00"/>
    <w:rsid w:val="00EC5F2B"/>
    <w:rsid w:val="00EC6408"/>
    <w:rsid w:val="00EC65EE"/>
    <w:rsid w:val="00EC663B"/>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75"/>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CF1"/>
    <w:rsid w:val="00EE72BE"/>
    <w:rsid w:val="00EE7503"/>
    <w:rsid w:val="00EE76F3"/>
    <w:rsid w:val="00EE7A56"/>
    <w:rsid w:val="00EF0343"/>
    <w:rsid w:val="00EF0688"/>
    <w:rsid w:val="00EF185B"/>
    <w:rsid w:val="00EF448E"/>
    <w:rsid w:val="00EF4A6C"/>
    <w:rsid w:val="00EF56F5"/>
    <w:rsid w:val="00EF6405"/>
    <w:rsid w:val="00EF6F7B"/>
    <w:rsid w:val="00EF71E7"/>
    <w:rsid w:val="00EF7421"/>
    <w:rsid w:val="00EF78CD"/>
    <w:rsid w:val="00EF7C14"/>
    <w:rsid w:val="00F00506"/>
    <w:rsid w:val="00F007E5"/>
    <w:rsid w:val="00F027A1"/>
    <w:rsid w:val="00F02963"/>
    <w:rsid w:val="00F02A59"/>
    <w:rsid w:val="00F03792"/>
    <w:rsid w:val="00F04038"/>
    <w:rsid w:val="00F0450B"/>
    <w:rsid w:val="00F047EC"/>
    <w:rsid w:val="00F052BA"/>
    <w:rsid w:val="00F05303"/>
    <w:rsid w:val="00F05609"/>
    <w:rsid w:val="00F061AB"/>
    <w:rsid w:val="00F0734D"/>
    <w:rsid w:val="00F07957"/>
    <w:rsid w:val="00F106EC"/>
    <w:rsid w:val="00F1116E"/>
    <w:rsid w:val="00F1206E"/>
    <w:rsid w:val="00F127FD"/>
    <w:rsid w:val="00F1291B"/>
    <w:rsid w:val="00F129AF"/>
    <w:rsid w:val="00F13DC3"/>
    <w:rsid w:val="00F1412C"/>
    <w:rsid w:val="00F14E96"/>
    <w:rsid w:val="00F14F44"/>
    <w:rsid w:val="00F15649"/>
    <w:rsid w:val="00F1655C"/>
    <w:rsid w:val="00F16AFB"/>
    <w:rsid w:val="00F170E7"/>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931"/>
    <w:rsid w:val="00F306B8"/>
    <w:rsid w:val="00F310C3"/>
    <w:rsid w:val="00F31F1A"/>
    <w:rsid w:val="00F320A3"/>
    <w:rsid w:val="00F349B4"/>
    <w:rsid w:val="00F3665D"/>
    <w:rsid w:val="00F36923"/>
    <w:rsid w:val="00F36D5B"/>
    <w:rsid w:val="00F406CC"/>
    <w:rsid w:val="00F40C5A"/>
    <w:rsid w:val="00F40D47"/>
    <w:rsid w:val="00F41413"/>
    <w:rsid w:val="00F41846"/>
    <w:rsid w:val="00F419BE"/>
    <w:rsid w:val="00F41A85"/>
    <w:rsid w:val="00F423C4"/>
    <w:rsid w:val="00F43453"/>
    <w:rsid w:val="00F43F4D"/>
    <w:rsid w:val="00F4419C"/>
    <w:rsid w:val="00F44373"/>
    <w:rsid w:val="00F4460D"/>
    <w:rsid w:val="00F45BCE"/>
    <w:rsid w:val="00F45EE3"/>
    <w:rsid w:val="00F45F7D"/>
    <w:rsid w:val="00F474A7"/>
    <w:rsid w:val="00F47723"/>
    <w:rsid w:val="00F47EAA"/>
    <w:rsid w:val="00F504D2"/>
    <w:rsid w:val="00F50615"/>
    <w:rsid w:val="00F50D5C"/>
    <w:rsid w:val="00F519D3"/>
    <w:rsid w:val="00F52C51"/>
    <w:rsid w:val="00F53463"/>
    <w:rsid w:val="00F54184"/>
    <w:rsid w:val="00F545E3"/>
    <w:rsid w:val="00F54FC0"/>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3D54"/>
    <w:rsid w:val="00F65D37"/>
    <w:rsid w:val="00F661D0"/>
    <w:rsid w:val="00F66E50"/>
    <w:rsid w:val="00F6710E"/>
    <w:rsid w:val="00F700D3"/>
    <w:rsid w:val="00F70342"/>
    <w:rsid w:val="00F709BD"/>
    <w:rsid w:val="00F71174"/>
    <w:rsid w:val="00F711FF"/>
    <w:rsid w:val="00F719D4"/>
    <w:rsid w:val="00F72BF7"/>
    <w:rsid w:val="00F72DE1"/>
    <w:rsid w:val="00F744B4"/>
    <w:rsid w:val="00F74A08"/>
    <w:rsid w:val="00F74A33"/>
    <w:rsid w:val="00F74BCF"/>
    <w:rsid w:val="00F75204"/>
    <w:rsid w:val="00F75BD2"/>
    <w:rsid w:val="00F765BA"/>
    <w:rsid w:val="00F767EC"/>
    <w:rsid w:val="00F76CA8"/>
    <w:rsid w:val="00F77F87"/>
    <w:rsid w:val="00F8001F"/>
    <w:rsid w:val="00F80C6E"/>
    <w:rsid w:val="00F81127"/>
    <w:rsid w:val="00F81AAF"/>
    <w:rsid w:val="00F81E59"/>
    <w:rsid w:val="00F81EA1"/>
    <w:rsid w:val="00F825F0"/>
    <w:rsid w:val="00F82687"/>
    <w:rsid w:val="00F841D9"/>
    <w:rsid w:val="00F849DD"/>
    <w:rsid w:val="00F84F68"/>
    <w:rsid w:val="00F864B0"/>
    <w:rsid w:val="00F867D0"/>
    <w:rsid w:val="00F8741F"/>
    <w:rsid w:val="00F874AA"/>
    <w:rsid w:val="00F875F4"/>
    <w:rsid w:val="00F878A9"/>
    <w:rsid w:val="00F87E74"/>
    <w:rsid w:val="00F9024E"/>
    <w:rsid w:val="00F9088C"/>
    <w:rsid w:val="00F911FB"/>
    <w:rsid w:val="00F93D6E"/>
    <w:rsid w:val="00F94709"/>
    <w:rsid w:val="00F97E6F"/>
    <w:rsid w:val="00FA017D"/>
    <w:rsid w:val="00FA01F0"/>
    <w:rsid w:val="00FA0951"/>
    <w:rsid w:val="00FA18C6"/>
    <w:rsid w:val="00FA1B31"/>
    <w:rsid w:val="00FA202E"/>
    <w:rsid w:val="00FA24FA"/>
    <w:rsid w:val="00FA56D1"/>
    <w:rsid w:val="00FA64A0"/>
    <w:rsid w:val="00FA6E64"/>
    <w:rsid w:val="00FA770C"/>
    <w:rsid w:val="00FA7A64"/>
    <w:rsid w:val="00FA7CB6"/>
    <w:rsid w:val="00FB040E"/>
    <w:rsid w:val="00FB0B7F"/>
    <w:rsid w:val="00FB0E54"/>
    <w:rsid w:val="00FB129E"/>
    <w:rsid w:val="00FB1E7B"/>
    <w:rsid w:val="00FB24D0"/>
    <w:rsid w:val="00FB28DA"/>
    <w:rsid w:val="00FB2B5A"/>
    <w:rsid w:val="00FB2E74"/>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2D2"/>
    <w:rsid w:val="00FD2DE9"/>
    <w:rsid w:val="00FD30F7"/>
    <w:rsid w:val="00FD3868"/>
    <w:rsid w:val="00FD3F74"/>
    <w:rsid w:val="00FD4B43"/>
    <w:rsid w:val="00FD5384"/>
    <w:rsid w:val="00FD7411"/>
    <w:rsid w:val="00FD77D0"/>
    <w:rsid w:val="00FD7B3B"/>
    <w:rsid w:val="00FE1A45"/>
    <w:rsid w:val="00FE279E"/>
    <w:rsid w:val="00FE2DF2"/>
    <w:rsid w:val="00FE3879"/>
    <w:rsid w:val="00FE3B8B"/>
    <w:rsid w:val="00FE3C0A"/>
    <w:rsid w:val="00FE41A4"/>
    <w:rsid w:val="00FE4559"/>
    <w:rsid w:val="00FE5BB6"/>
    <w:rsid w:val="00FE6606"/>
    <w:rsid w:val="00FE6A00"/>
    <w:rsid w:val="00FE79CB"/>
    <w:rsid w:val="00FF09EE"/>
    <w:rsid w:val="00FF0B90"/>
    <w:rsid w:val="00FF0C18"/>
    <w:rsid w:val="00FF14A7"/>
    <w:rsid w:val="00FF1519"/>
    <w:rsid w:val="00FF2045"/>
    <w:rsid w:val="00FF2C86"/>
    <w:rsid w:val="00FF2FB8"/>
    <w:rsid w:val="00FF2FF5"/>
    <w:rsid w:val="00FF3680"/>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b/>
      <w:kern w:val="32"/>
      <w:sz w:val="32"/>
    </w:rPr>
  </w:style>
  <w:style w:type="character" w:customStyle="1" w:styleId="Heading2Char">
    <w:name w:val="Heading 2 Char"/>
    <w:basedOn w:val="DefaultParagraphFont"/>
    <w:link w:val="Heading2"/>
    <w:uiPriority w:val="99"/>
    <w:semiHidden/>
    <w:locked/>
    <w:rsid w:val="007241CD"/>
    <w:rPr>
      <w:rFonts w:ascii="Cambria" w:hAnsi="Cambria"/>
      <w:b/>
      <w:i/>
      <w:sz w:val="28"/>
    </w:rPr>
  </w:style>
  <w:style w:type="character" w:customStyle="1" w:styleId="Heading3Char">
    <w:name w:val="Heading 3 Char"/>
    <w:basedOn w:val="DefaultParagraphFont"/>
    <w:link w:val="Heading3"/>
    <w:uiPriority w:val="99"/>
    <w:semiHidden/>
    <w:locked/>
    <w:rsid w:val="007241CD"/>
    <w:rPr>
      <w:rFonts w:ascii="Cambria" w:hAnsi="Cambria"/>
      <w:b/>
      <w:sz w:val="26"/>
    </w:rPr>
  </w:style>
  <w:style w:type="character" w:customStyle="1" w:styleId="Heading4Char">
    <w:name w:val="Heading 4 Char"/>
    <w:basedOn w:val="DefaultParagraphFont"/>
    <w:link w:val="Heading4"/>
    <w:uiPriority w:val="99"/>
    <w:semiHidden/>
    <w:locked/>
    <w:rsid w:val="007241CD"/>
    <w:rPr>
      <w:rFonts w:ascii="Calibri" w:hAnsi="Calibri"/>
      <w:b/>
      <w:sz w:val="28"/>
    </w:rPr>
  </w:style>
  <w:style w:type="character" w:customStyle="1" w:styleId="Heading5Char">
    <w:name w:val="Heading 5 Char"/>
    <w:basedOn w:val="DefaultParagraphFont"/>
    <w:link w:val="Heading5"/>
    <w:uiPriority w:val="99"/>
    <w:semiHidden/>
    <w:locked/>
    <w:rsid w:val="007241CD"/>
    <w:rPr>
      <w:rFonts w:ascii="Calibri" w:hAnsi="Calibri"/>
      <w:b/>
      <w:i/>
      <w:sz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sz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sz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sz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sz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sz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sz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sz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sz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sz w:val="24"/>
    </w:rPr>
  </w:style>
  <w:style w:type="paragraph" w:styleId="Revision">
    <w:name w:val="Revision"/>
    <w:hidden/>
    <w:uiPriority w:val="99"/>
    <w:semiHidden/>
    <w:rsid w:val="009627F7"/>
    <w:pPr>
      <w:spacing w:after="0" w:line="240" w:lineRule="auto"/>
    </w:pPr>
    <w:rPr>
      <w:sz w:val="24"/>
      <w:szCs w:val="24"/>
      <w:lang w:val="en-US" w:eastAsia="en-US"/>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uiPriority w:val="99"/>
    <w:locked/>
    <w:rsid w:val="00607F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uiPriority w:val="99"/>
    <w:rsid w:val="00DD386B"/>
    <w:rPr>
      <w:rFonts w:ascii="Times New Roman" w:hAnsi="Times New Roman"/>
      <w:color w:val="000000"/>
      <w:sz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rsid w:val="00DE18FB"/>
    <w:rPr>
      <w:sz w:val="20"/>
      <w:szCs w:val="20"/>
    </w:rPr>
  </w:style>
  <w:style w:type="character" w:customStyle="1" w:styleId="FootnoteTextChar">
    <w:name w:val="Footnote Text Char"/>
    <w:basedOn w:val="DefaultParagraphFont"/>
    <w:link w:val="FootnoteText"/>
    <w:uiPriority w:val="99"/>
    <w:semiHidden/>
    <w:locked/>
    <w:rsid w:val="00DE18FB"/>
    <w:rPr>
      <w:sz w:val="20"/>
    </w:rPr>
  </w:style>
  <w:style w:type="character" w:styleId="FootnoteReference">
    <w:name w:val="footnote reference"/>
    <w:basedOn w:val="DefaultParagraphFont"/>
    <w:uiPriority w:val="99"/>
    <w:semiHidden/>
    <w:rsid w:val="00DE18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4412">
      <w:marLeft w:val="0"/>
      <w:marRight w:val="0"/>
      <w:marTop w:val="0"/>
      <w:marBottom w:val="0"/>
      <w:divBdr>
        <w:top w:val="none" w:sz="0" w:space="0" w:color="auto"/>
        <w:left w:val="none" w:sz="0" w:space="0" w:color="auto"/>
        <w:bottom w:val="none" w:sz="0" w:space="0" w:color="auto"/>
        <w:right w:val="none" w:sz="0" w:space="0" w:color="auto"/>
      </w:divBdr>
    </w:div>
    <w:div w:id="2133134413">
      <w:marLeft w:val="0"/>
      <w:marRight w:val="0"/>
      <w:marTop w:val="0"/>
      <w:marBottom w:val="0"/>
      <w:divBdr>
        <w:top w:val="none" w:sz="0" w:space="0" w:color="auto"/>
        <w:left w:val="none" w:sz="0" w:space="0" w:color="auto"/>
        <w:bottom w:val="none" w:sz="0" w:space="0" w:color="auto"/>
        <w:right w:val="none" w:sz="0" w:space="0" w:color="auto"/>
      </w:divBdr>
    </w:div>
    <w:div w:id="2133134414">
      <w:marLeft w:val="0"/>
      <w:marRight w:val="0"/>
      <w:marTop w:val="0"/>
      <w:marBottom w:val="0"/>
      <w:divBdr>
        <w:top w:val="none" w:sz="0" w:space="0" w:color="auto"/>
        <w:left w:val="none" w:sz="0" w:space="0" w:color="auto"/>
        <w:bottom w:val="none" w:sz="0" w:space="0" w:color="auto"/>
        <w:right w:val="none" w:sz="0" w:space="0" w:color="auto"/>
      </w:divBdr>
    </w:div>
    <w:div w:id="2133134415">
      <w:marLeft w:val="0"/>
      <w:marRight w:val="0"/>
      <w:marTop w:val="0"/>
      <w:marBottom w:val="0"/>
      <w:divBdr>
        <w:top w:val="none" w:sz="0" w:space="0" w:color="auto"/>
        <w:left w:val="none" w:sz="0" w:space="0" w:color="auto"/>
        <w:bottom w:val="none" w:sz="0" w:space="0" w:color="auto"/>
        <w:right w:val="none" w:sz="0" w:space="0" w:color="auto"/>
      </w:divBdr>
    </w:div>
    <w:div w:id="2133134416">
      <w:marLeft w:val="0"/>
      <w:marRight w:val="0"/>
      <w:marTop w:val="0"/>
      <w:marBottom w:val="0"/>
      <w:divBdr>
        <w:top w:val="none" w:sz="0" w:space="0" w:color="auto"/>
        <w:left w:val="none" w:sz="0" w:space="0" w:color="auto"/>
        <w:bottom w:val="none" w:sz="0" w:space="0" w:color="auto"/>
        <w:right w:val="none" w:sz="0" w:space="0" w:color="auto"/>
      </w:divBdr>
      <w:divsChild>
        <w:div w:id="2133134417">
          <w:marLeft w:val="0"/>
          <w:marRight w:val="0"/>
          <w:marTop w:val="45"/>
          <w:marBottom w:val="225"/>
          <w:divBdr>
            <w:top w:val="none" w:sz="0" w:space="0" w:color="auto"/>
            <w:left w:val="none" w:sz="0" w:space="0" w:color="auto"/>
            <w:bottom w:val="none" w:sz="0" w:space="0" w:color="auto"/>
            <w:right w:val="none" w:sz="0" w:space="0" w:color="auto"/>
          </w:divBdr>
          <w:divsChild>
            <w:div w:id="2133134418">
              <w:marLeft w:val="150"/>
              <w:marRight w:val="0"/>
              <w:marTop w:val="300"/>
              <w:marBottom w:val="0"/>
              <w:divBdr>
                <w:top w:val="none" w:sz="0" w:space="0" w:color="auto"/>
                <w:left w:val="none" w:sz="0" w:space="0" w:color="auto"/>
                <w:bottom w:val="none" w:sz="0" w:space="0" w:color="auto"/>
                <w:right w:val="none" w:sz="0" w:space="0" w:color="auto"/>
              </w:divBdr>
              <w:divsChild>
                <w:div w:id="21331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4421">
      <w:marLeft w:val="0"/>
      <w:marRight w:val="0"/>
      <w:marTop w:val="0"/>
      <w:marBottom w:val="0"/>
      <w:divBdr>
        <w:top w:val="none" w:sz="0" w:space="0" w:color="auto"/>
        <w:left w:val="none" w:sz="0" w:space="0" w:color="auto"/>
        <w:bottom w:val="none" w:sz="0" w:space="0" w:color="auto"/>
        <w:right w:val="none" w:sz="0" w:space="0" w:color="auto"/>
      </w:divBdr>
      <w:divsChild>
        <w:div w:id="2133134419">
          <w:marLeft w:val="0"/>
          <w:marRight w:val="0"/>
          <w:marTop w:val="45"/>
          <w:marBottom w:val="225"/>
          <w:divBdr>
            <w:top w:val="none" w:sz="0" w:space="0" w:color="auto"/>
            <w:left w:val="none" w:sz="0" w:space="0" w:color="auto"/>
            <w:bottom w:val="none" w:sz="0" w:space="0" w:color="auto"/>
            <w:right w:val="none" w:sz="0" w:space="0" w:color="auto"/>
          </w:divBdr>
          <w:divsChild>
            <w:div w:id="2133134423">
              <w:marLeft w:val="150"/>
              <w:marRight w:val="0"/>
              <w:marTop w:val="300"/>
              <w:marBottom w:val="0"/>
              <w:divBdr>
                <w:top w:val="none" w:sz="0" w:space="0" w:color="auto"/>
                <w:left w:val="none" w:sz="0" w:space="0" w:color="auto"/>
                <w:bottom w:val="none" w:sz="0" w:space="0" w:color="auto"/>
                <w:right w:val="none" w:sz="0" w:space="0" w:color="auto"/>
              </w:divBdr>
              <w:divsChild>
                <w:div w:id="21331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4424">
      <w:marLeft w:val="0"/>
      <w:marRight w:val="0"/>
      <w:marTop w:val="0"/>
      <w:marBottom w:val="0"/>
      <w:divBdr>
        <w:top w:val="none" w:sz="0" w:space="0" w:color="auto"/>
        <w:left w:val="none" w:sz="0" w:space="0" w:color="auto"/>
        <w:bottom w:val="none" w:sz="0" w:space="0" w:color="auto"/>
        <w:right w:val="none" w:sz="0" w:space="0" w:color="auto"/>
      </w:divBdr>
    </w:div>
    <w:div w:id="2133134425">
      <w:marLeft w:val="0"/>
      <w:marRight w:val="0"/>
      <w:marTop w:val="0"/>
      <w:marBottom w:val="0"/>
      <w:divBdr>
        <w:top w:val="none" w:sz="0" w:space="0" w:color="auto"/>
        <w:left w:val="none" w:sz="0" w:space="0" w:color="auto"/>
        <w:bottom w:val="none" w:sz="0" w:space="0" w:color="auto"/>
        <w:right w:val="none" w:sz="0" w:space="0" w:color="auto"/>
      </w:divBdr>
    </w:div>
    <w:div w:id="2133134426">
      <w:marLeft w:val="0"/>
      <w:marRight w:val="0"/>
      <w:marTop w:val="0"/>
      <w:marBottom w:val="0"/>
      <w:divBdr>
        <w:top w:val="none" w:sz="0" w:space="0" w:color="auto"/>
        <w:left w:val="none" w:sz="0" w:space="0" w:color="auto"/>
        <w:bottom w:val="none" w:sz="0" w:space="0" w:color="auto"/>
        <w:right w:val="none" w:sz="0" w:space="0" w:color="auto"/>
      </w:divBdr>
    </w:div>
    <w:div w:id="213313442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nvestors.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2045</Words>
  <Characters>12069</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2018-04-25T13:48:00Z</dcterms:created>
  <dcterms:modified xsi:type="dcterms:W3CDTF">2018-04-26T12:14:00Z</dcterms:modified>
</cp:coreProperties>
</file>