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0"/>
          <w:szCs w:val="20"/>
        </w:rPr>
      </w:pPr>
      <w:bookmarkStart w:id="0" w:name="Section1"/>
      <w:bookmarkEnd w:id="0"/>
      <w:r>
        <w:rPr>
          <w:rFonts w:ascii="Arial" w:hAnsi="Arial" w:cs="Arial"/>
        </w:rPr>
        <w:drawing>
          <wp:anchor distT="0" distB="0" distL="114300" distR="114300" simplePos="0" relativeHeight="251660288" behindDoc="0" locked="0" layoutInCell="1" allowOverlap="1">
            <wp:simplePos x="0" y="0"/>
            <wp:positionH relativeFrom="margin">
              <wp:posOffset>5022850</wp:posOffset>
            </wp:positionH>
            <wp:positionV relativeFrom="paragraph">
              <wp:posOffset>0</wp:posOffset>
            </wp:positionV>
            <wp:extent cx="847725" cy="958215"/>
            <wp:effectExtent l="0" t="0" r="0" b="0"/>
            <wp:wrapSquare wrapText="bothSides"/>
            <wp:docPr id="1"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vlf4jhl\Desktop\Miscellaneous\UPS Shield 2017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47725" cy="958215"/>
                    </a:xfrm>
                    <a:prstGeom prst="rect">
                      <a:avLst/>
                    </a:prstGeom>
                    <a:noFill/>
                    <a:ln>
                      <a:noFill/>
                    </a:ln>
                  </pic:spPr>
                </pic:pic>
              </a:graphicData>
            </a:graphic>
          </wp:anchor>
        </w:drawing>
      </w:r>
      <w:r>
        <w:rPr>
          <w:rFonts w:ascii="Arial" w:hAnsi="Arial" w:cs="Arial"/>
        </w:rPr>
        <w:drawing>
          <wp:anchor distT="0" distB="0" distL="114300" distR="114300" simplePos="0" relativeHeight="251659264" behindDoc="0" locked="0" layoutInCell="1" allowOverlap="1">
            <wp:simplePos x="0" y="0"/>
            <wp:positionH relativeFrom="margin">
              <wp:posOffset>5014595</wp:posOffset>
            </wp:positionH>
            <wp:positionV relativeFrom="paragraph">
              <wp:posOffset>0</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vlf4jhl\Desktop\Miscellaneous\UPS Shield 2017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47725" cy="958215"/>
                    </a:xfrm>
                    <a:prstGeom prst="rect">
                      <a:avLst/>
                    </a:prstGeom>
                    <a:noFill/>
                    <a:ln>
                      <a:noFill/>
                    </a:ln>
                  </pic:spPr>
                </pic:pic>
              </a:graphicData>
            </a:graphic>
          </wp:anchor>
        </w:drawing>
      </w:r>
      <w:r>
        <w:rPr>
          <w:rFonts w:ascii="Arial" w:hAnsi="Arial" w:cs="Arial"/>
          <w:sz w:val="20"/>
          <w:szCs w:val="20"/>
        </w:rPr>
        <w:t xml:space="preserve">Contacts: </w:t>
      </w:r>
      <w:r>
        <w:rPr>
          <w:rFonts w:ascii="Arial" w:hAnsi="Arial" w:cs="Arial"/>
          <w:sz w:val="20"/>
          <w:szCs w:val="20"/>
        </w:rPr>
        <w:tab/>
      </w:r>
      <w:r>
        <w:rPr>
          <w:rFonts w:ascii="Arial" w:hAnsi="Arial" w:cs="Arial"/>
          <w:sz w:val="20"/>
          <w:szCs w:val="20"/>
        </w:rPr>
        <w:t>UPS Media Relations</w:t>
      </w:r>
    </w:p>
    <w:p>
      <w:pPr>
        <w:ind w:left="720" w:firstLine="720"/>
        <w:rPr>
          <w:rFonts w:ascii="Arial" w:hAnsi="Arial" w:cs="Arial"/>
          <w:sz w:val="20"/>
          <w:szCs w:val="20"/>
        </w:rPr>
      </w:pPr>
      <w:r>
        <w:fldChar w:fldCharType="begin"/>
      </w:r>
      <w:r>
        <w:instrText xml:space="preserve"> HYPERLINK "tel:+14048287123" </w:instrText>
      </w:r>
      <w:r>
        <w:fldChar w:fldCharType="separate"/>
      </w:r>
      <w:r>
        <w:rPr>
          <w:rFonts w:ascii="Arial" w:hAnsi="Arial" w:cs="Arial"/>
          <w:sz w:val="20"/>
          <w:szCs w:val="20"/>
        </w:rPr>
        <w:t>+1 404 828 7123</w:t>
      </w:r>
      <w:r>
        <w:rPr>
          <w:rFonts w:ascii="Arial" w:hAnsi="Arial" w:cs="Arial"/>
          <w:sz w:val="20"/>
          <w:szCs w:val="20"/>
        </w:rPr>
        <w:fldChar w:fldCharType="end"/>
      </w:r>
      <w:r>
        <w:rPr>
          <w:rFonts w:ascii="Arial" w:hAnsi="Arial" w:cs="Arial"/>
          <w:sz w:val="20"/>
          <w:szCs w:val="20"/>
        </w:rPr>
        <w:t xml:space="preserve"> </w:t>
      </w:r>
    </w:p>
    <w:p>
      <w:pPr>
        <w:ind w:left="720" w:firstLine="720"/>
        <w:rPr>
          <w:rFonts w:ascii="Arial" w:hAnsi="Arial" w:cs="Arial"/>
          <w:sz w:val="20"/>
          <w:szCs w:val="20"/>
        </w:rPr>
      </w:pPr>
      <w:r>
        <w:fldChar w:fldCharType="begin"/>
      </w:r>
      <w:r>
        <w:instrText xml:space="preserve"> HYPERLINK "mailto:pr@ups.com" </w:instrText>
      </w:r>
      <w:r>
        <w:fldChar w:fldCharType="separate"/>
      </w:r>
      <w:r>
        <w:rPr>
          <w:rStyle w:val="4"/>
          <w:rFonts w:ascii="Arial" w:hAnsi="Arial" w:cs="Arial"/>
          <w:sz w:val="20"/>
          <w:szCs w:val="20"/>
        </w:rPr>
        <w:t>pr@ups.com</w:t>
      </w:r>
      <w:r>
        <w:rPr>
          <w:rStyle w:val="4"/>
          <w:rFonts w:ascii="Arial" w:hAnsi="Arial" w:cs="Arial"/>
          <w:sz w:val="20"/>
          <w:szCs w:val="20"/>
        </w:rPr>
        <w:fldChar w:fldCharType="end"/>
      </w:r>
      <w:r>
        <w:rPr>
          <w:rFonts w:ascii="Arial" w:hAnsi="Arial" w:cs="Arial"/>
          <w:sz w:val="20"/>
          <w:szCs w:val="20"/>
        </w:rPr>
        <w:t xml:space="preserve"> </w:t>
      </w:r>
    </w:p>
    <w:p>
      <w:pPr>
        <w:rPr>
          <w:rFonts w:ascii="Arial" w:hAnsi="Arial" w:cs="Arial"/>
          <w:sz w:val="20"/>
          <w:szCs w:val="20"/>
        </w:rPr>
      </w:pPr>
    </w:p>
    <w:p>
      <w:pPr>
        <w:ind w:left="720" w:firstLine="720"/>
        <w:rPr>
          <w:rFonts w:ascii="Arial" w:hAnsi="Arial" w:cs="Arial"/>
          <w:sz w:val="20"/>
          <w:szCs w:val="20"/>
        </w:rPr>
      </w:pPr>
      <w:r>
        <w:rPr>
          <w:rFonts w:ascii="Arial" w:hAnsi="Arial" w:cs="Arial"/>
          <w:sz w:val="20"/>
          <w:szCs w:val="20"/>
        </w:rPr>
        <w:t>UPS Investor Relations</w:t>
      </w:r>
    </w:p>
    <w:p>
      <w:pPr>
        <w:ind w:left="720" w:firstLine="720"/>
        <w:rPr>
          <w:rFonts w:ascii="Arial" w:hAnsi="Arial" w:cs="Arial"/>
          <w:sz w:val="20"/>
          <w:szCs w:val="20"/>
        </w:rPr>
      </w:pPr>
      <w:r>
        <w:fldChar w:fldCharType="begin"/>
      </w:r>
      <w:r>
        <w:instrText xml:space="preserve"> HYPERLINK "tel:+14048286059" </w:instrText>
      </w:r>
      <w:r>
        <w:fldChar w:fldCharType="separate"/>
      </w:r>
      <w:r>
        <w:rPr>
          <w:rFonts w:ascii="Arial" w:hAnsi="Arial" w:cs="Arial"/>
          <w:sz w:val="20"/>
          <w:szCs w:val="20"/>
        </w:rPr>
        <w:t>+14048286059</w:t>
      </w:r>
      <w:r>
        <w:rPr>
          <w:rFonts w:ascii="Arial" w:hAnsi="Arial" w:cs="Arial"/>
          <w:sz w:val="20"/>
          <w:szCs w:val="20"/>
        </w:rPr>
        <w:fldChar w:fldCharType="end"/>
      </w:r>
      <w:r>
        <w:rPr>
          <w:rFonts w:ascii="Arial" w:hAnsi="Arial" w:cs="Arial"/>
          <w:sz w:val="20"/>
          <w:szCs w:val="20"/>
        </w:rPr>
        <w:t xml:space="preserve"> </w:t>
      </w:r>
    </w:p>
    <w:p>
      <w:pPr>
        <w:ind w:left="720" w:firstLine="720"/>
        <w:rPr>
          <w:rStyle w:val="4"/>
          <w:rFonts w:ascii="Arial" w:hAnsi="Arial" w:cs="Arial"/>
          <w:sz w:val="20"/>
          <w:szCs w:val="20"/>
        </w:rPr>
      </w:pPr>
      <w:r>
        <w:fldChar w:fldCharType="begin"/>
      </w:r>
      <w:r>
        <w:instrText xml:space="preserve"> HYPERLINK "mailto:investor@ups.com" </w:instrText>
      </w:r>
      <w:r>
        <w:fldChar w:fldCharType="separate"/>
      </w:r>
      <w:r>
        <w:rPr>
          <w:rStyle w:val="4"/>
          <w:rFonts w:ascii="Arial" w:hAnsi="Arial" w:cs="Arial"/>
          <w:sz w:val="20"/>
          <w:szCs w:val="20"/>
        </w:rPr>
        <w:t>investor@ups.com</w:t>
      </w:r>
      <w:r>
        <w:rPr>
          <w:rStyle w:val="4"/>
          <w:rFonts w:ascii="Arial" w:hAnsi="Arial" w:cs="Arial"/>
          <w:sz w:val="20"/>
          <w:szCs w:val="20"/>
        </w:rPr>
        <w:fldChar w:fldCharType="end"/>
      </w:r>
    </w:p>
    <w:p>
      <w:pPr>
        <w:spacing w:line="238" w:lineRule="auto"/>
        <w:jc w:val="center"/>
        <w:outlineLvl w:val="0"/>
        <w:rPr>
          <w:rFonts w:ascii="Arial" w:hAnsi="Arial" w:eastAsia="Arial" w:cs="Arial"/>
          <w:b/>
          <w:sz w:val="32"/>
        </w:rPr>
      </w:pPr>
    </w:p>
    <w:p>
      <w:pPr>
        <w:spacing w:line="238" w:lineRule="auto"/>
        <w:jc w:val="center"/>
        <w:outlineLvl w:val="0"/>
        <w:rPr>
          <w:rFonts w:ascii="Arial" w:hAnsi="Arial" w:eastAsia="Arial" w:cs="Arial"/>
          <w:b/>
          <w:sz w:val="32"/>
        </w:rPr>
      </w:pPr>
    </w:p>
    <w:p>
      <w:pPr>
        <w:spacing w:line="238" w:lineRule="auto"/>
        <w:jc w:val="center"/>
        <w:outlineLvl w:val="0"/>
      </w:pPr>
      <w:r>
        <w:rPr>
          <w:rFonts w:ascii="Arial" w:hAnsi="Arial" w:eastAsia="Arial" w:cs="Arial"/>
          <w:b/>
          <w:sz w:val="32"/>
        </w:rPr>
        <w:t>UPS RELEASES 4Q 2021 EARNINGS</w:t>
      </w:r>
    </w:p>
    <w:p>
      <w:pPr>
        <w:spacing w:line="276" w:lineRule="auto"/>
        <w:rPr>
          <w:rFonts w:ascii="Arial" w:hAnsi="Arial" w:eastAsia="Arial" w:cs="Arial"/>
          <w:sz w:val="22"/>
        </w:rPr>
      </w:pPr>
    </w:p>
    <w:p>
      <w:pPr>
        <w:numPr>
          <w:ilvl w:val="0"/>
          <w:numId w:val="1"/>
        </w:numPr>
        <w:spacing w:line="276" w:lineRule="auto"/>
        <w:rPr>
          <w:rFonts w:ascii="Arial" w:hAnsi="Arial" w:eastAsia="Arial" w:cs="Arial"/>
          <w:sz w:val="22"/>
        </w:rPr>
      </w:pPr>
      <w:r>
        <w:rPr>
          <w:rFonts w:ascii="Arial" w:hAnsi="Arial" w:eastAsia="Arial" w:cs="Arial"/>
          <w:b/>
          <w:i/>
          <w:sz w:val="22"/>
        </w:rPr>
        <w:t>Consolidated Revenues of $27.8B, Up 11.5% from Last Year</w:t>
      </w:r>
    </w:p>
    <w:p>
      <w:pPr>
        <w:numPr>
          <w:ilvl w:val="0"/>
          <w:numId w:val="2"/>
        </w:numPr>
        <w:spacing w:line="276" w:lineRule="auto"/>
        <w:rPr>
          <w:rFonts w:ascii="Arial" w:hAnsi="Arial" w:eastAsia="Arial" w:cs="Arial"/>
          <w:sz w:val="22"/>
        </w:rPr>
      </w:pPr>
      <w:r>
        <w:rPr>
          <w:rFonts w:ascii="Arial" w:hAnsi="Arial" w:eastAsia="Arial" w:cs="Arial"/>
          <w:b/>
          <w:i/>
          <w:sz w:val="22"/>
        </w:rPr>
        <w:t>Consolidated Operating Profit of $3.9B, Up 91.0% from Last Year; Up 37.7% on an Adjusted* Basis</w:t>
      </w:r>
    </w:p>
    <w:p>
      <w:pPr>
        <w:numPr>
          <w:ilvl w:val="0"/>
          <w:numId w:val="3"/>
        </w:numPr>
        <w:spacing w:line="276" w:lineRule="auto"/>
        <w:rPr>
          <w:rFonts w:ascii="Arial" w:hAnsi="Arial" w:eastAsia="Arial" w:cs="Arial"/>
          <w:sz w:val="22"/>
        </w:rPr>
      </w:pPr>
      <w:r>
        <w:rPr>
          <w:rFonts w:ascii="Arial" w:hAnsi="Arial" w:eastAsia="Arial" w:cs="Arial"/>
          <w:b/>
          <w:i/>
          <w:sz w:val="22"/>
        </w:rPr>
        <w:t>Diluted EPS of $3.52; Adjusted Diluted EPS Up 35.0% Over Last Year to $3.59</w:t>
      </w:r>
    </w:p>
    <w:p>
      <w:pPr>
        <w:numPr>
          <w:ilvl w:val="0"/>
          <w:numId w:val="4"/>
        </w:numPr>
        <w:spacing w:line="269" w:lineRule="auto"/>
        <w:rPr>
          <w:rFonts w:ascii="Arial" w:hAnsi="Arial" w:eastAsia="Arial" w:cs="Arial"/>
          <w:sz w:val="22"/>
        </w:rPr>
      </w:pPr>
      <w:r>
        <w:rPr>
          <w:rFonts w:ascii="Arial" w:hAnsi="Arial" w:eastAsia="Arial" w:cs="Arial"/>
          <w:b/>
          <w:i/>
          <w:sz w:val="22"/>
        </w:rPr>
        <w:t>UPS Board of Directors Declares Quarterly Dividend of $1.52, a Per-Share Increase</w:t>
      </w:r>
    </w:p>
    <w:p>
      <w:pPr>
        <w:spacing w:line="269" w:lineRule="auto"/>
        <w:ind w:left="720"/>
        <w:rPr>
          <w:rFonts w:ascii="Arial" w:hAnsi="Arial" w:eastAsia="Arial" w:cs="Arial"/>
          <w:b/>
          <w:i/>
          <w:sz w:val="22"/>
        </w:rPr>
      </w:pPr>
      <w:r>
        <w:rPr>
          <w:rFonts w:ascii="Arial" w:hAnsi="Arial" w:eastAsia="Arial" w:cs="Arial"/>
          <w:b/>
          <w:i/>
          <w:sz w:val="22"/>
        </w:rPr>
        <w:t xml:space="preserve">of 49% Over the Prior Year </w:t>
      </w:r>
    </w:p>
    <w:p>
      <w:pPr>
        <w:spacing w:line="288" w:lineRule="auto"/>
        <w:rPr>
          <w:b/>
          <w:i/>
          <w:sz w:val="22"/>
        </w:rPr>
      </w:pPr>
    </w:p>
    <w:p>
      <w:pPr>
        <w:spacing w:line="288" w:lineRule="auto"/>
        <w:rPr>
          <w:rFonts w:ascii="Arial" w:hAnsi="Arial" w:eastAsia="Arial" w:cs="Arial"/>
          <w:sz w:val="22"/>
        </w:rPr>
      </w:pPr>
      <w:r>
        <w:rPr>
          <w:rFonts w:ascii="Arial" w:hAnsi="Arial" w:eastAsia="Arial" w:cs="Arial"/>
          <w:sz w:val="22"/>
        </w:rPr>
        <w:t xml:space="preserve">ATLANTA – February 1, 2022 – UPS (NYSE:UPS) today announced fourth-quarter 2021 consolidated revenue of $27.8 billion, an 11.5% increase over the fourth quarter of 2020. Consolidated operating profit was $3.9 billion, up 91.0% compared to the fourth quarter of 2020, and up 37.7% on an adjusted basis. Diluted earnings per share were $3.52 for the quarter; adjusted diluted earnings per share were 35.0% above the same period in 2020. </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 xml:space="preserve">For the fourth quarter of 2021, GAAP results include a total charge of $59 million, or $0.07 per diluted share, comprised of a non-cash, after-tax mark-to-market (MTM) pension charge of $14 million and after-tax transformation and other charges of $45 million. </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 xml:space="preserve">“I want to thank all UPSers for their outstanding efforts throughout the holiday season and for once again delivering industry-leading service to our customers.” said Carol Tomé, UPS chief executive officer. “The execution of our strategy is delivering positive financial results and driving strong momentum as we move into 2022.” </w:t>
      </w:r>
      <w:r>
        <w:rPr>
          <w:rFonts w:ascii="Arial" w:hAnsi="Arial" w:eastAsia="Arial" w:cs="Arial"/>
        </w:rPr>
        <w:t xml:space="preserve"> </w:t>
      </w:r>
    </w:p>
    <w:p>
      <w:pPr>
        <w:spacing w:line="288" w:lineRule="auto"/>
        <w:rPr>
          <w:rFonts w:ascii="Arial" w:hAnsi="Arial" w:eastAsia="Arial" w:cs="Arial"/>
          <w:sz w:val="22"/>
        </w:rPr>
      </w:pPr>
      <w:r>
        <w:rPr>
          <w:rFonts w:ascii="Arial" w:hAnsi="Arial" w:eastAsia="Arial" w:cs="Arial"/>
          <w:sz w:val="22"/>
        </w:rPr>
        <w:t xml:space="preserve"> </w:t>
      </w:r>
    </w:p>
    <w:p>
      <w:pPr>
        <w:spacing w:line="238" w:lineRule="auto"/>
      </w:pPr>
      <w:r>
        <w:rPr>
          <w:rFonts w:ascii="Arial" w:hAnsi="Arial" w:eastAsia="Arial" w:cs="Arial"/>
          <w:b/>
        </w:rPr>
        <w:t>U.S. Domestic Segment</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1545"/>
        <w:gridCol w:w="1545"/>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2850" w:type="dxa"/>
            <w:tcBorders>
              <w:top w:val="single" w:color="000000" w:sz="8" w:space="0"/>
              <w:left w:val="single" w:color="000000" w:sz="8" w:space="0"/>
              <w:bottom w:val="nil"/>
              <w:right w:val="nil"/>
            </w:tcBorders>
            <w:tcMar>
              <w:top w:w="0" w:type="dxa"/>
              <w:left w:w="0" w:type="dxa"/>
              <w:bottom w:w="0" w:type="dxa"/>
              <w:right w:w="0" w:type="dxa"/>
            </w:tcMar>
            <w:vAlign w:val="bottom"/>
          </w:tcPr>
          <w:p>
            <w:pPr>
              <w:keepNext/>
            </w:pP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b/>
                <w:u w:val="single"/>
              </w:rPr>
            </w:pPr>
            <w:r>
              <w:rPr>
                <w:rFonts w:ascii="Arial" w:hAnsi="Arial" w:eastAsia="Arial" w:cs="Arial"/>
                <w:b/>
                <w:sz w:val="20"/>
                <w:u w:val="single"/>
              </w:rPr>
              <w:t>4Q 2021</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4Q 2021</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b/>
                <w:u w:val="single"/>
              </w:rPr>
            </w:pPr>
            <w:r>
              <w:rPr>
                <w:rFonts w:ascii="Arial" w:hAnsi="Arial" w:eastAsia="Arial" w:cs="Arial"/>
                <w:b/>
                <w:sz w:val="20"/>
                <w:u w:val="single"/>
              </w:rPr>
              <w:t>4Q 2020</w:t>
            </w:r>
          </w:p>
        </w:tc>
        <w:tc>
          <w:tcPr>
            <w:tcW w:w="1545" w:type="dxa"/>
            <w:tcBorders>
              <w:top w:val="single" w:color="000000" w:sz="8" w:space="0"/>
              <w:left w:val="nil"/>
              <w:bottom w:val="nil"/>
              <w:right w:val="single" w:color="000000" w:sz="8" w:space="0"/>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4Q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nil"/>
              <w:right w:val="nil"/>
            </w:tcBorders>
            <w:tcMar>
              <w:top w:w="0" w:type="dxa"/>
              <w:left w:w="53" w:type="dxa"/>
              <w:bottom w:w="0" w:type="dxa"/>
              <w:right w:w="53" w:type="dxa"/>
            </w:tcMar>
          </w:tcPr>
          <w:p>
            <w:pPr>
              <w:keepNext/>
              <w:spacing w:before="53" w:after="30" w:line="276" w:lineRule="auto"/>
            </w:pPr>
            <w:r>
              <w:rPr>
                <w:rFonts w:ascii="Arial" w:hAnsi="Arial" w:eastAsia="Arial" w:cs="Arial"/>
                <w:sz w:val="20"/>
              </w:rPr>
              <w:t>Revenue</w:t>
            </w: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$17,697 M</w:t>
            </w:r>
          </w:p>
        </w:tc>
        <w:tc>
          <w:tcPr>
            <w:tcW w:w="1545" w:type="dxa"/>
            <w:tcBorders>
              <w:top w:val="nil"/>
              <w:left w:val="nil"/>
              <w:bottom w:val="nil"/>
              <w:right w:val="nil"/>
            </w:tcBorders>
            <w:tcMar>
              <w:top w:w="0" w:type="dxa"/>
              <w:left w:w="0" w:type="dxa"/>
              <w:bottom w:w="0" w:type="dxa"/>
              <w:right w:w="0" w:type="dxa"/>
            </w:tcMar>
            <w:vAlign w:val="bottom"/>
          </w:tcPr>
          <w:p>
            <w:pPr>
              <w:keepNext/>
            </w:pP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$15,744 M</w:t>
            </w:r>
          </w:p>
        </w:tc>
        <w:tc>
          <w:tcPr>
            <w:tcW w:w="1545" w:type="dxa"/>
            <w:tcBorders>
              <w:top w:val="nil"/>
              <w:left w:val="nil"/>
              <w:bottom w:val="nil"/>
              <w:right w:val="single" w:color="000000" w:sz="8" w:space="0"/>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single" w:color="000000" w:sz="8" w:space="0"/>
              <w:right w:val="nil"/>
            </w:tcBorders>
            <w:tcMar>
              <w:top w:w="0" w:type="dxa"/>
              <w:left w:w="53" w:type="dxa"/>
              <w:bottom w:w="0" w:type="dxa"/>
              <w:right w:w="53" w:type="dxa"/>
            </w:tcMar>
          </w:tcPr>
          <w:p>
            <w:pPr>
              <w:spacing w:before="53" w:after="30" w:line="276" w:lineRule="auto"/>
            </w:pPr>
            <w:r>
              <w:rPr>
                <w:rFonts w:ascii="Arial" w:hAnsi="Arial" w:eastAsia="Arial" w:cs="Arial"/>
                <w:sz w:val="20"/>
              </w:rPr>
              <w:t>Operating profit</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$2,103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$2,165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$1,247 M</w:t>
            </w:r>
          </w:p>
        </w:tc>
        <w:tc>
          <w:tcPr>
            <w:tcW w:w="1545" w:type="dxa"/>
            <w:tcBorders>
              <w:top w:val="nil"/>
              <w:left w:val="nil"/>
              <w:bottom w:val="single" w:color="000000" w:sz="8" w:space="0"/>
              <w:right w:val="single" w:color="000000" w:sz="8" w:space="0"/>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$1,379 M</w:t>
            </w:r>
          </w:p>
        </w:tc>
      </w:tr>
    </w:tbl>
    <w:p>
      <w:pPr>
        <w:spacing w:line="276" w:lineRule="auto"/>
        <w:rPr>
          <w:rFonts w:ascii="Arial" w:hAnsi="Arial" w:eastAsia="Arial" w:cs="Arial"/>
        </w:rPr>
      </w:pPr>
    </w:p>
    <w:p>
      <w:pPr>
        <w:numPr>
          <w:ilvl w:val="0"/>
          <w:numId w:val="5"/>
        </w:numPr>
        <w:spacing w:line="269" w:lineRule="auto"/>
        <w:rPr>
          <w:rFonts w:ascii="Arial" w:hAnsi="Arial" w:eastAsia="Arial" w:cs="Arial"/>
          <w:sz w:val="22"/>
        </w:rPr>
      </w:pPr>
      <w:r>
        <w:rPr>
          <w:rFonts w:ascii="Arial" w:hAnsi="Arial" w:eastAsia="Arial" w:cs="Arial"/>
          <w:sz w:val="22"/>
        </w:rPr>
        <w:t>Revenue was up 12.4%, driven by a 10.5% increase in revenue per piece.</w:t>
      </w:r>
    </w:p>
    <w:p>
      <w:pPr>
        <w:numPr>
          <w:ilvl w:val="0"/>
          <w:numId w:val="6"/>
        </w:numPr>
        <w:spacing w:line="288" w:lineRule="auto"/>
        <w:rPr>
          <w:rFonts w:ascii="Arial" w:hAnsi="Arial" w:eastAsia="Arial" w:cs="Arial"/>
          <w:sz w:val="22"/>
        </w:rPr>
      </w:pPr>
      <w:r>
        <w:rPr>
          <w:rFonts w:ascii="Arial" w:hAnsi="Arial" w:eastAsia="Arial" w:cs="Arial"/>
          <w:sz w:val="22"/>
        </w:rPr>
        <w:t>Operating margin was 11.9%; adjusted operating margin was 12.2%.</w:t>
      </w:r>
    </w:p>
    <w:p>
      <w:pPr>
        <w:spacing w:line="238" w:lineRule="auto"/>
        <w:rPr>
          <w:b/>
          <w:sz w:val="20"/>
          <w:vertAlign w:val="subscript"/>
        </w:rPr>
      </w:pPr>
    </w:p>
    <w:p>
      <w:pPr>
        <w:rPr>
          <w:rFonts w:ascii="Arial" w:hAnsi="Arial" w:eastAsia="Arial" w:cs="Arial"/>
          <w:b/>
        </w:rPr>
      </w:pPr>
      <w:r>
        <w:rPr>
          <w:rFonts w:ascii="Arial" w:hAnsi="Arial" w:eastAsia="Arial" w:cs="Arial"/>
          <w:b/>
        </w:rPr>
        <w:br w:type="page"/>
      </w:r>
    </w:p>
    <w:p>
      <w:pPr>
        <w:spacing w:line="238" w:lineRule="auto"/>
        <w:rPr>
          <w:rFonts w:ascii="Arial" w:hAnsi="Arial" w:eastAsia="Arial" w:cs="Arial"/>
          <w:b/>
        </w:rPr>
      </w:pPr>
      <w:r>
        <w:rPr>
          <w:rFonts w:ascii="Arial" w:hAnsi="Arial" w:eastAsia="Arial" w:cs="Arial"/>
          <w:b/>
        </w:rPr>
        <w:t>International Segment</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1545"/>
        <w:gridCol w:w="1545"/>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2850" w:type="dxa"/>
            <w:tcBorders>
              <w:top w:val="single" w:color="000000" w:sz="8" w:space="0"/>
              <w:left w:val="single" w:color="000000" w:sz="8" w:space="0"/>
              <w:bottom w:val="nil"/>
              <w:right w:val="nil"/>
            </w:tcBorders>
            <w:tcMar>
              <w:top w:w="0" w:type="dxa"/>
              <w:left w:w="0" w:type="dxa"/>
              <w:bottom w:w="0" w:type="dxa"/>
              <w:right w:w="0" w:type="dxa"/>
            </w:tcMar>
            <w:vAlign w:val="bottom"/>
          </w:tcPr>
          <w:p>
            <w:pPr>
              <w:keepNext/>
            </w:pP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rFonts w:ascii="Arial" w:hAnsi="Arial" w:eastAsia="Arial" w:cs="Arial"/>
                <w:b/>
                <w:sz w:val="20"/>
                <w:u w:val="single"/>
              </w:rPr>
            </w:pPr>
            <w:r>
              <w:rPr>
                <w:rFonts w:ascii="Arial" w:hAnsi="Arial" w:eastAsia="Arial" w:cs="Arial"/>
                <w:b/>
                <w:sz w:val="20"/>
                <w:u w:val="single"/>
              </w:rPr>
              <w:t>4Q 2021</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4Q 2021</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b/>
                <w:u w:val="single"/>
              </w:rPr>
            </w:pPr>
            <w:r>
              <w:rPr>
                <w:rFonts w:ascii="Arial" w:hAnsi="Arial" w:eastAsia="Arial" w:cs="Arial"/>
                <w:b/>
                <w:sz w:val="20"/>
                <w:u w:val="single"/>
              </w:rPr>
              <w:t>4Q 2020</w:t>
            </w:r>
          </w:p>
        </w:tc>
        <w:tc>
          <w:tcPr>
            <w:tcW w:w="1545" w:type="dxa"/>
            <w:tcBorders>
              <w:top w:val="single" w:color="000000" w:sz="8" w:space="0"/>
              <w:left w:val="nil"/>
              <w:bottom w:val="nil"/>
              <w:right w:val="single" w:color="000000" w:sz="8" w:space="0"/>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4Q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nil"/>
              <w:right w:val="nil"/>
            </w:tcBorders>
            <w:tcMar>
              <w:top w:w="0" w:type="dxa"/>
              <w:left w:w="53" w:type="dxa"/>
              <w:bottom w:w="0" w:type="dxa"/>
              <w:right w:w="53" w:type="dxa"/>
            </w:tcMar>
          </w:tcPr>
          <w:p>
            <w:pPr>
              <w:keepNext/>
              <w:spacing w:before="53" w:after="30" w:line="276" w:lineRule="auto"/>
            </w:pPr>
            <w:r>
              <w:rPr>
                <w:rFonts w:ascii="Arial" w:hAnsi="Arial" w:eastAsia="Arial" w:cs="Arial"/>
                <w:sz w:val="20"/>
              </w:rPr>
              <w:t>Revenue</w:t>
            </w: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$5,397 M</w:t>
            </w:r>
          </w:p>
        </w:tc>
        <w:tc>
          <w:tcPr>
            <w:tcW w:w="1545" w:type="dxa"/>
            <w:tcBorders>
              <w:top w:val="nil"/>
              <w:left w:val="nil"/>
              <w:bottom w:val="nil"/>
              <w:right w:val="nil"/>
            </w:tcBorders>
            <w:tcMar>
              <w:top w:w="0" w:type="dxa"/>
              <w:left w:w="0" w:type="dxa"/>
              <w:bottom w:w="0" w:type="dxa"/>
              <w:right w:w="0" w:type="dxa"/>
            </w:tcMar>
            <w:vAlign w:val="bottom"/>
          </w:tcPr>
          <w:p>
            <w:pPr>
              <w:keepNext/>
            </w:pP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$4,770 M</w:t>
            </w:r>
          </w:p>
        </w:tc>
        <w:tc>
          <w:tcPr>
            <w:tcW w:w="1545" w:type="dxa"/>
            <w:tcBorders>
              <w:top w:val="nil"/>
              <w:left w:val="nil"/>
              <w:bottom w:val="nil"/>
              <w:right w:val="single" w:color="000000" w:sz="8" w:space="0"/>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single" w:color="000000" w:sz="8" w:space="0"/>
              <w:right w:val="nil"/>
            </w:tcBorders>
            <w:tcMar>
              <w:top w:w="0" w:type="dxa"/>
              <w:left w:w="53" w:type="dxa"/>
              <w:bottom w:w="0" w:type="dxa"/>
              <w:right w:w="53" w:type="dxa"/>
            </w:tcMar>
          </w:tcPr>
          <w:p>
            <w:pPr>
              <w:spacing w:before="53" w:after="30" w:line="276" w:lineRule="auto"/>
            </w:pPr>
            <w:r>
              <w:rPr>
                <w:rFonts w:ascii="Arial" w:hAnsi="Arial" w:eastAsia="Arial" w:cs="Arial"/>
                <w:sz w:val="20"/>
              </w:rPr>
              <w:t>Operating profit</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$1,326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$1,331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$1,148 M</w:t>
            </w:r>
          </w:p>
        </w:tc>
        <w:tc>
          <w:tcPr>
            <w:tcW w:w="1545" w:type="dxa"/>
            <w:tcBorders>
              <w:top w:val="nil"/>
              <w:left w:val="nil"/>
              <w:bottom w:val="single" w:color="000000" w:sz="8" w:space="0"/>
              <w:right w:val="single" w:color="000000" w:sz="8" w:space="0"/>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$1,160 M</w:t>
            </w:r>
          </w:p>
        </w:tc>
      </w:tr>
    </w:tbl>
    <w:p>
      <w:pPr>
        <w:spacing w:line="276" w:lineRule="auto"/>
        <w:rPr>
          <w:rFonts w:ascii="Arial" w:hAnsi="Arial" w:eastAsia="Arial" w:cs="Arial"/>
          <w:sz w:val="22"/>
        </w:rPr>
      </w:pPr>
    </w:p>
    <w:p>
      <w:pPr>
        <w:numPr>
          <w:ilvl w:val="0"/>
          <w:numId w:val="7"/>
        </w:numPr>
        <w:spacing w:line="288" w:lineRule="auto"/>
        <w:rPr>
          <w:rFonts w:ascii="Arial" w:hAnsi="Arial" w:eastAsia="Arial" w:cs="Arial"/>
          <w:sz w:val="22"/>
        </w:rPr>
      </w:pPr>
      <w:r>
        <w:rPr>
          <w:rFonts w:ascii="Arial" w:hAnsi="Arial" w:eastAsia="Arial" w:cs="Arial"/>
          <w:sz w:val="22"/>
        </w:rPr>
        <w:t>Revenue increased 13.1%, driven by a 16.4% increase in revenue per piece.</w:t>
      </w:r>
    </w:p>
    <w:p>
      <w:pPr>
        <w:numPr>
          <w:ilvl w:val="0"/>
          <w:numId w:val="8"/>
        </w:numPr>
        <w:spacing w:line="288" w:lineRule="auto"/>
        <w:rPr>
          <w:rFonts w:ascii="Arial" w:hAnsi="Arial" w:eastAsia="Arial" w:cs="Arial"/>
          <w:sz w:val="22"/>
        </w:rPr>
      </w:pPr>
      <w:r>
        <w:rPr>
          <w:rFonts w:ascii="Arial" w:hAnsi="Arial" w:eastAsia="Arial" w:cs="Arial"/>
          <w:sz w:val="22"/>
        </w:rPr>
        <w:t>Operating margin was 24.6%; adjusted operating margin was 24.7%.</w:t>
      </w:r>
    </w:p>
    <w:p>
      <w:pPr>
        <w:spacing w:line="238" w:lineRule="auto"/>
        <w:rPr>
          <w:b/>
          <w:sz w:val="20"/>
          <w:vertAlign w:val="subscript"/>
        </w:rPr>
      </w:pPr>
    </w:p>
    <w:p>
      <w:pPr>
        <w:spacing w:line="238" w:lineRule="auto"/>
        <w:rPr>
          <w:rFonts w:ascii="Arial" w:hAnsi="Arial" w:eastAsia="Arial" w:cs="Arial"/>
          <w:b/>
        </w:rPr>
      </w:pPr>
    </w:p>
    <w:p>
      <w:pPr>
        <w:spacing w:line="238" w:lineRule="auto"/>
        <w:rPr>
          <w:rFonts w:ascii="Arial" w:hAnsi="Arial" w:eastAsia="Arial" w:cs="Arial"/>
          <w:b/>
        </w:rPr>
      </w:pPr>
      <w:bookmarkStart w:id="1" w:name="_GoBack"/>
      <w:bookmarkEnd w:id="1"/>
    </w:p>
    <w:p>
      <w:pPr>
        <w:spacing w:line="238" w:lineRule="auto"/>
        <w:rPr>
          <w:rFonts w:ascii="Arial" w:hAnsi="Arial" w:eastAsia="Arial" w:cs="Arial"/>
          <w:b/>
        </w:rPr>
      </w:pPr>
      <w:r>
        <w:rPr>
          <w:rFonts w:ascii="Arial" w:hAnsi="Arial" w:eastAsia="Arial" w:cs="Arial"/>
          <w:b/>
        </w:rPr>
        <w:t>Supply Chain Solutions</w:t>
      </w:r>
      <w:r>
        <w:rPr>
          <w:rFonts w:ascii="Arial" w:hAnsi="Arial" w:eastAsia="Arial" w:cs="Arial"/>
          <w:b/>
          <w:sz w:val="18"/>
          <w:vertAlign w:val="superscript"/>
        </w:rPr>
        <w:t xml:space="preserve">1 </w:t>
      </w:r>
    </w:p>
    <w:tbl>
      <w:tblPr>
        <w:tblStyle w:val="3"/>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1545"/>
        <w:gridCol w:w="1545"/>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2850" w:type="dxa"/>
            <w:tcBorders>
              <w:top w:val="single" w:color="000000" w:sz="8" w:space="0"/>
              <w:left w:val="single" w:color="000000" w:sz="8" w:space="0"/>
              <w:bottom w:val="nil"/>
              <w:right w:val="nil"/>
            </w:tcBorders>
            <w:tcMar>
              <w:top w:w="0" w:type="dxa"/>
              <w:left w:w="0" w:type="dxa"/>
              <w:bottom w:w="0" w:type="dxa"/>
              <w:right w:w="0" w:type="dxa"/>
            </w:tcMar>
            <w:vAlign w:val="bottom"/>
          </w:tcPr>
          <w:p>
            <w:pPr>
              <w:keepNext/>
            </w:pP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b/>
                <w:u w:val="single"/>
              </w:rPr>
            </w:pPr>
            <w:r>
              <w:rPr>
                <w:rFonts w:ascii="Arial" w:hAnsi="Arial" w:eastAsia="Arial" w:cs="Arial"/>
                <w:b/>
                <w:sz w:val="20"/>
                <w:u w:val="single"/>
              </w:rPr>
              <w:t>4Q 2021</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4Q 2021</w:t>
            </w:r>
          </w:p>
        </w:tc>
        <w:tc>
          <w:tcPr>
            <w:tcW w:w="1545" w:type="dxa"/>
            <w:tcBorders>
              <w:top w:val="single" w:color="000000" w:sz="8" w:space="0"/>
              <w:left w:val="nil"/>
              <w:bottom w:val="nil"/>
              <w:right w:val="nil"/>
            </w:tcBorders>
            <w:tcMar>
              <w:top w:w="0" w:type="dxa"/>
              <w:left w:w="53" w:type="dxa"/>
              <w:bottom w:w="0" w:type="dxa"/>
              <w:right w:w="53" w:type="dxa"/>
            </w:tcMar>
          </w:tcPr>
          <w:p>
            <w:pPr>
              <w:keepNext/>
              <w:spacing w:before="33" w:line="276" w:lineRule="auto"/>
              <w:jc w:val="right"/>
              <w:rPr>
                <w:b/>
                <w:u w:val="single"/>
              </w:rPr>
            </w:pPr>
          </w:p>
          <w:p>
            <w:pPr>
              <w:spacing w:after="30" w:line="276" w:lineRule="auto"/>
              <w:jc w:val="right"/>
              <w:rPr>
                <w:b/>
                <w:u w:val="single"/>
              </w:rPr>
            </w:pPr>
            <w:r>
              <w:rPr>
                <w:rFonts w:ascii="Arial" w:hAnsi="Arial" w:eastAsia="Arial" w:cs="Arial"/>
                <w:b/>
                <w:sz w:val="20"/>
                <w:u w:val="single"/>
              </w:rPr>
              <w:t>4Q 2020</w:t>
            </w:r>
          </w:p>
        </w:tc>
        <w:tc>
          <w:tcPr>
            <w:tcW w:w="1545" w:type="dxa"/>
            <w:tcBorders>
              <w:top w:val="single" w:color="000000" w:sz="8" w:space="0"/>
              <w:left w:val="nil"/>
              <w:bottom w:val="nil"/>
              <w:right w:val="single" w:color="000000" w:sz="8" w:space="0"/>
            </w:tcBorders>
            <w:tcMar>
              <w:top w:w="0" w:type="dxa"/>
              <w:left w:w="53" w:type="dxa"/>
              <w:bottom w:w="0" w:type="dxa"/>
              <w:right w:w="53" w:type="dxa"/>
            </w:tcMar>
          </w:tcPr>
          <w:p>
            <w:pPr>
              <w:keepNext/>
              <w:spacing w:before="33" w:line="276" w:lineRule="auto"/>
              <w:jc w:val="right"/>
              <w:rPr>
                <w:b/>
                <w:u w:val="single"/>
              </w:rPr>
            </w:pPr>
            <w:r>
              <w:rPr>
                <w:rFonts w:ascii="Arial" w:hAnsi="Arial" w:eastAsia="Arial" w:cs="Arial"/>
                <w:b/>
                <w:sz w:val="20"/>
                <w:u w:val="single"/>
              </w:rPr>
              <w:t>Adjusted</w:t>
            </w:r>
          </w:p>
          <w:p>
            <w:pPr>
              <w:spacing w:after="30" w:line="276" w:lineRule="auto"/>
              <w:jc w:val="right"/>
              <w:rPr>
                <w:b/>
                <w:u w:val="single"/>
              </w:rPr>
            </w:pPr>
            <w:r>
              <w:rPr>
                <w:rFonts w:ascii="Arial" w:hAnsi="Arial" w:eastAsia="Arial" w:cs="Arial"/>
                <w:b/>
                <w:sz w:val="20"/>
                <w:u w:val="single"/>
              </w:rPr>
              <w:t>4Q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nil"/>
              <w:right w:val="nil"/>
            </w:tcBorders>
            <w:tcMar>
              <w:top w:w="0" w:type="dxa"/>
              <w:left w:w="53" w:type="dxa"/>
              <w:bottom w:w="0" w:type="dxa"/>
              <w:right w:w="53" w:type="dxa"/>
            </w:tcMar>
          </w:tcPr>
          <w:p>
            <w:pPr>
              <w:keepNext/>
              <w:spacing w:before="53" w:after="30" w:line="276" w:lineRule="auto"/>
            </w:pPr>
            <w:r>
              <w:rPr>
                <w:rFonts w:ascii="Arial" w:hAnsi="Arial" w:eastAsia="Arial" w:cs="Arial"/>
                <w:sz w:val="20"/>
              </w:rPr>
              <w:t>Revenue</w:t>
            </w: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$4,677 M</w:t>
            </w:r>
          </w:p>
        </w:tc>
        <w:tc>
          <w:tcPr>
            <w:tcW w:w="1545" w:type="dxa"/>
            <w:tcBorders>
              <w:top w:val="nil"/>
              <w:left w:val="nil"/>
              <w:bottom w:val="nil"/>
              <w:right w:val="nil"/>
            </w:tcBorders>
            <w:tcMar>
              <w:top w:w="0" w:type="dxa"/>
              <w:left w:w="0" w:type="dxa"/>
              <w:bottom w:w="0" w:type="dxa"/>
              <w:right w:w="0" w:type="dxa"/>
            </w:tcMar>
            <w:vAlign w:val="bottom"/>
          </w:tcPr>
          <w:p>
            <w:pPr>
              <w:keepNext/>
            </w:pPr>
          </w:p>
        </w:tc>
        <w:tc>
          <w:tcPr>
            <w:tcW w:w="1545" w:type="dxa"/>
            <w:tcBorders>
              <w:top w:val="nil"/>
              <w:left w:val="nil"/>
              <w:bottom w:val="nil"/>
              <w:right w:val="nil"/>
            </w:tcBorders>
            <w:tcMar>
              <w:top w:w="0" w:type="dxa"/>
              <w:left w:w="0" w:type="dxa"/>
              <w:bottom w:w="0" w:type="dxa"/>
              <w:right w:w="53" w:type="dxa"/>
            </w:tcMar>
          </w:tcPr>
          <w:p>
            <w:pPr>
              <w:keepNext/>
              <w:spacing w:before="53" w:after="30" w:line="276" w:lineRule="auto"/>
              <w:jc w:val="right"/>
            </w:pPr>
            <w:r>
              <w:rPr>
                <w:rFonts w:ascii="Arial" w:hAnsi="Arial" w:eastAsia="Arial" w:cs="Arial"/>
                <w:color w:val="000000"/>
                <w:sz w:val="20"/>
              </w:rPr>
              <w:t>$4,382 M</w:t>
            </w:r>
          </w:p>
        </w:tc>
        <w:tc>
          <w:tcPr>
            <w:tcW w:w="1545" w:type="dxa"/>
            <w:tcBorders>
              <w:top w:val="nil"/>
              <w:left w:val="nil"/>
              <w:bottom w:val="nil"/>
              <w:right w:val="single" w:color="000000" w:sz="8" w:space="0"/>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trPr>
        <w:tc>
          <w:tcPr>
            <w:tcW w:w="2850" w:type="dxa"/>
            <w:tcBorders>
              <w:top w:val="nil"/>
              <w:left w:val="single" w:color="000000" w:sz="8" w:space="0"/>
              <w:bottom w:val="single" w:color="000000" w:sz="8" w:space="0"/>
              <w:right w:val="nil"/>
            </w:tcBorders>
            <w:tcMar>
              <w:top w:w="0" w:type="dxa"/>
              <w:left w:w="53" w:type="dxa"/>
              <w:bottom w:w="0" w:type="dxa"/>
              <w:right w:w="53" w:type="dxa"/>
            </w:tcMar>
          </w:tcPr>
          <w:p>
            <w:pPr>
              <w:spacing w:before="53" w:after="30" w:line="276" w:lineRule="auto"/>
            </w:pPr>
            <w:r>
              <w:rPr>
                <w:rFonts w:ascii="Arial" w:hAnsi="Arial" w:eastAsia="Arial" w:cs="Arial"/>
                <w:sz w:val="20"/>
              </w:rPr>
              <w:t>Operating profit (loss)</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$462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$456 M</w:t>
            </w:r>
          </w:p>
        </w:tc>
        <w:tc>
          <w:tcPr>
            <w:tcW w:w="1545" w:type="dxa"/>
            <w:tcBorders>
              <w:top w:val="nil"/>
              <w:left w:val="nil"/>
              <w:bottom w:val="single" w:color="000000" w:sz="8" w:space="0"/>
              <w:right w:val="nil"/>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$(358) M</w:t>
            </w:r>
          </w:p>
        </w:tc>
        <w:tc>
          <w:tcPr>
            <w:tcW w:w="1545" w:type="dxa"/>
            <w:tcBorders>
              <w:top w:val="nil"/>
              <w:left w:val="nil"/>
              <w:bottom w:val="single" w:color="000000" w:sz="8" w:space="0"/>
              <w:right w:val="single" w:color="000000" w:sz="8" w:space="0"/>
            </w:tcBorders>
            <w:tcMar>
              <w:top w:w="0" w:type="dxa"/>
              <w:left w:w="0" w:type="dxa"/>
              <w:bottom w:w="0" w:type="dxa"/>
              <w:right w:w="53" w:type="dxa"/>
            </w:tcMar>
          </w:tcPr>
          <w:p>
            <w:pPr>
              <w:spacing w:before="53" w:after="30" w:line="276" w:lineRule="auto"/>
              <w:jc w:val="right"/>
            </w:pPr>
            <w:r>
              <w:rPr>
                <w:rFonts w:ascii="Arial" w:hAnsi="Arial" w:eastAsia="Arial" w:cs="Arial"/>
                <w:color w:val="000000"/>
                <w:sz w:val="20"/>
              </w:rPr>
              <w:t>$331 M</w:t>
            </w:r>
          </w:p>
        </w:tc>
      </w:tr>
    </w:tbl>
    <w:p>
      <w:pPr>
        <w:spacing w:line="269" w:lineRule="auto"/>
        <w:rPr>
          <w:rFonts w:ascii="Arial" w:hAnsi="Arial" w:eastAsia="Arial" w:cs="Arial"/>
          <w:sz w:val="14"/>
        </w:rPr>
      </w:pPr>
      <w:r>
        <w:rPr>
          <w:rFonts w:ascii="Arial" w:hAnsi="Arial" w:eastAsia="Arial" w:cs="Arial"/>
          <w:sz w:val="14"/>
          <w:vertAlign w:val="superscript"/>
        </w:rPr>
        <w:t xml:space="preserve">1 </w:t>
      </w:r>
      <w:r>
        <w:rPr>
          <w:rFonts w:ascii="Arial" w:hAnsi="Arial" w:eastAsia="Arial" w:cs="Arial"/>
          <w:sz w:val="14"/>
        </w:rPr>
        <w:t>Consists of non-reportable operating segments that do not meet criteria of a reportable segment under ASC Topic 280 – Segment Reporting.</w:t>
      </w:r>
    </w:p>
    <w:p>
      <w:pPr>
        <w:spacing w:line="269" w:lineRule="auto"/>
      </w:pPr>
    </w:p>
    <w:p>
      <w:pPr>
        <w:numPr>
          <w:ilvl w:val="0"/>
          <w:numId w:val="9"/>
        </w:numPr>
        <w:spacing w:line="288" w:lineRule="auto"/>
        <w:rPr>
          <w:rFonts w:ascii="Arial" w:hAnsi="Arial" w:eastAsia="Arial" w:cs="Arial"/>
        </w:rPr>
      </w:pPr>
      <w:r>
        <w:rPr>
          <w:rFonts w:ascii="Arial" w:hAnsi="Arial" w:eastAsia="Arial" w:cs="Arial"/>
          <w:sz w:val="22"/>
        </w:rPr>
        <w:t>Revenue increased 6.7%, led by Forwarding and Logistics businesses which combined    grew 28%.</w:t>
      </w:r>
    </w:p>
    <w:p>
      <w:pPr>
        <w:numPr>
          <w:ilvl w:val="0"/>
          <w:numId w:val="10"/>
        </w:numPr>
        <w:spacing w:line="288" w:lineRule="auto"/>
        <w:rPr>
          <w:rFonts w:ascii="Arial" w:hAnsi="Arial" w:eastAsia="Arial" w:cs="Arial"/>
          <w:sz w:val="22"/>
        </w:rPr>
      </w:pPr>
      <w:r>
        <w:rPr>
          <w:rFonts w:ascii="Arial" w:hAnsi="Arial" w:eastAsia="Arial" w:cs="Arial"/>
          <w:sz w:val="22"/>
        </w:rPr>
        <w:t>Operating margin was 9.9%; adjusted operating margin was 9.7%.</w:t>
      </w:r>
    </w:p>
    <w:p>
      <w:pPr>
        <w:spacing w:line="288" w:lineRule="auto"/>
        <w:rPr>
          <w:rFonts w:ascii="Arial" w:hAnsi="Arial" w:eastAsia="Arial" w:cs="Arial"/>
          <w:sz w:val="22"/>
        </w:rPr>
      </w:pPr>
    </w:p>
    <w:p>
      <w:pPr>
        <w:spacing w:line="288" w:lineRule="auto"/>
        <w:rPr>
          <w:rFonts w:ascii="Arial" w:hAnsi="Arial" w:eastAsia="Arial" w:cs="Arial"/>
          <w:sz w:val="22"/>
        </w:rPr>
      </w:pPr>
    </w:p>
    <w:p>
      <w:pPr>
        <w:spacing w:line="288" w:lineRule="auto"/>
        <w:rPr>
          <w:b/>
          <w:u w:val="single"/>
          <w:shd w:val="clear" w:color="auto" w:fill="FFFF00"/>
        </w:rPr>
      </w:pPr>
      <w:r>
        <w:rPr>
          <w:rFonts w:ascii="Arial" w:hAnsi="Arial" w:eastAsia="Arial" w:cs="Arial"/>
          <w:b/>
          <w:u w:val="single"/>
        </w:rPr>
        <w:t>F</w:t>
      </w:r>
      <w:r>
        <w:rPr>
          <w:rFonts w:ascii="Arial" w:hAnsi="Arial" w:eastAsia="Arial" w:cs="Arial"/>
          <w:b/>
          <w:sz w:val="22"/>
          <w:u w:val="single"/>
        </w:rPr>
        <w:t>ull-Year 2021 Consolidated Results</w:t>
      </w:r>
    </w:p>
    <w:p>
      <w:pPr>
        <w:numPr>
          <w:ilvl w:val="0"/>
          <w:numId w:val="11"/>
        </w:numPr>
        <w:spacing w:line="288" w:lineRule="auto"/>
        <w:rPr>
          <w:rFonts w:ascii="Arial" w:hAnsi="Arial" w:eastAsia="Arial" w:cs="Arial"/>
          <w:sz w:val="22"/>
        </w:rPr>
      </w:pPr>
      <w:r>
        <w:rPr>
          <w:rFonts w:ascii="Arial" w:hAnsi="Arial" w:eastAsia="Arial" w:cs="Arial"/>
          <w:sz w:val="22"/>
        </w:rPr>
        <w:t>Revenue increased 15.0% to $97.3 billion.</w:t>
      </w:r>
    </w:p>
    <w:p>
      <w:pPr>
        <w:numPr>
          <w:ilvl w:val="0"/>
          <w:numId w:val="12"/>
        </w:numPr>
        <w:spacing w:line="288" w:lineRule="auto"/>
        <w:rPr>
          <w:rFonts w:ascii="Arial" w:hAnsi="Arial" w:eastAsia="Arial" w:cs="Arial"/>
          <w:sz w:val="22"/>
        </w:rPr>
      </w:pPr>
      <w:r>
        <w:rPr>
          <w:rFonts w:ascii="Arial" w:hAnsi="Arial" w:eastAsia="Arial" w:cs="Arial"/>
          <w:sz w:val="22"/>
        </w:rPr>
        <w:t>Operating profit was $12.8 billion; adjusted operating profit was $13.1 billion, up 50.8%.</w:t>
      </w:r>
    </w:p>
    <w:p>
      <w:pPr>
        <w:numPr>
          <w:ilvl w:val="0"/>
          <w:numId w:val="13"/>
        </w:numPr>
        <w:spacing w:line="288" w:lineRule="auto"/>
        <w:rPr>
          <w:rFonts w:ascii="Arial" w:hAnsi="Arial" w:eastAsia="Arial" w:cs="Arial"/>
          <w:sz w:val="22"/>
        </w:rPr>
      </w:pPr>
      <w:r>
        <w:rPr>
          <w:rFonts w:ascii="Arial" w:hAnsi="Arial" w:eastAsia="Arial" w:cs="Arial"/>
          <w:sz w:val="22"/>
        </w:rPr>
        <w:t>Operating margin was 13.2%; adjusted operating margin was 13.5%.</w:t>
      </w:r>
    </w:p>
    <w:p>
      <w:pPr>
        <w:numPr>
          <w:ilvl w:val="0"/>
          <w:numId w:val="14"/>
        </w:numPr>
        <w:spacing w:line="288" w:lineRule="auto"/>
        <w:rPr>
          <w:rFonts w:ascii="Arial" w:hAnsi="Arial" w:eastAsia="Arial" w:cs="Arial"/>
          <w:sz w:val="22"/>
        </w:rPr>
      </w:pPr>
      <w:r>
        <w:rPr>
          <w:rFonts w:ascii="Arial" w:hAnsi="Arial" w:eastAsia="Arial" w:cs="Arial"/>
          <w:sz w:val="22"/>
        </w:rPr>
        <w:t>Diluted EPS totaled $14.68; adjusted diluted EPS was $12.13, which excluded the impacts of the MTM pension gain and transformation and other charges.</w:t>
      </w:r>
    </w:p>
    <w:p>
      <w:pPr>
        <w:numPr>
          <w:ilvl w:val="0"/>
          <w:numId w:val="15"/>
        </w:numPr>
        <w:spacing w:line="288" w:lineRule="auto"/>
        <w:rPr>
          <w:rFonts w:ascii="Arial" w:hAnsi="Arial" w:eastAsia="Arial" w:cs="Arial"/>
          <w:sz w:val="22"/>
        </w:rPr>
      </w:pPr>
      <w:r>
        <w:rPr>
          <w:rFonts w:ascii="Arial" w:hAnsi="Arial" w:eastAsia="Arial" w:cs="Arial"/>
          <w:sz w:val="22"/>
        </w:rPr>
        <w:t xml:space="preserve">Return on invested capital was 30.8%, exceeding the company’s 2023 target. </w:t>
      </w:r>
    </w:p>
    <w:p>
      <w:pPr>
        <w:numPr>
          <w:ilvl w:val="0"/>
          <w:numId w:val="16"/>
        </w:numPr>
        <w:spacing w:line="288" w:lineRule="auto"/>
        <w:rPr>
          <w:rFonts w:ascii="Arial" w:hAnsi="Arial" w:eastAsia="Arial" w:cs="Arial"/>
          <w:sz w:val="22"/>
        </w:rPr>
      </w:pPr>
      <w:r>
        <w:rPr>
          <w:rFonts w:ascii="Arial" w:hAnsi="Arial" w:eastAsia="Arial" w:cs="Arial"/>
          <w:sz w:val="22"/>
        </w:rPr>
        <w:t>Cash from operations was $15.0 billion and free cash flow was $10.9 billion.</w:t>
      </w:r>
    </w:p>
    <w:p>
      <w:pPr>
        <w:spacing w:line="288" w:lineRule="auto"/>
        <w:rPr>
          <w:rFonts w:ascii="Arial" w:hAnsi="Arial" w:eastAsia="Arial" w:cs="Arial"/>
          <w:sz w:val="22"/>
        </w:rPr>
      </w:pPr>
    </w:p>
    <w:p>
      <w:pPr>
        <w:spacing w:line="288" w:lineRule="auto"/>
        <w:rPr>
          <w:rFonts w:ascii="Arial" w:hAnsi="Arial" w:eastAsia="Arial" w:cs="Arial"/>
          <w:b/>
          <w:sz w:val="22"/>
          <w:u w:val="single"/>
        </w:rPr>
      </w:pPr>
      <w:r>
        <w:rPr>
          <w:rFonts w:ascii="Arial" w:hAnsi="Arial" w:eastAsia="Arial" w:cs="Arial"/>
          <w:b/>
          <w:sz w:val="22"/>
          <w:u w:val="single"/>
        </w:rPr>
        <w:t>Dividend Declaration</w:t>
      </w:r>
    </w:p>
    <w:p>
      <w:pPr>
        <w:spacing w:line="288" w:lineRule="auto"/>
        <w:rPr>
          <w:rFonts w:ascii="Arial" w:hAnsi="Arial" w:eastAsia="Arial" w:cs="Arial"/>
          <w:sz w:val="22"/>
        </w:rPr>
      </w:pPr>
      <w:r>
        <w:rPr>
          <w:rFonts w:ascii="Arial" w:hAnsi="Arial" w:eastAsia="Arial" w:cs="Arial"/>
          <w:sz w:val="22"/>
        </w:rPr>
        <w:t>UPS will pay a first-quarter 2022 dividend of $1.52 per share on all outstanding Class A and Class B shares. The dividend is payable March 10, 2022 to shareowners of record on February 22, 2022.</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b/>
          <w:sz w:val="22"/>
          <w:u w:val="single"/>
        </w:rPr>
        <w:t>2022 Outlook</w:t>
      </w:r>
    </w:p>
    <w:p>
      <w:pPr>
        <w:spacing w:line="288" w:lineRule="auto"/>
        <w:rPr>
          <w:rFonts w:ascii="Arial" w:hAnsi="Arial" w:eastAsia="Arial" w:cs="Arial"/>
          <w:sz w:val="22"/>
        </w:rPr>
      </w:pPr>
      <w:r>
        <w:rPr>
          <w:rFonts w:ascii="Arial" w:hAnsi="Arial" w:eastAsia="Arial" w:cs="Arial"/>
          <w:sz w:val="22"/>
        </w:rPr>
        <w:t>The company provides guidance on an adjusted (non-GAAP) basis because it is not possible to predict or provide a reconciliation reflecting the impact of future pension mark-to-market adjustments or other unanticipated events, which would be included in reported (GAAP) results and could be material.</w:t>
      </w:r>
    </w:p>
    <w:p>
      <w:pPr>
        <w:spacing w:line="288" w:lineRule="auto"/>
        <w:rPr>
          <w:rFonts w:ascii="Arial" w:hAnsi="Arial" w:eastAsia="Arial" w:cs="Arial"/>
          <w:sz w:val="22"/>
        </w:rPr>
      </w:pPr>
    </w:p>
    <w:p>
      <w:pPr>
        <w:spacing w:line="269" w:lineRule="auto"/>
        <w:rPr>
          <w:rFonts w:ascii="Arial" w:hAnsi="Arial" w:eastAsia="Arial" w:cs="Arial"/>
          <w:sz w:val="32"/>
        </w:rPr>
      </w:pPr>
      <w:r>
        <w:rPr>
          <w:rFonts w:ascii="Arial" w:hAnsi="Arial" w:eastAsia="Arial" w:cs="Arial"/>
          <w:sz w:val="22"/>
        </w:rPr>
        <w:t xml:space="preserve">UPS expects to deliver its 2023 consolidated revenue and operating margin targets one year early. For the full year 2022, the company expects consolidated revenue of about $102 billion, an adjusted operating margin of approximately 13.7% and adjusted return on invested capital to be above 30%. </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The company is planning capital expenditures to be 5.4% of revenue or approximately $5.5 billion, dividend payments to be around $5.2 billion, subject to Board approval, and share repurchases to be at least $1.0 billion. The effective tax rate is expected to be around 23.0%.</w:t>
      </w:r>
    </w:p>
    <w:p>
      <w:pPr>
        <w:spacing w:line="276" w:lineRule="auto"/>
        <w:rPr>
          <w:rFonts w:ascii="Arial" w:hAnsi="Arial" w:eastAsia="Arial" w:cs="Arial"/>
          <w:sz w:val="22"/>
        </w:rPr>
      </w:pPr>
    </w:p>
    <w:p>
      <w:pPr>
        <w:spacing w:line="192" w:lineRule="auto"/>
        <w:rPr>
          <w:rFonts w:ascii="Arial" w:hAnsi="Arial" w:eastAsia="Arial" w:cs="Arial"/>
          <w:b/>
          <w:sz w:val="20"/>
          <w:vertAlign w:val="subscript"/>
        </w:rPr>
      </w:pPr>
      <w:r>
        <w:rPr>
          <w:rFonts w:ascii="Arial" w:hAnsi="Arial" w:eastAsia="Arial" w:cs="Arial"/>
          <w:b/>
          <w:sz w:val="20"/>
          <w:vertAlign w:val="subscript"/>
        </w:rPr>
        <w:t>* “</w:t>
      </w:r>
      <w:r>
        <w:rPr>
          <w:rFonts w:ascii="Arial" w:hAnsi="Arial" w:eastAsia="Arial" w:cs="Arial"/>
          <w:sz w:val="20"/>
          <w:vertAlign w:val="subscript"/>
        </w:rPr>
        <w:t>Adjusted” and free cash flow amounts are non-GAAP financial measures. See the appendix to this release for a discussion of non-GAAP financial measures, including a reconciliation to the most closely correlated GAAP measure.</w:t>
      </w:r>
    </w:p>
    <w:p>
      <w:pPr>
        <w:spacing w:line="276" w:lineRule="auto"/>
        <w:rPr>
          <w:rFonts w:ascii="Arial" w:hAnsi="Arial" w:eastAsia="Arial" w:cs="Arial"/>
          <w:sz w:val="20"/>
          <w:vertAlign w:val="subscript"/>
        </w:rPr>
      </w:pPr>
    </w:p>
    <w:p>
      <w:pPr>
        <w:spacing w:line="288" w:lineRule="auto"/>
        <w:rPr>
          <w:rFonts w:ascii="Arial" w:hAnsi="Arial" w:eastAsia="Arial" w:cs="Arial"/>
          <w:sz w:val="22"/>
        </w:rPr>
      </w:pPr>
    </w:p>
    <w:p>
      <w:pPr>
        <w:spacing w:line="288" w:lineRule="auto"/>
        <w:rPr>
          <w:rFonts w:ascii="Arial" w:hAnsi="Arial" w:eastAsia="Arial" w:cs="Arial"/>
          <w:sz w:val="22"/>
          <w:u w:val="single"/>
        </w:rPr>
      </w:pPr>
      <w:r>
        <w:rPr>
          <w:rFonts w:ascii="Arial" w:hAnsi="Arial" w:eastAsia="Arial" w:cs="Arial"/>
          <w:sz w:val="22"/>
          <w:u w:val="single"/>
        </w:rPr>
        <w:t>Contacts:</w:t>
      </w:r>
    </w:p>
    <w:p>
      <w:pPr>
        <w:spacing w:line="288" w:lineRule="auto"/>
        <w:rPr>
          <w:rFonts w:ascii="Arial" w:hAnsi="Arial" w:eastAsia="Arial" w:cs="Arial"/>
          <w:sz w:val="22"/>
        </w:rPr>
      </w:pPr>
      <w:r>
        <w:rPr>
          <w:rFonts w:ascii="Arial" w:hAnsi="Arial" w:eastAsia="Arial" w:cs="Arial"/>
          <w:sz w:val="22"/>
        </w:rPr>
        <w:t xml:space="preserve">UPS Media Relations: 404-828-7123 or </w:t>
      </w:r>
      <w:r>
        <w:fldChar w:fldCharType="begin"/>
      </w:r>
      <w:r>
        <w:instrText xml:space="preserve"> HYPERLINK "mailto:pr@ups.com" </w:instrText>
      </w:r>
      <w:r>
        <w:fldChar w:fldCharType="separate"/>
      </w:r>
      <w:r>
        <w:rPr>
          <w:rFonts w:ascii="Arial" w:hAnsi="Arial" w:eastAsia="Arial" w:cs="Arial"/>
          <w:color w:val="0000FF"/>
          <w:sz w:val="22"/>
          <w:u w:val="single"/>
        </w:rPr>
        <w:t>pr@ups.com</w:t>
      </w:r>
      <w:r>
        <w:rPr>
          <w:rFonts w:ascii="Arial" w:hAnsi="Arial" w:eastAsia="Arial" w:cs="Arial"/>
          <w:color w:val="0000FF"/>
          <w:sz w:val="22"/>
          <w:u w:val="single"/>
        </w:rPr>
        <w:fldChar w:fldCharType="end"/>
      </w:r>
    </w:p>
    <w:p>
      <w:pPr>
        <w:spacing w:line="288" w:lineRule="auto"/>
        <w:rPr>
          <w:rFonts w:ascii="Arial" w:hAnsi="Arial" w:eastAsia="Arial" w:cs="Arial"/>
          <w:sz w:val="22"/>
        </w:rPr>
      </w:pPr>
      <w:r>
        <w:rPr>
          <w:rFonts w:ascii="Arial" w:hAnsi="Arial" w:eastAsia="Arial" w:cs="Arial"/>
          <w:sz w:val="22"/>
        </w:rPr>
        <w:t xml:space="preserve">UPS Investor Relations: 404-828-6059 (option 4) or </w:t>
      </w:r>
      <w:r>
        <w:fldChar w:fldCharType="begin"/>
      </w:r>
      <w:r>
        <w:instrText xml:space="preserve"> HYPERLINK "mailto:investor@ups.com" </w:instrText>
      </w:r>
      <w:r>
        <w:fldChar w:fldCharType="separate"/>
      </w:r>
      <w:r>
        <w:rPr>
          <w:rFonts w:ascii="Arial" w:hAnsi="Arial" w:eastAsia="Arial" w:cs="Arial"/>
          <w:color w:val="0000FF"/>
          <w:sz w:val="22"/>
          <w:u w:val="single"/>
        </w:rPr>
        <w:t>investor@ups.com</w:t>
      </w:r>
      <w:r>
        <w:rPr>
          <w:rFonts w:ascii="Arial" w:hAnsi="Arial" w:eastAsia="Arial" w:cs="Arial"/>
          <w:color w:val="0000FF"/>
          <w:sz w:val="22"/>
          <w:u w:val="single"/>
        </w:rPr>
        <w:fldChar w:fldCharType="end"/>
      </w:r>
    </w:p>
    <w:p>
      <w:pPr>
        <w:spacing w:line="204" w:lineRule="auto"/>
        <w:jc w:val="center"/>
        <w:rPr>
          <w:rFonts w:ascii="Arial" w:hAnsi="Arial" w:eastAsia="Arial" w:cs="Arial"/>
          <w:sz w:val="22"/>
        </w:rPr>
      </w:pPr>
    </w:p>
    <w:p>
      <w:pPr>
        <w:spacing w:line="204" w:lineRule="auto"/>
        <w:jc w:val="center"/>
        <w:rPr>
          <w:rFonts w:ascii="Arial" w:hAnsi="Arial" w:eastAsia="Arial" w:cs="Arial"/>
          <w:sz w:val="22"/>
        </w:rPr>
      </w:pPr>
      <w:r>
        <w:rPr>
          <w:rFonts w:ascii="Arial" w:hAnsi="Arial" w:eastAsia="Arial" w:cs="Arial"/>
          <w:sz w:val="22"/>
        </w:rPr>
        <w:t># # #</w:t>
      </w:r>
    </w:p>
    <w:p>
      <w:pPr>
        <w:pageBreakBefore/>
        <w:spacing w:line="276" w:lineRule="auto"/>
      </w:pPr>
      <w:r>
        <w:rPr>
          <w:rFonts w:ascii="Arial" w:hAnsi="Arial" w:eastAsia="Arial" w:cs="Arial"/>
          <w:b/>
          <w:sz w:val="22"/>
          <w:u w:val="single"/>
        </w:rPr>
        <w:t>Conference Call Information</w:t>
      </w:r>
    </w:p>
    <w:p>
      <w:pPr>
        <w:spacing w:line="276" w:lineRule="auto"/>
        <w:rPr>
          <w:rFonts w:ascii="Arial" w:hAnsi="Arial" w:eastAsia="Arial" w:cs="Arial"/>
        </w:rPr>
      </w:pPr>
    </w:p>
    <w:p>
      <w:pPr>
        <w:spacing w:line="288" w:lineRule="auto"/>
        <w:rPr>
          <w:rFonts w:ascii="Arial" w:hAnsi="Arial" w:eastAsia="Arial" w:cs="Arial"/>
          <w:sz w:val="22"/>
        </w:rPr>
      </w:pPr>
      <w:r>
        <w:rPr>
          <w:rFonts w:ascii="Arial" w:hAnsi="Arial" w:eastAsia="Arial" w:cs="Arial"/>
          <w:sz w:val="22"/>
        </w:rPr>
        <w:t xml:space="preserve">UPS CEO Carol Tomé and CFO Brian Newman will discuss fourth-quarter results with investors and analysts during a conference call at 8:30 a.m. ET, February 1, 2022. That call will be open to others through a live Webcast. To access the call, go to </w:t>
      </w:r>
      <w:r>
        <w:fldChar w:fldCharType="begin"/>
      </w:r>
      <w:r>
        <w:instrText xml:space="preserve"> HYPERLINK "http://www.investors.ups.com/" </w:instrText>
      </w:r>
      <w:r>
        <w:fldChar w:fldCharType="separate"/>
      </w:r>
      <w:r>
        <w:rPr>
          <w:rFonts w:ascii="Arial" w:hAnsi="Arial" w:eastAsia="Arial" w:cs="Arial"/>
          <w:color w:val="0000FF"/>
          <w:sz w:val="22"/>
          <w:u w:val="single"/>
        </w:rPr>
        <w:t>www.investors.ups.com</w:t>
      </w:r>
      <w:r>
        <w:rPr>
          <w:rFonts w:ascii="Arial" w:hAnsi="Arial" w:eastAsia="Arial" w:cs="Arial"/>
          <w:color w:val="0000FF"/>
          <w:sz w:val="22"/>
          <w:u w:val="single"/>
        </w:rPr>
        <w:fldChar w:fldCharType="end"/>
      </w:r>
      <w:r>
        <w:rPr>
          <w:rFonts w:ascii="Arial" w:hAnsi="Arial" w:eastAsia="Arial" w:cs="Arial"/>
          <w:sz w:val="22"/>
          <w:u w:val="single"/>
        </w:rPr>
        <w:t xml:space="preserve"> </w:t>
      </w:r>
      <w:r>
        <w:rPr>
          <w:rFonts w:ascii="Arial" w:hAnsi="Arial" w:eastAsia="Arial" w:cs="Arial"/>
          <w:sz w:val="22"/>
        </w:rPr>
        <w:t xml:space="preserve">and click on “Earnings Conference Call.” Additional financial information is included in the detailed financial schedules being posted on </w:t>
      </w:r>
      <w:r>
        <w:fldChar w:fldCharType="begin"/>
      </w:r>
      <w:r>
        <w:instrText xml:space="preserve"> HYPERLINK "http://www.investors.ups.com/" </w:instrText>
      </w:r>
      <w:r>
        <w:fldChar w:fldCharType="separate"/>
      </w:r>
      <w:r>
        <w:rPr>
          <w:rFonts w:ascii="Arial" w:hAnsi="Arial" w:eastAsia="Arial" w:cs="Arial"/>
          <w:color w:val="0000FF"/>
          <w:sz w:val="22"/>
          <w:u w:val="single"/>
        </w:rPr>
        <w:t>www.investors.ups.com</w:t>
      </w:r>
      <w:r>
        <w:rPr>
          <w:rFonts w:ascii="Arial" w:hAnsi="Arial" w:eastAsia="Arial" w:cs="Arial"/>
          <w:color w:val="0000FF"/>
          <w:sz w:val="22"/>
          <w:u w:val="single"/>
        </w:rPr>
        <w:fldChar w:fldCharType="end"/>
      </w:r>
      <w:r>
        <w:rPr>
          <w:rFonts w:ascii="Arial" w:hAnsi="Arial" w:eastAsia="Arial" w:cs="Arial"/>
          <w:sz w:val="22"/>
        </w:rPr>
        <w:t xml:space="preserve"> under “Quarterly Earnings and Financials” and as filed with the SEC as an exhibit to our Current Report on Form 8-K.</w:t>
      </w:r>
    </w:p>
    <w:p>
      <w:pPr>
        <w:spacing w:line="276" w:lineRule="auto"/>
        <w:rPr>
          <w:rFonts w:ascii="Arial" w:hAnsi="Arial" w:eastAsia="Arial" w:cs="Arial"/>
          <w:sz w:val="22"/>
        </w:rPr>
      </w:pPr>
    </w:p>
    <w:p>
      <w:pPr>
        <w:spacing w:line="276" w:lineRule="auto"/>
        <w:rPr>
          <w:b/>
          <w:u w:val="single"/>
        </w:rPr>
      </w:pPr>
      <w:r>
        <w:rPr>
          <w:rFonts w:ascii="Arial" w:hAnsi="Arial" w:eastAsia="Arial" w:cs="Arial"/>
          <w:b/>
          <w:sz w:val="22"/>
          <w:u w:val="single"/>
        </w:rPr>
        <w:t>About UPS</w:t>
      </w:r>
    </w:p>
    <w:p>
      <w:pPr>
        <w:spacing w:line="276" w:lineRule="auto"/>
        <w:rPr>
          <w:rFonts w:ascii="Arial" w:hAnsi="Arial" w:eastAsia="Arial" w:cs="Arial"/>
          <w:b/>
          <w:sz w:val="22"/>
          <w:u w:val="single"/>
        </w:rPr>
      </w:pPr>
    </w:p>
    <w:p>
      <w:pPr>
        <w:spacing w:line="269" w:lineRule="auto"/>
        <w:rPr>
          <w:sz w:val="22"/>
        </w:rPr>
      </w:pPr>
      <w:r>
        <w:rPr>
          <w:rFonts w:ascii="Arial" w:hAnsi="Arial" w:eastAsia="Arial" w:cs="Arial"/>
          <w:sz w:val="22"/>
        </w:rPr>
        <w:t xml:space="preserve">UPS (NYSE: UPS) is one of the world’s largest companies, with 2021 revenue of $97.3 billion, and provides a broad range of integrated logistics solutions for customers in more than 220 countries and territories. Focused on its purpose statement, “Moving our world forward by delivering what matters,” the company’s 534,000 employees embrace a strategy that is simply stated and powerfully executed: Customer First. People Led. Innovation Driven. UPS is committed to reducing its impact on the environment and supporting the communities we serve around the world. UPS also takes an unwavering stance in support of diversity, equality, and inclusion.  More information can be found at </w:t>
      </w:r>
      <w:r>
        <w:fldChar w:fldCharType="begin"/>
      </w:r>
      <w:r>
        <w:instrText xml:space="preserve"> HYPERLINK "http://www.ups.com" </w:instrText>
      </w:r>
      <w:r>
        <w:fldChar w:fldCharType="separate"/>
      </w:r>
      <w:r>
        <w:rPr>
          <w:rFonts w:ascii="Arial" w:hAnsi="Arial" w:eastAsia="Arial" w:cs="Arial"/>
          <w:color w:val="0000FF"/>
          <w:sz w:val="22"/>
          <w:u w:val="single"/>
        </w:rPr>
        <w:t>www.ups.com</w:t>
      </w:r>
      <w:r>
        <w:rPr>
          <w:rFonts w:ascii="Arial" w:hAnsi="Arial" w:eastAsia="Arial" w:cs="Arial"/>
          <w:color w:val="0000FF"/>
          <w:sz w:val="22"/>
          <w:u w:val="single"/>
        </w:rPr>
        <w:fldChar w:fldCharType="end"/>
      </w:r>
      <w:r>
        <w:rPr>
          <w:rFonts w:ascii="Arial" w:hAnsi="Arial" w:eastAsia="Arial" w:cs="Arial"/>
          <w:sz w:val="22"/>
        </w:rPr>
        <w:t xml:space="preserve">, </w:t>
      </w:r>
      <w:r>
        <w:fldChar w:fldCharType="begin"/>
      </w:r>
      <w:r>
        <w:instrText xml:space="preserve"> HYPERLINK "https://about.ups.com/us/en/home.html" </w:instrText>
      </w:r>
      <w:r>
        <w:fldChar w:fldCharType="separate"/>
      </w:r>
      <w:r>
        <w:rPr>
          <w:rFonts w:ascii="Arial" w:hAnsi="Arial" w:eastAsia="Arial" w:cs="Arial"/>
          <w:color w:val="0000FF"/>
          <w:sz w:val="22"/>
          <w:u w:val="single"/>
        </w:rPr>
        <w:t>about.ups.com</w:t>
      </w:r>
      <w:r>
        <w:rPr>
          <w:rFonts w:ascii="Arial" w:hAnsi="Arial" w:eastAsia="Arial" w:cs="Arial"/>
          <w:color w:val="0000FF"/>
          <w:sz w:val="22"/>
          <w:u w:val="single"/>
        </w:rPr>
        <w:fldChar w:fldCharType="end"/>
      </w:r>
      <w:r>
        <w:rPr>
          <w:rFonts w:ascii="Arial" w:hAnsi="Arial" w:eastAsia="Arial" w:cs="Arial"/>
          <w:b/>
          <w:color w:val="0563C1"/>
          <w:sz w:val="22"/>
        </w:rPr>
        <w:t xml:space="preserve"> </w:t>
      </w:r>
      <w:r>
        <w:rPr>
          <w:rFonts w:ascii="Arial" w:hAnsi="Arial" w:eastAsia="Arial" w:cs="Arial"/>
          <w:sz w:val="22"/>
        </w:rPr>
        <w:t xml:space="preserve">and </w:t>
      </w:r>
      <w:r>
        <w:fldChar w:fldCharType="begin"/>
      </w:r>
      <w:r>
        <w:instrText xml:space="preserve"> HYPERLINK "http://www.investors.ups.com/" </w:instrText>
      </w:r>
      <w:r>
        <w:fldChar w:fldCharType="separate"/>
      </w:r>
      <w:r>
        <w:rPr>
          <w:rFonts w:ascii="Arial" w:hAnsi="Arial" w:eastAsia="Arial" w:cs="Arial"/>
          <w:color w:val="0000FF"/>
          <w:sz w:val="22"/>
          <w:u w:val="single"/>
        </w:rPr>
        <w:t>www.investors.ups.com</w:t>
      </w:r>
      <w:r>
        <w:rPr>
          <w:rFonts w:ascii="Arial" w:hAnsi="Arial" w:eastAsia="Arial" w:cs="Arial"/>
          <w:color w:val="0000FF"/>
          <w:sz w:val="22"/>
          <w:u w:val="single"/>
        </w:rPr>
        <w:fldChar w:fldCharType="end"/>
      </w:r>
      <w:r>
        <w:rPr>
          <w:rFonts w:ascii="Arial" w:hAnsi="Arial" w:eastAsia="Arial" w:cs="Arial"/>
          <w:sz w:val="22"/>
        </w:rPr>
        <w:t>.</w:t>
      </w:r>
    </w:p>
    <w:p>
      <w:pPr>
        <w:spacing w:line="288" w:lineRule="auto"/>
        <w:rPr>
          <w:sz w:val="20"/>
        </w:rPr>
      </w:pPr>
    </w:p>
    <w:p>
      <w:pPr>
        <w:spacing w:line="288" w:lineRule="auto"/>
        <w:rPr>
          <w:rFonts w:ascii="Arial" w:hAnsi="Arial" w:eastAsia="Arial" w:cs="Arial"/>
          <w:b/>
          <w:sz w:val="22"/>
          <w:u w:val="single"/>
        </w:rPr>
      </w:pPr>
      <w:r>
        <w:rPr>
          <w:rFonts w:ascii="Arial" w:hAnsi="Arial" w:eastAsia="Arial" w:cs="Arial"/>
          <w:b/>
          <w:sz w:val="22"/>
          <w:u w:val="single"/>
        </w:rPr>
        <w:t>Forward-Looking Statements</w:t>
      </w:r>
    </w:p>
    <w:p>
      <w:pPr>
        <w:spacing w:line="276" w:lineRule="auto"/>
        <w:rPr>
          <w:rFonts w:ascii="Arial" w:hAnsi="Arial" w:eastAsia="Arial" w:cs="Arial"/>
        </w:rPr>
      </w:pPr>
    </w:p>
    <w:p>
      <w:pPr>
        <w:spacing w:line="288" w:lineRule="auto"/>
        <w:rPr>
          <w:rFonts w:ascii="Arial" w:hAnsi="Arial" w:eastAsia="Arial" w:cs="Arial"/>
          <w:sz w:val="22"/>
        </w:rPr>
      </w:pPr>
      <w:r>
        <w:rPr>
          <w:rFonts w:ascii="Arial" w:hAnsi="Arial" w:eastAsia="Arial" w:cs="Arial"/>
          <w:sz w:val="22"/>
        </w:rPr>
        <w:t>This release and our filings with the Securities and Exchange Commission contain and in the future may contain “forward-looking statements” within the meaning of the Private Securities Litigation Reform Act of 1995. Statements other than those of current or historical fact, and all statements accompanied by terms such as “will,” “believe,” “project,” “expect,” “estimate,” “assume,” “intend,” “anticipate,” “target,” “plan,”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From time to time, we also include written or oral forward-looking statements in other publicly disclosed materials. Forward-looking statements may relate to our intent, belief, forecasts of, or current expectations about our strategic direction, prospects, future results, or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 and the future, by its very nature, cannot be predicted with certainty.</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Forward-looking statements are subject to certain risks and uncertainties that could cause actual results to differ materially from our historical experience and our present expectations or anticipated results. These risks and uncertainties, include, but are not limited to: continued uncertainties related to the impact of the COVID-19 pandemic on our business and operations, financial performance and liquidity, our customers and suppliers, and on the global economy; changes in general economic conditions, in the U.S. or internationally; significant competition on a local, regional, national and international basis; changes in our relationships with our significant customers; changes in the regulatory environment in the U.S. or internationally; increased or more complex physical or data security requirements; legal, regulatory or market responses to global climate change; results of negotiations and ratifications of labor contracts; strikes, work stoppages or slowdowns by our employees; the effects of changing prices of energy, including gasoline, diesel and jet fuel, and interruptions in supplies of these commodities; changes in exchange rates or interest rates; uncertainty from the expected discontinuance of LIBOR and transition to any other interest rate benchmark; our ability to maintain our brand image; our ability to attract and retain qualified employees; breaches in data security; disruptions to the Internet or our technology infrastructure; interruptions in or impacts on our business from natural or man-made events or disasters including terrorist attacks, epidemics or pandemics; our ability to accurately forecast our future capital investment needs; exposure to changing economic, political and social developments in international and emerging markets; changes in business strategy, government regulations, or economic or market conditions that may result in impairment of our assets; increases in our expenses or funding obligations relating to employee health, retiree health and/or pension benefits; potential additional U.S. or international tax liabilities; potential claims or litigation related to labor and employment, personal injury, property damage, business practices, environmental liability and other matters; our ability to realize the anticipated benefits from acquisitions, dispositions, joint ventures or strategic alliances; our ability to realize the anticipated benefits from our transformation initiatives; cyclical and seasonal fluctuations in our operating results; our ability to manage insurance and claims expenses; and other risks discussed in our filings with the Securities and Exchange Commission from time to time, including our Annual Report on Form 10-K for the year ended December 31, 2020 and subsequently filed reports. You should consider the limitations on, and risks associated with, forward-looking statements and not unduly rely on the accuracy of predictions contained in such forward-looking statements. We do not undertake any obligation to update forward-looking statements to reflect events, circumstances, changes in expectations, or the occurrence of unanticipated events after the date of those statements.</w:t>
      </w:r>
    </w:p>
    <w:p>
      <w:pPr>
        <w:spacing w:line="288" w:lineRule="auto"/>
        <w:rPr>
          <w:sz w:val="20"/>
        </w:rPr>
      </w:pPr>
    </w:p>
    <w:p>
      <w:pPr>
        <w:spacing w:line="288" w:lineRule="auto"/>
        <w:rPr>
          <w:rFonts w:ascii="Arial" w:hAnsi="Arial" w:eastAsia="Arial" w:cs="Arial"/>
          <w:b/>
          <w:sz w:val="22"/>
          <w:u w:val="single"/>
        </w:rPr>
      </w:pPr>
      <w:r>
        <w:rPr>
          <w:rFonts w:ascii="Arial" w:hAnsi="Arial" w:eastAsia="Arial" w:cs="Arial"/>
          <w:b/>
          <w:sz w:val="22"/>
          <w:u w:val="single"/>
        </w:rPr>
        <w:t>Reconciliation of GAAP and non-GAAP Financial Measures</w:t>
      </w:r>
    </w:p>
    <w:p>
      <w:pPr>
        <w:spacing w:line="276" w:lineRule="auto"/>
        <w:rPr>
          <w:rFonts w:ascii="Arial" w:hAnsi="Arial" w:eastAsia="Arial" w:cs="Arial"/>
        </w:rPr>
      </w:pPr>
    </w:p>
    <w:p>
      <w:pPr>
        <w:spacing w:line="288" w:lineRule="auto"/>
        <w:rPr>
          <w:rFonts w:ascii="Arial" w:hAnsi="Arial" w:eastAsia="Arial" w:cs="Arial"/>
          <w:sz w:val="22"/>
        </w:rPr>
      </w:pPr>
      <w:r>
        <w:rPr>
          <w:rFonts w:ascii="Arial" w:hAnsi="Arial" w:eastAsia="Arial" w:cs="Arial"/>
          <w:sz w:val="22"/>
        </w:rPr>
        <w:t>From time to time we supplement the reporting of our financial information determined under generally accepted accounting principles ("GAAP") with certain non-GAAP financial measures. These include: "adjusted" compensation and benefits; operating expenses; operating profit; operating margin; other income and (expense); income before income taxes; income tax expense; effective tax rate; net income and earnings per share. We present revenue and revenue per piece on a constant currency basis. Additionally, we disclose free cash flow and return on invested capital (“ROIC”).</w:t>
      </w:r>
    </w:p>
    <w:p>
      <w:pPr>
        <w:spacing w:line="276"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We believe that these non-GAAP measures provide meaningful information to assist users of our financial statements in more fully understanding our financial results and cash flows and assessing our ongoing performance, because they exclude items that may not be indicative of, or are unrelated to, our underlying operations and may provide a useful baseline for analyzing trends in our underlying businesses. These non-GAAP measures are used internally by management for business unit operating performance analysis, business unit resource allocation and in connection with incentive compensation award determinations.</w:t>
      </w:r>
    </w:p>
    <w:p>
      <w:pPr>
        <w:spacing w:line="276"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Non-GAAP financial measures should be considered in addition to, and not as an alternative for, our reported results prepared in accordance with GAAP. Our adjusted financial information does not represent a comprehensive basis of accounting. Therefore, our adjusted financial information may not be comparable to similarly titled information reported by other companies.</w:t>
      </w:r>
    </w:p>
    <w:p>
      <w:pPr>
        <w:spacing w:line="288" w:lineRule="auto"/>
        <w:rPr>
          <w:rFonts w:ascii="Arial" w:hAnsi="Arial" w:eastAsia="Arial" w:cs="Arial"/>
          <w:i/>
          <w:sz w:val="22"/>
        </w:rPr>
      </w:pPr>
    </w:p>
    <w:p>
      <w:pPr>
        <w:spacing w:line="288" w:lineRule="auto"/>
        <w:rPr>
          <w:rFonts w:ascii="Arial" w:hAnsi="Arial" w:eastAsia="Arial" w:cs="Arial"/>
          <w:i/>
          <w:sz w:val="22"/>
        </w:rPr>
      </w:pPr>
    </w:p>
    <w:p>
      <w:pPr>
        <w:spacing w:line="288" w:lineRule="auto"/>
        <w:rPr>
          <w:rFonts w:ascii="Arial" w:hAnsi="Arial" w:eastAsia="Arial" w:cs="Arial"/>
          <w:i/>
          <w:sz w:val="22"/>
        </w:rPr>
      </w:pPr>
    </w:p>
    <w:p>
      <w:pPr>
        <w:pageBreakBefore/>
        <w:spacing w:line="288" w:lineRule="auto"/>
        <w:rPr>
          <w:rFonts w:ascii="Arial" w:hAnsi="Arial" w:eastAsia="Arial" w:cs="Arial"/>
        </w:rPr>
      </w:pPr>
      <w:r>
        <w:rPr>
          <w:rFonts w:ascii="Arial" w:hAnsi="Arial" w:eastAsia="Arial" w:cs="Arial"/>
          <w:i/>
          <w:sz w:val="22"/>
        </w:rPr>
        <w:t>Transformation and Other Charges</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 xml:space="preserve">Adjusted operating profit, operating margin, income before income taxes, net income and earnings per share may exclude the impact of charges related to transformation activities, goodwill and asset impairments, and divestitures.  </w:t>
      </w:r>
    </w:p>
    <w:p>
      <w:pPr>
        <w:spacing w:line="288" w:lineRule="auto"/>
        <w:rPr>
          <w:rFonts w:ascii="Arial" w:hAnsi="Arial" w:eastAsia="Arial" w:cs="Arial"/>
          <w:i/>
          <w:sz w:val="22"/>
        </w:rPr>
      </w:pPr>
    </w:p>
    <w:p>
      <w:pPr>
        <w:spacing w:line="288" w:lineRule="auto"/>
        <w:rPr>
          <w:rFonts w:ascii="Arial" w:hAnsi="Arial" w:eastAsia="Arial" w:cs="Arial"/>
          <w:i/>
          <w:sz w:val="22"/>
        </w:rPr>
      </w:pPr>
      <w:r>
        <w:rPr>
          <w:rFonts w:ascii="Arial" w:hAnsi="Arial" w:eastAsia="Arial" w:cs="Arial"/>
          <w:i/>
          <w:sz w:val="22"/>
        </w:rPr>
        <w:t>Changes in Foreign Currency Exchange Rates and Hedging Activities</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Currency-neutral revenue, revenue per piece and operating profit exclude the period over period impact of foreign currency exchange rate changes and any foreign currency hedging activities. These measures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impact of any foreign currency hedging activities). The difference between the current period reported U.S. dollar revenue, revenue per piece and operating profit and the derived current period U.S. dollar revenue, revenue per piece and operating profit is the period over period impact of foreign currency exchange rates and hedging activities.</w:t>
      </w:r>
    </w:p>
    <w:p>
      <w:pPr>
        <w:spacing w:line="276" w:lineRule="auto"/>
        <w:rPr>
          <w:rFonts w:ascii="Arial" w:hAnsi="Arial" w:eastAsia="Arial" w:cs="Arial"/>
          <w:i/>
          <w:sz w:val="22"/>
        </w:rPr>
      </w:pPr>
    </w:p>
    <w:p>
      <w:pPr>
        <w:spacing w:line="288" w:lineRule="auto"/>
        <w:rPr>
          <w:rFonts w:ascii="Arial" w:hAnsi="Arial" w:eastAsia="Arial" w:cs="Arial"/>
          <w:i/>
          <w:sz w:val="22"/>
        </w:rPr>
      </w:pPr>
      <w:r>
        <w:rPr>
          <w:rFonts w:ascii="Arial" w:hAnsi="Arial" w:eastAsia="Arial" w:cs="Arial"/>
          <w:i/>
          <w:sz w:val="22"/>
        </w:rPr>
        <w:t>Mark-To-Market Pension and Postretirement Adjustments</w:t>
      </w:r>
    </w:p>
    <w:p>
      <w:pPr>
        <w:spacing w:line="288" w:lineRule="auto"/>
        <w:rPr>
          <w:rFonts w:ascii="Arial" w:hAnsi="Arial" w:eastAsia="Arial" w:cs="Arial"/>
          <w:i/>
          <w:sz w:val="22"/>
        </w:rPr>
      </w:pPr>
    </w:p>
    <w:p>
      <w:pPr>
        <w:spacing w:line="288" w:lineRule="auto"/>
        <w:rPr>
          <w:rFonts w:ascii="Arial" w:hAnsi="Arial" w:eastAsia="Arial" w:cs="Arial"/>
          <w:sz w:val="22"/>
        </w:rPr>
      </w:pPr>
      <w:r>
        <w:rPr>
          <w:rFonts w:ascii="Arial" w:hAnsi="Arial" w:eastAsia="Arial" w:cs="Arial"/>
          <w:sz w:val="22"/>
        </w:rPr>
        <w:t>We recognize changes in the fair value of plan assets and net actuarial gains and losses in excess of a 10% corridor for our pension and postretirement defined benefit plans immediately as part of other pension income (expense). We supplement our presentation of certain financial data with non-GAAP measures that exclude the impact of gains and losses recognized in excess of the 10% corridor and the related income tax effects. We believe excluding these mark-to-market impacts provides important supplemental information by removing the volatility associated with short-term changes in market interest rates, equity values, and similar factors.</w:t>
      </w:r>
    </w:p>
    <w:p>
      <w:pPr>
        <w:spacing w:line="288"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The deferred income tax effects of mark-to-market pension and postretirement adjustments are calculated by multiplying the statutory tax rates applicable in each tax jurisdiction, including the U.S. federal jurisdiction and various U.S. state and non-U.S. jurisdictions, by the adjustments.</w:t>
      </w:r>
    </w:p>
    <w:p>
      <w:pPr>
        <w:spacing w:line="288" w:lineRule="auto"/>
        <w:rPr>
          <w:rFonts w:ascii="Arial" w:hAnsi="Arial" w:eastAsia="Arial" w:cs="Arial"/>
          <w:i/>
          <w:sz w:val="22"/>
        </w:rPr>
      </w:pPr>
    </w:p>
    <w:p>
      <w:pPr>
        <w:spacing w:line="288" w:lineRule="auto"/>
        <w:rPr>
          <w:rFonts w:ascii="Arial" w:hAnsi="Arial" w:eastAsia="Arial" w:cs="Arial"/>
          <w:sz w:val="22"/>
        </w:rPr>
      </w:pPr>
      <w:r>
        <w:rPr>
          <w:rFonts w:ascii="Arial" w:hAnsi="Arial" w:eastAsia="Arial" w:cs="Arial"/>
          <w:i/>
          <w:sz w:val="22"/>
        </w:rPr>
        <w:t>Free Cash Flow</w:t>
      </w:r>
    </w:p>
    <w:p>
      <w:pPr>
        <w:spacing w:line="276"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We calculate free cash flow as cash flows from operating activities less capital expenditures, proceeds from disposals of property, plant and equipment, and plus or minus the net changes in finance receivables and other investing activities. We believe free cash flow is an important indicator of how much cash is generated by our ongoing business operations and we use this as a measure of incremental cash available to invest in our business, meet our debt obligations and return cash to shareowners.</w:t>
      </w:r>
    </w:p>
    <w:p>
      <w:pPr>
        <w:spacing w:line="276" w:lineRule="auto"/>
        <w:rPr>
          <w:rFonts w:ascii="Arial" w:hAnsi="Arial" w:eastAsia="Arial" w:cs="Arial"/>
          <w:sz w:val="22"/>
        </w:rPr>
      </w:pPr>
    </w:p>
    <w:p>
      <w:pPr>
        <w:spacing w:line="288" w:lineRule="auto"/>
        <w:rPr>
          <w:rFonts w:ascii="Arial" w:hAnsi="Arial" w:eastAsia="Arial" w:cs="Arial"/>
          <w:i/>
          <w:sz w:val="22"/>
        </w:rPr>
      </w:pPr>
      <w:r>
        <w:rPr>
          <w:rFonts w:ascii="Arial" w:hAnsi="Arial" w:eastAsia="Arial" w:cs="Arial"/>
          <w:i/>
          <w:sz w:val="22"/>
        </w:rPr>
        <w:t>Return on Invested Capital</w:t>
      </w:r>
    </w:p>
    <w:p>
      <w:pPr>
        <w:spacing w:line="276"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ROIC is calculated as the trailing twelve months (“TTM”) of adjusted operating income divided by the average of total debt, non-current pension and postretirement benefit obligations and shareowners’ equity, at the current period end and the corresponding period end of the prior year. Because ROIC is not a measure defined by GAAP, we calculate it, in part, using non-GAAP financial measures that we believe are most indicative of our ongoing business performance. We consider ROIC to be a useful measure for evaluating the effectiveness and efficiency of our long-term capital investments.</w:t>
      </w:r>
    </w:p>
    <w:p>
      <w:pPr>
        <w:spacing w:line="276" w:lineRule="auto"/>
        <w:rPr>
          <w:rFonts w:ascii="Arial" w:hAnsi="Arial" w:eastAsia="Arial" w:cs="Arial"/>
          <w:sz w:val="22"/>
        </w:rPr>
      </w:pPr>
    </w:p>
    <w:p>
      <w:pPr>
        <w:spacing w:line="288" w:lineRule="auto"/>
        <w:rPr>
          <w:rFonts w:ascii="Arial" w:hAnsi="Arial" w:eastAsia="Arial" w:cs="Arial"/>
          <w:i/>
          <w:sz w:val="22"/>
        </w:rPr>
      </w:pPr>
      <w:r>
        <w:rPr>
          <w:rFonts w:ascii="Arial" w:hAnsi="Arial" w:eastAsia="Arial" w:cs="Arial"/>
          <w:i/>
          <w:sz w:val="22"/>
        </w:rPr>
        <w:t>Forward-Looking Non-GAAP Metrics</w:t>
      </w:r>
    </w:p>
    <w:p>
      <w:pPr>
        <w:spacing w:line="276" w:lineRule="auto"/>
        <w:rPr>
          <w:rFonts w:ascii="Arial" w:hAnsi="Arial" w:eastAsia="Arial" w:cs="Arial"/>
          <w:sz w:val="22"/>
        </w:rPr>
      </w:pPr>
    </w:p>
    <w:p>
      <w:pPr>
        <w:spacing w:line="288" w:lineRule="auto"/>
        <w:rPr>
          <w:rFonts w:ascii="Arial" w:hAnsi="Arial" w:eastAsia="Arial" w:cs="Arial"/>
          <w:sz w:val="22"/>
        </w:rPr>
      </w:pPr>
      <w:r>
        <w:rPr>
          <w:rFonts w:ascii="Arial" w:hAnsi="Arial" w:eastAsia="Arial" w:cs="Arial"/>
          <w:sz w:val="22"/>
        </w:rPr>
        <w:t>From time to time when presenting forward-looking non-GAAP metrics, we are unable to provide quantitative reconciliations to the most closely correlated GAAP measure due to the uncertainty in the timing, amount or nature of any adjustments, which could be material in any period.</w:t>
      </w:r>
    </w:p>
    <w:p>
      <w:pPr>
        <w:pageBreakBefore/>
        <w:spacing w:line="204" w:lineRule="auto"/>
        <w:jc w:val="center"/>
        <w:rPr>
          <w:rFonts w:ascii="Arial" w:hAnsi="Arial" w:eastAsia="Arial" w:cs="Arial"/>
          <w:b/>
          <w:sz w:val="22"/>
        </w:rPr>
      </w:pPr>
    </w:p>
    <w:p>
      <w:pPr>
        <w:spacing w:line="288" w:lineRule="auto"/>
        <w:jc w:val="center"/>
        <w:rPr>
          <w:rFonts w:ascii="Arial" w:hAnsi="Arial" w:eastAsia="Arial" w:cs="Arial"/>
          <w:b/>
          <w:sz w:val="22"/>
        </w:rPr>
      </w:pPr>
      <w:r>
        <w:rPr>
          <w:rFonts w:ascii="Arial" w:hAnsi="Arial" w:eastAsia="Arial" w:cs="Arial"/>
          <w:b/>
          <w:sz w:val="22"/>
        </w:rPr>
        <w:t>Reconciliation of GAAP and Non-GAAP Income Statement Items</w:t>
      </w:r>
    </w:p>
    <w:p>
      <w:pPr>
        <w:spacing w:line="288" w:lineRule="auto"/>
        <w:jc w:val="center"/>
        <w:rPr>
          <w:rFonts w:ascii="Arial" w:hAnsi="Arial" w:eastAsia="Arial" w:cs="Arial"/>
          <w:b/>
          <w:sz w:val="22"/>
        </w:rPr>
      </w:pPr>
      <w:r>
        <w:rPr>
          <w:rFonts w:ascii="Arial" w:hAnsi="Arial" w:eastAsia="Arial" w:cs="Arial"/>
          <w:b/>
          <w:sz w:val="22"/>
        </w:rPr>
        <w:t>(in millions, except per share amounts):</w:t>
      </w:r>
    </w:p>
    <w:p>
      <w:pPr>
        <w:spacing w:line="204" w:lineRule="auto"/>
        <w:jc w:val="center"/>
        <w:rPr>
          <w:rFonts w:ascii="Arial" w:hAnsi="Arial" w:eastAsia="Arial" w:cs="Arial"/>
          <w:b/>
          <w:sz w:val="22"/>
        </w:rPr>
      </w:pPr>
    </w:p>
    <w:p>
      <w:pPr>
        <w:spacing w:line="204" w:lineRule="auto"/>
        <w:jc w:val="center"/>
        <w:rPr>
          <w:rFonts w:ascii="Arial" w:hAnsi="Arial" w:eastAsia="Arial" w:cs="Arial"/>
          <w:color w:val="003436"/>
          <w:sz w:val="22"/>
        </w:rPr>
      </w:pP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4"/>
        <w:gridCol w:w="1417"/>
        <w:gridCol w:w="126"/>
        <w:gridCol w:w="1417"/>
        <w:gridCol w:w="126"/>
        <w:gridCol w:w="1417"/>
        <w:gridCol w:w="12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jc w:val="center"/>
        </w:trPr>
        <w:tc>
          <w:tcPr>
            <w:tcW w:w="9540" w:type="dxa"/>
            <w:gridSpan w:val="8"/>
            <w:tcBorders>
              <w:top w:val="nil"/>
              <w:left w:val="nil"/>
              <w:bottom w:val="nil"/>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Three Months Ended December 31,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jc w:val="center"/>
        </w:trPr>
        <w:tc>
          <w:tcPr>
            <w:tcW w:w="355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exact"/>
          <w:jc w:val="center"/>
        </w:trPr>
        <w:tc>
          <w:tcPr>
            <w:tcW w:w="355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As Reported (GAAP)</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rPr>
                <w:rFonts w:ascii="Arial" w:hAnsi="Arial" w:eastAsia="Arial" w:cs="Arial"/>
                <w:b/>
                <w:sz w:val="18"/>
              </w:rPr>
            </w:pPr>
            <w:r>
              <w:rPr>
                <w:rFonts w:ascii="Arial" w:hAnsi="Arial" w:eastAsia="Arial" w:cs="Arial"/>
                <w:b/>
                <w:sz w:val="18"/>
              </w:rPr>
              <w:t>Pension MTM Adj.</w:t>
            </w:r>
            <w:r>
              <w:rPr>
                <w:rFonts w:ascii="Arial" w:hAnsi="Arial" w:eastAsia="Arial" w:cs="Arial"/>
                <w:b/>
                <w:sz w:val="18"/>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rPr>
                <w:rFonts w:ascii="Arial" w:hAnsi="Arial" w:eastAsia="Arial" w:cs="Arial"/>
                <w:b/>
                <w:sz w:val="18"/>
              </w:rPr>
            </w:pPr>
            <w:r>
              <w:rPr>
                <w:rFonts w:ascii="Arial" w:hAnsi="Arial" w:eastAsia="Arial" w:cs="Arial"/>
                <w:b/>
                <w:sz w:val="18"/>
              </w:rPr>
              <w:t>Transformation &amp; Other Adj.</w:t>
            </w:r>
            <w:r>
              <w:rPr>
                <w:rFonts w:ascii="Arial" w:hAnsi="Arial" w:eastAsia="Arial" w:cs="Arial"/>
                <w:b/>
                <w:sz w:val="18"/>
                <w:vertAlign w:val="superscript"/>
              </w:rPr>
              <w:t>(2)</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8"/>
              </w:rPr>
              <w:t>As Adjusted</w:t>
            </w:r>
          </w:p>
          <w:p>
            <w:pPr>
              <w:spacing w:after="30"/>
              <w:jc w:val="center"/>
            </w:pPr>
            <w:r>
              <w:rPr>
                <w:rFonts w:ascii="Arial" w:hAnsi="Arial" w:eastAsia="Arial" w:cs="Arial"/>
                <w:b/>
                <w:color w:val="000000"/>
                <w:sz w:val="18"/>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U.S. Domestic Package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15,594</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62</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15,532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International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4,071</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2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5</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4,066</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rPr>
                <w:rFonts w:ascii="Arial" w:hAnsi="Arial" w:eastAsia="Arial" w:cs="Arial"/>
                <w:sz w:val="18"/>
              </w:rPr>
            </w:pPr>
            <w:r>
              <w:rPr>
                <w:rFonts w:ascii="Arial" w:hAnsi="Arial" w:eastAsia="Arial" w:cs="Arial"/>
                <w:sz w:val="18"/>
              </w:rPr>
              <w:t>Supply Chain Solutions</w:t>
            </w:r>
            <w:r>
              <w:rPr>
                <w:rFonts w:ascii="Arial" w:hAnsi="Arial" w:eastAsia="Arial" w:cs="Arial"/>
                <w:sz w:val="18"/>
                <w:vertAlign w:val="superscript"/>
              </w:rPr>
              <w:t>(3)</w:t>
            </w: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4,215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1154"/>
              </w:tabs>
              <w:spacing w:before="53" w:after="30"/>
              <w:jc w:val="right"/>
            </w:pPr>
            <w:r>
              <w:rPr>
                <w:rFonts w:ascii="Arial" w:hAnsi="Arial" w:eastAsia="Arial" w:cs="Arial"/>
                <w:color w:val="000000"/>
                <w:sz w:val="18"/>
              </w:rPr>
              <w:tab/>
            </w:r>
            <w:r>
              <w:rPr>
                <w:rFonts w:ascii="Arial" w:hAnsi="Arial" w:eastAsia="Arial" w:cs="Arial"/>
                <w:color w:val="000000"/>
                <w:sz w:val="18"/>
              </w:rPr>
              <w:t>(6)</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4,221</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Operating Expense</w:t>
            </w: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23,880</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61</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23,819</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U.S. Domestic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2,103</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62</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2,165</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International Package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1,326</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2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1,331</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rPr>
                <w:rFonts w:ascii="Arial" w:hAnsi="Arial" w:eastAsia="Arial" w:cs="Arial"/>
                <w:sz w:val="18"/>
              </w:rPr>
            </w:pPr>
            <w:r>
              <w:rPr>
                <w:rFonts w:ascii="Arial" w:hAnsi="Arial" w:eastAsia="Arial" w:cs="Arial"/>
                <w:sz w:val="18"/>
              </w:rPr>
              <w:t>Supply Chain Solutions</w:t>
            </w:r>
            <w:r>
              <w:rPr>
                <w:rFonts w:ascii="Arial" w:hAnsi="Arial" w:eastAsia="Arial" w:cs="Arial"/>
                <w:sz w:val="18"/>
                <w:vertAlign w:val="superscript"/>
              </w:rPr>
              <w:t>(3)</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462</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54"/>
              </w:tabs>
              <w:spacing w:before="53" w:after="30"/>
              <w:jc w:val="right"/>
            </w:pPr>
            <w:r>
              <w:rPr>
                <w:rFonts w:ascii="Arial" w:hAnsi="Arial" w:eastAsia="Arial" w:cs="Arial"/>
                <w:color w:val="000000"/>
                <w:sz w:val="18"/>
              </w:rPr>
              <w:tab/>
            </w:r>
            <w:r>
              <w:rPr>
                <w:rFonts w:ascii="Arial" w:hAnsi="Arial" w:eastAsia="Arial" w:cs="Arial"/>
                <w:color w:val="000000"/>
                <w:sz w:val="18"/>
              </w:rPr>
              <w:t>(6)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456</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Operating Profit</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3,891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61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3,952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Other Income and (Expense):</w:t>
            </w: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Other pension income (expense)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267</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18</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285</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 xml:space="preserve">   Investment income (expense) and other</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054"/>
              </w:tabs>
              <w:spacing w:before="53" w:after="30"/>
              <w:jc w:val="right"/>
            </w:pPr>
            <w:r>
              <w:rPr>
                <w:rFonts w:ascii="Arial" w:hAnsi="Arial" w:eastAsia="Arial" w:cs="Arial"/>
                <w:color w:val="000000"/>
                <w:sz w:val="18"/>
              </w:rPr>
              <w:tab/>
            </w:r>
            <w:r>
              <w:rPr>
                <w:rFonts w:ascii="Arial" w:hAnsi="Arial" w:eastAsia="Arial" w:cs="Arial"/>
                <w:color w:val="000000"/>
                <w:sz w:val="18"/>
              </w:rPr>
              <w:t>(23)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054"/>
              </w:tabs>
              <w:spacing w:before="53" w:after="30"/>
              <w:jc w:val="right"/>
            </w:pPr>
            <w:r>
              <w:rPr>
                <w:rFonts w:ascii="Arial" w:hAnsi="Arial" w:eastAsia="Arial" w:cs="Arial"/>
                <w:color w:val="000000"/>
                <w:sz w:val="18"/>
              </w:rPr>
              <w:tab/>
            </w:r>
            <w:r>
              <w:rPr>
                <w:rFonts w:ascii="Arial" w:hAnsi="Arial" w:eastAsia="Arial" w:cs="Arial"/>
                <w:color w:val="000000"/>
                <w:sz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 xml:space="preserve">   Interest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954"/>
              </w:tabs>
              <w:spacing w:before="53" w:after="30"/>
              <w:jc w:val="right"/>
            </w:pPr>
            <w:r>
              <w:rPr>
                <w:rFonts w:ascii="Arial" w:hAnsi="Arial" w:eastAsia="Arial" w:cs="Arial"/>
                <w:color w:val="000000"/>
                <w:sz w:val="18"/>
              </w:rPr>
              <w:tab/>
            </w:r>
            <w:r>
              <w:rPr>
                <w:rFonts w:ascii="Arial" w:hAnsi="Arial" w:eastAsia="Arial" w:cs="Arial"/>
                <w:color w:val="000000"/>
                <w:sz w:val="18"/>
              </w:rPr>
              <w:t>(173)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954"/>
              </w:tabs>
              <w:spacing w:before="53" w:after="30"/>
              <w:jc w:val="right"/>
            </w:pPr>
            <w:r>
              <w:rPr>
                <w:rFonts w:ascii="Arial" w:hAnsi="Arial" w:eastAsia="Arial" w:cs="Arial"/>
                <w:color w:val="000000"/>
                <w:sz w:val="18"/>
              </w:rPr>
              <w:tab/>
            </w:r>
            <w:r>
              <w:rPr>
                <w:rFonts w:ascii="Arial" w:hAnsi="Arial" w:eastAsia="Arial" w:cs="Arial"/>
                <w:color w:val="000000"/>
                <w:sz w:val="18"/>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Total Other Income (Expense)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71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18</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89</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Income Before Income Taxes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3,962</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18</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61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4,041</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Income Tax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869</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2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16</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889</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Net Income</w:t>
            </w: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3,093</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14</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111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45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3,152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Basic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3.53</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0.02</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0.05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3.60</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Diluted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3.52</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0.02</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0.05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3.59</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jc w:val="center"/>
        </w:trPr>
        <w:tc>
          <w:tcPr>
            <w:tcW w:w="355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c>
          <w:tcPr>
            <w:tcW w:w="7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c>
          <w:tcPr>
            <w:tcW w:w="7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c>
          <w:tcPr>
            <w:tcW w:w="7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r>
    </w:tbl>
    <w:p>
      <w:pPr>
        <w:spacing w:line="204" w:lineRule="auto"/>
        <w:rPr>
          <w:rFonts w:ascii="Arial" w:hAnsi="Arial" w:eastAsia="Arial" w:cs="Arial"/>
          <w:sz w:val="16"/>
        </w:rPr>
      </w:pPr>
    </w:p>
    <w:p>
      <w:pPr>
        <w:spacing w:line="204" w:lineRule="auto"/>
        <w:rPr>
          <w:rFonts w:ascii="Arial" w:hAnsi="Arial" w:eastAsia="Arial" w:cs="Arial"/>
          <w:b/>
          <w:color w:val="003436"/>
          <w:sz w:val="16"/>
        </w:rPr>
      </w:pPr>
      <w:r>
        <w:rPr>
          <w:rFonts w:ascii="Arial" w:hAnsi="Arial" w:eastAsia="Arial" w:cs="Arial"/>
          <w:sz w:val="16"/>
        </w:rPr>
        <w:t>(1) Represents mark-to-market losses recognized outside of a 10% corridor on company-sponsored pension and postretirement plans</w:t>
      </w:r>
    </w:p>
    <w:p>
      <w:pPr>
        <w:spacing w:line="204" w:lineRule="auto"/>
        <w:rPr>
          <w:rFonts w:ascii="Arial" w:hAnsi="Arial" w:eastAsia="Arial" w:cs="Arial"/>
          <w:b/>
          <w:color w:val="003436"/>
          <w:sz w:val="16"/>
        </w:rPr>
      </w:pPr>
    </w:p>
    <w:p>
      <w:pPr>
        <w:spacing w:line="288" w:lineRule="auto"/>
        <w:rPr>
          <w:rFonts w:ascii="Arial" w:hAnsi="Arial" w:eastAsia="Arial" w:cs="Arial"/>
          <w:color w:val="003436"/>
          <w:sz w:val="16"/>
        </w:rPr>
      </w:pPr>
      <w:r>
        <w:rPr>
          <w:rFonts w:ascii="Arial" w:hAnsi="Arial" w:eastAsia="Arial" w:cs="Arial"/>
          <w:sz w:val="16"/>
        </w:rPr>
        <w:t>(2) Transformation &amp; other of $61 million reflects other employee benefits costs of $42 million, other costs of $30 million and an $11 million gain related to the divestiture of UPS Freight.</w:t>
      </w: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r>
        <w:rPr>
          <w:rFonts w:ascii="Arial" w:hAnsi="Arial" w:eastAsia="Arial" w:cs="Arial"/>
          <w:sz w:val="16"/>
        </w:rPr>
        <w:t>(3) The divestiture of UPS Freight was completed on April 30, 2021.</w:t>
      </w:r>
    </w:p>
    <w:p>
      <w:pPr>
        <w:spacing w:line="204" w:lineRule="auto"/>
        <w:rPr>
          <w:rFonts w:ascii="Arial" w:hAnsi="Arial" w:eastAsia="Arial" w:cs="Arial"/>
          <w:color w:val="003436"/>
          <w:sz w:val="18"/>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p>
      <w:pPr>
        <w:spacing w:line="204" w:lineRule="auto"/>
        <w:jc w:val="center"/>
        <w:rPr>
          <w:rFonts w:ascii="Arial" w:hAnsi="Arial" w:eastAsia="Arial" w:cs="Arial"/>
          <w:b/>
          <w:sz w:val="22"/>
        </w:rPr>
      </w:pPr>
    </w:p>
    <w:p>
      <w:pPr>
        <w:spacing w:line="204" w:lineRule="auto"/>
        <w:jc w:val="center"/>
        <w:rPr>
          <w:rFonts w:ascii="Arial" w:hAnsi="Arial" w:eastAsia="Arial" w:cs="Arial"/>
          <w:color w:val="003436"/>
          <w:sz w:val="16"/>
        </w:rPr>
      </w:pPr>
      <w:r>
        <w:rPr>
          <w:rFonts w:ascii="Arial" w:hAnsi="Arial" w:eastAsia="Arial" w:cs="Arial"/>
          <w:b/>
          <w:sz w:val="22"/>
        </w:rPr>
        <w:t>Reconciliation of GAAP and Non-GAAP Income Statement Items</w:t>
      </w:r>
    </w:p>
    <w:p>
      <w:pPr>
        <w:spacing w:line="288" w:lineRule="auto"/>
        <w:jc w:val="center"/>
        <w:rPr>
          <w:rFonts w:ascii="Arial" w:hAnsi="Arial" w:eastAsia="Arial" w:cs="Arial"/>
          <w:b/>
          <w:color w:val="003436"/>
          <w:sz w:val="22"/>
        </w:rPr>
      </w:pPr>
      <w:r>
        <w:rPr>
          <w:rFonts w:ascii="Arial" w:hAnsi="Arial" w:eastAsia="Arial" w:cs="Arial"/>
          <w:b/>
          <w:sz w:val="22"/>
        </w:rPr>
        <w:t>(in millions, except per share amounts):</w:t>
      </w:r>
    </w:p>
    <w:p>
      <w:pPr>
        <w:spacing w:line="204" w:lineRule="auto"/>
        <w:jc w:val="center"/>
        <w:rPr>
          <w:rFonts w:ascii="Arial" w:hAnsi="Arial" w:eastAsia="Arial" w:cs="Arial"/>
          <w:b/>
          <w:color w:val="003436"/>
          <w:sz w:val="22"/>
        </w:rPr>
      </w:pPr>
    </w:p>
    <w:p>
      <w:pPr>
        <w:spacing w:line="204" w:lineRule="auto"/>
        <w:jc w:val="center"/>
        <w:rPr>
          <w:rFonts w:ascii="Arial" w:hAnsi="Arial" w:eastAsia="Arial" w:cs="Arial"/>
          <w:color w:val="003436"/>
          <w:sz w:val="22"/>
        </w:rPr>
      </w:pPr>
    </w:p>
    <w:tbl>
      <w:tblPr>
        <w:tblStyle w:val="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4"/>
        <w:gridCol w:w="1417"/>
        <w:gridCol w:w="126"/>
        <w:gridCol w:w="1417"/>
        <w:gridCol w:w="126"/>
        <w:gridCol w:w="1417"/>
        <w:gridCol w:w="12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exact"/>
          <w:jc w:val="center"/>
        </w:trPr>
        <w:tc>
          <w:tcPr>
            <w:tcW w:w="9540" w:type="dxa"/>
            <w:gridSpan w:val="8"/>
            <w:tcBorders>
              <w:top w:val="nil"/>
              <w:left w:val="nil"/>
              <w:bottom w:val="nil"/>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Twelve Months Ended December 31,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jc w:val="center"/>
        </w:trPr>
        <w:tc>
          <w:tcPr>
            <w:tcW w:w="355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5" w:hRule="exact"/>
          <w:jc w:val="center"/>
        </w:trPr>
        <w:tc>
          <w:tcPr>
            <w:tcW w:w="355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As Reported (GAAP)</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rPr>
                <w:rFonts w:ascii="Arial" w:hAnsi="Arial" w:eastAsia="Arial" w:cs="Arial"/>
                <w:b/>
                <w:sz w:val="18"/>
              </w:rPr>
            </w:pPr>
            <w:r>
              <w:rPr>
                <w:rFonts w:ascii="Arial" w:hAnsi="Arial" w:eastAsia="Arial" w:cs="Arial"/>
                <w:b/>
                <w:sz w:val="18"/>
              </w:rPr>
              <w:t>Pension MTM Adj.</w:t>
            </w:r>
            <w:r>
              <w:rPr>
                <w:rFonts w:ascii="Arial" w:hAnsi="Arial" w:eastAsia="Arial" w:cs="Arial"/>
                <w:b/>
                <w:sz w:val="18"/>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rPr>
                <w:rFonts w:ascii="Arial" w:hAnsi="Arial" w:eastAsia="Arial" w:cs="Arial"/>
                <w:b/>
                <w:sz w:val="18"/>
              </w:rPr>
            </w:pPr>
            <w:r>
              <w:rPr>
                <w:rFonts w:ascii="Arial" w:hAnsi="Arial" w:eastAsia="Arial" w:cs="Arial"/>
                <w:b/>
                <w:sz w:val="18"/>
              </w:rPr>
              <w:t>Transformation &amp; Other Adj.</w:t>
            </w:r>
            <w:r>
              <w:rPr>
                <w:rFonts w:ascii="Arial" w:hAnsi="Arial" w:eastAsia="Arial" w:cs="Arial"/>
                <w:b/>
                <w:sz w:val="18"/>
                <w:vertAlign w:val="superscript"/>
              </w:rPr>
              <w:t>(2)</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8"/>
              </w:rPr>
              <w:t>As Adjusted</w:t>
            </w:r>
          </w:p>
          <w:p>
            <w:pPr>
              <w:spacing w:after="30"/>
              <w:jc w:val="center"/>
            </w:pPr>
            <w:r>
              <w:rPr>
                <w:rFonts w:ascii="Arial" w:hAnsi="Arial" w:eastAsia="Arial" w:cs="Arial"/>
                <w:b/>
                <w:color w:val="000000"/>
                <w:sz w:val="18"/>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U.S. Domestic Package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53,881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01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281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53,600</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International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7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14,895</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74</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7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14,821</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rPr>
                <w:rFonts w:ascii="Arial" w:hAnsi="Arial" w:eastAsia="Arial" w:cs="Arial"/>
                <w:sz w:val="18"/>
              </w:rPr>
            </w:pPr>
            <w:r>
              <w:rPr>
                <w:rFonts w:ascii="Arial" w:hAnsi="Arial" w:eastAsia="Arial" w:cs="Arial"/>
                <w:sz w:val="18"/>
              </w:rPr>
              <w:t>Supply Chain Solutions</w:t>
            </w:r>
            <w:r>
              <w:rPr>
                <w:rFonts w:ascii="Arial" w:hAnsi="Arial" w:eastAsia="Arial" w:cs="Arial"/>
                <w:sz w:val="18"/>
                <w:vertAlign w:val="superscript"/>
              </w:rPr>
              <w:t>(3)</w:t>
            </w: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7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15,701</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1054"/>
              </w:tabs>
              <w:spacing w:before="53" w:after="30"/>
              <w:jc w:val="right"/>
            </w:pPr>
            <w:r>
              <w:rPr>
                <w:rFonts w:ascii="Arial" w:hAnsi="Arial" w:eastAsia="Arial" w:cs="Arial"/>
                <w:color w:val="000000"/>
                <w:sz w:val="18"/>
              </w:rPr>
              <w:tab/>
            </w:r>
            <w:r>
              <w:rPr>
                <w:rFonts w:ascii="Arial" w:hAnsi="Arial" w:eastAsia="Arial" w:cs="Arial"/>
                <w:color w:val="000000"/>
                <w:sz w:val="18"/>
              </w:rPr>
              <w:t>(21)</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7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15,722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Operating Expense</w:t>
            </w: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84,477</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10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334</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single" w:color="000000" w:sz="8" w:space="0"/>
              <w:left w:val="nil"/>
              <w:bottom w:val="nil"/>
              <w:right w:val="nil"/>
            </w:tcBorders>
            <w:shd w:val="clear" w:color="auto" w:fill="FFFF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84,143</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U.S. Domestic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6,436</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281</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6,717</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International Package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4,646</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74</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4,720</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rPr>
                <w:rFonts w:ascii="Arial" w:hAnsi="Arial" w:eastAsia="Arial" w:cs="Arial"/>
                <w:sz w:val="18"/>
              </w:rPr>
            </w:pPr>
            <w:r>
              <w:rPr>
                <w:rFonts w:ascii="Arial" w:hAnsi="Arial" w:eastAsia="Arial" w:cs="Arial"/>
                <w:sz w:val="18"/>
              </w:rPr>
              <w:t>Supply Chain Solutions</w:t>
            </w:r>
            <w:r>
              <w:rPr>
                <w:rFonts w:ascii="Arial" w:hAnsi="Arial" w:eastAsia="Arial" w:cs="Arial"/>
                <w:sz w:val="18"/>
                <w:vertAlign w:val="superscript"/>
              </w:rPr>
              <w:t>(3)</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1,728</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054"/>
              </w:tabs>
              <w:spacing w:before="53" w:after="30"/>
              <w:jc w:val="right"/>
            </w:pPr>
            <w:r>
              <w:rPr>
                <w:rFonts w:ascii="Arial" w:hAnsi="Arial" w:eastAsia="Arial" w:cs="Arial"/>
                <w:color w:val="000000"/>
                <w:sz w:val="18"/>
              </w:rPr>
              <w:tab/>
            </w:r>
            <w:r>
              <w:rPr>
                <w:rFonts w:ascii="Arial" w:hAnsi="Arial" w:eastAsia="Arial" w:cs="Arial"/>
                <w:color w:val="000000"/>
                <w:sz w:val="18"/>
              </w:rPr>
              <w:t>(21)</w:t>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1,707</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Operating Profit</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12,810</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0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334</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13,144</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Other Income and (Expense):</w:t>
            </w: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8"/>
              </w:rPr>
              <w:t>Other pension income (expense)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4,457</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04"/>
              </w:tabs>
              <w:spacing w:before="53" w:after="30"/>
              <w:jc w:val="right"/>
            </w:pPr>
            <w:r>
              <w:rPr>
                <w:rFonts w:ascii="Arial" w:hAnsi="Arial" w:eastAsia="Arial" w:cs="Arial"/>
                <w:color w:val="000000"/>
                <w:sz w:val="18"/>
              </w:rPr>
              <w:tab/>
            </w:r>
            <w:r>
              <w:rPr>
                <w:rFonts w:ascii="Arial" w:hAnsi="Arial" w:eastAsia="Arial" w:cs="Arial"/>
                <w:color w:val="000000"/>
                <w:sz w:val="18"/>
              </w:rPr>
              <w:t>(3,272)</w:t>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1,185</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 xml:space="preserve">   Investment income (expense) and other</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22</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22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 xml:space="preserve">   Interest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954"/>
              </w:tabs>
              <w:spacing w:before="53" w:after="30"/>
              <w:jc w:val="right"/>
            </w:pPr>
            <w:r>
              <w:rPr>
                <w:rFonts w:ascii="Arial" w:hAnsi="Arial" w:eastAsia="Arial" w:cs="Arial"/>
                <w:color w:val="000000"/>
                <w:sz w:val="18"/>
              </w:rPr>
              <w:tab/>
            </w:r>
            <w:r>
              <w:rPr>
                <w:rFonts w:ascii="Arial" w:hAnsi="Arial" w:eastAsia="Arial" w:cs="Arial"/>
                <w:color w:val="000000"/>
                <w:sz w:val="18"/>
              </w:rPr>
              <w:t>(694)</w:t>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3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954"/>
              </w:tabs>
              <w:spacing w:before="53" w:after="30"/>
              <w:jc w:val="right"/>
            </w:pPr>
            <w:r>
              <w:rPr>
                <w:rFonts w:ascii="Arial" w:hAnsi="Arial" w:eastAsia="Arial" w:cs="Arial"/>
                <w:color w:val="000000"/>
                <w:sz w:val="18"/>
              </w:rPr>
              <w:tab/>
            </w:r>
            <w:r>
              <w:rPr>
                <w:rFonts w:ascii="Arial" w:hAnsi="Arial" w:eastAsia="Arial" w:cs="Arial"/>
                <w:color w:val="000000"/>
                <w:sz w:val="18"/>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Total Other Income (Expense)</w:t>
            </w: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86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3,785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804"/>
              </w:tabs>
              <w:spacing w:before="33" w:after="30"/>
              <w:jc w:val="right"/>
            </w:pPr>
            <w:r>
              <w:rPr>
                <w:rFonts w:ascii="Arial" w:hAnsi="Arial" w:eastAsia="Arial" w:cs="Arial"/>
                <w:color w:val="000000"/>
                <w:sz w:val="18"/>
              </w:rPr>
              <w:tab/>
            </w:r>
            <w:r>
              <w:rPr>
                <w:rFonts w:ascii="Arial" w:hAnsi="Arial" w:eastAsia="Arial" w:cs="Arial"/>
                <w:color w:val="000000"/>
                <w:sz w:val="18"/>
              </w:rPr>
              <w:t>(3,272)</w:t>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3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014"/>
                <w:tab w:val="left" w:pos="1372"/>
              </w:tabs>
              <w:spacing w:before="33" w:after="30"/>
              <w:jc w:val="right"/>
            </w:pPr>
            <w:r>
              <w:rPr>
                <w:rFonts w:ascii="Arial" w:hAnsi="Arial" w:eastAsia="Arial" w:cs="Arial"/>
                <w:color w:val="000000"/>
                <w:sz w:val="18"/>
              </w:rPr>
              <w:tab/>
            </w:r>
            <w:r>
              <w:rPr>
                <w:rFonts w:ascii="Arial" w:hAnsi="Arial" w:eastAsia="Arial" w:cs="Arial"/>
                <w:color w:val="000000"/>
                <w:sz w:val="18"/>
              </w:rPr>
              <w:t>513</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pPr>
              <w:keepNext/>
              <w:spacing w:before="53" w:after="3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Income Before Income Taxes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16,595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804"/>
              </w:tabs>
              <w:spacing w:before="53" w:after="30"/>
              <w:jc w:val="right"/>
            </w:pPr>
            <w:r>
              <w:rPr>
                <w:rFonts w:ascii="Arial" w:hAnsi="Arial" w:eastAsia="Arial" w:cs="Arial"/>
                <w:color w:val="000000"/>
                <w:sz w:val="18"/>
              </w:rPr>
              <w:tab/>
            </w:r>
            <w:r>
              <w:rPr>
                <w:rFonts w:ascii="Arial" w:hAnsi="Arial" w:eastAsia="Arial" w:cs="Arial"/>
                <w:color w:val="000000"/>
                <w:sz w:val="18"/>
              </w:rPr>
              <w:t>(3,272)</w:t>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0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334</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7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13,657</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Income Tax Expense</w:t>
            </w: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3,705</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954"/>
              </w:tabs>
              <w:spacing w:before="53" w:after="30"/>
              <w:jc w:val="right"/>
            </w:pPr>
            <w:r>
              <w:rPr>
                <w:rFonts w:ascii="Arial" w:hAnsi="Arial" w:eastAsia="Arial" w:cs="Arial"/>
                <w:color w:val="000000"/>
                <w:sz w:val="18"/>
              </w:rPr>
              <w:tab/>
            </w:r>
            <w:r>
              <w:rPr>
                <w:rFonts w:ascii="Arial" w:hAnsi="Arial" w:eastAsia="Arial" w:cs="Arial"/>
                <w:color w:val="000000"/>
                <w:sz w:val="18"/>
              </w:rPr>
              <w:t>(784)</w:t>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111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84</w:t>
            </w:r>
            <w:r>
              <w:rPr>
                <w:rFonts w:ascii="Arial" w:hAnsi="Arial" w:eastAsia="Arial" w:cs="Arial"/>
                <w:color w:val="000000"/>
                <w:sz w:val="18"/>
              </w:rPr>
              <w:tab/>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4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ab/>
            </w:r>
            <w:r>
              <w:rPr>
                <w:rFonts w:ascii="Arial" w:hAnsi="Arial" w:eastAsia="Arial" w:cs="Arial"/>
                <w:color w:val="000000"/>
                <w:sz w:val="18"/>
              </w:rPr>
              <w:t>3,005</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Net Income</w:t>
            </w: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12,890</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804"/>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(2,488)</w:t>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101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250</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4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764"/>
                <w:tab w:val="left" w:pos="1372"/>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10,652</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53" w:type="dxa"/>
              <w:bottom w:w="0" w:type="dxa"/>
              <w:right w:w="53" w:type="dxa"/>
            </w:tcMar>
            <w:vAlign w:val="bottom"/>
          </w:tcPr>
          <w:p>
            <w:pPr>
              <w:keepNext/>
              <w:spacing w:before="33" w:after="30"/>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double" w:color="000000" w:sz="8" w:space="0"/>
              <w:left w:val="nil"/>
              <w:bottom w:val="nil"/>
              <w:right w:val="nil"/>
            </w:tcBorders>
            <w:shd w:val="clear" w:color="auto" w:fill="FFFFFF"/>
            <w:tcMar>
              <w:top w:w="0" w:type="dxa"/>
              <w:left w:w="53" w:type="dxa"/>
              <w:bottom w:w="0" w:type="dxa"/>
              <w:right w:w="53" w:type="dxa"/>
            </w:tcMar>
            <w:vAlign w:val="bottom"/>
          </w:tcPr>
          <w:p>
            <w:pPr>
              <w:keepNext/>
              <w:spacing w:before="33" w:after="30"/>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double" w:color="000000" w:sz="8" w:space="0"/>
              <w:left w:val="nil"/>
              <w:bottom w:val="nil"/>
              <w:right w:val="nil"/>
            </w:tcBorders>
            <w:shd w:val="clear" w:color="auto" w:fill="FFFFFF"/>
            <w:tcMar>
              <w:top w:w="0" w:type="dxa"/>
              <w:left w:w="53" w:type="dxa"/>
              <w:bottom w:w="0" w:type="dxa"/>
              <w:right w:w="53" w:type="dxa"/>
            </w:tcMar>
            <w:vAlign w:val="bottom"/>
          </w:tcPr>
          <w:p>
            <w:pPr>
              <w:keepNext/>
              <w:spacing w:before="33" w:after="30"/>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double" w:color="000000" w:sz="8" w:space="0"/>
              <w:left w:val="nil"/>
              <w:bottom w:val="nil"/>
              <w:right w:val="nil"/>
            </w:tcBorders>
            <w:shd w:val="clear" w:color="auto" w:fill="FFFFFF"/>
            <w:tcMar>
              <w:top w:w="0" w:type="dxa"/>
              <w:left w:w="53" w:type="dxa"/>
              <w:bottom w:w="0" w:type="dxa"/>
              <w:right w:w="53" w:type="dxa"/>
            </w:tcMar>
            <w:vAlign w:val="bottom"/>
          </w:tcPr>
          <w:p>
            <w:pPr>
              <w:keepNext/>
              <w:spacing w:before="33" w:after="3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Basic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14.75</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04"/>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(2.85)</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0.29</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12.19</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440" w:type="dxa"/>
            <w:tcBorders>
              <w:top w:val="double" w:color="000000" w:sz="8" w:space="0"/>
              <w:left w:val="nil"/>
              <w:bottom w:val="nil"/>
              <w:right w:val="nil"/>
            </w:tcBorders>
            <w:shd w:val="clear" w:color="auto" w:fill="FFFFFF"/>
            <w:tcMar>
              <w:top w:w="0" w:type="dxa"/>
              <w:left w:w="0" w:type="dxa"/>
              <w:bottom w:w="0" w:type="dxa"/>
              <w:right w:w="15" w:type="dxa"/>
            </w:tcMar>
            <w:vAlign w:val="bottom"/>
          </w:tcPr>
          <w:p>
            <w:pPr>
              <w:keepNext/>
              <w:spacing w:before="3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double" w:color="000000" w:sz="8" w:space="0"/>
              <w:left w:val="nil"/>
              <w:bottom w:val="nil"/>
              <w:right w:val="nil"/>
            </w:tcBorders>
            <w:shd w:val="clear" w:color="auto" w:fill="FFFFFF"/>
            <w:tcMar>
              <w:top w:w="0" w:type="dxa"/>
              <w:left w:w="0" w:type="dxa"/>
              <w:bottom w:w="0" w:type="dxa"/>
              <w:right w:w="15" w:type="dxa"/>
            </w:tcMar>
            <w:vAlign w:val="bottom"/>
          </w:tcPr>
          <w:p>
            <w:pPr>
              <w:keepNext/>
              <w:spacing w:before="3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double" w:color="000000" w:sz="8" w:space="0"/>
              <w:left w:val="nil"/>
              <w:bottom w:val="nil"/>
              <w:right w:val="nil"/>
            </w:tcBorders>
            <w:shd w:val="clear" w:color="auto" w:fill="FFFFFF"/>
            <w:tcMar>
              <w:top w:w="0" w:type="dxa"/>
              <w:left w:w="53" w:type="dxa"/>
              <w:bottom w:w="0" w:type="dxa"/>
              <w:right w:w="15" w:type="dxa"/>
            </w:tcMar>
            <w:vAlign w:val="bottom"/>
          </w:tcPr>
          <w:p>
            <w:pPr>
              <w:keepNext/>
              <w:spacing w:before="33" w:after="30"/>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440" w:type="dxa"/>
            <w:tcBorders>
              <w:top w:val="double" w:color="000000" w:sz="8" w:space="0"/>
              <w:left w:val="nil"/>
              <w:bottom w:val="nil"/>
              <w:right w:val="nil"/>
            </w:tcBorders>
            <w:shd w:val="clear" w:color="auto" w:fill="FFFFFF"/>
            <w:tcMar>
              <w:top w:w="0" w:type="dxa"/>
              <w:left w:w="0" w:type="dxa"/>
              <w:bottom w:w="0" w:type="dxa"/>
              <w:right w:w="15" w:type="dxa"/>
            </w:tcMar>
            <w:vAlign w:val="bottom"/>
          </w:tcPr>
          <w:p>
            <w:pPr>
              <w:keepNext/>
              <w:spacing w:before="33" w:after="3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exact"/>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Diluted Earnings Per Share</w:t>
            </w: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14.68</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04"/>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(2.83)</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9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0.28</w:t>
            </w:r>
            <w:r>
              <w:rPr>
                <w:rFonts w:ascii="Arial" w:hAnsi="Arial" w:eastAsia="Arial" w:cs="Arial"/>
                <w:color w:val="000000"/>
                <w:sz w:val="18"/>
              </w:rPr>
              <w:tab/>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4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864"/>
                <w:tab w:val="left" w:pos="1372"/>
              </w:tabs>
              <w:spacing w:before="5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12.13</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jc w:val="center"/>
        </w:trPr>
        <w:tc>
          <w:tcPr>
            <w:tcW w:w="355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c>
          <w:tcPr>
            <w:tcW w:w="7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c>
          <w:tcPr>
            <w:tcW w:w="7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c>
          <w:tcPr>
            <w:tcW w:w="75" w:type="dxa"/>
            <w:tcBorders>
              <w:top w:val="nil"/>
              <w:left w:val="nil"/>
              <w:bottom w:val="nil"/>
              <w:right w:val="nil"/>
            </w:tcBorders>
            <w:tcMar>
              <w:top w:w="0" w:type="dxa"/>
              <w:left w:w="0" w:type="dxa"/>
              <w:bottom w:w="0" w:type="dxa"/>
              <w:right w:w="0" w:type="dxa"/>
            </w:tcMar>
            <w:vAlign w:val="bottom"/>
          </w:tcPr>
          <w:p/>
        </w:tc>
        <w:tc>
          <w:tcPr>
            <w:tcW w:w="1440" w:type="dxa"/>
            <w:tcBorders>
              <w:top w:val="double" w:color="000000" w:sz="8" w:space="0"/>
              <w:left w:val="nil"/>
              <w:bottom w:val="nil"/>
              <w:right w:val="nil"/>
            </w:tcBorders>
            <w:tcMar>
              <w:top w:w="0" w:type="dxa"/>
              <w:left w:w="0" w:type="dxa"/>
              <w:bottom w:w="0" w:type="dxa"/>
              <w:right w:w="0" w:type="dxa"/>
            </w:tcMar>
            <w:vAlign w:val="bottom"/>
          </w:tcPr>
          <w:p/>
        </w:tc>
      </w:tr>
    </w:tbl>
    <w:p>
      <w:pPr>
        <w:spacing w:line="204" w:lineRule="auto"/>
        <w:rPr>
          <w:rFonts w:ascii="Arial" w:hAnsi="Arial" w:eastAsia="Arial" w:cs="Arial"/>
          <w:sz w:val="16"/>
        </w:rPr>
      </w:pPr>
    </w:p>
    <w:p>
      <w:pPr>
        <w:spacing w:line="204" w:lineRule="auto"/>
        <w:rPr>
          <w:rFonts w:ascii="Arial" w:hAnsi="Arial" w:eastAsia="Arial" w:cs="Arial"/>
          <w:b/>
          <w:color w:val="003436"/>
          <w:sz w:val="16"/>
        </w:rPr>
      </w:pPr>
      <w:r>
        <w:rPr>
          <w:rFonts w:ascii="Arial" w:hAnsi="Arial" w:eastAsia="Arial" w:cs="Arial"/>
          <w:sz w:val="16"/>
        </w:rPr>
        <w:t>(1) Represents mark-to-market (gains) losses recognized outside of a 10% corridor on company-sponsored pension and postretirement plans</w:t>
      </w:r>
    </w:p>
    <w:p>
      <w:pPr>
        <w:spacing w:line="204" w:lineRule="auto"/>
        <w:rPr>
          <w:rFonts w:ascii="Arial" w:hAnsi="Arial" w:eastAsia="Arial" w:cs="Arial"/>
          <w:color w:val="003436"/>
          <w:sz w:val="16"/>
        </w:rPr>
      </w:pPr>
    </w:p>
    <w:p>
      <w:pPr>
        <w:spacing w:line="288" w:lineRule="auto"/>
        <w:rPr>
          <w:rFonts w:ascii="Arial" w:hAnsi="Arial" w:eastAsia="Arial" w:cs="Arial"/>
          <w:color w:val="003436"/>
          <w:sz w:val="16"/>
        </w:rPr>
      </w:pPr>
      <w:r>
        <w:rPr>
          <w:rFonts w:ascii="Arial" w:hAnsi="Arial" w:eastAsia="Arial" w:cs="Arial"/>
          <w:sz w:val="16"/>
        </w:rPr>
        <w:t xml:space="preserve">(2) Transformation &amp; other of $334 million reflects a gain on the divestiture of UPS Freight of $112 million, net of a previously-recognized valuation allowance of $66 million, other employee benefits costs of $206 million and other costs of $174 million. </w:t>
      </w:r>
    </w:p>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r>
        <w:rPr>
          <w:rFonts w:ascii="Arial" w:hAnsi="Arial" w:eastAsia="Arial" w:cs="Arial"/>
          <w:sz w:val="16"/>
        </w:rPr>
        <w:t>(3) The divestiture of UPS Freight was completed on April 30, 2021.</w:t>
      </w:r>
    </w:p>
    <w:p>
      <w:pPr>
        <w:pageBreakBefore/>
        <w:spacing w:line="204" w:lineRule="auto"/>
        <w:jc w:val="center"/>
        <w:rPr>
          <w:rFonts w:ascii="Arial" w:hAnsi="Arial" w:eastAsia="Arial" w:cs="Arial"/>
          <w:b/>
          <w:color w:val="003436"/>
          <w:sz w:val="22"/>
        </w:rPr>
      </w:pPr>
    </w:p>
    <w:p>
      <w:pPr>
        <w:spacing w:line="204" w:lineRule="auto"/>
        <w:jc w:val="center"/>
        <w:rPr>
          <w:rFonts w:ascii="Arial" w:hAnsi="Arial" w:eastAsia="Arial" w:cs="Arial"/>
          <w:b/>
          <w:color w:val="003436"/>
          <w:sz w:val="22"/>
        </w:rPr>
      </w:pPr>
      <w:r>
        <w:rPr>
          <w:rFonts w:ascii="Arial" w:hAnsi="Arial" w:eastAsia="Arial" w:cs="Arial"/>
          <w:b/>
          <w:sz w:val="22"/>
        </w:rPr>
        <w:t xml:space="preserve">Reconciliation of Currency Adjusted Revenue, Revenue Per Piece, </w:t>
      </w:r>
    </w:p>
    <w:p>
      <w:pPr>
        <w:spacing w:line="288" w:lineRule="auto"/>
        <w:jc w:val="center"/>
        <w:rPr>
          <w:rFonts w:ascii="Arial" w:hAnsi="Arial" w:eastAsia="Arial" w:cs="Arial"/>
          <w:b/>
          <w:color w:val="003436"/>
          <w:sz w:val="22"/>
        </w:rPr>
      </w:pPr>
      <w:r>
        <w:rPr>
          <w:rFonts w:ascii="Arial" w:hAnsi="Arial" w:eastAsia="Arial" w:cs="Arial"/>
          <w:b/>
          <w:sz w:val="22"/>
        </w:rPr>
        <w:t>and Adjusted Operating Profit</w:t>
      </w:r>
    </w:p>
    <w:p>
      <w:pPr>
        <w:spacing w:line="288" w:lineRule="auto"/>
        <w:jc w:val="center"/>
        <w:rPr>
          <w:rFonts w:ascii="Arial" w:hAnsi="Arial" w:eastAsia="Arial" w:cs="Arial"/>
          <w:b/>
          <w:color w:val="003436"/>
          <w:sz w:val="22"/>
        </w:rPr>
      </w:pPr>
      <w:r>
        <w:rPr>
          <w:rFonts w:ascii="Arial" w:hAnsi="Arial" w:eastAsia="Arial" w:cs="Arial"/>
          <w:b/>
          <w:sz w:val="22"/>
        </w:rPr>
        <w:t>(in millions, except per piece amounts)</w:t>
      </w:r>
    </w:p>
    <w:tbl>
      <w:tblPr>
        <w:tblStyle w:val="3"/>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75"/>
        <w:gridCol w:w="1065"/>
        <w:gridCol w:w="75"/>
        <w:gridCol w:w="1065"/>
        <w:gridCol w:w="60"/>
        <w:gridCol w:w="885"/>
        <w:gridCol w:w="75"/>
        <w:gridCol w:w="825"/>
        <w:gridCol w:w="75"/>
        <w:gridCol w:w="1185"/>
        <w:gridCol w:w="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9360" w:type="dxa"/>
            <w:gridSpan w:val="13"/>
            <w:tcBorders>
              <w:top w:val="nil"/>
              <w:left w:val="nil"/>
              <w:bottom w:val="nil"/>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Three Months Ended December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2835"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2021</w:t>
            </w:r>
          </w:p>
          <w:p>
            <w:pPr>
              <w:jc w:val="center"/>
            </w:pPr>
            <w:r>
              <w:rPr>
                <w:rFonts w:ascii="Arial" w:hAnsi="Arial" w:eastAsia="Arial" w:cs="Arial"/>
                <w:b/>
                <w:color w:val="000000"/>
                <w:sz w:val="16"/>
              </w:rPr>
              <w:t>As-Reported</w:t>
            </w:r>
          </w:p>
          <w:p>
            <w:pPr>
              <w:spacing w:after="30"/>
              <w:jc w:val="center"/>
            </w:pPr>
            <w:r>
              <w:rPr>
                <w:rFonts w:ascii="Arial" w:hAnsi="Arial" w:eastAsia="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2020</w:t>
            </w:r>
          </w:p>
          <w:p>
            <w:pPr>
              <w:jc w:val="center"/>
            </w:pPr>
            <w:r>
              <w:rPr>
                <w:rFonts w:ascii="Arial" w:hAnsi="Arial" w:eastAsia="Arial" w:cs="Arial"/>
                <w:b/>
                <w:color w:val="000000"/>
                <w:sz w:val="16"/>
              </w:rPr>
              <w:t>As-Reported</w:t>
            </w:r>
          </w:p>
          <w:p>
            <w:pPr>
              <w:spacing w:after="30"/>
              <w:jc w:val="center"/>
            </w:pPr>
            <w:r>
              <w:rPr>
                <w:rFonts w:ascii="Arial" w:hAnsi="Arial" w:eastAsia="Arial" w:cs="Arial"/>
                <w:b/>
                <w:color w:val="000000"/>
                <w:sz w:val="16"/>
              </w:rPr>
              <w:t>(GAAP)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Currency</w:t>
            </w:r>
          </w:p>
          <w:p>
            <w:pPr>
              <w:spacing w:after="30"/>
              <w:jc w:val="center"/>
            </w:pPr>
            <w:r>
              <w:rPr>
                <w:rFonts w:ascii="Arial" w:hAnsi="Arial" w:eastAsia="Arial" w:cs="Arial"/>
                <w:b/>
                <w:color w:val="000000"/>
                <w:sz w:val="16"/>
              </w:rPr>
              <w:t>Impact</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rPr>
                <w:rFonts w:ascii="Arial" w:hAnsi="Arial" w:eastAsia="Arial" w:cs="Arial"/>
                <w:b/>
                <w:sz w:val="16"/>
              </w:rPr>
            </w:pPr>
            <w:r>
              <w:rPr>
                <w:rFonts w:ascii="Arial" w:hAnsi="Arial" w:eastAsia="Arial" w:cs="Arial"/>
                <w:b/>
                <w:sz w:val="16"/>
              </w:rPr>
              <w:t>2021</w:t>
            </w:r>
          </w:p>
          <w:p>
            <w:pPr>
              <w:jc w:val="center"/>
              <w:rPr>
                <w:rFonts w:ascii="Arial" w:hAnsi="Arial" w:eastAsia="Arial" w:cs="Arial"/>
                <w:b/>
                <w:sz w:val="16"/>
              </w:rPr>
            </w:pPr>
            <w:r>
              <w:rPr>
                <w:rFonts w:ascii="Arial" w:hAnsi="Arial" w:eastAsia="Arial" w:cs="Arial"/>
                <w:b/>
                <w:sz w:val="16"/>
              </w:rPr>
              <w:t>Currency</w:t>
            </w:r>
          </w:p>
          <w:p>
            <w:pPr>
              <w:jc w:val="center"/>
              <w:rPr>
                <w:rFonts w:ascii="Arial" w:hAnsi="Arial" w:eastAsia="Arial" w:cs="Arial"/>
                <w:b/>
                <w:sz w:val="16"/>
              </w:rPr>
            </w:pPr>
            <w:r>
              <w:rPr>
                <w:rFonts w:ascii="Arial" w:hAnsi="Arial" w:eastAsia="Arial" w:cs="Arial"/>
                <w:b/>
                <w:sz w:val="16"/>
              </w:rPr>
              <w:t>Neutral</w:t>
            </w:r>
          </w:p>
          <w:p>
            <w:pPr>
              <w:spacing w:after="30"/>
              <w:jc w:val="center"/>
              <w:rPr>
                <w:rFonts w:ascii="Arial" w:hAnsi="Arial" w:eastAsia="Arial" w:cs="Arial"/>
                <w:b/>
                <w:sz w:val="16"/>
              </w:rPr>
            </w:pPr>
            <w:r>
              <w:rPr>
                <w:rFonts w:ascii="Arial" w:hAnsi="Arial" w:eastAsia="Arial" w:cs="Arial"/>
                <w:b/>
                <w:sz w:val="16"/>
              </w:rPr>
              <w:t>(Non-GAAP)</w:t>
            </w:r>
            <w:r>
              <w:rPr>
                <w:rFonts w:ascii="Arial" w:hAnsi="Arial" w:eastAsia="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b/>
                <w:color w:val="000000"/>
                <w:sz w:val="16"/>
              </w:rPr>
              <w:t>Average Revenue Per Piece: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6"/>
              </w:rPr>
              <w:t>International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Domestic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35"/>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7.27</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35"/>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7.08</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2.7</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0.12</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755"/>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7.39</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4.4</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Export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34.03</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28.24</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20.5</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0.26</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34.29</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21.4</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6"/>
              </w:rPr>
              <w:t xml:space="preserve">      Total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20.11</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17.27</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16.4</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0.18</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20.29</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17.5</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6"/>
              </w:rPr>
              <w:t>Consolidated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12.40</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11.14</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11.3</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395"/>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0.03</w:t>
            </w:r>
            <w:r>
              <w:rPr>
                <w:rFonts w:ascii="Arial" w:hAnsi="Arial" w:eastAsia="Arial" w:cs="Arial"/>
                <w:color w:val="000000"/>
                <w:sz w:val="16"/>
              </w:rPr>
              <w:tab/>
            </w:r>
          </w:p>
        </w:tc>
        <w:tc>
          <w:tcPr>
            <w:tcW w:w="75" w:type="dxa"/>
            <w:tcBorders>
              <w:top w:val="nil"/>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12.43</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11.6</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b/>
                <w:color w:val="000000"/>
                <w:sz w:val="16"/>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17,697</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15,744</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12.4</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77"/>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17,697</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12.4</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5,397</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4,770</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13.1</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28"/>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50</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5,447</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14.2</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rPr>
                <w:rFonts w:ascii="Arial" w:hAnsi="Arial" w:eastAsia="Arial" w:cs="Arial"/>
                <w:sz w:val="16"/>
              </w:rPr>
            </w:pPr>
            <w:r>
              <w:rPr>
                <w:rFonts w:ascii="Arial" w:hAnsi="Arial" w:eastAsia="Arial" w:cs="Arial"/>
                <w:sz w:val="16"/>
              </w:rPr>
              <w:t xml:space="preserve">  Supply Chain Solutions</w:t>
            </w:r>
            <w:r>
              <w:rPr>
                <w:rFonts w:ascii="Arial" w:hAnsi="Arial" w:eastAsia="Arial" w:cs="Arial"/>
                <w:sz w:val="16"/>
                <w:vertAlign w:val="superscript"/>
              </w:rPr>
              <w:t>(3)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4,677</w:t>
            </w:r>
            <w:r>
              <w:rPr>
                <w:rFonts w:ascii="Arial" w:hAnsi="Arial" w:eastAsia="Arial" w:cs="Arial"/>
                <w:color w:val="000000"/>
                <w:sz w:val="16"/>
              </w:rPr>
              <w:tab/>
            </w:r>
          </w:p>
        </w:tc>
        <w:tc>
          <w:tcPr>
            <w:tcW w:w="75"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4,382</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6.7</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28"/>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25</w:t>
            </w:r>
            <w:r>
              <w:rPr>
                <w:rFonts w:ascii="Arial" w:hAnsi="Arial" w:eastAsia="Arial" w:cs="Arial"/>
                <w:color w:val="000000"/>
                <w:sz w:val="16"/>
              </w:rPr>
              <w:tab/>
            </w:r>
          </w:p>
        </w:tc>
        <w:tc>
          <w:tcPr>
            <w:tcW w:w="75"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4,702</w:t>
            </w:r>
            <w:r>
              <w:rPr>
                <w:rFonts w:ascii="Arial" w:hAnsi="Arial" w:eastAsia="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7.3</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835" w:type="dxa"/>
            <w:tcBorders>
              <w:top w:val="nil"/>
              <w:left w:val="nil"/>
              <w:bottom w:val="nil"/>
              <w:right w:val="nil"/>
            </w:tcBorders>
            <w:shd w:val="clear" w:color="auto" w:fill="CCEEFF"/>
            <w:tcMar>
              <w:top w:w="0" w:type="dxa"/>
              <w:left w:w="53" w:type="dxa"/>
              <w:bottom w:w="0" w:type="dxa"/>
              <w:right w:w="53" w:type="dxa"/>
            </w:tcMar>
            <w:vAlign w:val="bottom"/>
          </w:tcPr>
          <w:p>
            <w:pPr>
              <w:spacing w:before="53" w:after="30"/>
              <w:ind w:left="120"/>
            </w:pPr>
            <w:r>
              <w:rPr>
                <w:rFonts w:ascii="Arial" w:hAnsi="Arial" w:eastAsia="Arial" w:cs="Arial"/>
                <w:color w:val="000000"/>
                <w:sz w:val="16"/>
              </w:rPr>
              <w:t xml:space="preserve">  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tc>
        <w:tc>
          <w:tcPr>
            <w:tcW w:w="106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457"/>
                <w:tab w:val="left" w:pos="99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27,771</w:t>
            </w:r>
            <w:r>
              <w:rPr>
                <w:rFonts w:ascii="Arial" w:hAnsi="Arial" w:eastAsia="Arial" w:cs="Arial"/>
                <w:color w:val="000000"/>
                <w:sz w:val="16"/>
              </w:rPr>
              <w:tab/>
            </w:r>
          </w:p>
        </w:tc>
        <w:tc>
          <w:tcPr>
            <w:tcW w:w="75"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tc>
        <w:tc>
          <w:tcPr>
            <w:tcW w:w="106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457"/>
                <w:tab w:val="left" w:pos="99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24,896</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pPr>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11.5</w:t>
            </w:r>
            <w:r>
              <w:rPr>
                <w:rFonts w:ascii="Arial" w:hAnsi="Arial" w:eastAsia="Arial" w:cs="Arial"/>
                <w:color w:val="000000"/>
                <w:sz w:val="16"/>
              </w:rPr>
              <w:tab/>
            </w:r>
            <w:r>
              <w:rPr>
                <w:rFonts w:ascii="Arial" w:hAnsi="Arial" w:eastAsia="Arial" w:cs="Arial"/>
                <w:color w:val="000000"/>
                <w:sz w:val="16"/>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tc>
        <w:tc>
          <w:tcPr>
            <w:tcW w:w="82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528"/>
                <w:tab w:val="left" w:pos="75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75</w:t>
            </w:r>
            <w:r>
              <w:rPr>
                <w:rFonts w:ascii="Arial" w:hAnsi="Arial" w:eastAsia="Arial" w:cs="Arial"/>
                <w:color w:val="000000"/>
                <w:sz w:val="16"/>
              </w:rPr>
              <w:tab/>
            </w:r>
          </w:p>
        </w:tc>
        <w:tc>
          <w:tcPr>
            <w:tcW w:w="75"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577"/>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27,846</w:t>
            </w:r>
            <w:r>
              <w:rPr>
                <w:rFonts w:ascii="Arial" w:hAnsi="Arial" w:eastAsia="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11.8</w:t>
            </w:r>
            <w:r>
              <w:rPr>
                <w:rFonts w:ascii="Arial" w:hAnsi="Arial" w:eastAsia="Arial" w:cs="Arial"/>
                <w:color w:val="000000"/>
                <w:sz w:val="16"/>
              </w:rPr>
              <w:tab/>
            </w:r>
            <w:r>
              <w:rPr>
                <w:rFonts w:ascii="Arial" w:hAnsi="Arial" w:eastAsia="Arial" w:cs="Arial"/>
                <w:color w:val="000000"/>
                <w:sz w:val="16"/>
              </w:rPr>
              <w:t>%</w:t>
            </w:r>
          </w:p>
        </w:tc>
      </w:tr>
    </w:tbl>
    <w:p>
      <w:pPr>
        <w:spacing w:line="204" w:lineRule="auto"/>
        <w:rPr>
          <w:rFonts w:ascii="Arial" w:hAnsi="Arial" w:eastAsia="Arial" w:cs="Arial"/>
          <w:color w:val="003436"/>
          <w:sz w:val="16"/>
        </w:rPr>
      </w:pPr>
    </w:p>
    <w:p>
      <w:pPr>
        <w:spacing w:line="204" w:lineRule="auto"/>
        <w:rPr>
          <w:rFonts w:ascii="Arial" w:hAnsi="Arial" w:eastAsia="Arial" w:cs="Arial"/>
          <w:color w:val="003436"/>
          <w:sz w:val="16"/>
        </w:rPr>
      </w:pPr>
    </w:p>
    <w:tbl>
      <w:tblPr>
        <w:tblStyle w:val="3"/>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0"/>
        <w:gridCol w:w="1185"/>
        <w:gridCol w:w="60"/>
        <w:gridCol w:w="1185"/>
        <w:gridCol w:w="60"/>
        <w:gridCol w:w="1065"/>
        <w:gridCol w:w="60"/>
        <w:gridCol w:w="825"/>
        <w:gridCol w:w="60"/>
        <w:gridCol w:w="1200"/>
        <w:gridCol w:w="6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exact"/>
        </w:trPr>
        <w:tc>
          <w:tcPr>
            <w:tcW w:w="2520" w:type="dxa"/>
            <w:tcBorders>
              <w:top w:val="nil"/>
              <w:left w:val="nil"/>
              <w:bottom w:val="nil"/>
              <w:right w:val="nil"/>
            </w:tcBorders>
            <w:tcMar>
              <w:top w:w="0" w:type="dxa"/>
              <w:left w:w="0" w:type="dxa"/>
              <w:bottom w:w="0" w:type="dxa"/>
              <w:right w:w="0" w:type="dxa"/>
            </w:tcMar>
            <w:vAlign w:val="bottom"/>
          </w:tcPr>
          <w:p>
            <w:pPr>
              <w:keepNext/>
            </w:pP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2021</w:t>
            </w:r>
          </w:p>
          <w:p>
            <w:pPr>
              <w:jc w:val="center"/>
            </w:pPr>
            <w:r>
              <w:rPr>
                <w:rFonts w:ascii="Arial" w:hAnsi="Arial" w:eastAsia="Arial" w:cs="Arial"/>
                <w:b/>
                <w:color w:val="000000"/>
                <w:sz w:val="16"/>
              </w:rPr>
              <w:t>As-Adjusted</w:t>
            </w:r>
          </w:p>
          <w:p>
            <w:pPr>
              <w:spacing w:after="30"/>
              <w:jc w:val="center"/>
            </w:pPr>
            <w:r>
              <w:rPr>
                <w:rFonts w:ascii="Arial" w:hAnsi="Arial" w:eastAsia="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2020</w:t>
            </w:r>
          </w:p>
          <w:p>
            <w:pPr>
              <w:jc w:val="center"/>
            </w:pPr>
            <w:r>
              <w:rPr>
                <w:rFonts w:ascii="Arial" w:hAnsi="Arial" w:eastAsia="Arial" w:cs="Arial"/>
                <w:b/>
                <w:color w:val="000000"/>
                <w:sz w:val="16"/>
              </w:rPr>
              <w:t>As-Adjusted</w:t>
            </w:r>
          </w:p>
          <w:p>
            <w:pPr>
              <w:spacing w:after="30"/>
              <w:jc w:val="center"/>
            </w:pPr>
            <w:r>
              <w:rPr>
                <w:rFonts w:ascii="Arial" w:hAnsi="Arial" w:eastAsia="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82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Currency</w:t>
            </w:r>
          </w:p>
          <w:p>
            <w:pPr>
              <w:spacing w:after="30"/>
              <w:jc w:val="center"/>
            </w:pPr>
            <w:r>
              <w:rPr>
                <w:rFonts w:ascii="Arial" w:hAnsi="Arial" w:eastAsia="Arial" w:cs="Arial"/>
                <w:b/>
                <w:color w:val="000000"/>
                <w:sz w:val="16"/>
              </w:rPr>
              <w:t>Impact</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200"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rPr>
                <w:rFonts w:ascii="Arial" w:hAnsi="Arial" w:eastAsia="Arial" w:cs="Arial"/>
                <w:b/>
                <w:sz w:val="16"/>
              </w:rPr>
            </w:pPr>
            <w:r>
              <w:rPr>
                <w:rFonts w:ascii="Arial" w:hAnsi="Arial" w:eastAsia="Arial" w:cs="Arial"/>
                <w:b/>
                <w:sz w:val="16"/>
              </w:rPr>
              <w:t>2021</w:t>
            </w:r>
          </w:p>
          <w:p>
            <w:pPr>
              <w:jc w:val="center"/>
              <w:rPr>
                <w:rFonts w:ascii="Arial" w:hAnsi="Arial" w:eastAsia="Arial" w:cs="Arial"/>
                <w:b/>
                <w:sz w:val="16"/>
              </w:rPr>
            </w:pPr>
            <w:r>
              <w:rPr>
                <w:rFonts w:ascii="Arial" w:hAnsi="Arial" w:eastAsia="Arial" w:cs="Arial"/>
                <w:b/>
                <w:sz w:val="16"/>
              </w:rPr>
              <w:t>As-Adjusted</w:t>
            </w:r>
          </w:p>
          <w:p>
            <w:pPr>
              <w:jc w:val="center"/>
              <w:rPr>
                <w:rFonts w:ascii="Arial" w:hAnsi="Arial" w:eastAsia="Arial" w:cs="Arial"/>
                <w:b/>
                <w:sz w:val="16"/>
              </w:rPr>
            </w:pPr>
            <w:r>
              <w:rPr>
                <w:rFonts w:ascii="Arial" w:hAnsi="Arial" w:eastAsia="Arial" w:cs="Arial"/>
                <w:b/>
                <w:sz w:val="16"/>
              </w:rPr>
              <w:t>Currency</w:t>
            </w:r>
          </w:p>
          <w:p>
            <w:pPr>
              <w:jc w:val="center"/>
              <w:rPr>
                <w:rFonts w:ascii="Arial" w:hAnsi="Arial" w:eastAsia="Arial" w:cs="Arial"/>
                <w:b/>
                <w:sz w:val="16"/>
              </w:rPr>
            </w:pPr>
            <w:r>
              <w:rPr>
                <w:rFonts w:ascii="Arial" w:hAnsi="Arial" w:eastAsia="Arial" w:cs="Arial"/>
                <w:b/>
                <w:sz w:val="16"/>
              </w:rPr>
              <w:t>Neutral</w:t>
            </w:r>
          </w:p>
          <w:p>
            <w:pPr>
              <w:spacing w:after="30"/>
              <w:jc w:val="center"/>
              <w:rPr>
                <w:rFonts w:ascii="Arial" w:hAnsi="Arial" w:eastAsia="Arial" w:cs="Arial"/>
                <w:b/>
                <w:sz w:val="16"/>
              </w:rPr>
            </w:pPr>
            <w:r>
              <w:rPr>
                <w:rFonts w:ascii="Arial" w:hAnsi="Arial" w:eastAsia="Arial" w:cs="Arial"/>
                <w:b/>
                <w:sz w:val="16"/>
              </w:rPr>
              <w:t>(Non-GAAP)</w:t>
            </w:r>
            <w:r>
              <w:rPr>
                <w:rFonts w:ascii="Arial" w:hAnsi="Arial" w:eastAsia="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0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rPr>
                <w:rFonts w:ascii="Arial" w:hAnsi="Arial" w:eastAsia="Arial" w:cs="Arial"/>
                <w:b/>
                <w:sz w:val="16"/>
              </w:rPr>
            </w:pPr>
            <w:r>
              <w:rPr>
                <w:rFonts w:ascii="Arial" w:hAnsi="Arial" w:eastAsia="Arial" w:cs="Arial"/>
                <w:b/>
                <w:sz w:val="16"/>
              </w:rPr>
              <w:t>As-Adjusted Operating Profit</w:t>
            </w:r>
            <w:r>
              <w:rPr>
                <w:rFonts w:ascii="Arial" w:hAnsi="Arial" w:eastAsia="Arial" w:cs="Arial"/>
                <w:b/>
                <w:sz w:val="16"/>
                <w:vertAlign w:val="superscript"/>
              </w:rPr>
              <w:t>(2)</w:t>
            </w:r>
            <w:r>
              <w:rPr>
                <w:rFonts w:ascii="Arial" w:hAnsi="Arial" w:eastAsia="Arial" w:cs="Arial"/>
                <w:b/>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200"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2,165</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1,379</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57.0</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81"/>
                <w:tab w:val="left" w:pos="1132"/>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2,165</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57.0</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1,331</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1,160</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14.7</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64"/>
              </w:tabs>
              <w:spacing w:before="53" w:after="30"/>
              <w:jc w:val="right"/>
            </w:pPr>
            <w:r>
              <w:rPr>
                <w:rFonts w:ascii="Arial" w:hAnsi="Arial" w:eastAsia="Arial" w:cs="Arial"/>
                <w:color w:val="000000"/>
                <w:sz w:val="16"/>
              </w:rPr>
              <w:tab/>
            </w:r>
            <w:r>
              <w:rPr>
                <w:rFonts w:ascii="Arial" w:hAnsi="Arial" w:eastAsia="Arial" w:cs="Arial"/>
                <w:color w:val="000000"/>
                <w:sz w:val="16"/>
              </w:rPr>
              <w:t>(1)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81"/>
                <w:tab w:val="left" w:pos="1132"/>
              </w:tabs>
              <w:spacing w:before="53" w:after="30"/>
              <w:jc w:val="right"/>
            </w:pPr>
            <w:r>
              <w:rPr>
                <w:rFonts w:ascii="Arial" w:hAnsi="Arial" w:eastAsia="Arial" w:cs="Arial"/>
                <w:color w:val="000000"/>
                <w:sz w:val="16"/>
              </w:rPr>
              <w:tab/>
            </w:r>
            <w:r>
              <w:rPr>
                <w:rFonts w:ascii="Arial" w:hAnsi="Arial" w:eastAsia="Arial" w:cs="Arial"/>
                <w:color w:val="000000"/>
                <w:sz w:val="16"/>
              </w:rPr>
              <w:t>1,330</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14.7</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rPr>
                <w:rFonts w:ascii="Arial" w:hAnsi="Arial" w:eastAsia="Arial" w:cs="Arial"/>
                <w:sz w:val="16"/>
              </w:rPr>
            </w:pPr>
            <w:r>
              <w:rPr>
                <w:rFonts w:ascii="Arial" w:hAnsi="Arial" w:eastAsia="Arial" w:cs="Arial"/>
                <w:sz w:val="16"/>
              </w:rPr>
              <w:t xml:space="preserve">  Supply Chain Solutions</w:t>
            </w:r>
            <w:r>
              <w:rPr>
                <w:rFonts w:ascii="Arial" w:hAnsi="Arial" w:eastAsia="Arial" w:cs="Arial"/>
                <w:sz w:val="16"/>
                <w:vertAlign w:val="superscript"/>
              </w:rPr>
              <w:t>(3)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799"/>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456</w:t>
            </w:r>
            <w:r>
              <w:rPr>
                <w:rFonts w:ascii="Arial" w:hAnsi="Arial" w:eastAsia="Arial" w:cs="Arial"/>
                <w:color w:val="000000"/>
                <w:sz w:val="16"/>
              </w:rPr>
              <w:tab/>
            </w:r>
          </w:p>
        </w:tc>
        <w:tc>
          <w:tcPr>
            <w:tcW w:w="60"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Pr>
          </w:p>
        </w:tc>
        <w:tc>
          <w:tcPr>
            <w:tcW w:w="118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799"/>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331</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37.8</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25"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28"/>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11</w:t>
            </w:r>
            <w:r>
              <w:rPr>
                <w:rFonts w:ascii="Arial" w:hAnsi="Arial" w:eastAsia="Arial" w:cs="Arial"/>
                <w:color w:val="000000"/>
                <w:sz w:val="16"/>
              </w:rPr>
              <w:tab/>
            </w:r>
          </w:p>
        </w:tc>
        <w:tc>
          <w:tcPr>
            <w:tcW w:w="60" w:type="dxa"/>
            <w:tcBorders>
              <w:top w:val="nil"/>
              <w:left w:val="nil"/>
              <w:bottom w:val="single" w:color="000000" w:sz="8" w:space="0"/>
              <w:right w:val="nil"/>
            </w:tcBorders>
            <w:shd w:val="clear" w:color="auto" w:fill="FFFFFF"/>
            <w:tcMar>
              <w:top w:w="0" w:type="dxa"/>
              <w:left w:w="0" w:type="dxa"/>
              <w:bottom w:w="0" w:type="dxa"/>
              <w:right w:w="0" w:type="dxa"/>
            </w:tcMar>
            <w:vAlign w:val="bottom"/>
          </w:tcPr>
          <w:p>
            <w:pPr>
              <w:keepNext/>
            </w:pPr>
          </w:p>
        </w:tc>
        <w:tc>
          <w:tcPr>
            <w:tcW w:w="120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814"/>
                <w:tab w:val="left" w:pos="1132"/>
              </w:tabs>
              <w:spacing w:before="53" w:after="30"/>
              <w:jc w:val="right"/>
            </w:pPr>
            <w:r>
              <w:rPr>
                <w:rFonts w:ascii="Arial" w:hAnsi="Arial" w:eastAsia="Arial" w:cs="Arial"/>
                <w:color w:val="000000"/>
                <w:sz w:val="16"/>
              </w:rPr>
              <w:tab/>
            </w:r>
            <w:r>
              <w:rPr>
                <w:rFonts w:ascii="Arial" w:hAnsi="Arial" w:eastAsia="Arial" w:cs="Arial"/>
                <w:color w:val="000000"/>
                <w:sz w:val="16"/>
              </w:rPr>
              <w:t>467</w:t>
            </w:r>
            <w:r>
              <w:rPr>
                <w:rFonts w:ascii="Arial" w:hAnsi="Arial" w:eastAsia="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41.1</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Total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3,952</w:t>
            </w:r>
            <w:r>
              <w:rPr>
                <w:rFonts w:ascii="Arial" w:hAnsi="Arial" w:eastAsia="Arial" w:cs="Arial"/>
                <w:color w:val="000000"/>
                <w:sz w:val="16"/>
              </w:rPr>
              <w:tab/>
            </w:r>
          </w:p>
        </w:tc>
        <w:tc>
          <w:tcPr>
            <w:tcW w:w="60"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18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2,870</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37.7</w:t>
            </w:r>
            <w:r>
              <w:rPr>
                <w:rFonts w:ascii="Arial" w:hAnsi="Arial" w:eastAsia="Arial" w:cs="Arial"/>
                <w:color w:val="000000"/>
                <w:sz w:val="16"/>
              </w:rPr>
              <w:tab/>
            </w:r>
            <w:r>
              <w:rPr>
                <w:rFonts w:ascii="Arial" w:hAnsi="Arial" w:eastAsia="Arial" w:cs="Arial"/>
                <w:color w:val="000000"/>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2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28"/>
                <w:tab w:val="left" w:pos="75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10</w:t>
            </w:r>
            <w:r>
              <w:rPr>
                <w:rFonts w:ascii="Arial" w:hAnsi="Arial" w:eastAsia="Arial" w:cs="Arial"/>
                <w:color w:val="000000"/>
                <w:sz w:val="16"/>
              </w:rPr>
              <w:tab/>
            </w:r>
          </w:p>
        </w:tc>
        <w:tc>
          <w:tcPr>
            <w:tcW w:w="60" w:type="dxa"/>
            <w:tcBorders>
              <w:top w:val="single" w:color="000000" w:sz="8" w:space="0"/>
              <w:left w:val="nil"/>
              <w:bottom w:val="double" w:color="000000" w:sz="8" w:space="0"/>
              <w:right w:val="nil"/>
            </w:tcBorders>
            <w:shd w:val="clear" w:color="auto" w:fill="CCEEFF"/>
            <w:tcMar>
              <w:top w:w="0" w:type="dxa"/>
              <w:left w:w="0" w:type="dxa"/>
              <w:bottom w:w="0" w:type="dxa"/>
              <w:right w:w="0" w:type="dxa"/>
            </w:tcMar>
            <w:vAlign w:val="bottom"/>
          </w:tcPr>
          <w:p>
            <w:pPr>
              <w:keepNext/>
            </w:pPr>
          </w:p>
        </w:tc>
        <w:tc>
          <w:tcPr>
            <w:tcW w:w="120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81"/>
                <w:tab w:val="left" w:pos="1132"/>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3,962</w:t>
            </w:r>
            <w:r>
              <w:rPr>
                <w:rFonts w:ascii="Arial" w:hAnsi="Arial" w:eastAsia="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38.0</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520" w:type="dxa"/>
            <w:tcBorders>
              <w:top w:val="nil"/>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1185"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double" w:color="000000" w:sz="8" w:space="0"/>
              <w:left w:val="nil"/>
              <w:bottom w:val="nil"/>
              <w:right w:val="nil"/>
            </w:tcBorders>
            <w:tcMar>
              <w:top w:w="0" w:type="dxa"/>
              <w:left w:w="0" w:type="dxa"/>
              <w:bottom w:w="0" w:type="dxa"/>
              <w:right w:w="0" w:type="dxa"/>
            </w:tcMar>
            <w:vAlign w:val="bottom"/>
          </w:tcPr>
          <w:p/>
        </w:tc>
        <w:tc>
          <w:tcPr>
            <w:tcW w:w="1185"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1065" w:type="dxa"/>
            <w:tcBorders>
              <w:top w:val="nil"/>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825"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double" w:color="000000" w:sz="8" w:space="0"/>
              <w:left w:val="nil"/>
              <w:bottom w:val="nil"/>
              <w:right w:val="nil"/>
            </w:tcBorders>
            <w:tcMar>
              <w:top w:w="0" w:type="dxa"/>
              <w:left w:w="0" w:type="dxa"/>
              <w:bottom w:w="0" w:type="dxa"/>
              <w:right w:w="0" w:type="dxa"/>
            </w:tcMar>
            <w:vAlign w:val="bottom"/>
          </w:tcPr>
          <w:p/>
        </w:tc>
        <w:tc>
          <w:tcPr>
            <w:tcW w:w="1200" w:type="dxa"/>
            <w:tcBorders>
              <w:top w:val="double" w:color="000000" w:sz="8" w:space="0"/>
              <w:left w:val="nil"/>
              <w:bottom w:val="nil"/>
              <w:right w:val="nil"/>
            </w:tcBorders>
            <w:tcMar>
              <w:top w:w="0" w:type="dxa"/>
              <w:left w:w="0" w:type="dxa"/>
              <w:bottom w:w="0" w:type="dxa"/>
              <w:right w:w="0" w:type="dxa"/>
            </w:tcMar>
            <w:vAlign w:val="bottom"/>
          </w:tcPr>
          <w:p/>
        </w:tc>
        <w:tc>
          <w:tcPr>
            <w:tcW w:w="60" w:type="dxa"/>
            <w:tcBorders>
              <w:top w:val="nil"/>
              <w:left w:val="nil"/>
              <w:bottom w:val="nil"/>
              <w:right w:val="nil"/>
            </w:tcBorders>
            <w:tcMar>
              <w:top w:w="0" w:type="dxa"/>
              <w:left w:w="0" w:type="dxa"/>
              <w:bottom w:w="0" w:type="dxa"/>
              <w:right w:w="0" w:type="dxa"/>
            </w:tcMar>
            <w:vAlign w:val="bottom"/>
          </w:tcPr>
          <w:p/>
        </w:tc>
        <w:tc>
          <w:tcPr>
            <w:tcW w:w="1065" w:type="dxa"/>
            <w:tcBorders>
              <w:top w:val="nil"/>
              <w:left w:val="nil"/>
              <w:bottom w:val="nil"/>
              <w:right w:val="nil"/>
            </w:tcBorders>
            <w:tcMar>
              <w:top w:w="0" w:type="dxa"/>
              <w:left w:w="0" w:type="dxa"/>
              <w:bottom w:w="0" w:type="dxa"/>
              <w:right w:w="0" w:type="dxa"/>
            </w:tcMar>
            <w:vAlign w:val="bottom"/>
          </w:tcPr>
          <w:p/>
        </w:tc>
      </w:tr>
    </w:tbl>
    <w:p>
      <w:pPr>
        <w:spacing w:line="288" w:lineRule="auto"/>
        <w:rPr>
          <w:rFonts w:ascii="Arial" w:hAnsi="Arial" w:eastAsia="Arial" w:cs="Arial"/>
          <w:sz w:val="16"/>
        </w:rPr>
      </w:pPr>
    </w:p>
    <w:p>
      <w:pPr>
        <w:spacing w:line="288" w:lineRule="auto"/>
        <w:rPr>
          <w:rFonts w:ascii="Arial" w:hAnsi="Arial" w:eastAsia="Arial" w:cs="Arial"/>
          <w:color w:val="003436"/>
          <w:sz w:val="16"/>
          <w:vertAlign w:val="superscript"/>
        </w:rPr>
      </w:pPr>
      <w:r>
        <w:rPr>
          <w:rFonts w:ascii="Arial" w:hAnsi="Arial" w:eastAsia="Arial" w:cs="Arial"/>
          <w:sz w:val="16"/>
        </w:rPr>
        <w:t>(1)</w:t>
      </w:r>
      <w:r>
        <w:rPr>
          <w:rFonts w:ascii="Arial" w:hAnsi="Arial" w:eastAsia="Arial" w:cs="Arial"/>
          <w:sz w:val="16"/>
          <w:vertAlign w:val="superscript"/>
        </w:rPr>
        <w:t xml:space="preserve"> </w:t>
      </w:r>
      <w:r>
        <w:rPr>
          <w:rFonts w:ascii="Arial" w:hAnsi="Arial" w:eastAsia="Arial" w:cs="Arial"/>
          <w:sz w:val="16"/>
        </w:rPr>
        <w:t>Amounts adjusted for period over period foreign currency exchange rate and hedging differences</w:t>
      </w:r>
    </w:p>
    <w:p>
      <w:pPr>
        <w:spacing w:line="288" w:lineRule="auto"/>
        <w:rPr>
          <w:rFonts w:ascii="Arial" w:hAnsi="Arial" w:eastAsia="Arial" w:cs="Arial"/>
          <w:color w:val="003436"/>
          <w:sz w:val="16"/>
          <w:vertAlign w:val="superscript"/>
        </w:rPr>
      </w:pPr>
    </w:p>
    <w:p>
      <w:pPr>
        <w:spacing w:line="288" w:lineRule="auto"/>
        <w:rPr>
          <w:rFonts w:ascii="Arial" w:hAnsi="Arial" w:eastAsia="Arial" w:cs="Arial"/>
          <w:color w:val="003436"/>
          <w:sz w:val="16"/>
          <w:vertAlign w:val="superscript"/>
        </w:rPr>
      </w:pPr>
      <w:r>
        <w:rPr>
          <w:rFonts w:ascii="Arial" w:hAnsi="Arial" w:eastAsia="Arial" w:cs="Arial"/>
          <w:sz w:val="16"/>
        </w:rPr>
        <w:t>(2) Amounts adjusted for transformation &amp; other</w:t>
      </w: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r>
        <w:rPr>
          <w:rFonts w:ascii="Arial" w:hAnsi="Arial" w:eastAsia="Arial" w:cs="Arial"/>
          <w:sz w:val="16"/>
        </w:rPr>
        <w:t>(3) The divestiture of UPS Freight was completed on April 30, 2021.</w:t>
      </w: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jc w:val="center"/>
        <w:rPr>
          <w:rFonts w:ascii="Arial" w:hAnsi="Arial" w:eastAsia="Arial" w:cs="Arial"/>
          <w:b/>
          <w:sz w:val="22"/>
        </w:rPr>
      </w:pPr>
    </w:p>
    <w:p>
      <w:pPr>
        <w:spacing w:line="204" w:lineRule="auto"/>
        <w:jc w:val="center"/>
        <w:rPr>
          <w:rFonts w:ascii="Arial" w:hAnsi="Arial" w:eastAsia="Arial" w:cs="Arial"/>
          <w:b/>
          <w:color w:val="003436"/>
          <w:sz w:val="22"/>
          <w:vertAlign w:val="superscript"/>
        </w:rPr>
      </w:pPr>
      <w:r>
        <w:rPr>
          <w:rFonts w:ascii="Arial" w:hAnsi="Arial" w:eastAsia="Arial" w:cs="Arial"/>
          <w:b/>
          <w:sz w:val="22"/>
        </w:rPr>
        <w:t xml:space="preserve">Reconciliation of GAAP and Non-GAAP Revenue, Revenue Per Piece, </w:t>
      </w:r>
    </w:p>
    <w:p>
      <w:pPr>
        <w:spacing w:line="288" w:lineRule="auto"/>
        <w:jc w:val="center"/>
        <w:rPr>
          <w:rFonts w:ascii="Arial" w:hAnsi="Arial" w:eastAsia="Arial" w:cs="Arial"/>
          <w:b/>
          <w:color w:val="003436"/>
          <w:sz w:val="22"/>
          <w:vertAlign w:val="superscript"/>
        </w:rPr>
      </w:pPr>
      <w:r>
        <w:rPr>
          <w:rFonts w:ascii="Arial" w:hAnsi="Arial" w:eastAsia="Arial" w:cs="Arial"/>
          <w:b/>
          <w:sz w:val="22"/>
        </w:rPr>
        <w:t>and Adjusted Operating Profit</w:t>
      </w:r>
    </w:p>
    <w:p>
      <w:pPr>
        <w:spacing w:line="288" w:lineRule="auto"/>
        <w:jc w:val="center"/>
        <w:rPr>
          <w:rFonts w:ascii="Arial" w:hAnsi="Arial" w:eastAsia="Arial" w:cs="Arial"/>
          <w:b/>
          <w:color w:val="003436"/>
          <w:sz w:val="22"/>
          <w:vertAlign w:val="superscript"/>
        </w:rPr>
      </w:pPr>
      <w:r>
        <w:rPr>
          <w:rFonts w:ascii="Arial" w:hAnsi="Arial" w:eastAsia="Arial" w:cs="Arial"/>
          <w:b/>
          <w:sz w:val="22"/>
        </w:rPr>
        <w:t>(in millions, except per piece amounts):</w:t>
      </w:r>
    </w:p>
    <w:tbl>
      <w:tblPr>
        <w:tblStyle w:val="3"/>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4"/>
        <w:gridCol w:w="75"/>
        <w:gridCol w:w="1056"/>
        <w:gridCol w:w="89"/>
        <w:gridCol w:w="1056"/>
        <w:gridCol w:w="128"/>
        <w:gridCol w:w="878"/>
        <w:gridCol w:w="128"/>
        <w:gridCol w:w="914"/>
        <w:gridCol w:w="132"/>
        <w:gridCol w:w="1097"/>
        <w:gridCol w:w="128"/>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tcMar>
              <w:top w:w="0" w:type="dxa"/>
              <w:left w:w="0" w:type="dxa"/>
              <w:bottom w:w="0" w:type="dxa"/>
              <w:right w:w="0" w:type="dxa"/>
            </w:tcMar>
            <w:vAlign w:val="bottom"/>
          </w:tcPr>
          <w:p>
            <w:pPr>
              <w:keepNext/>
            </w:pPr>
          </w:p>
        </w:tc>
        <w:tc>
          <w:tcPr>
            <w:tcW w:w="74" w:type="dxa"/>
            <w:tcBorders>
              <w:top w:val="nil"/>
              <w:left w:val="nil"/>
              <w:bottom w:val="nil"/>
              <w:right w:val="nil"/>
            </w:tcBorders>
            <w:tcMar>
              <w:top w:w="0" w:type="dxa"/>
              <w:left w:w="0" w:type="dxa"/>
              <w:bottom w:w="0" w:type="dxa"/>
              <w:right w:w="0" w:type="dxa"/>
            </w:tcMar>
            <w:vAlign w:val="bottom"/>
          </w:tcPr>
          <w:p>
            <w:pPr>
              <w:keepNext/>
            </w:pPr>
          </w:p>
        </w:tc>
        <w:tc>
          <w:tcPr>
            <w:tcW w:w="1040" w:type="dxa"/>
            <w:tcBorders>
              <w:top w:val="nil"/>
              <w:left w:val="nil"/>
              <w:bottom w:val="nil"/>
              <w:right w:val="nil"/>
            </w:tcBorders>
            <w:tcMar>
              <w:top w:w="0" w:type="dxa"/>
              <w:left w:w="0" w:type="dxa"/>
              <w:bottom w:w="0" w:type="dxa"/>
              <w:right w:w="0" w:type="dxa"/>
            </w:tcMar>
            <w:vAlign w:val="bottom"/>
          </w:tcPr>
          <w:p>
            <w:pPr>
              <w:keepNext/>
            </w:pPr>
          </w:p>
        </w:tc>
        <w:tc>
          <w:tcPr>
            <w:tcW w:w="88" w:type="dxa"/>
            <w:tcBorders>
              <w:top w:val="nil"/>
              <w:left w:val="nil"/>
              <w:bottom w:val="nil"/>
              <w:right w:val="nil"/>
            </w:tcBorders>
            <w:tcMar>
              <w:top w:w="0" w:type="dxa"/>
              <w:left w:w="0" w:type="dxa"/>
              <w:bottom w:w="0" w:type="dxa"/>
              <w:right w:w="0" w:type="dxa"/>
            </w:tcMar>
            <w:vAlign w:val="bottom"/>
          </w:tcPr>
          <w:p>
            <w:pPr>
              <w:keepNext/>
            </w:pPr>
          </w:p>
        </w:tc>
        <w:tc>
          <w:tcPr>
            <w:tcW w:w="1040" w:type="dxa"/>
            <w:tcBorders>
              <w:top w:val="nil"/>
              <w:left w:val="nil"/>
              <w:bottom w:val="nil"/>
              <w:right w:val="nil"/>
            </w:tcBorders>
            <w:tcMar>
              <w:top w:w="0" w:type="dxa"/>
              <w:left w:w="0" w:type="dxa"/>
              <w:bottom w:w="0" w:type="dxa"/>
              <w:right w:w="0" w:type="dxa"/>
            </w:tcMar>
            <w:vAlign w:val="bottom"/>
          </w:tcPr>
          <w:p>
            <w:pPr>
              <w:keepNext/>
            </w:pP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865" w:type="dxa"/>
            <w:tcBorders>
              <w:top w:val="nil"/>
              <w:left w:val="nil"/>
              <w:bottom w:val="nil"/>
              <w:right w:val="nil"/>
            </w:tcBorders>
            <w:tcMar>
              <w:top w:w="0" w:type="dxa"/>
              <w:left w:w="0" w:type="dxa"/>
              <w:bottom w:w="0" w:type="dxa"/>
              <w:right w:w="0" w:type="dxa"/>
            </w:tcMar>
            <w:vAlign w:val="bottom"/>
          </w:tcPr>
          <w:p>
            <w:pPr>
              <w:keepNext/>
            </w:pP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900" w:type="dxa"/>
            <w:tcBorders>
              <w:top w:val="nil"/>
              <w:left w:val="nil"/>
              <w:bottom w:val="nil"/>
              <w:right w:val="nil"/>
            </w:tcBorders>
            <w:tcMar>
              <w:top w:w="0" w:type="dxa"/>
              <w:left w:w="0" w:type="dxa"/>
              <w:bottom w:w="0" w:type="dxa"/>
              <w:right w:w="0" w:type="dxa"/>
            </w:tcMar>
            <w:vAlign w:val="bottom"/>
          </w:tcPr>
          <w:p>
            <w:pPr>
              <w:keepNext/>
            </w:pPr>
          </w:p>
        </w:tc>
        <w:tc>
          <w:tcPr>
            <w:tcW w:w="130" w:type="dxa"/>
            <w:tcBorders>
              <w:top w:val="nil"/>
              <w:left w:val="nil"/>
              <w:bottom w:val="nil"/>
              <w:right w:val="nil"/>
            </w:tcBorders>
            <w:tcMar>
              <w:top w:w="0" w:type="dxa"/>
              <w:left w:w="0" w:type="dxa"/>
              <w:bottom w:w="0" w:type="dxa"/>
              <w:right w:w="0" w:type="dxa"/>
            </w:tcMar>
            <w:vAlign w:val="bottom"/>
          </w:tcPr>
          <w:p>
            <w:pPr>
              <w:keepNext/>
              <w:ind w:right="-10"/>
            </w:pPr>
          </w:p>
        </w:tc>
        <w:tc>
          <w:tcPr>
            <w:tcW w:w="1080" w:type="dxa"/>
            <w:tcBorders>
              <w:top w:val="nil"/>
              <w:left w:val="nil"/>
              <w:bottom w:val="nil"/>
              <w:right w:val="nil"/>
            </w:tcBorders>
            <w:tcMar>
              <w:top w:w="0" w:type="dxa"/>
              <w:left w:w="0" w:type="dxa"/>
              <w:bottom w:w="0" w:type="dxa"/>
              <w:right w:w="0" w:type="dxa"/>
            </w:tcMar>
            <w:vAlign w:val="bottom"/>
          </w:tcPr>
          <w:p>
            <w:pPr>
              <w:keepNext/>
            </w:pP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102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130" w:type="dxa"/>
            <w:gridSpan w:val="13"/>
            <w:tcBorders>
              <w:top w:val="nil"/>
              <w:left w:val="nil"/>
              <w:bottom w:val="nil"/>
              <w:right w:val="nil"/>
            </w:tcBorders>
            <w:tcMar>
              <w:top w:w="0" w:type="dxa"/>
              <w:left w:w="53" w:type="dxa"/>
              <w:bottom w:w="0" w:type="dxa"/>
              <w:right w:w="53" w:type="dxa"/>
            </w:tcMar>
            <w:vAlign w:val="bottom"/>
          </w:tcPr>
          <w:p>
            <w:pPr>
              <w:keepNext/>
              <w:spacing w:before="53" w:after="30"/>
              <w:ind w:right="-10"/>
              <w:jc w:val="center"/>
            </w:pPr>
            <w:r>
              <w:rPr>
                <w:rFonts w:ascii="Arial" w:hAnsi="Arial" w:eastAsia="Arial" w:cs="Arial"/>
                <w:b/>
                <w:color w:val="000000"/>
                <w:sz w:val="18"/>
              </w:rPr>
              <w:t>Twelve  Months Ended December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tcMar>
              <w:top w:w="0" w:type="dxa"/>
              <w:left w:w="0" w:type="dxa"/>
              <w:bottom w:w="0" w:type="dxa"/>
              <w:right w:w="0" w:type="dxa"/>
            </w:tcMar>
            <w:vAlign w:val="bottom"/>
          </w:tcPr>
          <w:p>
            <w:pPr>
              <w:keepNext/>
            </w:pPr>
          </w:p>
        </w:tc>
        <w:tc>
          <w:tcPr>
            <w:tcW w:w="74" w:type="dxa"/>
            <w:tcBorders>
              <w:top w:val="nil"/>
              <w:left w:val="nil"/>
              <w:bottom w:val="nil"/>
              <w:right w:val="nil"/>
            </w:tcBorders>
            <w:tcMar>
              <w:top w:w="0" w:type="dxa"/>
              <w:left w:w="0" w:type="dxa"/>
              <w:bottom w:w="0" w:type="dxa"/>
              <w:right w:w="0" w:type="dxa"/>
            </w:tcMar>
            <w:vAlign w:val="bottom"/>
          </w:tcPr>
          <w:p>
            <w:pPr>
              <w:keepNext/>
            </w:pPr>
          </w:p>
        </w:tc>
        <w:tc>
          <w:tcPr>
            <w:tcW w:w="1040" w:type="dxa"/>
            <w:tcBorders>
              <w:top w:val="nil"/>
              <w:left w:val="nil"/>
              <w:bottom w:val="nil"/>
              <w:right w:val="nil"/>
            </w:tcBorders>
            <w:tcMar>
              <w:top w:w="0" w:type="dxa"/>
              <w:left w:w="0" w:type="dxa"/>
              <w:bottom w:w="0" w:type="dxa"/>
              <w:right w:w="0" w:type="dxa"/>
            </w:tcMar>
            <w:vAlign w:val="bottom"/>
          </w:tcPr>
          <w:p>
            <w:pPr>
              <w:keepNext/>
            </w:pPr>
          </w:p>
        </w:tc>
        <w:tc>
          <w:tcPr>
            <w:tcW w:w="88" w:type="dxa"/>
            <w:tcBorders>
              <w:top w:val="nil"/>
              <w:left w:val="nil"/>
              <w:bottom w:val="nil"/>
              <w:right w:val="nil"/>
            </w:tcBorders>
            <w:tcMar>
              <w:top w:w="0" w:type="dxa"/>
              <w:left w:w="0" w:type="dxa"/>
              <w:bottom w:w="0" w:type="dxa"/>
              <w:right w:w="0" w:type="dxa"/>
            </w:tcMar>
            <w:vAlign w:val="bottom"/>
          </w:tcPr>
          <w:p>
            <w:pPr>
              <w:keepNext/>
            </w:pPr>
          </w:p>
        </w:tc>
        <w:tc>
          <w:tcPr>
            <w:tcW w:w="1040" w:type="dxa"/>
            <w:tcBorders>
              <w:top w:val="nil"/>
              <w:left w:val="nil"/>
              <w:bottom w:val="nil"/>
              <w:right w:val="nil"/>
            </w:tcBorders>
            <w:tcMar>
              <w:top w:w="0" w:type="dxa"/>
              <w:left w:w="0" w:type="dxa"/>
              <w:bottom w:w="0" w:type="dxa"/>
              <w:right w:w="0" w:type="dxa"/>
            </w:tcMar>
            <w:vAlign w:val="bottom"/>
          </w:tcPr>
          <w:p>
            <w:pPr>
              <w:keepNext/>
            </w:pP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865" w:type="dxa"/>
            <w:tcBorders>
              <w:top w:val="nil"/>
              <w:left w:val="nil"/>
              <w:bottom w:val="nil"/>
              <w:right w:val="nil"/>
            </w:tcBorders>
            <w:tcMar>
              <w:top w:w="0" w:type="dxa"/>
              <w:left w:w="0" w:type="dxa"/>
              <w:bottom w:w="0" w:type="dxa"/>
              <w:right w:w="0" w:type="dxa"/>
            </w:tcMar>
            <w:vAlign w:val="bottom"/>
          </w:tcPr>
          <w:p>
            <w:pPr>
              <w:keepNext/>
            </w:pP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900" w:type="dxa"/>
            <w:tcBorders>
              <w:top w:val="nil"/>
              <w:left w:val="nil"/>
              <w:bottom w:val="nil"/>
              <w:right w:val="nil"/>
            </w:tcBorders>
            <w:tcMar>
              <w:top w:w="0" w:type="dxa"/>
              <w:left w:w="0" w:type="dxa"/>
              <w:bottom w:w="0" w:type="dxa"/>
              <w:right w:w="0" w:type="dxa"/>
            </w:tcMar>
            <w:vAlign w:val="bottom"/>
          </w:tcPr>
          <w:p>
            <w:pPr>
              <w:keepNext/>
            </w:pPr>
          </w:p>
        </w:tc>
        <w:tc>
          <w:tcPr>
            <w:tcW w:w="130" w:type="dxa"/>
            <w:tcBorders>
              <w:top w:val="nil"/>
              <w:left w:val="nil"/>
              <w:bottom w:val="nil"/>
              <w:right w:val="nil"/>
            </w:tcBorders>
            <w:tcMar>
              <w:top w:w="0" w:type="dxa"/>
              <w:left w:w="0" w:type="dxa"/>
              <w:bottom w:w="0" w:type="dxa"/>
              <w:right w:w="0" w:type="dxa"/>
            </w:tcMar>
            <w:vAlign w:val="bottom"/>
          </w:tcPr>
          <w:p>
            <w:pPr>
              <w:keepNext/>
              <w:ind w:right="-10"/>
            </w:pPr>
          </w:p>
        </w:tc>
        <w:tc>
          <w:tcPr>
            <w:tcW w:w="1080" w:type="dxa"/>
            <w:tcBorders>
              <w:top w:val="nil"/>
              <w:left w:val="nil"/>
              <w:bottom w:val="nil"/>
              <w:right w:val="nil"/>
            </w:tcBorders>
            <w:tcMar>
              <w:top w:w="0" w:type="dxa"/>
              <w:left w:w="0" w:type="dxa"/>
              <w:bottom w:w="0" w:type="dxa"/>
              <w:right w:w="0" w:type="dxa"/>
            </w:tcMar>
            <w:vAlign w:val="bottom"/>
          </w:tcPr>
          <w:p>
            <w:pPr>
              <w:keepNext/>
            </w:pP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102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exact"/>
        </w:trPr>
        <w:tc>
          <w:tcPr>
            <w:tcW w:w="2761" w:type="dxa"/>
            <w:tcBorders>
              <w:top w:val="nil"/>
              <w:left w:val="nil"/>
              <w:bottom w:val="nil"/>
              <w:right w:val="nil"/>
            </w:tcBorders>
            <w:tcMar>
              <w:top w:w="0" w:type="dxa"/>
              <w:left w:w="0" w:type="dxa"/>
              <w:bottom w:w="0" w:type="dxa"/>
              <w:right w:w="0" w:type="dxa"/>
            </w:tcMar>
            <w:vAlign w:val="bottom"/>
          </w:tcPr>
          <w:p>
            <w:pPr>
              <w:keepNext/>
            </w:pPr>
          </w:p>
        </w:tc>
        <w:tc>
          <w:tcPr>
            <w:tcW w:w="74" w:type="dxa"/>
            <w:tcBorders>
              <w:top w:val="nil"/>
              <w:left w:val="nil"/>
              <w:bottom w:val="nil"/>
              <w:right w:val="nil"/>
            </w:tcBorders>
            <w:tcMar>
              <w:top w:w="0" w:type="dxa"/>
              <w:left w:w="0" w:type="dxa"/>
              <w:bottom w:w="0" w:type="dxa"/>
              <w:right w:w="0" w:type="dxa"/>
            </w:tcMar>
            <w:vAlign w:val="bottom"/>
          </w:tcPr>
          <w:p>
            <w:pPr>
              <w:keepNext/>
            </w:pPr>
          </w:p>
        </w:tc>
        <w:tc>
          <w:tcPr>
            <w:tcW w:w="1040"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2021</w:t>
            </w:r>
          </w:p>
          <w:p>
            <w:pPr>
              <w:jc w:val="center"/>
            </w:pPr>
            <w:r>
              <w:rPr>
                <w:rFonts w:ascii="Arial" w:hAnsi="Arial" w:eastAsia="Arial" w:cs="Arial"/>
                <w:b/>
                <w:color w:val="000000"/>
                <w:sz w:val="16"/>
              </w:rPr>
              <w:t>As-Reported</w:t>
            </w:r>
          </w:p>
          <w:p>
            <w:pPr>
              <w:spacing w:after="30"/>
              <w:jc w:val="center"/>
            </w:pPr>
            <w:r>
              <w:rPr>
                <w:rFonts w:ascii="Arial" w:hAnsi="Arial" w:eastAsia="Arial" w:cs="Arial"/>
                <w:b/>
                <w:color w:val="000000"/>
                <w:sz w:val="16"/>
              </w:rPr>
              <w:t>(GAAP)</w:t>
            </w:r>
          </w:p>
        </w:tc>
        <w:tc>
          <w:tcPr>
            <w:tcW w:w="88" w:type="dxa"/>
            <w:tcBorders>
              <w:top w:val="nil"/>
              <w:left w:val="nil"/>
              <w:bottom w:val="nil"/>
              <w:right w:val="nil"/>
            </w:tcBorders>
            <w:tcMar>
              <w:top w:w="0" w:type="dxa"/>
              <w:left w:w="0" w:type="dxa"/>
              <w:bottom w:w="0" w:type="dxa"/>
              <w:right w:w="0" w:type="dxa"/>
            </w:tcMar>
            <w:vAlign w:val="bottom"/>
          </w:tcPr>
          <w:p>
            <w:pPr>
              <w:keepNext/>
            </w:pPr>
          </w:p>
        </w:tc>
        <w:tc>
          <w:tcPr>
            <w:tcW w:w="1040"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2020</w:t>
            </w:r>
          </w:p>
          <w:p>
            <w:pPr>
              <w:jc w:val="center"/>
            </w:pPr>
            <w:r>
              <w:rPr>
                <w:rFonts w:ascii="Arial" w:hAnsi="Arial" w:eastAsia="Arial" w:cs="Arial"/>
                <w:b/>
                <w:color w:val="000000"/>
                <w:sz w:val="16"/>
              </w:rPr>
              <w:t>As-Reported</w:t>
            </w:r>
          </w:p>
          <w:p>
            <w:pPr>
              <w:spacing w:after="30"/>
              <w:jc w:val="center"/>
            </w:pPr>
            <w:r>
              <w:rPr>
                <w:rFonts w:ascii="Arial" w:hAnsi="Arial" w:eastAsia="Arial" w:cs="Arial"/>
                <w:b/>
                <w:color w:val="000000"/>
                <w:sz w:val="16"/>
              </w:rPr>
              <w:t>(GAAP)</w:t>
            </w: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86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(GAAP)</w:t>
            </w: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900"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Currency</w:t>
            </w:r>
          </w:p>
          <w:p>
            <w:pPr>
              <w:spacing w:after="30"/>
              <w:jc w:val="center"/>
            </w:pPr>
            <w:r>
              <w:rPr>
                <w:rFonts w:ascii="Arial" w:hAnsi="Arial" w:eastAsia="Arial" w:cs="Arial"/>
                <w:b/>
                <w:color w:val="000000"/>
                <w:sz w:val="16"/>
              </w:rPr>
              <w:t>Impact</w:t>
            </w:r>
          </w:p>
        </w:tc>
        <w:tc>
          <w:tcPr>
            <w:tcW w:w="130" w:type="dxa"/>
            <w:tcBorders>
              <w:top w:val="nil"/>
              <w:left w:val="nil"/>
              <w:bottom w:val="nil"/>
              <w:right w:val="nil"/>
            </w:tcBorders>
            <w:tcMar>
              <w:top w:w="0" w:type="dxa"/>
              <w:left w:w="0" w:type="dxa"/>
              <w:bottom w:w="0" w:type="dxa"/>
              <w:right w:w="0" w:type="dxa"/>
            </w:tcMar>
            <w:vAlign w:val="bottom"/>
          </w:tcPr>
          <w:p>
            <w:pPr>
              <w:keepNext/>
              <w:ind w:right="-10"/>
            </w:pPr>
          </w:p>
        </w:tc>
        <w:tc>
          <w:tcPr>
            <w:tcW w:w="1080"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rPr>
                <w:rFonts w:ascii="Arial" w:hAnsi="Arial" w:eastAsia="Arial" w:cs="Arial"/>
                <w:b/>
                <w:sz w:val="16"/>
              </w:rPr>
            </w:pPr>
            <w:r>
              <w:rPr>
                <w:rFonts w:ascii="Arial" w:hAnsi="Arial" w:eastAsia="Arial" w:cs="Arial"/>
                <w:b/>
                <w:sz w:val="16"/>
              </w:rPr>
              <w:t>2021</w:t>
            </w:r>
          </w:p>
          <w:p>
            <w:pPr>
              <w:jc w:val="center"/>
              <w:rPr>
                <w:rFonts w:ascii="Arial" w:hAnsi="Arial" w:eastAsia="Arial" w:cs="Arial"/>
                <w:b/>
                <w:sz w:val="16"/>
              </w:rPr>
            </w:pPr>
            <w:r>
              <w:rPr>
                <w:rFonts w:ascii="Arial" w:hAnsi="Arial" w:eastAsia="Arial" w:cs="Arial"/>
                <w:b/>
                <w:sz w:val="16"/>
              </w:rPr>
              <w:t>Currency-Neutral</w:t>
            </w:r>
          </w:p>
          <w:p>
            <w:pPr>
              <w:spacing w:after="30"/>
              <w:jc w:val="center"/>
              <w:rPr>
                <w:rFonts w:ascii="Arial" w:hAnsi="Arial" w:eastAsia="Arial" w:cs="Arial"/>
                <w:b/>
                <w:sz w:val="16"/>
              </w:rPr>
            </w:pPr>
            <w:r>
              <w:rPr>
                <w:rFonts w:ascii="Arial" w:hAnsi="Arial" w:eastAsia="Arial" w:cs="Arial"/>
                <w:b/>
                <w:sz w:val="16"/>
              </w:rPr>
              <w:t>(Non-GAAP)</w:t>
            </w:r>
            <w:r>
              <w:rPr>
                <w:rFonts w:ascii="Arial" w:hAnsi="Arial" w:eastAsia="Arial" w:cs="Arial"/>
                <w:b/>
                <w:sz w:val="16"/>
                <w:vertAlign w:val="superscript"/>
              </w:rPr>
              <w:t>(1)</w:t>
            </w: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1025"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b/>
                <w:color w:val="000000"/>
                <w:sz w:val="16"/>
              </w:rPr>
              <w:t>Average Revenue Per Piece:</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40"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88"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40"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6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900"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130" w:type="dxa"/>
            <w:tcBorders>
              <w:top w:val="nil"/>
              <w:left w:val="nil"/>
              <w:bottom w:val="nil"/>
              <w:right w:val="nil"/>
            </w:tcBorders>
            <w:shd w:val="clear" w:color="auto" w:fill="CCEEFF"/>
            <w:tcMar>
              <w:top w:w="0" w:type="dxa"/>
              <w:left w:w="0" w:type="dxa"/>
              <w:bottom w:w="0" w:type="dxa"/>
              <w:right w:w="0" w:type="dxa"/>
            </w:tcMar>
            <w:vAlign w:val="bottom"/>
          </w:tcPr>
          <w:p>
            <w:pPr>
              <w:keepNext/>
              <w:ind w:right="-10"/>
            </w:pPr>
          </w:p>
        </w:tc>
        <w:tc>
          <w:tcPr>
            <w:tcW w:w="1080"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25"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6"/>
              </w:rPr>
              <w:t>International Package:</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8"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4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30" w:type="dxa"/>
            <w:tcBorders>
              <w:top w:val="nil"/>
              <w:left w:val="nil"/>
              <w:bottom w:val="nil"/>
              <w:right w:val="nil"/>
            </w:tcBorders>
            <w:shd w:val="clear" w:color="auto" w:fill="FFFFFF"/>
            <w:tcMar>
              <w:top w:w="0" w:type="dxa"/>
              <w:left w:w="0" w:type="dxa"/>
              <w:bottom w:w="0" w:type="dxa"/>
              <w:right w:w="0" w:type="dxa"/>
            </w:tcMar>
            <w:vAlign w:val="bottom"/>
          </w:tcPr>
          <w:p>
            <w:pPr>
              <w:keepNext/>
              <w:ind w:right="-10"/>
            </w:pPr>
          </w:p>
        </w:tc>
        <w:tc>
          <w:tcPr>
            <w:tcW w:w="108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2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Domestic</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35"/>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7.31</w:t>
            </w:r>
            <w:r>
              <w:rPr>
                <w:rFonts w:ascii="Arial" w:hAnsi="Arial" w:eastAsia="Arial" w:cs="Arial"/>
                <w:color w:val="000000"/>
                <w:sz w:val="16"/>
              </w:rPr>
              <w:tab/>
            </w:r>
          </w:p>
        </w:tc>
        <w:tc>
          <w:tcPr>
            <w:tcW w:w="88"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0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35"/>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6.65</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9.9</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90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342"/>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(0.29)</w:t>
            </w:r>
          </w:p>
        </w:tc>
        <w:tc>
          <w:tcPr>
            <w:tcW w:w="13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right="-10"/>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755"/>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7.02</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278"/>
              </w:tabs>
              <w:spacing w:before="53" w:after="30"/>
              <w:jc w:val="right"/>
            </w:pPr>
            <w:r>
              <w:rPr>
                <w:rFonts w:ascii="Arial" w:hAnsi="Arial" w:eastAsia="Arial" w:cs="Arial"/>
                <w:color w:val="000000"/>
                <w:sz w:val="16"/>
              </w:rPr>
              <w:tab/>
            </w:r>
            <w:r>
              <w:rPr>
                <w:rFonts w:ascii="Arial" w:hAnsi="Arial" w:eastAsia="Arial" w:cs="Arial"/>
                <w:color w:val="000000"/>
                <w:sz w:val="16"/>
              </w:rPr>
              <w:t>5.6</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Export</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32.83</w:t>
            </w:r>
            <w:r>
              <w:rPr>
                <w:rFonts w:ascii="Arial" w:hAnsi="Arial" w:eastAsia="Arial" w:cs="Arial"/>
                <w:color w:val="000000"/>
                <w:sz w:val="16"/>
              </w:rPr>
              <w:tab/>
            </w:r>
          </w:p>
        </w:tc>
        <w:tc>
          <w:tcPr>
            <w:tcW w:w="88"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0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28.52</w:t>
            </w:r>
            <w:r>
              <w:rPr>
                <w:rFonts w:ascii="Arial" w:hAnsi="Arial" w:eastAsia="Arial" w:cs="Arial"/>
                <w:color w:val="000000"/>
                <w:sz w:val="16"/>
              </w:rPr>
              <w:tab/>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15.1</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90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342"/>
              </w:tabs>
              <w:spacing w:before="53" w:after="30"/>
              <w:jc w:val="right"/>
            </w:pPr>
            <w:r>
              <w:rPr>
                <w:rFonts w:ascii="Arial" w:hAnsi="Arial" w:eastAsia="Arial" w:cs="Arial"/>
                <w:color w:val="000000"/>
                <w:sz w:val="16"/>
              </w:rPr>
              <w:tab/>
            </w:r>
            <w:r>
              <w:rPr>
                <w:rFonts w:ascii="Arial" w:hAnsi="Arial" w:eastAsia="Arial" w:cs="Arial"/>
                <w:color w:val="000000"/>
                <w:sz w:val="16"/>
              </w:rPr>
              <w:t>(0.55)</w:t>
            </w:r>
          </w:p>
        </w:tc>
        <w:tc>
          <w:tcPr>
            <w:tcW w:w="13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right="-10"/>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32.28</w:t>
            </w:r>
            <w:r>
              <w:rPr>
                <w:rFonts w:ascii="Arial" w:hAnsi="Arial" w:eastAsia="Arial" w:cs="Arial"/>
                <w:color w:val="000000"/>
                <w:sz w:val="16"/>
              </w:rPr>
              <w:tab/>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13.2</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6"/>
              </w:rPr>
              <w:t xml:space="preserve">      Total International Package</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19.44</w:t>
            </w:r>
            <w:r>
              <w:rPr>
                <w:rFonts w:ascii="Arial" w:hAnsi="Arial" w:eastAsia="Arial" w:cs="Arial"/>
                <w:color w:val="000000"/>
                <w:sz w:val="16"/>
              </w:rPr>
              <w:tab/>
            </w:r>
          </w:p>
        </w:tc>
        <w:tc>
          <w:tcPr>
            <w:tcW w:w="88" w:type="dxa"/>
            <w:tcBorders>
              <w:top w:val="nil"/>
              <w:left w:val="nil"/>
              <w:bottom w:val="double" w:color="000000" w:sz="8" w:space="0"/>
              <w:right w:val="nil"/>
            </w:tcBorders>
            <w:shd w:val="clear" w:color="auto" w:fill="CCEEFF"/>
            <w:tcMar>
              <w:top w:w="0" w:type="dxa"/>
              <w:left w:w="53" w:type="dxa"/>
              <w:bottom w:w="0" w:type="dxa"/>
              <w:right w:w="15" w:type="dxa"/>
            </w:tcMar>
            <w:vAlign w:val="bottom"/>
          </w:tcPr>
          <w:p>
            <w:pPr>
              <w:keepNext/>
              <w:spacing w:before="53" w:after="30"/>
            </w:pPr>
          </w:p>
        </w:tc>
        <w:tc>
          <w:tcPr>
            <w:tcW w:w="10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16.99</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14.4</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90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342"/>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(0.41)</w:t>
            </w:r>
          </w:p>
        </w:tc>
        <w:tc>
          <w:tcPr>
            <w:tcW w:w="130" w:type="dxa"/>
            <w:tcBorders>
              <w:top w:val="nil"/>
              <w:left w:val="nil"/>
              <w:bottom w:val="double" w:color="000000" w:sz="8" w:space="0"/>
              <w:right w:val="nil"/>
            </w:tcBorders>
            <w:shd w:val="clear" w:color="auto" w:fill="CCEEFF"/>
            <w:tcMar>
              <w:top w:w="0" w:type="dxa"/>
              <w:left w:w="53" w:type="dxa"/>
              <w:bottom w:w="0" w:type="dxa"/>
              <w:right w:w="53" w:type="dxa"/>
            </w:tcMar>
            <w:vAlign w:val="bottom"/>
          </w:tcPr>
          <w:p>
            <w:pPr>
              <w:keepNext/>
              <w:spacing w:before="53" w:after="30"/>
              <w:ind w:right="-10"/>
            </w:pPr>
          </w:p>
        </w:tc>
        <w:tc>
          <w:tcPr>
            <w:tcW w:w="108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19.03</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12.0</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4"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88"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0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90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3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ind w:right="-10"/>
            </w:pPr>
          </w:p>
        </w:tc>
        <w:tc>
          <w:tcPr>
            <w:tcW w:w="108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2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6"/>
              </w:rPr>
              <w:t>Consolidated</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12.32</w:t>
            </w:r>
            <w:r>
              <w:rPr>
                <w:rFonts w:ascii="Arial" w:hAnsi="Arial" w:eastAsia="Arial" w:cs="Arial"/>
                <w:color w:val="000000"/>
                <w:sz w:val="16"/>
              </w:rPr>
              <w:tab/>
            </w:r>
          </w:p>
        </w:tc>
        <w:tc>
          <w:tcPr>
            <w:tcW w:w="88" w:type="dxa"/>
            <w:tcBorders>
              <w:top w:val="nil"/>
              <w:left w:val="nil"/>
              <w:bottom w:val="double" w:color="000000" w:sz="8" w:space="0"/>
              <w:right w:val="nil"/>
            </w:tcBorders>
            <w:shd w:val="clear" w:color="auto" w:fill="CCEEFF"/>
            <w:tcMar>
              <w:top w:w="0" w:type="dxa"/>
              <w:left w:w="53" w:type="dxa"/>
              <w:bottom w:w="0" w:type="dxa"/>
              <w:right w:w="15" w:type="dxa"/>
            </w:tcMar>
            <w:vAlign w:val="bottom"/>
          </w:tcPr>
          <w:p>
            <w:pPr>
              <w:keepNext/>
              <w:spacing w:before="53" w:after="30"/>
            </w:pPr>
          </w:p>
        </w:tc>
        <w:tc>
          <w:tcPr>
            <w:tcW w:w="104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46"/>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10.94</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12.6</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90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342"/>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(0.06)</w:t>
            </w:r>
          </w:p>
        </w:tc>
        <w:tc>
          <w:tcPr>
            <w:tcW w:w="130" w:type="dxa"/>
            <w:tcBorders>
              <w:top w:val="nil"/>
              <w:left w:val="nil"/>
              <w:bottom w:val="double" w:color="000000" w:sz="8" w:space="0"/>
              <w:right w:val="nil"/>
            </w:tcBorders>
            <w:shd w:val="clear" w:color="auto" w:fill="CCEEFF"/>
            <w:tcMar>
              <w:top w:w="0" w:type="dxa"/>
              <w:left w:w="53" w:type="dxa"/>
              <w:bottom w:w="0" w:type="dxa"/>
              <w:right w:w="53" w:type="dxa"/>
            </w:tcMar>
            <w:vAlign w:val="bottom"/>
          </w:tcPr>
          <w:p>
            <w:pPr>
              <w:keepNext/>
              <w:spacing w:before="53" w:after="30"/>
              <w:ind w:right="-10"/>
            </w:pPr>
          </w:p>
        </w:tc>
        <w:tc>
          <w:tcPr>
            <w:tcW w:w="1080" w:type="dxa"/>
            <w:tcBorders>
              <w:top w:val="nil"/>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12.26</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12.1</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74"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88"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04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86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90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3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ind w:right="-10"/>
            </w:pPr>
          </w:p>
        </w:tc>
        <w:tc>
          <w:tcPr>
            <w:tcW w:w="1080" w:type="dxa"/>
            <w:tcBorders>
              <w:top w:val="double" w:color="000000" w:sz="8" w:space="0"/>
              <w:left w:val="nil"/>
              <w:bottom w:val="nil"/>
              <w:right w:val="nil"/>
            </w:tcBorders>
            <w:shd w:val="clear" w:color="auto" w:fill="FFFF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25" w:type="dxa"/>
            <w:tcBorders>
              <w:top w:val="nil"/>
              <w:left w:val="nil"/>
              <w:bottom w:val="nil"/>
              <w:right w:val="nil"/>
            </w:tcBorders>
            <w:shd w:val="clear" w:color="auto" w:fill="FFFF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b/>
                <w:color w:val="000000"/>
                <w:sz w:val="16"/>
              </w:rPr>
              <w:t>Revenue:</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8"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4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6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90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30" w:type="dxa"/>
            <w:tcBorders>
              <w:top w:val="nil"/>
              <w:left w:val="nil"/>
              <w:bottom w:val="nil"/>
              <w:right w:val="nil"/>
            </w:tcBorders>
            <w:shd w:val="clear" w:color="auto" w:fill="CCEEFF"/>
            <w:tcMar>
              <w:top w:w="0" w:type="dxa"/>
              <w:left w:w="0" w:type="dxa"/>
              <w:bottom w:w="0" w:type="dxa"/>
              <w:right w:w="0" w:type="dxa"/>
            </w:tcMar>
            <w:vAlign w:val="bottom"/>
          </w:tcPr>
          <w:p>
            <w:pPr>
              <w:keepNext/>
              <w:ind w:right="-10"/>
            </w:pPr>
          </w:p>
        </w:tc>
        <w:tc>
          <w:tcPr>
            <w:tcW w:w="108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25" w:type="dxa"/>
            <w:tcBorders>
              <w:top w:val="nil"/>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U.S. Domestic Package</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60,317</w:t>
            </w:r>
            <w:r>
              <w:rPr>
                <w:rFonts w:ascii="Arial" w:hAnsi="Arial" w:eastAsia="Arial" w:cs="Arial"/>
                <w:color w:val="000000"/>
                <w:sz w:val="16"/>
              </w:rPr>
              <w:tab/>
            </w:r>
          </w:p>
        </w:tc>
        <w:tc>
          <w:tcPr>
            <w:tcW w:w="88"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04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53,499</w:t>
            </w:r>
            <w:r>
              <w:rPr>
                <w:rFonts w:ascii="Arial" w:hAnsi="Arial" w:eastAsia="Arial" w:cs="Arial"/>
                <w:color w:val="000000"/>
                <w:sz w:val="16"/>
              </w:rPr>
              <w:tab/>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12.7</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90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w:t>
            </w:r>
            <w:r>
              <w:rPr>
                <w:rFonts w:ascii="Arial" w:hAnsi="Arial" w:eastAsia="Arial" w:cs="Arial"/>
                <w:color w:val="000000"/>
                <w:sz w:val="16"/>
              </w:rPr>
              <w:tab/>
            </w:r>
          </w:p>
        </w:tc>
        <w:tc>
          <w:tcPr>
            <w:tcW w:w="130"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ind w:right="-10"/>
            </w:pPr>
          </w:p>
        </w:tc>
        <w:tc>
          <w:tcPr>
            <w:tcW w:w="1080"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77"/>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60,317</w:t>
            </w:r>
            <w:r>
              <w:rPr>
                <w:rFonts w:ascii="Arial" w:hAnsi="Arial" w:eastAsia="Arial" w:cs="Arial"/>
                <w:color w:val="000000"/>
                <w:sz w:val="16"/>
              </w:rPr>
              <w:tab/>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12.7</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International Package</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19,541</w:t>
            </w:r>
            <w:r>
              <w:rPr>
                <w:rFonts w:ascii="Arial" w:hAnsi="Arial" w:eastAsia="Arial" w:cs="Arial"/>
                <w:color w:val="000000"/>
                <w:sz w:val="16"/>
              </w:rPr>
              <w:tab/>
            </w:r>
          </w:p>
        </w:tc>
        <w:tc>
          <w:tcPr>
            <w:tcW w:w="88"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04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15,945</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6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22.6</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90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386"/>
              </w:tabs>
              <w:spacing w:before="53" w:after="30"/>
              <w:jc w:val="right"/>
            </w:pPr>
            <w:r>
              <w:rPr>
                <w:rFonts w:ascii="Arial" w:hAnsi="Arial" w:eastAsia="Arial" w:cs="Arial"/>
                <w:color w:val="000000"/>
                <w:sz w:val="16"/>
              </w:rPr>
              <w:tab/>
            </w:r>
            <w:r>
              <w:rPr>
                <w:rFonts w:ascii="Arial" w:hAnsi="Arial" w:eastAsia="Arial" w:cs="Arial"/>
                <w:color w:val="000000"/>
                <w:sz w:val="16"/>
              </w:rPr>
              <w:t>(402)</w:t>
            </w:r>
          </w:p>
        </w:tc>
        <w:tc>
          <w:tcPr>
            <w:tcW w:w="130"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ind w:right="-10"/>
            </w:pPr>
          </w:p>
        </w:tc>
        <w:tc>
          <w:tcPr>
            <w:tcW w:w="1080"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577"/>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19,139</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2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20.0</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rPr>
                <w:rFonts w:ascii="Arial" w:hAnsi="Arial" w:eastAsia="Arial" w:cs="Arial"/>
                <w:sz w:val="16"/>
              </w:rPr>
            </w:pPr>
            <w:r>
              <w:rPr>
                <w:rFonts w:ascii="Arial" w:hAnsi="Arial" w:eastAsia="Arial" w:cs="Arial"/>
                <w:sz w:val="16"/>
              </w:rPr>
              <w:t xml:space="preserve">  Supply Chain Solutions</w:t>
            </w:r>
            <w:r>
              <w:rPr>
                <w:rFonts w:ascii="Arial" w:hAnsi="Arial" w:eastAsia="Arial" w:cs="Arial"/>
                <w:sz w:val="16"/>
                <w:vertAlign w:val="superscript"/>
              </w:rPr>
              <w:t>(3)</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0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17,429</w:t>
            </w:r>
            <w:r>
              <w:rPr>
                <w:rFonts w:ascii="Arial" w:hAnsi="Arial" w:eastAsia="Arial" w:cs="Arial"/>
                <w:color w:val="000000"/>
                <w:sz w:val="16"/>
              </w:rPr>
              <w:tab/>
            </w:r>
          </w:p>
        </w:tc>
        <w:tc>
          <w:tcPr>
            <w:tcW w:w="88" w:type="dxa"/>
            <w:tcBorders>
              <w:top w:val="nil"/>
              <w:left w:val="nil"/>
              <w:bottom w:val="single" w:color="000000" w:sz="8" w:space="0"/>
              <w:right w:val="nil"/>
            </w:tcBorders>
            <w:shd w:val="clear" w:color="auto" w:fill="FFFFFF"/>
            <w:tcMar>
              <w:top w:w="0" w:type="dxa"/>
              <w:left w:w="53" w:type="dxa"/>
              <w:bottom w:w="0" w:type="dxa"/>
              <w:right w:w="15" w:type="dxa"/>
            </w:tcMar>
            <w:vAlign w:val="bottom"/>
          </w:tcPr>
          <w:p>
            <w:pPr>
              <w:keepNext/>
              <w:spacing w:before="53" w:after="30"/>
            </w:pPr>
          </w:p>
        </w:tc>
        <w:tc>
          <w:tcPr>
            <w:tcW w:w="104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457"/>
                <w:tab w:val="left" w:pos="997"/>
              </w:tabs>
              <w:spacing w:before="53" w:after="30"/>
              <w:jc w:val="right"/>
            </w:pPr>
            <w:r>
              <w:rPr>
                <w:rFonts w:ascii="Arial" w:hAnsi="Arial" w:eastAsia="Arial" w:cs="Arial"/>
                <w:color w:val="000000"/>
                <w:sz w:val="16"/>
              </w:rPr>
              <w:tab/>
            </w:r>
            <w:r>
              <w:rPr>
                <w:rFonts w:ascii="Arial" w:hAnsi="Arial" w:eastAsia="Arial" w:cs="Arial"/>
                <w:color w:val="000000"/>
                <w:sz w:val="16"/>
              </w:rPr>
              <w:t>15,184</w:t>
            </w:r>
            <w:r>
              <w:rPr>
                <w:rFonts w:ascii="Arial" w:hAnsi="Arial" w:eastAsia="Arial" w:cs="Arial"/>
                <w:color w:val="000000"/>
                <w:sz w:val="16"/>
              </w:rPr>
              <w:tab/>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6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14.8</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90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475"/>
              </w:tabs>
              <w:spacing w:before="53" w:after="30"/>
              <w:jc w:val="right"/>
            </w:pPr>
            <w:r>
              <w:rPr>
                <w:rFonts w:ascii="Arial" w:hAnsi="Arial" w:eastAsia="Arial" w:cs="Arial"/>
                <w:color w:val="000000"/>
                <w:sz w:val="16"/>
              </w:rPr>
              <w:tab/>
            </w:r>
            <w:r>
              <w:rPr>
                <w:rFonts w:ascii="Arial" w:hAnsi="Arial" w:eastAsia="Arial" w:cs="Arial"/>
                <w:color w:val="000000"/>
                <w:sz w:val="16"/>
              </w:rPr>
              <w:t>(96)</w:t>
            </w:r>
          </w:p>
        </w:tc>
        <w:tc>
          <w:tcPr>
            <w:tcW w:w="130" w:type="dxa"/>
            <w:tcBorders>
              <w:top w:val="nil"/>
              <w:left w:val="nil"/>
              <w:bottom w:val="single" w:color="000000" w:sz="8" w:space="0"/>
              <w:right w:val="nil"/>
            </w:tcBorders>
            <w:shd w:val="clear" w:color="auto" w:fill="FFFFFF"/>
            <w:tcMar>
              <w:top w:w="0" w:type="dxa"/>
              <w:left w:w="53" w:type="dxa"/>
              <w:bottom w:w="0" w:type="dxa"/>
              <w:right w:w="15" w:type="dxa"/>
            </w:tcMar>
            <w:vAlign w:val="bottom"/>
          </w:tcPr>
          <w:p>
            <w:pPr>
              <w:keepNext/>
              <w:spacing w:before="53" w:after="30"/>
              <w:ind w:right="-10"/>
            </w:pPr>
          </w:p>
        </w:tc>
        <w:tc>
          <w:tcPr>
            <w:tcW w:w="1080"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77"/>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17,333</w:t>
            </w:r>
            <w:r>
              <w:rPr>
                <w:rFonts w:ascii="Arial" w:hAnsi="Arial" w:eastAsia="Arial" w:cs="Arial"/>
                <w:color w:val="000000"/>
                <w:sz w:val="16"/>
              </w:rPr>
              <w:tab/>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2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14.2</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2761" w:type="dxa"/>
            <w:tcBorders>
              <w:top w:val="nil"/>
              <w:left w:val="nil"/>
              <w:bottom w:val="nil"/>
              <w:right w:val="nil"/>
            </w:tcBorders>
            <w:shd w:val="clear" w:color="auto" w:fill="CCEEFF"/>
            <w:tcMar>
              <w:top w:w="0" w:type="dxa"/>
              <w:left w:w="53" w:type="dxa"/>
              <w:bottom w:w="0" w:type="dxa"/>
              <w:right w:w="53" w:type="dxa"/>
            </w:tcMar>
            <w:vAlign w:val="bottom"/>
          </w:tcPr>
          <w:p>
            <w:pPr>
              <w:spacing w:before="53" w:after="30"/>
              <w:ind w:left="120"/>
            </w:pPr>
            <w:r>
              <w:rPr>
                <w:rFonts w:ascii="Arial" w:hAnsi="Arial" w:eastAsia="Arial" w:cs="Arial"/>
                <w:color w:val="000000"/>
                <w:sz w:val="16"/>
              </w:rPr>
              <w:t xml:space="preserve">  Total revenue</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tc>
        <w:tc>
          <w:tcPr>
            <w:tcW w:w="10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457"/>
                <w:tab w:val="left" w:pos="99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97,287</w:t>
            </w:r>
            <w:r>
              <w:rPr>
                <w:rFonts w:ascii="Arial" w:hAnsi="Arial" w:eastAsia="Arial" w:cs="Arial"/>
                <w:color w:val="000000"/>
                <w:sz w:val="16"/>
              </w:rPr>
              <w:tab/>
            </w:r>
          </w:p>
        </w:tc>
        <w:tc>
          <w:tcPr>
            <w:tcW w:w="88" w:type="dxa"/>
            <w:tcBorders>
              <w:top w:val="single" w:color="000000" w:sz="8" w:space="0"/>
              <w:left w:val="nil"/>
              <w:bottom w:val="double" w:color="000000" w:sz="8" w:space="0"/>
              <w:right w:val="nil"/>
            </w:tcBorders>
            <w:shd w:val="clear" w:color="auto" w:fill="CCEEFF"/>
            <w:tcMar>
              <w:top w:w="0" w:type="dxa"/>
              <w:left w:w="53" w:type="dxa"/>
              <w:bottom w:w="0" w:type="dxa"/>
              <w:right w:w="15" w:type="dxa"/>
            </w:tcMar>
            <w:vAlign w:val="bottom"/>
          </w:tcPr>
          <w:p>
            <w:pPr>
              <w:spacing w:before="33" w:after="30"/>
            </w:pPr>
          </w:p>
        </w:tc>
        <w:tc>
          <w:tcPr>
            <w:tcW w:w="104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457"/>
                <w:tab w:val="left" w:pos="99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84,628</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spacing w:before="53" w:after="30"/>
            </w:pPr>
          </w:p>
        </w:tc>
        <w:tc>
          <w:tcPr>
            <w:tcW w:w="865" w:type="dxa"/>
            <w:tcBorders>
              <w:top w:val="nil"/>
              <w:left w:val="nil"/>
              <w:bottom w:val="nil"/>
              <w:right w:val="nil"/>
            </w:tcBorders>
            <w:shd w:val="clear" w:color="auto" w:fill="CCEEFF"/>
            <w:tcMar>
              <w:top w:w="0" w:type="dxa"/>
              <w:left w:w="0" w:type="dxa"/>
              <w:bottom w:w="0" w:type="dxa"/>
              <w:right w:w="15" w:type="dxa"/>
            </w:tcMar>
            <w:vAlign w:val="bottom"/>
          </w:tcPr>
          <w:p>
            <w:pPr>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15.0</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spacing w:before="53" w:after="30"/>
            </w:pPr>
          </w:p>
        </w:tc>
        <w:tc>
          <w:tcPr>
            <w:tcW w:w="90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386"/>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(498)</w:t>
            </w:r>
          </w:p>
        </w:tc>
        <w:tc>
          <w:tcPr>
            <w:tcW w:w="130" w:type="dxa"/>
            <w:tcBorders>
              <w:top w:val="single" w:color="000000" w:sz="8" w:space="0"/>
              <w:left w:val="nil"/>
              <w:bottom w:val="double" w:color="000000" w:sz="8" w:space="0"/>
              <w:right w:val="nil"/>
            </w:tcBorders>
            <w:shd w:val="clear" w:color="auto" w:fill="CCEEFF"/>
            <w:tcMar>
              <w:top w:w="0" w:type="dxa"/>
              <w:left w:w="53" w:type="dxa"/>
              <w:bottom w:w="0" w:type="dxa"/>
              <w:right w:w="15" w:type="dxa"/>
            </w:tcMar>
            <w:vAlign w:val="bottom"/>
          </w:tcPr>
          <w:p>
            <w:pPr>
              <w:spacing w:before="33" w:after="30"/>
              <w:ind w:right="-10"/>
            </w:pPr>
          </w:p>
        </w:tc>
        <w:tc>
          <w:tcPr>
            <w:tcW w:w="1080"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tabs>
                <w:tab w:val="left" w:pos="577"/>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96,789</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spacing w:before="53" w:after="30"/>
            </w:pPr>
          </w:p>
        </w:tc>
        <w:tc>
          <w:tcPr>
            <w:tcW w:w="1025" w:type="dxa"/>
            <w:tcBorders>
              <w:top w:val="nil"/>
              <w:left w:val="nil"/>
              <w:bottom w:val="nil"/>
              <w:right w:val="nil"/>
            </w:tcBorders>
            <w:shd w:val="clear" w:color="auto" w:fill="CCEEFF"/>
            <w:tcMar>
              <w:top w:w="0" w:type="dxa"/>
              <w:left w:w="0" w:type="dxa"/>
              <w:bottom w:w="0" w:type="dxa"/>
              <w:right w:w="15" w:type="dxa"/>
            </w:tcMar>
            <w:vAlign w:val="bottom"/>
          </w:tcPr>
          <w:p>
            <w:pPr>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14.4</w:t>
            </w:r>
            <w:r>
              <w:rPr>
                <w:rFonts w:ascii="Arial" w:hAnsi="Arial" w:eastAsia="Arial" w:cs="Arial"/>
                <w:color w:val="000000"/>
                <w:sz w:val="16"/>
              </w:rPr>
              <w:tab/>
            </w:r>
            <w:r>
              <w:rPr>
                <w:rFonts w:ascii="Arial" w:hAnsi="Arial" w:eastAsia="Arial" w:cs="Arial"/>
                <w:color w:val="000000"/>
                <w:sz w:val="16"/>
              </w:rPr>
              <w:t>%</w:t>
            </w:r>
          </w:p>
        </w:tc>
      </w:tr>
    </w:tbl>
    <w:p>
      <w:pPr>
        <w:spacing w:line="204" w:lineRule="auto"/>
        <w:rPr>
          <w:rFonts w:ascii="Arial" w:hAnsi="Arial" w:eastAsia="Arial" w:cs="Arial"/>
          <w:color w:val="003436"/>
          <w:vertAlign w:val="superscript"/>
        </w:rPr>
      </w:pPr>
    </w:p>
    <w:tbl>
      <w:tblPr>
        <w:tblStyle w:val="3"/>
        <w:tblW w:w="959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4"/>
        <w:gridCol w:w="60"/>
        <w:gridCol w:w="1164"/>
        <w:gridCol w:w="88"/>
        <w:gridCol w:w="1164"/>
        <w:gridCol w:w="126"/>
        <w:gridCol w:w="1047"/>
        <w:gridCol w:w="126"/>
        <w:gridCol w:w="811"/>
        <w:gridCol w:w="88"/>
        <w:gridCol w:w="1179"/>
        <w:gridCol w:w="126"/>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exact"/>
        </w:trPr>
        <w:tc>
          <w:tcPr>
            <w:tcW w:w="2564" w:type="dxa"/>
            <w:tcBorders>
              <w:top w:val="nil"/>
              <w:left w:val="nil"/>
              <w:bottom w:val="nil"/>
              <w:right w:val="nil"/>
            </w:tcBorders>
            <w:tcMar>
              <w:top w:w="0" w:type="dxa"/>
              <w:left w:w="0" w:type="dxa"/>
              <w:bottom w:w="0" w:type="dxa"/>
              <w:right w:w="0" w:type="dxa"/>
            </w:tcMar>
            <w:vAlign w:val="bottom"/>
          </w:tcPr>
          <w:p>
            <w:pPr>
              <w:keepNext/>
            </w:pPr>
          </w:p>
        </w:tc>
        <w:tc>
          <w:tcPr>
            <w:tcW w:w="60" w:type="dxa"/>
            <w:tcBorders>
              <w:top w:val="nil"/>
              <w:left w:val="nil"/>
              <w:bottom w:val="nil"/>
              <w:right w:val="nil"/>
            </w:tcBorders>
            <w:tcMar>
              <w:top w:w="0" w:type="dxa"/>
              <w:left w:w="0" w:type="dxa"/>
              <w:bottom w:w="0" w:type="dxa"/>
              <w:right w:w="0" w:type="dxa"/>
            </w:tcMar>
            <w:vAlign w:val="bottom"/>
          </w:tcPr>
          <w:p>
            <w:pPr>
              <w:keepNext/>
            </w:pPr>
          </w:p>
        </w:tc>
        <w:tc>
          <w:tcPr>
            <w:tcW w:w="1164"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2021</w:t>
            </w:r>
          </w:p>
          <w:p>
            <w:pPr>
              <w:jc w:val="center"/>
            </w:pPr>
            <w:r>
              <w:rPr>
                <w:rFonts w:ascii="Arial" w:hAnsi="Arial" w:eastAsia="Arial" w:cs="Arial"/>
                <w:b/>
                <w:color w:val="000000"/>
                <w:sz w:val="16"/>
              </w:rPr>
              <w:t>As-Adjusted</w:t>
            </w:r>
          </w:p>
          <w:p>
            <w:pPr>
              <w:spacing w:after="30"/>
              <w:jc w:val="center"/>
            </w:pPr>
            <w:r>
              <w:rPr>
                <w:rFonts w:ascii="Arial" w:hAnsi="Arial" w:eastAsia="Arial" w:cs="Arial"/>
                <w:b/>
                <w:color w:val="000000"/>
                <w:sz w:val="16"/>
              </w:rPr>
              <w:t>(Non-GAAP)</w:t>
            </w:r>
          </w:p>
        </w:tc>
        <w:tc>
          <w:tcPr>
            <w:tcW w:w="88" w:type="dxa"/>
            <w:tcBorders>
              <w:top w:val="nil"/>
              <w:left w:val="nil"/>
              <w:bottom w:val="nil"/>
              <w:right w:val="nil"/>
            </w:tcBorders>
            <w:tcMar>
              <w:top w:w="0" w:type="dxa"/>
              <w:left w:w="0" w:type="dxa"/>
              <w:bottom w:w="0" w:type="dxa"/>
              <w:right w:w="0" w:type="dxa"/>
            </w:tcMar>
            <w:vAlign w:val="bottom"/>
          </w:tcPr>
          <w:p>
            <w:pPr>
              <w:keepNext/>
            </w:pPr>
          </w:p>
        </w:tc>
        <w:tc>
          <w:tcPr>
            <w:tcW w:w="1164"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2020</w:t>
            </w:r>
          </w:p>
          <w:p>
            <w:pPr>
              <w:jc w:val="center"/>
            </w:pPr>
            <w:r>
              <w:rPr>
                <w:rFonts w:ascii="Arial" w:hAnsi="Arial" w:eastAsia="Arial" w:cs="Arial"/>
                <w:b/>
                <w:color w:val="000000"/>
                <w:sz w:val="16"/>
              </w:rPr>
              <w:t>As-Adjusted</w:t>
            </w:r>
          </w:p>
          <w:p>
            <w:pPr>
              <w:spacing w:after="30"/>
              <w:jc w:val="center"/>
            </w:pPr>
            <w:r>
              <w:rPr>
                <w:rFonts w:ascii="Arial" w:hAnsi="Arial" w:eastAsia="Arial" w:cs="Arial"/>
                <w:b/>
                <w:color w:val="000000"/>
                <w:sz w:val="16"/>
              </w:rPr>
              <w:t>(Non-GAAP)</w:t>
            </w: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1047"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811"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Currency</w:t>
            </w:r>
          </w:p>
          <w:p>
            <w:pPr>
              <w:spacing w:after="30"/>
              <w:jc w:val="center"/>
            </w:pPr>
            <w:r>
              <w:rPr>
                <w:rFonts w:ascii="Arial" w:hAnsi="Arial" w:eastAsia="Arial" w:cs="Arial"/>
                <w:b/>
                <w:color w:val="000000"/>
                <w:sz w:val="16"/>
              </w:rPr>
              <w:t>Impact</w:t>
            </w:r>
          </w:p>
        </w:tc>
        <w:tc>
          <w:tcPr>
            <w:tcW w:w="88" w:type="dxa"/>
            <w:tcBorders>
              <w:top w:val="nil"/>
              <w:left w:val="nil"/>
              <w:bottom w:val="nil"/>
              <w:right w:val="nil"/>
            </w:tcBorders>
            <w:tcMar>
              <w:top w:w="0" w:type="dxa"/>
              <w:left w:w="0" w:type="dxa"/>
              <w:bottom w:w="0" w:type="dxa"/>
              <w:right w:w="0" w:type="dxa"/>
            </w:tcMar>
            <w:vAlign w:val="bottom"/>
          </w:tcPr>
          <w:p>
            <w:pPr>
              <w:keepNext/>
            </w:pPr>
          </w:p>
        </w:tc>
        <w:tc>
          <w:tcPr>
            <w:tcW w:w="1179"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rPr>
                <w:rFonts w:ascii="Arial" w:hAnsi="Arial" w:eastAsia="Arial" w:cs="Arial"/>
                <w:b/>
                <w:sz w:val="16"/>
              </w:rPr>
            </w:pPr>
            <w:r>
              <w:rPr>
                <w:rFonts w:ascii="Arial" w:hAnsi="Arial" w:eastAsia="Arial" w:cs="Arial"/>
                <w:b/>
                <w:sz w:val="16"/>
              </w:rPr>
              <w:t>2021</w:t>
            </w:r>
          </w:p>
          <w:p>
            <w:pPr>
              <w:jc w:val="center"/>
              <w:rPr>
                <w:rFonts w:ascii="Arial" w:hAnsi="Arial" w:eastAsia="Arial" w:cs="Arial"/>
                <w:b/>
                <w:sz w:val="16"/>
              </w:rPr>
            </w:pPr>
            <w:r>
              <w:rPr>
                <w:rFonts w:ascii="Arial" w:hAnsi="Arial" w:eastAsia="Arial" w:cs="Arial"/>
                <w:b/>
                <w:sz w:val="16"/>
              </w:rPr>
              <w:t>As-Adjusted</w:t>
            </w:r>
          </w:p>
          <w:p>
            <w:pPr>
              <w:jc w:val="center"/>
              <w:rPr>
                <w:rFonts w:ascii="Arial" w:hAnsi="Arial" w:eastAsia="Arial" w:cs="Arial"/>
                <w:b/>
                <w:sz w:val="16"/>
              </w:rPr>
            </w:pPr>
            <w:r>
              <w:rPr>
                <w:rFonts w:ascii="Arial" w:hAnsi="Arial" w:eastAsia="Arial" w:cs="Arial"/>
                <w:b/>
                <w:sz w:val="16"/>
              </w:rPr>
              <w:t>Currency-Neutral</w:t>
            </w:r>
          </w:p>
          <w:p>
            <w:pPr>
              <w:spacing w:after="30"/>
              <w:jc w:val="center"/>
              <w:rPr>
                <w:rFonts w:ascii="Arial" w:hAnsi="Arial" w:eastAsia="Arial" w:cs="Arial"/>
                <w:b/>
                <w:sz w:val="16"/>
              </w:rPr>
            </w:pPr>
            <w:r>
              <w:rPr>
                <w:rFonts w:ascii="Arial" w:hAnsi="Arial" w:eastAsia="Arial" w:cs="Arial"/>
                <w:b/>
                <w:sz w:val="16"/>
              </w:rPr>
              <w:t>(Non-GAAP)</w:t>
            </w:r>
            <w:r>
              <w:rPr>
                <w:rFonts w:ascii="Arial" w:hAnsi="Arial" w:eastAsia="Arial" w:cs="Arial"/>
                <w:b/>
                <w:sz w:val="16"/>
                <w:vertAlign w:val="superscript"/>
              </w:rPr>
              <w:t>(1)</w:t>
            </w:r>
          </w:p>
        </w:tc>
        <w:tc>
          <w:tcPr>
            <w:tcW w:w="126" w:type="dxa"/>
            <w:tcBorders>
              <w:top w:val="nil"/>
              <w:left w:val="nil"/>
              <w:bottom w:val="nil"/>
              <w:right w:val="nil"/>
            </w:tcBorders>
            <w:tcMar>
              <w:top w:w="0" w:type="dxa"/>
              <w:left w:w="0" w:type="dxa"/>
              <w:bottom w:w="0" w:type="dxa"/>
              <w:right w:w="0" w:type="dxa"/>
            </w:tcMar>
            <w:vAlign w:val="bottom"/>
          </w:tcPr>
          <w:p>
            <w:pPr>
              <w:keepNext/>
            </w:pPr>
          </w:p>
        </w:tc>
        <w:tc>
          <w:tcPr>
            <w:tcW w:w="1047" w:type="dxa"/>
            <w:tcBorders>
              <w:top w:val="nil"/>
              <w:left w:val="nil"/>
              <w:bottom w:val="single" w:color="000000" w:sz="8" w:space="0"/>
              <w:right w:val="nil"/>
            </w:tcBorders>
            <w:tcMar>
              <w:top w:w="0" w:type="dxa"/>
              <w:left w:w="53" w:type="dxa"/>
              <w:bottom w:w="0" w:type="dxa"/>
              <w:right w:w="53" w:type="dxa"/>
            </w:tcMar>
            <w:vAlign w:val="bottom"/>
          </w:tcPr>
          <w:p>
            <w:pPr>
              <w:keepNext/>
              <w:spacing w:before="53"/>
              <w:jc w:val="center"/>
            </w:pPr>
            <w:r>
              <w:rPr>
                <w:rFonts w:ascii="Arial" w:hAnsi="Arial" w:eastAsia="Arial" w:cs="Arial"/>
                <w:b/>
                <w:color w:val="000000"/>
                <w:sz w:val="16"/>
              </w:rPr>
              <w:t>% Change</w:t>
            </w:r>
          </w:p>
          <w:p>
            <w:pPr>
              <w:spacing w:after="30"/>
              <w:jc w:val="center"/>
            </w:pPr>
            <w:r>
              <w:rPr>
                <w:rFonts w:ascii="Arial" w:hAnsi="Arial" w:eastAsia="Arial" w:cs="Arial"/>
                <w:b/>
                <w:color w:val="000000"/>
                <w:sz w:val="16"/>
              </w:rPr>
              <w:t>(Non-GAAP)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exact"/>
        </w:trPr>
        <w:tc>
          <w:tcPr>
            <w:tcW w:w="2564"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rPr>
                <w:rFonts w:ascii="Arial" w:hAnsi="Arial" w:eastAsia="Arial" w:cs="Arial"/>
                <w:b/>
                <w:sz w:val="16"/>
              </w:rPr>
            </w:pPr>
            <w:r>
              <w:rPr>
                <w:rFonts w:ascii="Arial" w:hAnsi="Arial" w:eastAsia="Arial" w:cs="Arial"/>
                <w:b/>
                <w:sz w:val="16"/>
              </w:rPr>
              <w:t>As-Adjusted Operating Profit</w:t>
            </w:r>
            <w:r>
              <w:rPr>
                <w:rFonts w:ascii="Arial" w:hAnsi="Arial" w:eastAsia="Arial" w:cs="Arial"/>
                <w:b/>
                <w:sz w:val="16"/>
                <w:vertAlign w:val="superscript"/>
              </w:rPr>
              <w:t>(2)</w:t>
            </w:r>
            <w:r>
              <w:rPr>
                <w:rFonts w:ascii="Arial" w:hAnsi="Arial" w:eastAsia="Arial" w:cs="Arial"/>
                <w:b/>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64"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88"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64"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47"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811"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88"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79"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c>
          <w:tcPr>
            <w:tcW w:w="126"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047" w:type="dxa"/>
            <w:tcBorders>
              <w:top w:val="single" w:color="000000" w:sz="8" w:space="0"/>
              <w:left w:val="nil"/>
              <w:bottom w:val="nil"/>
              <w:right w:val="nil"/>
            </w:tcBorders>
            <w:shd w:val="clear" w:color="auto" w:fill="CCEEFF"/>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exact"/>
        </w:trPr>
        <w:tc>
          <w:tcPr>
            <w:tcW w:w="2564"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64"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6,717</w:t>
            </w:r>
            <w:r>
              <w:rPr>
                <w:rFonts w:ascii="Arial" w:hAnsi="Arial" w:eastAsia="Arial" w:cs="Arial"/>
                <w:color w:val="000000"/>
                <w:sz w:val="16"/>
              </w:rPr>
              <w:tab/>
            </w:r>
          </w:p>
        </w:tc>
        <w:tc>
          <w:tcPr>
            <w:tcW w:w="88"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164"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4,128</w:t>
            </w:r>
            <w:r>
              <w:rPr>
                <w:rFonts w:ascii="Arial" w:hAnsi="Arial" w:eastAsia="Arial" w:cs="Arial"/>
                <w:color w:val="000000"/>
                <w:sz w:val="16"/>
              </w:rPr>
              <w:tab/>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47"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62.7</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11"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546"/>
                <w:tab w:val="left" w:pos="757"/>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w:t>
            </w:r>
            <w:r>
              <w:rPr>
                <w:rFonts w:ascii="Arial" w:hAnsi="Arial" w:eastAsia="Arial" w:cs="Arial"/>
                <w:color w:val="000000"/>
                <w:sz w:val="16"/>
              </w:rPr>
              <w:tab/>
            </w:r>
          </w:p>
        </w:tc>
        <w:tc>
          <w:tcPr>
            <w:tcW w:w="88" w:type="dxa"/>
            <w:tcBorders>
              <w:top w:val="nil"/>
              <w:left w:val="nil"/>
              <w:bottom w:val="nil"/>
              <w:right w:val="nil"/>
            </w:tcBorders>
            <w:shd w:val="clear" w:color="auto" w:fill="FFFFFF"/>
            <w:tcMar>
              <w:top w:w="0" w:type="dxa"/>
              <w:left w:w="53" w:type="dxa"/>
              <w:bottom w:w="0" w:type="dxa"/>
              <w:right w:w="15" w:type="dxa"/>
            </w:tcMar>
            <w:vAlign w:val="bottom"/>
          </w:tcPr>
          <w:p>
            <w:pPr>
              <w:keepNext/>
              <w:spacing w:before="53" w:after="30"/>
            </w:pPr>
          </w:p>
        </w:tc>
        <w:tc>
          <w:tcPr>
            <w:tcW w:w="1179"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681"/>
                <w:tab w:val="left" w:pos="1132"/>
              </w:tabs>
              <w:spacing w:before="5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6,717</w:t>
            </w:r>
            <w:r>
              <w:rPr>
                <w:rFonts w:ascii="Arial" w:hAnsi="Arial" w:eastAsia="Arial" w:cs="Arial"/>
                <w:color w:val="000000"/>
                <w:sz w:val="16"/>
              </w:rPr>
              <w:tab/>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47"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62.7</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exact"/>
        </w:trPr>
        <w:tc>
          <w:tcPr>
            <w:tcW w:w="2564"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64"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4,720</w:t>
            </w:r>
            <w:r>
              <w:rPr>
                <w:rFonts w:ascii="Arial" w:hAnsi="Arial" w:eastAsia="Arial" w:cs="Arial"/>
                <w:color w:val="000000"/>
                <w:sz w:val="16"/>
              </w:rPr>
              <w:tab/>
            </w:r>
          </w:p>
        </w:tc>
        <w:tc>
          <w:tcPr>
            <w:tcW w:w="88"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164"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3,532</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47"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33.6</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11"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386"/>
              </w:tabs>
              <w:spacing w:before="53" w:after="30"/>
              <w:jc w:val="right"/>
            </w:pPr>
            <w:r>
              <w:rPr>
                <w:rFonts w:ascii="Arial" w:hAnsi="Arial" w:eastAsia="Arial" w:cs="Arial"/>
                <w:color w:val="000000"/>
                <w:sz w:val="16"/>
              </w:rPr>
              <w:tab/>
            </w:r>
            <w:r>
              <w:rPr>
                <w:rFonts w:ascii="Arial" w:hAnsi="Arial" w:eastAsia="Arial" w:cs="Arial"/>
                <w:color w:val="000000"/>
                <w:sz w:val="16"/>
              </w:rPr>
              <w:t>(102)</w:t>
            </w:r>
          </w:p>
        </w:tc>
        <w:tc>
          <w:tcPr>
            <w:tcW w:w="88" w:type="dxa"/>
            <w:tcBorders>
              <w:top w:val="nil"/>
              <w:left w:val="nil"/>
              <w:bottom w:val="nil"/>
              <w:right w:val="nil"/>
            </w:tcBorders>
            <w:shd w:val="clear" w:color="auto" w:fill="CCEEFF"/>
            <w:tcMar>
              <w:top w:w="0" w:type="dxa"/>
              <w:left w:w="53" w:type="dxa"/>
              <w:bottom w:w="0" w:type="dxa"/>
              <w:right w:w="15" w:type="dxa"/>
            </w:tcMar>
            <w:vAlign w:val="bottom"/>
          </w:tcPr>
          <w:p>
            <w:pPr>
              <w:keepNext/>
              <w:spacing w:before="53" w:after="30"/>
            </w:pPr>
          </w:p>
        </w:tc>
        <w:tc>
          <w:tcPr>
            <w:tcW w:w="1179"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681"/>
                <w:tab w:val="left" w:pos="1132"/>
              </w:tabs>
              <w:spacing w:before="53" w:after="30"/>
              <w:jc w:val="right"/>
            </w:pPr>
            <w:r>
              <w:rPr>
                <w:rFonts w:ascii="Arial" w:hAnsi="Arial" w:eastAsia="Arial" w:cs="Arial"/>
                <w:color w:val="000000"/>
                <w:sz w:val="16"/>
              </w:rPr>
              <w:tab/>
            </w:r>
            <w:r>
              <w:rPr>
                <w:rFonts w:ascii="Arial" w:hAnsi="Arial" w:eastAsia="Arial" w:cs="Arial"/>
                <w:color w:val="000000"/>
                <w:sz w:val="16"/>
              </w:rPr>
              <w:t>4,618</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47"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30.7</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exact"/>
        </w:trPr>
        <w:tc>
          <w:tcPr>
            <w:tcW w:w="2564"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120"/>
              <w:rPr>
                <w:rFonts w:ascii="Arial" w:hAnsi="Arial" w:eastAsia="Arial" w:cs="Arial"/>
                <w:sz w:val="16"/>
              </w:rPr>
            </w:pPr>
            <w:r>
              <w:rPr>
                <w:rFonts w:ascii="Arial" w:hAnsi="Arial" w:eastAsia="Arial" w:cs="Arial"/>
                <w:sz w:val="16"/>
              </w:rPr>
              <w:t xml:space="preserve">  Supply Chain Solutions</w:t>
            </w:r>
            <w:r>
              <w:rPr>
                <w:rFonts w:ascii="Arial" w:hAnsi="Arial" w:eastAsia="Arial" w:cs="Arial"/>
                <w:sz w:val="16"/>
                <w:vertAlign w:val="superscript"/>
              </w:rPr>
              <w:t>(3)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164"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1,707</w:t>
            </w:r>
            <w:r>
              <w:rPr>
                <w:rFonts w:ascii="Arial" w:hAnsi="Arial" w:eastAsia="Arial" w:cs="Arial"/>
                <w:color w:val="000000"/>
                <w:sz w:val="16"/>
              </w:rPr>
              <w:tab/>
            </w:r>
          </w:p>
        </w:tc>
        <w:tc>
          <w:tcPr>
            <w:tcW w:w="88" w:type="dxa"/>
            <w:tcBorders>
              <w:top w:val="nil"/>
              <w:left w:val="nil"/>
              <w:bottom w:val="single" w:color="000000" w:sz="8" w:space="0"/>
              <w:right w:val="nil"/>
            </w:tcBorders>
            <w:shd w:val="clear" w:color="auto" w:fill="FFFFFF"/>
            <w:tcMar>
              <w:top w:w="0" w:type="dxa"/>
              <w:left w:w="53" w:type="dxa"/>
              <w:bottom w:w="0" w:type="dxa"/>
              <w:right w:w="15" w:type="dxa"/>
            </w:tcMar>
            <w:vAlign w:val="bottom"/>
          </w:tcPr>
          <w:p>
            <w:pPr>
              <w:keepNext/>
              <w:spacing w:before="53" w:after="30"/>
            </w:pPr>
          </w:p>
        </w:tc>
        <w:tc>
          <w:tcPr>
            <w:tcW w:w="1164"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666"/>
                <w:tab w:val="left" w:pos="1117"/>
              </w:tabs>
              <w:spacing w:before="53" w:after="30"/>
              <w:jc w:val="right"/>
            </w:pPr>
            <w:r>
              <w:rPr>
                <w:rFonts w:ascii="Arial" w:hAnsi="Arial" w:eastAsia="Arial" w:cs="Arial"/>
                <w:color w:val="000000"/>
                <w:sz w:val="16"/>
              </w:rPr>
              <w:tab/>
            </w:r>
            <w:r>
              <w:rPr>
                <w:rFonts w:ascii="Arial" w:hAnsi="Arial" w:eastAsia="Arial" w:cs="Arial"/>
                <w:color w:val="000000"/>
                <w:sz w:val="16"/>
              </w:rPr>
              <w:t>1,058</w:t>
            </w:r>
            <w:r>
              <w:rPr>
                <w:rFonts w:ascii="Arial" w:hAnsi="Arial" w:eastAsia="Arial" w:cs="Arial"/>
                <w:color w:val="000000"/>
                <w:sz w:val="16"/>
              </w:rPr>
              <w:tab/>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47"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61.3</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811"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528"/>
                <w:tab w:val="left" w:pos="757"/>
              </w:tabs>
              <w:spacing w:before="53" w:after="30"/>
              <w:jc w:val="right"/>
            </w:pPr>
            <w:r>
              <w:rPr>
                <w:rFonts w:ascii="Arial" w:hAnsi="Arial" w:eastAsia="Arial" w:cs="Arial"/>
                <w:color w:val="000000"/>
                <w:sz w:val="16"/>
              </w:rPr>
              <w:tab/>
            </w:r>
            <w:r>
              <w:rPr>
                <w:rFonts w:ascii="Arial" w:hAnsi="Arial" w:eastAsia="Arial" w:cs="Arial"/>
                <w:color w:val="000000"/>
                <w:sz w:val="16"/>
              </w:rPr>
              <w:t>36</w:t>
            </w:r>
            <w:r>
              <w:rPr>
                <w:rFonts w:ascii="Arial" w:hAnsi="Arial" w:eastAsia="Arial" w:cs="Arial"/>
                <w:color w:val="000000"/>
                <w:sz w:val="16"/>
              </w:rPr>
              <w:tab/>
            </w:r>
          </w:p>
        </w:tc>
        <w:tc>
          <w:tcPr>
            <w:tcW w:w="88" w:type="dxa"/>
            <w:tcBorders>
              <w:top w:val="nil"/>
              <w:left w:val="nil"/>
              <w:bottom w:val="single" w:color="000000" w:sz="8" w:space="0"/>
              <w:right w:val="nil"/>
            </w:tcBorders>
            <w:shd w:val="clear" w:color="auto" w:fill="FFFFFF"/>
            <w:tcMar>
              <w:top w:w="0" w:type="dxa"/>
              <w:left w:w="53" w:type="dxa"/>
              <w:bottom w:w="0" w:type="dxa"/>
              <w:right w:w="15" w:type="dxa"/>
            </w:tcMar>
            <w:vAlign w:val="bottom"/>
          </w:tcPr>
          <w:p>
            <w:pPr>
              <w:keepNext/>
              <w:spacing w:before="53" w:after="30"/>
            </w:pPr>
          </w:p>
        </w:tc>
        <w:tc>
          <w:tcPr>
            <w:tcW w:w="1179" w:type="dxa"/>
            <w:tcBorders>
              <w:top w:val="nil"/>
              <w:left w:val="nil"/>
              <w:bottom w:val="single" w:color="000000" w:sz="8" w:space="0"/>
              <w:right w:val="nil"/>
            </w:tcBorders>
            <w:shd w:val="clear" w:color="auto" w:fill="FFFFFF"/>
            <w:tcMar>
              <w:top w:w="0" w:type="dxa"/>
              <w:left w:w="0" w:type="dxa"/>
              <w:bottom w:w="0" w:type="dxa"/>
              <w:right w:w="15" w:type="dxa"/>
            </w:tcMar>
            <w:vAlign w:val="bottom"/>
          </w:tcPr>
          <w:p>
            <w:pPr>
              <w:keepNext/>
              <w:tabs>
                <w:tab w:val="left" w:pos="681"/>
                <w:tab w:val="left" w:pos="1132"/>
              </w:tabs>
              <w:spacing w:before="53" w:after="30"/>
              <w:jc w:val="right"/>
            </w:pPr>
            <w:r>
              <w:rPr>
                <w:rFonts w:ascii="Arial" w:hAnsi="Arial" w:eastAsia="Arial" w:cs="Arial"/>
                <w:color w:val="000000"/>
                <w:sz w:val="16"/>
              </w:rPr>
              <w:tab/>
            </w:r>
            <w:r>
              <w:rPr>
                <w:rFonts w:ascii="Arial" w:hAnsi="Arial" w:eastAsia="Arial" w:cs="Arial"/>
                <w:color w:val="000000"/>
                <w:sz w:val="16"/>
              </w:rPr>
              <w:t>1,743</w:t>
            </w:r>
            <w:r>
              <w:rPr>
                <w:rFonts w:ascii="Arial" w:hAnsi="Arial" w:eastAsia="Arial" w:cs="Arial"/>
                <w:color w:val="000000"/>
                <w:sz w:val="16"/>
              </w:rPr>
              <w:tab/>
            </w:r>
          </w:p>
        </w:tc>
        <w:tc>
          <w:tcPr>
            <w:tcW w:w="126"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1047"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64.7</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exact"/>
        </w:trPr>
        <w:tc>
          <w:tcPr>
            <w:tcW w:w="2564"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120"/>
            </w:pPr>
            <w:r>
              <w:rPr>
                <w:rFonts w:ascii="Arial" w:hAnsi="Arial" w:eastAsia="Arial" w:cs="Arial"/>
                <w:color w:val="000000"/>
                <w:sz w:val="16"/>
              </w:rPr>
              <w:t xml:space="preserve">  Total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164"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77"/>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13,144</w:t>
            </w:r>
            <w:r>
              <w:rPr>
                <w:rFonts w:ascii="Arial" w:hAnsi="Arial" w:eastAsia="Arial" w:cs="Arial"/>
                <w:color w:val="000000"/>
                <w:sz w:val="16"/>
              </w:rPr>
              <w:tab/>
            </w:r>
          </w:p>
        </w:tc>
        <w:tc>
          <w:tcPr>
            <w:tcW w:w="88" w:type="dxa"/>
            <w:tcBorders>
              <w:top w:val="single" w:color="000000" w:sz="8" w:space="0"/>
              <w:left w:val="nil"/>
              <w:bottom w:val="double" w:color="000000" w:sz="8" w:space="0"/>
              <w:right w:val="nil"/>
            </w:tcBorders>
            <w:shd w:val="clear" w:color="auto" w:fill="CCEEFF"/>
            <w:tcMar>
              <w:top w:w="0" w:type="dxa"/>
              <w:left w:w="53" w:type="dxa"/>
              <w:bottom w:w="0" w:type="dxa"/>
              <w:right w:w="15" w:type="dxa"/>
            </w:tcMar>
            <w:vAlign w:val="bottom"/>
          </w:tcPr>
          <w:p>
            <w:pPr>
              <w:keepNext/>
              <w:spacing w:before="33" w:after="30"/>
            </w:pPr>
          </w:p>
        </w:tc>
        <w:tc>
          <w:tcPr>
            <w:tcW w:w="1164"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666"/>
                <w:tab w:val="left" w:pos="1117"/>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8,718</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47"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50.8</w:t>
            </w:r>
            <w:r>
              <w:rPr>
                <w:rFonts w:ascii="Arial" w:hAnsi="Arial" w:eastAsia="Arial" w:cs="Arial"/>
                <w:color w:val="000000"/>
                <w:sz w:val="16"/>
              </w:rPr>
              <w:tab/>
            </w:r>
            <w:r>
              <w:rPr>
                <w:rFonts w:ascii="Arial" w:hAnsi="Arial" w:eastAsia="Arial" w:cs="Arial"/>
                <w:color w:val="000000"/>
                <w:sz w:val="16"/>
              </w:rPr>
              <w:t>%</w:t>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811"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475"/>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(66)</w:t>
            </w:r>
          </w:p>
        </w:tc>
        <w:tc>
          <w:tcPr>
            <w:tcW w:w="88" w:type="dxa"/>
            <w:tcBorders>
              <w:top w:val="single" w:color="000000" w:sz="8" w:space="0"/>
              <w:left w:val="nil"/>
              <w:bottom w:val="double" w:color="000000" w:sz="8" w:space="0"/>
              <w:right w:val="nil"/>
            </w:tcBorders>
            <w:shd w:val="clear" w:color="auto" w:fill="CCEEFF"/>
            <w:tcMar>
              <w:top w:w="0" w:type="dxa"/>
              <w:left w:w="53" w:type="dxa"/>
              <w:bottom w:w="0" w:type="dxa"/>
              <w:right w:w="15" w:type="dxa"/>
            </w:tcMar>
            <w:vAlign w:val="bottom"/>
          </w:tcPr>
          <w:p>
            <w:pPr>
              <w:keepNext/>
              <w:spacing w:before="33" w:after="30"/>
            </w:pPr>
          </w:p>
        </w:tc>
        <w:tc>
          <w:tcPr>
            <w:tcW w:w="1179"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592"/>
                <w:tab w:val="left" w:pos="1132"/>
              </w:tabs>
              <w:spacing w:before="33" w:after="30"/>
              <w:jc w:val="right"/>
            </w:pPr>
            <w:r>
              <w:rPr>
                <w:rFonts w:ascii="Arial" w:hAnsi="Arial" w:eastAsia="Arial" w:cs="Arial"/>
                <w:color w:val="000000"/>
                <w:sz w:val="16"/>
              </w:rPr>
              <w:t>$</w:t>
            </w:r>
            <w:r>
              <w:rPr>
                <w:rFonts w:ascii="Arial" w:hAnsi="Arial" w:eastAsia="Arial" w:cs="Arial"/>
                <w:color w:val="000000"/>
                <w:sz w:val="16"/>
              </w:rPr>
              <w:tab/>
            </w:r>
            <w:r>
              <w:rPr>
                <w:rFonts w:ascii="Arial" w:hAnsi="Arial" w:eastAsia="Arial" w:cs="Arial"/>
                <w:color w:val="000000"/>
                <w:sz w:val="16"/>
              </w:rPr>
              <w:t>13,078</w:t>
            </w:r>
            <w:r>
              <w:rPr>
                <w:rFonts w:ascii="Arial" w:hAnsi="Arial" w:eastAsia="Arial" w:cs="Arial"/>
                <w:color w:val="000000"/>
                <w:sz w:val="16"/>
              </w:rPr>
              <w:tab/>
            </w:r>
          </w:p>
        </w:tc>
        <w:tc>
          <w:tcPr>
            <w:tcW w:w="126"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1047"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
                <w:tab w:val="left" w:pos="367"/>
              </w:tabs>
              <w:spacing w:before="53" w:after="30"/>
              <w:jc w:val="right"/>
            </w:pPr>
            <w:r>
              <w:rPr>
                <w:rFonts w:ascii="Arial" w:hAnsi="Arial" w:eastAsia="Arial" w:cs="Arial"/>
                <w:color w:val="000000"/>
                <w:sz w:val="16"/>
              </w:rPr>
              <w:tab/>
            </w:r>
            <w:r>
              <w:rPr>
                <w:rFonts w:ascii="Arial" w:hAnsi="Arial" w:eastAsia="Arial" w:cs="Arial"/>
                <w:color w:val="000000"/>
                <w:sz w:val="16"/>
              </w:rPr>
              <w:t>50.0</w:t>
            </w:r>
            <w:r>
              <w:rPr>
                <w:rFonts w:ascii="Arial" w:hAnsi="Arial" w:eastAsia="Arial" w:cs="Arial"/>
                <w:color w:val="000000"/>
                <w:sz w:val="16"/>
              </w:rPr>
              <w:tab/>
            </w:r>
            <w:r>
              <w:rPr>
                <w:rFonts w:ascii="Arial" w:hAnsi="Arial" w:eastAsia="Arial" w:cs="Arial"/>
                <w:color w:val="000000"/>
                <w:sz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exact"/>
        </w:trPr>
        <w:tc>
          <w:tcPr>
            <w:tcW w:w="2564" w:type="dxa"/>
            <w:tcBorders>
              <w:top w:val="nil"/>
              <w:left w:val="nil"/>
              <w:bottom w:val="nil"/>
              <w:right w:val="nil"/>
            </w:tcBorders>
            <w:shd w:val="clear" w:color="auto" w:fill="FFFFFF"/>
            <w:tcMar>
              <w:top w:w="0" w:type="dxa"/>
              <w:left w:w="0" w:type="dxa"/>
              <w:bottom w:w="0" w:type="dxa"/>
              <w:right w:w="0" w:type="dxa"/>
            </w:tcMar>
            <w:vAlign w:val="bottom"/>
          </w:tcPr>
          <w:p/>
        </w:tc>
        <w:tc>
          <w:tcPr>
            <w:tcW w:w="60" w:type="dxa"/>
            <w:tcBorders>
              <w:top w:val="nil"/>
              <w:left w:val="nil"/>
              <w:bottom w:val="nil"/>
              <w:right w:val="nil"/>
            </w:tcBorders>
            <w:shd w:val="clear" w:color="auto" w:fill="FFFFFF"/>
            <w:tcMar>
              <w:top w:w="0" w:type="dxa"/>
              <w:left w:w="0" w:type="dxa"/>
              <w:bottom w:w="0" w:type="dxa"/>
              <w:right w:w="0" w:type="dxa"/>
            </w:tcMar>
            <w:vAlign w:val="bottom"/>
          </w:tcPr>
          <w:p/>
        </w:tc>
        <w:tc>
          <w:tcPr>
            <w:tcW w:w="1164" w:type="dxa"/>
            <w:tcBorders>
              <w:top w:val="double" w:color="000000" w:sz="8" w:space="0"/>
              <w:left w:val="nil"/>
              <w:bottom w:val="nil"/>
              <w:right w:val="nil"/>
            </w:tcBorders>
            <w:shd w:val="clear" w:color="auto" w:fill="FFFFFF"/>
            <w:tcMar>
              <w:top w:w="0" w:type="dxa"/>
              <w:left w:w="0" w:type="dxa"/>
              <w:bottom w:w="0" w:type="dxa"/>
              <w:right w:w="0" w:type="dxa"/>
            </w:tcMar>
            <w:vAlign w:val="bottom"/>
          </w:tcPr>
          <w:p/>
        </w:tc>
        <w:tc>
          <w:tcPr>
            <w:tcW w:w="88" w:type="dxa"/>
            <w:tcBorders>
              <w:top w:val="double" w:color="000000" w:sz="8" w:space="0"/>
              <w:left w:val="nil"/>
              <w:bottom w:val="nil"/>
              <w:right w:val="nil"/>
            </w:tcBorders>
            <w:shd w:val="clear" w:color="auto" w:fill="FFFFFF"/>
            <w:tcMar>
              <w:top w:w="0" w:type="dxa"/>
              <w:left w:w="0" w:type="dxa"/>
              <w:bottom w:w="0" w:type="dxa"/>
              <w:right w:w="0" w:type="dxa"/>
            </w:tcMar>
            <w:vAlign w:val="bottom"/>
          </w:tcPr>
          <w:p/>
        </w:tc>
        <w:tc>
          <w:tcPr>
            <w:tcW w:w="1164" w:type="dxa"/>
            <w:tcBorders>
              <w:top w:val="double" w:color="000000" w:sz="8" w:space="0"/>
              <w:left w:val="nil"/>
              <w:bottom w:val="nil"/>
              <w:right w:val="nil"/>
            </w:tcBorders>
            <w:shd w:val="clear" w:color="auto" w:fill="FFFFFF"/>
            <w:tcMar>
              <w:top w:w="0" w:type="dxa"/>
              <w:left w:w="0" w:type="dxa"/>
              <w:bottom w:w="0" w:type="dxa"/>
              <w:right w:w="0" w:type="dxa"/>
            </w:tcMar>
            <w:vAlign w:val="bottom"/>
          </w:tcPr>
          <w:p/>
        </w:tc>
        <w:tc>
          <w:tcPr>
            <w:tcW w:w="126" w:type="dxa"/>
            <w:tcBorders>
              <w:top w:val="nil"/>
              <w:left w:val="nil"/>
              <w:bottom w:val="nil"/>
              <w:right w:val="nil"/>
            </w:tcBorders>
            <w:shd w:val="clear" w:color="auto" w:fill="FFFFFF"/>
            <w:tcMar>
              <w:top w:w="0" w:type="dxa"/>
              <w:left w:w="0" w:type="dxa"/>
              <w:bottom w:w="0" w:type="dxa"/>
              <w:right w:w="0" w:type="dxa"/>
            </w:tcMar>
            <w:vAlign w:val="bottom"/>
          </w:tcPr>
          <w:p/>
        </w:tc>
        <w:tc>
          <w:tcPr>
            <w:tcW w:w="1047" w:type="dxa"/>
            <w:tcBorders>
              <w:top w:val="nil"/>
              <w:left w:val="nil"/>
              <w:bottom w:val="nil"/>
              <w:right w:val="nil"/>
            </w:tcBorders>
            <w:shd w:val="clear" w:color="auto" w:fill="FFFFFF"/>
            <w:tcMar>
              <w:top w:w="0" w:type="dxa"/>
              <w:left w:w="0" w:type="dxa"/>
              <w:bottom w:w="0" w:type="dxa"/>
              <w:right w:w="0" w:type="dxa"/>
            </w:tcMar>
            <w:vAlign w:val="bottom"/>
          </w:tcPr>
          <w:p/>
        </w:tc>
        <w:tc>
          <w:tcPr>
            <w:tcW w:w="126" w:type="dxa"/>
            <w:tcBorders>
              <w:top w:val="nil"/>
              <w:left w:val="nil"/>
              <w:bottom w:val="nil"/>
              <w:right w:val="nil"/>
            </w:tcBorders>
            <w:shd w:val="clear" w:color="auto" w:fill="FFFFFF"/>
            <w:tcMar>
              <w:top w:w="0" w:type="dxa"/>
              <w:left w:w="0" w:type="dxa"/>
              <w:bottom w:w="0" w:type="dxa"/>
              <w:right w:w="0" w:type="dxa"/>
            </w:tcMar>
            <w:vAlign w:val="bottom"/>
          </w:tcPr>
          <w:p/>
        </w:tc>
        <w:tc>
          <w:tcPr>
            <w:tcW w:w="811" w:type="dxa"/>
            <w:tcBorders>
              <w:top w:val="double" w:color="000000" w:sz="8" w:space="0"/>
              <w:left w:val="nil"/>
              <w:bottom w:val="nil"/>
              <w:right w:val="nil"/>
            </w:tcBorders>
            <w:shd w:val="clear" w:color="auto" w:fill="FFFFFF"/>
            <w:tcMar>
              <w:top w:w="0" w:type="dxa"/>
              <w:left w:w="0" w:type="dxa"/>
              <w:bottom w:w="0" w:type="dxa"/>
              <w:right w:w="0" w:type="dxa"/>
            </w:tcMar>
            <w:vAlign w:val="bottom"/>
          </w:tcPr>
          <w:p/>
        </w:tc>
        <w:tc>
          <w:tcPr>
            <w:tcW w:w="88" w:type="dxa"/>
            <w:tcBorders>
              <w:top w:val="double" w:color="000000" w:sz="8" w:space="0"/>
              <w:left w:val="nil"/>
              <w:bottom w:val="nil"/>
              <w:right w:val="nil"/>
            </w:tcBorders>
            <w:shd w:val="clear" w:color="auto" w:fill="FFFFFF"/>
            <w:tcMar>
              <w:top w:w="0" w:type="dxa"/>
              <w:left w:w="0" w:type="dxa"/>
              <w:bottom w:w="0" w:type="dxa"/>
              <w:right w:w="0" w:type="dxa"/>
            </w:tcMar>
            <w:vAlign w:val="bottom"/>
          </w:tcPr>
          <w:p/>
        </w:tc>
        <w:tc>
          <w:tcPr>
            <w:tcW w:w="1179" w:type="dxa"/>
            <w:tcBorders>
              <w:top w:val="double" w:color="000000" w:sz="8" w:space="0"/>
              <w:left w:val="nil"/>
              <w:bottom w:val="nil"/>
              <w:right w:val="nil"/>
            </w:tcBorders>
            <w:shd w:val="clear" w:color="auto" w:fill="FFFFFF"/>
            <w:tcMar>
              <w:top w:w="0" w:type="dxa"/>
              <w:left w:w="0" w:type="dxa"/>
              <w:bottom w:w="0" w:type="dxa"/>
              <w:right w:w="0" w:type="dxa"/>
            </w:tcMar>
            <w:vAlign w:val="bottom"/>
          </w:tcPr>
          <w:p/>
        </w:tc>
        <w:tc>
          <w:tcPr>
            <w:tcW w:w="126" w:type="dxa"/>
            <w:tcBorders>
              <w:top w:val="nil"/>
              <w:left w:val="nil"/>
              <w:bottom w:val="nil"/>
              <w:right w:val="nil"/>
            </w:tcBorders>
            <w:shd w:val="clear" w:color="auto" w:fill="FFFFFF"/>
            <w:tcMar>
              <w:top w:w="0" w:type="dxa"/>
              <w:left w:w="0" w:type="dxa"/>
              <w:bottom w:w="0" w:type="dxa"/>
              <w:right w:w="0" w:type="dxa"/>
            </w:tcMar>
            <w:vAlign w:val="bottom"/>
          </w:tcPr>
          <w:p/>
        </w:tc>
        <w:tc>
          <w:tcPr>
            <w:tcW w:w="1047" w:type="dxa"/>
            <w:tcBorders>
              <w:top w:val="nil"/>
              <w:left w:val="nil"/>
              <w:bottom w:val="nil"/>
              <w:right w:val="nil"/>
            </w:tcBorders>
            <w:shd w:val="clear" w:color="auto" w:fill="FFFFFF"/>
            <w:tcMar>
              <w:top w:w="0" w:type="dxa"/>
              <w:left w:w="0" w:type="dxa"/>
              <w:bottom w:w="0" w:type="dxa"/>
              <w:right w:w="0" w:type="dxa"/>
            </w:tcMar>
            <w:vAlign w:val="bottom"/>
          </w:tcPr>
          <w:p/>
        </w:tc>
      </w:tr>
    </w:tbl>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r>
        <w:rPr>
          <w:rFonts w:ascii="Arial" w:hAnsi="Arial" w:eastAsia="Arial" w:cs="Arial"/>
          <w:sz w:val="16"/>
        </w:rPr>
        <w:t>(1)</w:t>
      </w:r>
      <w:r>
        <w:rPr>
          <w:rFonts w:ascii="Arial" w:hAnsi="Arial" w:eastAsia="Arial" w:cs="Arial"/>
          <w:sz w:val="16"/>
          <w:vertAlign w:val="superscript"/>
        </w:rPr>
        <w:t xml:space="preserve"> </w:t>
      </w:r>
      <w:r>
        <w:rPr>
          <w:rFonts w:ascii="Arial" w:hAnsi="Arial" w:eastAsia="Arial" w:cs="Arial"/>
          <w:sz w:val="16"/>
        </w:rPr>
        <w:t>Amounts adjusted for period over period foreign currency exchange rate and hedging differences</w:t>
      </w:r>
    </w:p>
    <w:p>
      <w:pPr>
        <w:spacing w:line="288" w:lineRule="auto"/>
        <w:rPr>
          <w:rFonts w:ascii="Arial" w:hAnsi="Arial" w:eastAsia="Arial" w:cs="Arial"/>
          <w:color w:val="003436"/>
          <w:sz w:val="16"/>
          <w:vertAlign w:val="superscript"/>
        </w:rPr>
      </w:pPr>
    </w:p>
    <w:p>
      <w:pPr>
        <w:spacing w:line="288" w:lineRule="auto"/>
        <w:rPr>
          <w:rFonts w:ascii="Arial" w:hAnsi="Arial" w:eastAsia="Arial" w:cs="Arial"/>
          <w:color w:val="003436"/>
          <w:sz w:val="16"/>
          <w:vertAlign w:val="superscript"/>
        </w:rPr>
      </w:pPr>
      <w:r>
        <w:rPr>
          <w:rFonts w:ascii="Arial" w:hAnsi="Arial" w:eastAsia="Arial" w:cs="Arial"/>
          <w:sz w:val="16"/>
        </w:rPr>
        <w:t>(2) Amounts adjusted for transformation &amp; other</w:t>
      </w: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r>
        <w:rPr>
          <w:rFonts w:ascii="Arial" w:hAnsi="Arial" w:eastAsia="Arial" w:cs="Arial"/>
          <w:sz w:val="16"/>
        </w:rPr>
        <w:t>(3) The divestiture of UPS Freight was completed on April 30, 2021.</w:t>
      </w: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16"/>
          <w:vertAlign w:val="superscript"/>
        </w:rPr>
      </w:pPr>
    </w:p>
    <w:p>
      <w:pPr>
        <w:spacing w:line="204" w:lineRule="auto"/>
        <w:rPr>
          <w:rFonts w:ascii="Arial" w:hAnsi="Arial" w:eastAsia="Arial" w:cs="Arial"/>
          <w:b/>
          <w:color w:val="003436"/>
          <w:sz w:val="22"/>
          <w:vertAlign w:val="superscript"/>
        </w:rPr>
      </w:pPr>
    </w:p>
    <w:p>
      <w:pPr>
        <w:spacing w:line="288" w:lineRule="auto"/>
        <w:jc w:val="center"/>
        <w:rPr>
          <w:rFonts w:ascii="Arial" w:hAnsi="Arial" w:eastAsia="Arial" w:cs="Arial"/>
          <w:b/>
          <w:sz w:val="22"/>
        </w:rPr>
      </w:pPr>
    </w:p>
    <w:p>
      <w:pPr>
        <w:spacing w:line="288" w:lineRule="auto"/>
        <w:jc w:val="center"/>
        <w:rPr>
          <w:rFonts w:ascii="Arial" w:hAnsi="Arial" w:eastAsia="Arial" w:cs="Arial"/>
          <w:b/>
          <w:color w:val="003436"/>
          <w:sz w:val="22"/>
          <w:vertAlign w:val="superscript"/>
        </w:rPr>
      </w:pPr>
      <w:r>
        <w:rPr>
          <w:rFonts w:ascii="Arial" w:hAnsi="Arial" w:eastAsia="Arial" w:cs="Arial"/>
          <w:b/>
          <w:sz w:val="22"/>
        </w:rPr>
        <w:t>Reconciliation of Free Cash Flow (Non-GAAP measure)</w:t>
      </w:r>
    </w:p>
    <w:p>
      <w:pPr>
        <w:spacing w:line="288" w:lineRule="auto"/>
        <w:jc w:val="center"/>
        <w:rPr>
          <w:rFonts w:ascii="Arial" w:hAnsi="Arial" w:eastAsia="Arial" w:cs="Arial"/>
          <w:b/>
          <w:color w:val="003436"/>
          <w:sz w:val="22"/>
          <w:vertAlign w:val="superscript"/>
        </w:rPr>
      </w:pPr>
      <w:r>
        <w:rPr>
          <w:rFonts w:ascii="Arial" w:hAnsi="Arial" w:eastAsia="Arial" w:cs="Arial"/>
          <w:b/>
          <w:sz w:val="22"/>
        </w:rPr>
        <w:t>(in millions):</w:t>
      </w:r>
    </w:p>
    <w:tbl>
      <w:tblPr>
        <w:tblStyle w:val="3"/>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0"/>
        <w:gridCol w:w="7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99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9360" w:type="dxa"/>
            <w:gridSpan w:val="3"/>
            <w:tcBorders>
              <w:top w:val="nil"/>
              <w:left w:val="nil"/>
              <w:bottom w:val="nil"/>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Twelve Months Ended, December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Cash flows from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319"/>
                <w:tab w:val="left" w:pos="1927"/>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15,007</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Capital expenditures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359"/>
              </w:tabs>
              <w:spacing w:before="53" w:after="30"/>
              <w:jc w:val="right"/>
            </w:pPr>
            <w:r>
              <w:rPr>
                <w:rFonts w:ascii="Arial" w:hAnsi="Arial" w:eastAsia="Arial" w:cs="Arial"/>
                <w:color w:val="000000"/>
                <w:sz w:val="18"/>
              </w:rPr>
              <w:tab/>
            </w:r>
            <w:r>
              <w:rPr>
                <w:rFonts w:ascii="Arial" w:hAnsi="Arial" w:eastAsia="Arial" w:cs="Arial"/>
                <w:color w:val="000000"/>
                <w:sz w:val="18"/>
              </w:rPr>
              <w:t>(4,194)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Proceeds from disposals of property, plant and equipment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CCEEFF"/>
            <w:tcMar>
              <w:top w:w="0" w:type="dxa"/>
              <w:left w:w="0" w:type="dxa"/>
              <w:bottom w:w="0" w:type="dxa"/>
              <w:right w:w="15" w:type="dxa"/>
            </w:tcMar>
            <w:vAlign w:val="bottom"/>
          </w:tcPr>
          <w:p>
            <w:pPr>
              <w:keepNext/>
              <w:tabs>
                <w:tab w:val="left" w:pos="1669"/>
                <w:tab w:val="left" w:pos="1927"/>
              </w:tabs>
              <w:spacing w:before="53" w:after="30"/>
              <w:jc w:val="right"/>
            </w:pPr>
            <w:r>
              <w:rPr>
                <w:rFonts w:ascii="Arial" w:hAnsi="Arial" w:eastAsia="Arial" w:cs="Arial"/>
                <w:color w:val="000000"/>
                <w:sz w:val="18"/>
              </w:rPr>
              <w:tab/>
            </w:r>
            <w:r>
              <w:rPr>
                <w:rFonts w:ascii="Arial" w:hAnsi="Arial" w:eastAsia="Arial" w:cs="Arial"/>
                <w:color w:val="000000"/>
                <w:sz w:val="18"/>
              </w:rPr>
              <w:t>24</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Net change in finance receivables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FFFFFF"/>
            <w:tcMar>
              <w:top w:w="0" w:type="dxa"/>
              <w:left w:w="0" w:type="dxa"/>
              <w:bottom w:w="0" w:type="dxa"/>
              <w:right w:w="15" w:type="dxa"/>
            </w:tcMar>
            <w:vAlign w:val="bottom"/>
          </w:tcPr>
          <w:p>
            <w:pPr>
              <w:keepNext/>
              <w:tabs>
                <w:tab w:val="left" w:pos="1669"/>
                <w:tab w:val="left" w:pos="1927"/>
              </w:tabs>
              <w:spacing w:before="53" w:after="30"/>
              <w:jc w:val="right"/>
            </w:pPr>
            <w:r>
              <w:rPr>
                <w:rFonts w:ascii="Arial" w:hAnsi="Arial" w:eastAsia="Arial" w:cs="Arial"/>
                <w:color w:val="000000"/>
                <w:sz w:val="18"/>
              </w:rPr>
              <w:tab/>
            </w:r>
            <w:r>
              <w:rPr>
                <w:rFonts w:ascii="Arial" w:hAnsi="Arial" w:eastAsia="Arial" w:cs="Arial"/>
                <w:color w:val="000000"/>
                <w:sz w:val="18"/>
              </w:rPr>
              <w:t>34</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Other 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shd w:val="clear" w:color="auto" w:fill="CCEEFF"/>
            <w:tcMar>
              <w:top w:w="0" w:type="dxa"/>
              <w:left w:w="0" w:type="dxa"/>
              <w:bottom w:w="0" w:type="dxa"/>
              <w:right w:w="15" w:type="dxa"/>
            </w:tcMar>
            <w:vAlign w:val="bottom"/>
          </w:tcPr>
          <w:p>
            <w:pPr>
              <w:keepNext/>
              <w:tabs>
                <w:tab w:val="left" w:pos="1669"/>
                <w:tab w:val="left" w:pos="1927"/>
              </w:tabs>
              <w:spacing w:before="53" w:after="30"/>
              <w:jc w:val="right"/>
            </w:pPr>
            <w:r>
              <w:rPr>
                <w:rFonts w:ascii="Arial" w:hAnsi="Arial" w:eastAsia="Arial" w:cs="Arial"/>
                <w:color w:val="000000"/>
                <w:sz w:val="18"/>
              </w:rPr>
              <w:tab/>
            </w:r>
            <w:r>
              <w:rPr>
                <w:rFonts w:ascii="Arial" w:hAnsi="Arial" w:eastAsia="Arial" w:cs="Arial"/>
                <w:color w:val="000000"/>
                <w:sz w:val="18"/>
              </w:rPr>
              <w:t>18</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spacing w:before="53" w:after="30"/>
              <w:ind w:left="120"/>
            </w:pPr>
            <w:r>
              <w:rPr>
                <w:rFonts w:ascii="Arial" w:hAnsi="Arial" w:eastAsia="Arial" w:cs="Arial"/>
                <w:color w:val="000000"/>
                <w:sz w:val="18"/>
              </w:rPr>
              <w:t xml:space="preserve">   Free Cash Flow (Non-GAAP measure)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tc>
        <w:tc>
          <w:tcPr>
            <w:tcW w:w="1995" w:type="dxa"/>
            <w:tcBorders>
              <w:top w:val="single" w:color="000000" w:sz="8" w:space="0"/>
              <w:left w:val="nil"/>
              <w:bottom w:val="double" w:color="000000" w:sz="8" w:space="0"/>
              <w:right w:val="nil"/>
            </w:tcBorders>
            <w:shd w:val="clear" w:color="auto" w:fill="FFFFFF"/>
            <w:tcMar>
              <w:top w:w="0" w:type="dxa"/>
              <w:left w:w="0" w:type="dxa"/>
              <w:bottom w:w="0" w:type="dxa"/>
              <w:right w:w="15" w:type="dxa"/>
            </w:tcMar>
            <w:vAlign w:val="bottom"/>
          </w:tcPr>
          <w:p>
            <w:pPr>
              <w:tabs>
                <w:tab w:val="left" w:pos="1319"/>
                <w:tab w:val="left" w:pos="1927"/>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10,889</w:t>
            </w:r>
            <w:r>
              <w:rPr>
                <w:rFonts w:ascii="Arial" w:hAnsi="Arial" w:eastAsia="Arial" w:cs="Arial"/>
                <w:color w:val="000000"/>
                <w:sz w:val="18"/>
              </w:rPr>
              <w:tab/>
            </w:r>
          </w:p>
        </w:tc>
      </w:tr>
    </w:tbl>
    <w:p>
      <w:pPr>
        <w:spacing w:line="204" w:lineRule="auto"/>
        <w:rPr>
          <w:rFonts w:ascii="Arial" w:hAnsi="Arial" w:eastAsia="Arial" w:cs="Arial"/>
          <w:b/>
          <w:i/>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color w:val="003436"/>
          <w:sz w:val="16"/>
          <w:vertAlign w:val="superscript"/>
        </w:rPr>
      </w:pPr>
    </w:p>
    <w:p>
      <w:pPr>
        <w:spacing w:line="204" w:lineRule="auto"/>
        <w:rPr>
          <w:rFonts w:ascii="Arial" w:hAnsi="Arial" w:eastAsia="Arial" w:cs="Arial"/>
          <w:b/>
          <w:color w:val="003436"/>
          <w:sz w:val="22"/>
          <w:vertAlign w:val="superscript"/>
        </w:rPr>
      </w:pPr>
    </w:p>
    <w:p>
      <w:pPr>
        <w:spacing w:line="204" w:lineRule="auto"/>
        <w:jc w:val="center"/>
        <w:rPr>
          <w:rFonts w:ascii="Arial" w:hAnsi="Arial" w:eastAsia="Arial" w:cs="Arial"/>
          <w:b/>
          <w:sz w:val="22"/>
        </w:rPr>
      </w:pPr>
    </w:p>
    <w:p>
      <w:pPr>
        <w:spacing w:line="204" w:lineRule="auto"/>
        <w:jc w:val="center"/>
        <w:rPr>
          <w:rFonts w:ascii="Arial" w:hAnsi="Arial" w:eastAsia="Arial" w:cs="Arial"/>
          <w:b/>
          <w:color w:val="003436"/>
          <w:sz w:val="22"/>
          <w:vertAlign w:val="superscript"/>
        </w:rPr>
      </w:pPr>
      <w:r>
        <w:rPr>
          <w:rFonts w:ascii="Arial" w:hAnsi="Arial" w:eastAsia="Arial" w:cs="Arial"/>
          <w:b/>
          <w:sz w:val="22"/>
        </w:rPr>
        <w:t>Reconciliation of Return on Invested Capital (Non-GAAP measure)</w:t>
      </w:r>
    </w:p>
    <w:p>
      <w:pPr>
        <w:spacing w:line="288" w:lineRule="auto"/>
        <w:jc w:val="center"/>
        <w:rPr>
          <w:rFonts w:ascii="Arial" w:hAnsi="Arial" w:eastAsia="Arial" w:cs="Arial"/>
          <w:b/>
          <w:color w:val="003436"/>
          <w:sz w:val="22"/>
          <w:vertAlign w:val="superscript"/>
        </w:rPr>
      </w:pPr>
      <w:r>
        <w:rPr>
          <w:rFonts w:ascii="Arial" w:hAnsi="Arial" w:eastAsia="Arial" w:cs="Arial"/>
          <w:b/>
          <w:sz w:val="22"/>
        </w:rPr>
        <w:t>(in millions):</w:t>
      </w:r>
    </w:p>
    <w:tbl>
      <w:tblPr>
        <w:tblStyle w:val="3"/>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0"/>
        <w:gridCol w:w="7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995" w:type="dxa"/>
            <w:tcBorders>
              <w:top w:val="nil"/>
              <w:left w:val="nil"/>
              <w:bottom w:val="nil"/>
              <w:right w:val="nil"/>
            </w:tcBorders>
            <w:tcMar>
              <w:top w:w="0" w:type="dxa"/>
              <w:left w:w="0" w:type="dxa"/>
              <w:bottom w:w="0" w:type="dxa"/>
              <w:right w:w="0" w:type="dxa"/>
            </w:tcMar>
            <w:vAlign w:val="bottom"/>
          </w:tcPr>
          <w:p>
            <w:pPr>
              <w:keepNex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9360" w:type="dxa"/>
            <w:gridSpan w:val="3"/>
            <w:tcBorders>
              <w:top w:val="nil"/>
              <w:left w:val="nil"/>
              <w:bottom w:val="nil"/>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Twelve Months Ended, December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0" w:type="dxa"/>
              <w:bottom w:w="0" w:type="dxa"/>
              <w:right w:w="0" w:type="dxa"/>
            </w:tcMar>
            <w:vAlign w:val="bottom"/>
          </w:tcPr>
          <w:p>
            <w:pPr>
              <w:keepNext/>
            </w:pPr>
          </w:p>
        </w:tc>
        <w:tc>
          <w:tcPr>
            <w:tcW w:w="75" w:type="dxa"/>
            <w:tcBorders>
              <w:top w:val="nil"/>
              <w:left w:val="nil"/>
              <w:bottom w:val="nil"/>
              <w:right w:val="nil"/>
            </w:tcBorders>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tcMar>
              <w:top w:w="0" w:type="dxa"/>
              <w:left w:w="53" w:type="dxa"/>
              <w:bottom w:w="0" w:type="dxa"/>
              <w:right w:w="53" w:type="dxa"/>
            </w:tcMar>
            <w:vAlign w:val="bottom"/>
          </w:tcPr>
          <w:p>
            <w:pPr>
              <w:keepNext/>
              <w:spacing w:before="53" w:after="30"/>
              <w:jc w:val="center"/>
            </w:pPr>
            <w:r>
              <w:rPr>
                <w:rFonts w:ascii="Arial" w:hAnsi="Arial" w:eastAsia="Arial" w:cs="Arial"/>
                <w:b/>
                <w:color w:val="000000"/>
                <w:sz w:val="18"/>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single" w:color="000000" w:sz="8" w:space="0"/>
              <w:left w:val="nil"/>
              <w:bottom w:val="nil"/>
              <w:right w:val="nil"/>
            </w:tcBorders>
            <w:shd w:val="clear" w:color="auto" w:fill="CCEEFF"/>
            <w:tcMar>
              <w:top w:w="0" w:type="dxa"/>
              <w:left w:w="0" w:type="dxa"/>
              <w:bottom w:w="0" w:type="dxa"/>
              <w:right w:w="15" w:type="dxa"/>
            </w:tcMar>
            <w:vAlign w:val="bottom"/>
          </w:tcPr>
          <w:p>
            <w:pPr>
              <w:keepNext/>
              <w:tabs>
                <w:tab w:val="left" w:pos="1159"/>
                <w:tab w:val="left" w:pos="1927"/>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12,890</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Add back (deduct):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Income tax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Interest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FFFF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Other pension (income)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(4,457)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ind w:left="240"/>
            </w:pPr>
            <w:r>
              <w:rPr>
                <w:rFonts w:ascii="Arial" w:hAnsi="Arial" w:eastAsia="Arial" w:cs="Arial"/>
                <w:color w:val="000000"/>
                <w:sz w:val="18"/>
              </w:rPr>
              <w:t>Investment (income) expense and other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shd w:val="clear" w:color="auto" w:fill="FFFF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single" w:color="000000" w:sz="8" w:space="0"/>
              <w:left w:val="nil"/>
              <w:bottom w:val="nil"/>
              <w:right w:val="nil"/>
            </w:tcBorders>
            <w:shd w:val="clear" w:color="auto" w:fill="CCEEFF"/>
            <w:tcMar>
              <w:top w:w="0" w:type="dxa"/>
              <w:left w:w="0" w:type="dxa"/>
              <w:bottom w:w="0" w:type="dxa"/>
              <w:right w:w="53" w:type="dxa"/>
            </w:tcMar>
            <w:vAlign w:val="bottom"/>
          </w:tcPr>
          <w:p>
            <w:pPr>
              <w:keepNext/>
              <w:spacing w:before="33" w:after="30"/>
              <w:ind w:right="240"/>
              <w:jc w:val="right"/>
            </w:pPr>
            <w:r>
              <w:rPr>
                <w:rFonts w:ascii="Arial" w:hAnsi="Arial" w:eastAsia="Arial" w:cs="Arial"/>
                <w:color w:val="000000"/>
                <w:sz w:val="18"/>
              </w:rPr>
              <w:t>12,810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Transformation and other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shd w:val="clear" w:color="auto" w:fill="FFFF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Adjusted 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single" w:color="000000" w:sz="8" w:space="0"/>
              <w:left w:val="nil"/>
              <w:bottom w:val="double" w:color="000000" w:sz="8" w:space="0"/>
              <w:right w:val="nil"/>
            </w:tcBorders>
            <w:shd w:val="clear" w:color="auto" w:fill="CCEEFF"/>
            <w:tcMar>
              <w:top w:w="0" w:type="dxa"/>
              <w:left w:w="0" w:type="dxa"/>
              <w:bottom w:w="0" w:type="dxa"/>
              <w:right w:w="15" w:type="dxa"/>
            </w:tcMar>
            <w:vAlign w:val="bottom"/>
          </w:tcPr>
          <w:p>
            <w:pPr>
              <w:keepNext/>
              <w:tabs>
                <w:tab w:val="left" w:pos="1159"/>
                <w:tab w:val="left" w:pos="1927"/>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13,144</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double" w:color="000000" w:sz="8" w:space="0"/>
              <w:left w:val="nil"/>
              <w:bottom w:val="nil"/>
              <w:right w:val="nil"/>
            </w:tcBorders>
            <w:shd w:val="clear" w:color="auto" w:fill="FFFFFF"/>
            <w:tcMar>
              <w:top w:w="0" w:type="dxa"/>
              <w:left w:w="53" w:type="dxa"/>
              <w:bottom w:w="0" w:type="dxa"/>
              <w:right w:w="53" w:type="dxa"/>
            </w:tcMar>
            <w:vAlign w:val="bottom"/>
          </w:tcPr>
          <w:p>
            <w:pPr>
              <w:keepNext/>
              <w:spacing w:before="33" w:after="3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Average debt and finance leases, including current maturities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23,285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Average pension and postretirement benefit obligations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nil"/>
              <w:right w:val="nil"/>
            </w:tcBorders>
            <w:shd w:val="clear" w:color="auto" w:fill="FFFF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11,932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r>
              <w:rPr>
                <w:rFonts w:ascii="Arial" w:hAnsi="Arial" w:eastAsia="Arial" w:cs="Arial"/>
                <w:color w:val="000000"/>
                <w:sz w:val="18"/>
              </w:rPr>
              <w:t>Average shareowners'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nil"/>
              <w:left w:val="nil"/>
              <w:bottom w:val="single" w:color="000000" w:sz="8" w:space="0"/>
              <w:right w:val="nil"/>
            </w:tcBorders>
            <w:shd w:val="clear" w:color="auto" w:fill="CCEEFF"/>
            <w:tcMar>
              <w:top w:w="0" w:type="dxa"/>
              <w:left w:w="0" w:type="dxa"/>
              <w:bottom w:w="0" w:type="dxa"/>
              <w:right w:w="53" w:type="dxa"/>
            </w:tcMar>
            <w:vAlign w:val="bottom"/>
          </w:tcPr>
          <w:p>
            <w:pPr>
              <w:keepNext/>
              <w:spacing w:before="53" w:after="30"/>
              <w:ind w:right="240"/>
              <w:jc w:val="right"/>
            </w:pPr>
            <w:r>
              <w:rPr>
                <w:rFonts w:ascii="Arial" w:hAnsi="Arial" w:eastAsia="Arial" w:cs="Arial"/>
                <w:color w:val="000000"/>
                <w:sz w:val="18"/>
              </w:rPr>
              <w:t>7,469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Average Invested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single" w:color="000000" w:sz="8" w:space="0"/>
              <w:left w:val="nil"/>
              <w:bottom w:val="double" w:color="000000" w:sz="8" w:space="0"/>
              <w:right w:val="nil"/>
            </w:tcBorders>
            <w:shd w:val="clear" w:color="auto" w:fill="FFFFFF"/>
            <w:tcMar>
              <w:top w:w="0" w:type="dxa"/>
              <w:left w:w="0" w:type="dxa"/>
              <w:bottom w:w="0" w:type="dxa"/>
              <w:right w:w="15" w:type="dxa"/>
            </w:tcMar>
            <w:vAlign w:val="bottom"/>
          </w:tcPr>
          <w:p>
            <w:pPr>
              <w:keepNext/>
              <w:tabs>
                <w:tab w:val="left" w:pos="1159"/>
                <w:tab w:val="left" w:pos="1927"/>
              </w:tabs>
              <w:spacing w:before="33" w:after="30"/>
              <w:jc w:val="right"/>
            </w:pPr>
            <w:r>
              <w:rPr>
                <w:rFonts w:ascii="Arial" w:hAnsi="Arial" w:eastAsia="Arial" w:cs="Arial"/>
                <w:color w:val="000000"/>
                <w:sz w:val="18"/>
              </w:rPr>
              <w:t>$</w:t>
            </w:r>
            <w:r>
              <w:rPr>
                <w:rFonts w:ascii="Arial" w:hAnsi="Arial" w:eastAsia="Arial" w:cs="Arial"/>
                <w:color w:val="000000"/>
                <w:sz w:val="18"/>
              </w:rPr>
              <w:tab/>
            </w:r>
            <w:r>
              <w:rPr>
                <w:rFonts w:ascii="Arial" w:hAnsi="Arial" w:eastAsia="Arial" w:cs="Arial"/>
                <w:color w:val="000000"/>
                <w:sz w:val="18"/>
              </w:rPr>
              <w:t>42,686</w:t>
            </w:r>
            <w:r>
              <w:rPr>
                <w:rFonts w:ascii="Arial" w:hAnsi="Arial" w:eastAsia="Arial" w:cs="Arial"/>
                <w:color w:val="000000"/>
                <w:sz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double" w:color="000000" w:sz="8" w:space="0"/>
              <w:left w:val="nil"/>
              <w:bottom w:val="nil"/>
              <w:right w:val="nil"/>
            </w:tcBorders>
            <w:shd w:val="clear" w:color="auto" w:fill="CCEEFF"/>
            <w:tcMar>
              <w:top w:w="0" w:type="dxa"/>
              <w:left w:w="53" w:type="dxa"/>
              <w:bottom w:w="0" w:type="dxa"/>
              <w:right w:w="53" w:type="dxa"/>
            </w:tcMar>
            <w:vAlign w:val="bottom"/>
          </w:tcPr>
          <w:p>
            <w:pPr>
              <w:keepNext/>
              <w:spacing w:before="33" w:after="3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FFFFFF"/>
            <w:tcMar>
              <w:top w:w="0" w:type="dxa"/>
              <w:left w:w="53" w:type="dxa"/>
              <w:bottom w:w="0" w:type="dxa"/>
              <w:right w:w="53" w:type="dxa"/>
            </w:tcMar>
            <w:vAlign w:val="bottom"/>
          </w:tcPr>
          <w:p>
            <w:pPr>
              <w:keepNext/>
              <w:spacing w:before="53" w:after="30"/>
            </w:pPr>
            <w:r>
              <w:rPr>
                <w:rFonts w:ascii="Arial" w:hAnsi="Arial" w:eastAsia="Arial" w:cs="Arial"/>
                <w:color w:val="000000"/>
                <w:sz w:val="18"/>
              </w:rPr>
              <w:t>Net income to average invested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Pr>
          </w:p>
        </w:tc>
        <w:tc>
          <w:tcPr>
            <w:tcW w:w="1995" w:type="dxa"/>
            <w:tcBorders>
              <w:top w:val="nil"/>
              <w:left w:val="nil"/>
              <w:bottom w:val="double" w:color="000000" w:sz="8" w:space="0"/>
              <w:right w:val="nil"/>
            </w:tcBorders>
            <w:shd w:val="clear" w:color="auto" w:fill="FFFFFF"/>
            <w:tcMar>
              <w:top w:w="0" w:type="dxa"/>
              <w:left w:w="0" w:type="dxa"/>
              <w:bottom w:w="0" w:type="dxa"/>
              <w:right w:w="15" w:type="dxa"/>
            </w:tcMar>
            <w:vAlign w:val="bottom"/>
          </w:tcPr>
          <w:p>
            <w:pPr>
              <w:keepNext/>
              <w:tabs>
                <w:tab w:val="left" w:pos="1"/>
                <w:tab w:val="left" w:pos="413"/>
              </w:tabs>
              <w:spacing w:before="53" w:after="30"/>
              <w:jc w:val="right"/>
            </w:pPr>
            <w:r>
              <w:rPr>
                <w:rFonts w:ascii="Arial" w:hAnsi="Arial" w:eastAsia="Arial" w:cs="Arial"/>
                <w:color w:val="000000"/>
                <w:sz w:val="18"/>
              </w:rPr>
              <w:tab/>
            </w:r>
            <w:r>
              <w:rPr>
                <w:rFonts w:ascii="Arial" w:hAnsi="Arial" w:eastAsia="Arial" w:cs="Arial"/>
                <w:color w:val="000000"/>
                <w:sz w:val="18"/>
              </w:rPr>
              <w:t>30.2</w:t>
            </w:r>
            <w:r>
              <w:rPr>
                <w:rFonts w:ascii="Arial" w:hAnsi="Arial" w:eastAsia="Arial" w:cs="Arial"/>
                <w:color w:val="000000"/>
                <w:sz w:val="18"/>
              </w:rPr>
              <w:tab/>
            </w:r>
            <w:r>
              <w:rPr>
                <w:rFonts w:ascii="Arial" w:hAnsi="Arial" w:eastAsia="Arial" w:cs="Arial"/>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shd w:val="clear" w:color="auto" w:fill="CCEEFF"/>
            <w:tcMar>
              <w:top w:w="0" w:type="dxa"/>
              <w:left w:w="53" w:type="dxa"/>
              <w:bottom w:w="0" w:type="dxa"/>
              <w:right w:w="53" w:type="dxa"/>
            </w:tcMar>
            <w:vAlign w:val="bottom"/>
          </w:tcPr>
          <w:p>
            <w:pPr>
              <w:keepNext/>
              <w:spacing w:before="53" w:after="3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Pr>
          </w:p>
        </w:tc>
        <w:tc>
          <w:tcPr>
            <w:tcW w:w="1995" w:type="dxa"/>
            <w:tcBorders>
              <w:top w:val="double" w:color="000000" w:sz="8" w:space="0"/>
              <w:left w:val="nil"/>
              <w:bottom w:val="nil"/>
              <w:right w:val="nil"/>
            </w:tcBorders>
            <w:shd w:val="clear" w:color="auto" w:fill="CCEEFF"/>
            <w:tcMar>
              <w:top w:w="0" w:type="dxa"/>
              <w:left w:w="53" w:type="dxa"/>
              <w:bottom w:w="0" w:type="dxa"/>
              <w:right w:w="53" w:type="dxa"/>
            </w:tcMar>
            <w:vAlign w:val="bottom"/>
          </w:tcPr>
          <w:p>
            <w:pPr>
              <w:keepNext/>
              <w:spacing w:before="33" w:after="3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exact"/>
        </w:trPr>
        <w:tc>
          <w:tcPr>
            <w:tcW w:w="7290" w:type="dxa"/>
            <w:tcBorders>
              <w:top w:val="nil"/>
              <w:left w:val="nil"/>
              <w:bottom w:val="nil"/>
              <w:right w:val="nil"/>
            </w:tcBorders>
            <w:tcMar>
              <w:top w:w="0" w:type="dxa"/>
              <w:left w:w="53" w:type="dxa"/>
              <w:bottom w:w="0" w:type="dxa"/>
              <w:right w:w="53" w:type="dxa"/>
            </w:tcMar>
            <w:vAlign w:val="bottom"/>
          </w:tcPr>
          <w:p>
            <w:pPr>
              <w:spacing w:before="53" w:after="30"/>
            </w:pPr>
            <w:r>
              <w:rPr>
                <w:rFonts w:ascii="Arial" w:hAnsi="Arial" w:eastAsia="Arial" w:cs="Arial"/>
                <w:color w:val="000000"/>
                <w:sz w:val="18"/>
              </w:rPr>
              <w:t>Adjusted Return on Invested Capital</w:t>
            </w:r>
          </w:p>
        </w:tc>
        <w:tc>
          <w:tcPr>
            <w:tcW w:w="75" w:type="dxa"/>
            <w:tcBorders>
              <w:top w:val="nil"/>
              <w:left w:val="nil"/>
              <w:bottom w:val="nil"/>
              <w:right w:val="nil"/>
            </w:tcBorders>
            <w:tcMar>
              <w:top w:w="0" w:type="dxa"/>
              <w:left w:w="0" w:type="dxa"/>
              <w:bottom w:w="0" w:type="dxa"/>
              <w:right w:w="0" w:type="dxa"/>
            </w:tcMar>
            <w:vAlign w:val="bottom"/>
          </w:tcPr>
          <w:p/>
        </w:tc>
        <w:tc>
          <w:tcPr>
            <w:tcW w:w="1995" w:type="dxa"/>
            <w:tcBorders>
              <w:top w:val="nil"/>
              <w:left w:val="nil"/>
              <w:bottom w:val="double" w:color="000000" w:sz="8" w:space="0"/>
              <w:right w:val="nil"/>
            </w:tcBorders>
            <w:tcMar>
              <w:top w:w="0" w:type="dxa"/>
              <w:left w:w="0" w:type="dxa"/>
              <w:bottom w:w="0" w:type="dxa"/>
              <w:right w:w="15" w:type="dxa"/>
            </w:tcMar>
            <w:vAlign w:val="bottom"/>
          </w:tcPr>
          <w:p>
            <w:pPr>
              <w:tabs>
                <w:tab w:val="left" w:pos="1"/>
                <w:tab w:val="left" w:pos="413"/>
              </w:tabs>
              <w:spacing w:before="53" w:after="30"/>
              <w:jc w:val="right"/>
            </w:pPr>
            <w:r>
              <w:rPr>
                <w:rFonts w:ascii="Arial" w:hAnsi="Arial" w:eastAsia="Arial" w:cs="Arial"/>
                <w:color w:val="000000"/>
                <w:sz w:val="18"/>
              </w:rPr>
              <w:tab/>
            </w:r>
            <w:r>
              <w:rPr>
                <w:rFonts w:ascii="Arial" w:hAnsi="Arial" w:eastAsia="Arial" w:cs="Arial"/>
                <w:color w:val="000000"/>
                <w:sz w:val="18"/>
              </w:rPr>
              <w:t>30.8</w:t>
            </w:r>
            <w:r>
              <w:rPr>
                <w:rFonts w:ascii="Arial" w:hAnsi="Arial" w:eastAsia="Arial" w:cs="Arial"/>
                <w:color w:val="000000"/>
                <w:sz w:val="18"/>
              </w:rPr>
              <w:tab/>
            </w:r>
            <w:r>
              <w:rPr>
                <w:rFonts w:ascii="Arial" w:hAnsi="Arial" w:eastAsia="Arial" w:cs="Arial"/>
                <w:color w:val="000000"/>
                <w:sz w:val="18"/>
              </w:rPr>
              <w:t>%</w:t>
            </w:r>
          </w:p>
        </w:tc>
      </w:tr>
    </w:tbl>
    <w:p>
      <w:pPr>
        <w:spacing w:line="204" w:lineRule="auto"/>
        <w:rPr>
          <w:rFonts w:ascii="Arial" w:hAnsi="Arial" w:eastAsia="Arial" w:cs="Arial"/>
          <w:b/>
          <w:color w:val="003436"/>
          <w:sz w:val="20"/>
          <w:vertAlign w:val="superscript"/>
        </w:rPr>
      </w:pPr>
    </w:p>
    <w:sectPr>
      <w:headerReference r:id="rId3" w:type="default"/>
      <w:footerReference r:id="rId4" w:type="default"/>
      <w:type w:val="continuous"/>
      <w:pgSz w:w="12240" w:h="15840"/>
      <w:pgMar w:top="1440" w:right="1170" w:bottom="1440" w:left="1170" w:header="270" w:footer="27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8" w:lineRule="auto"/>
      <w:rPr>
        <w:rFonts w:ascii="Arial" w:hAnsi="Arial" w:eastAsia="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8" w:lineRule="auto"/>
      <w:rPr>
        <w:rFonts w:ascii="Arial" w:hAnsi="Arial" w:eastAsia="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
    <w:nsid w:val="0000000E"/>
    <w:multiLevelType w:val="multilevel"/>
    <w:tmpl w:val="0000000E"/>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2">
    <w:nsid w:val="0000000F"/>
    <w:multiLevelType w:val="multilevel"/>
    <w:tmpl w:val="0000000F"/>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3">
    <w:nsid w:val="00000010"/>
    <w:multiLevelType w:val="multilevel"/>
    <w:tmpl w:val="00000010"/>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4">
    <w:nsid w:val="00000011"/>
    <w:multiLevelType w:val="multilevel"/>
    <w:tmpl w:val="00000011"/>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5">
    <w:nsid w:val="00000012"/>
    <w:multiLevelType w:val="multilevel"/>
    <w:tmpl w:val="00000012"/>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6">
    <w:nsid w:val="00000013"/>
    <w:multiLevelType w:val="multilevel"/>
    <w:tmpl w:val="00000013"/>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7">
    <w:nsid w:val="00000014"/>
    <w:multiLevelType w:val="multilevel"/>
    <w:tmpl w:val="00000014"/>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8">
    <w:nsid w:val="00000015"/>
    <w:multiLevelType w:val="multilevel"/>
    <w:tmpl w:val="00000015"/>
    <w:lvl w:ilvl="0" w:tentative="0">
      <w:start w:val="1"/>
      <w:numFmt w:val="bullet"/>
      <w:lvlText w:val="•"/>
      <w:lvlJc w:val="left"/>
      <w:pPr>
        <w:tabs>
          <w:tab w:val="left" w:pos="720"/>
        </w:tabs>
        <w:ind w:left="720" w:hanging="360"/>
      </w:pPr>
      <w:rPr>
        <w:rFonts w:ascii="Arial" w:hAnsi="Arial" w:eastAsia="Arial" w:cs="Arial"/>
        <w:b w:val="0"/>
        <w:i w:val="0"/>
        <w:strike w:val="0"/>
        <w:sz w:val="24"/>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9">
    <w:nsid w:val="00000016"/>
    <w:multiLevelType w:val="multilevel"/>
    <w:tmpl w:val="00000016"/>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0">
    <w:nsid w:val="00000017"/>
    <w:multiLevelType w:val="multilevel"/>
    <w:tmpl w:val="00000017"/>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1">
    <w:nsid w:val="00000018"/>
    <w:multiLevelType w:val="multilevel"/>
    <w:tmpl w:val="00000018"/>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2">
    <w:nsid w:val="00000019"/>
    <w:multiLevelType w:val="multilevel"/>
    <w:tmpl w:val="00000019"/>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3">
    <w:nsid w:val="0000001A"/>
    <w:multiLevelType w:val="multilevel"/>
    <w:tmpl w:val="0000001A"/>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4">
    <w:nsid w:val="0000001B"/>
    <w:multiLevelType w:val="multilevel"/>
    <w:tmpl w:val="0000001B"/>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abstractNum w:abstractNumId="15">
    <w:nsid w:val="0000001C"/>
    <w:multiLevelType w:val="multilevel"/>
    <w:tmpl w:val="0000001C"/>
    <w:lvl w:ilvl="0" w:tentative="0">
      <w:start w:val="1"/>
      <w:numFmt w:val="bullet"/>
      <w:lvlText w:val="•"/>
      <w:lvlJc w:val="left"/>
      <w:pPr>
        <w:tabs>
          <w:tab w:val="left" w:pos="720"/>
        </w:tabs>
        <w:ind w:left="720" w:hanging="360"/>
      </w:pPr>
      <w:rPr>
        <w:rFonts w:ascii="Arial" w:hAnsi="Arial" w:eastAsia="Arial" w:cs="Arial"/>
        <w:b w:val="0"/>
        <w:i w:val="0"/>
        <w:strike w:val="0"/>
        <w:sz w:val="22"/>
        <w:u w:val="none"/>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noLeading/>
    <w:suppressTopSpacingWP/>
    <w:compatSetting w:name="compatibilityMode" w:uri="http://schemas.microsoft.com/office/word" w:val="12"/>
  </w:compat>
  <w:rsids>
    <w:rsidRoot w:val="00A77B3E"/>
    <w:rsid w:val="003D3F44"/>
    <w:rsid w:val="00754B91"/>
    <w:rsid w:val="00774FF1"/>
    <w:rsid w:val="007A018A"/>
    <w:rsid w:val="009B2222"/>
    <w:rsid w:val="009E2640"/>
    <w:rsid w:val="00A77B3E"/>
    <w:rsid w:val="00CA2A55"/>
    <w:rsid w:val="00D65F4A"/>
    <w:rsid w:val="00EE78BB"/>
    <w:rsid w:val="30B7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16"/>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3639</Words>
  <Characters>20745</Characters>
  <Lines>172</Lines>
  <Paragraphs>48</Paragraphs>
  <TotalTime>1</TotalTime>
  <ScaleCrop>false</ScaleCrop>
  <LinksUpToDate>false</LinksUpToDate>
  <CharactersWithSpaces>24336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2022-01-31T21:32:00Z</dcterms:created>
  <dc:creator>Suing Cameron (ZPN1DKH)</dc:creator>
  <cp:lastModifiedBy>karla.krejci</cp:lastModifiedBy>
  <dcterms:modified xsi:type="dcterms:W3CDTF">2022-02-01T11:24:03Z</dcterms:modified>
  <dc:title>4Q-2021 Earnings Release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911A5C49D1564C0D8AA75D5F2E30C691</vt:lpwstr>
  </property>
</Properties>
</file>