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A9" w:rsidRDefault="00F32883">
      <w:pPr>
        <w:rPr>
          <w:rFonts w:ascii="Arial" w:hAnsi="Arial" w:cs="Arial"/>
          <w:sz w:val="20"/>
          <w:szCs w:val="20"/>
        </w:rPr>
      </w:pPr>
      <w:bookmarkStart w:id="0" w:name="_GoBack"/>
      <w:r>
        <w:rPr>
          <w:rFonts w:ascii="Arial" w:hAnsi="Arial" w:cs="Arial"/>
          <w:b/>
          <w:noProof/>
          <w:sz w:val="20"/>
          <w:szCs w:val="20"/>
        </w:rPr>
        <w:drawing>
          <wp:anchor distT="0" distB="0" distL="114300" distR="0" simplePos="0" relativeHeight="251658240" behindDoc="0" locked="0" layoutInCell="1" allowOverlap="1">
            <wp:simplePos x="0" y="0"/>
            <wp:positionH relativeFrom="margin">
              <wp:posOffset>5315551</wp:posOffset>
            </wp:positionH>
            <wp:positionV relativeFrom="paragraph">
              <wp:posOffset>401</wp:posOffset>
            </wp:positionV>
            <wp:extent cx="5715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EA14C1">
        <w:rPr>
          <w:rFonts w:ascii="Arial" w:hAnsi="Arial" w:cs="Arial"/>
          <w:sz w:val="20"/>
          <w:szCs w:val="20"/>
        </w:rPr>
        <w:tab/>
      </w:r>
      <w:r w:rsidR="00C12580">
        <w:rPr>
          <w:rFonts w:ascii="Arial" w:hAnsi="Arial" w:cs="Arial"/>
          <w:sz w:val="20"/>
          <w:szCs w:val="20"/>
        </w:rPr>
        <w:tab/>
      </w:r>
      <w:r w:rsidR="009D311B">
        <w:rPr>
          <w:rFonts w:ascii="Arial" w:hAnsi="Arial" w:cs="Arial"/>
          <w:sz w:val="20"/>
          <w:szCs w:val="20"/>
        </w:rPr>
        <w:tab/>
      </w:r>
    </w:p>
    <w:p w:rsidR="00CF5EB1" w:rsidRDefault="005855A9" w:rsidP="005C42B5">
      <w:pPr>
        <w:rPr>
          <w:rFonts w:ascii="Arial" w:hAnsi="Arial" w:cs="Arial"/>
          <w:sz w:val="20"/>
          <w:szCs w:val="20"/>
        </w:rPr>
      </w:pPr>
      <w:r>
        <w:rPr>
          <w:rFonts w:ascii="Arial" w:hAnsi="Arial" w:cs="Arial"/>
          <w:sz w:val="20"/>
          <w:szCs w:val="20"/>
        </w:rPr>
        <w:t>Contacts</w:t>
      </w:r>
      <w:r w:rsidRPr="00B85CCD">
        <w:rPr>
          <w:rFonts w:ascii="Arial" w:hAnsi="Arial" w:cs="Arial"/>
          <w:sz w:val="20"/>
          <w:szCs w:val="20"/>
        </w:rPr>
        <w:t>:</w:t>
      </w:r>
      <w:r w:rsidRPr="00B85CCD">
        <w:rPr>
          <w:rFonts w:ascii="Arial" w:hAnsi="Arial" w:cs="Arial"/>
          <w:sz w:val="16"/>
        </w:rPr>
        <w:tab/>
      </w:r>
      <w:r w:rsidR="005A04FD">
        <w:rPr>
          <w:rFonts w:ascii="Arial" w:hAnsi="Arial" w:cs="Arial"/>
          <w:sz w:val="20"/>
          <w:szCs w:val="20"/>
        </w:rPr>
        <w:t xml:space="preserve">Steve </w:t>
      </w:r>
      <w:proofErr w:type="spellStart"/>
      <w:r w:rsidR="005A04FD">
        <w:rPr>
          <w:rFonts w:ascii="Arial" w:hAnsi="Arial" w:cs="Arial"/>
          <w:sz w:val="20"/>
          <w:szCs w:val="20"/>
        </w:rPr>
        <w:t>Gaut</w:t>
      </w:r>
      <w:proofErr w:type="spellEnd"/>
      <w:r w:rsidR="005A04FD">
        <w:rPr>
          <w:rFonts w:ascii="Arial" w:hAnsi="Arial" w:cs="Arial"/>
          <w:sz w:val="20"/>
          <w:szCs w:val="20"/>
        </w:rPr>
        <w:t>,</w:t>
      </w:r>
      <w:r w:rsidRPr="00B85CCD">
        <w:rPr>
          <w:rFonts w:ascii="Arial" w:hAnsi="Arial" w:cs="Arial"/>
          <w:sz w:val="20"/>
          <w:szCs w:val="20"/>
        </w:rPr>
        <w:t xml:space="preserve"> Public Relations</w:t>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p>
    <w:p w:rsidR="005855A9" w:rsidRDefault="00FD7795" w:rsidP="00CF5EB1">
      <w:pPr>
        <w:ind w:left="720" w:firstLine="720"/>
        <w:rPr>
          <w:rFonts w:ascii="Arial" w:hAnsi="Arial" w:cs="Arial"/>
          <w:sz w:val="20"/>
          <w:szCs w:val="20"/>
        </w:rPr>
      </w:pPr>
      <w:r>
        <w:rPr>
          <w:rFonts w:ascii="Arial" w:hAnsi="Arial" w:cs="Arial"/>
          <w:sz w:val="20"/>
          <w:szCs w:val="20"/>
        </w:rPr>
        <w:t xml:space="preserve">+1 </w:t>
      </w:r>
      <w:r w:rsidR="005855A9" w:rsidRPr="00B85CCD">
        <w:rPr>
          <w:rFonts w:ascii="Arial" w:hAnsi="Arial" w:cs="Arial"/>
          <w:sz w:val="20"/>
          <w:szCs w:val="20"/>
        </w:rPr>
        <w:t>404-828-</w:t>
      </w:r>
      <w:r w:rsidR="005A04FD">
        <w:rPr>
          <w:rFonts w:ascii="Arial" w:hAnsi="Arial" w:cs="Arial"/>
          <w:sz w:val="20"/>
          <w:szCs w:val="20"/>
        </w:rPr>
        <w:t>8787</w:t>
      </w:r>
    </w:p>
    <w:p w:rsidR="00E57561" w:rsidRDefault="00E57561">
      <w:pPr>
        <w:pStyle w:val="Heading4"/>
        <w:spacing w:before="0" w:after="0"/>
        <w:ind w:left="720" w:firstLine="720"/>
        <w:rPr>
          <w:rFonts w:ascii="Arial" w:hAnsi="Arial" w:cs="Arial"/>
          <w:b w:val="0"/>
          <w:sz w:val="16"/>
          <w:szCs w:val="16"/>
        </w:rPr>
      </w:pPr>
    </w:p>
    <w:p w:rsidR="005855A9" w:rsidRPr="00B85CCD" w:rsidRDefault="00ED434E">
      <w:pPr>
        <w:pStyle w:val="Heading4"/>
        <w:spacing w:before="0" w:after="0"/>
        <w:ind w:left="720" w:firstLine="720"/>
        <w:rPr>
          <w:rFonts w:ascii="Arial" w:hAnsi="Arial" w:cs="Arial"/>
          <w:b w:val="0"/>
          <w:sz w:val="20"/>
          <w:szCs w:val="20"/>
        </w:rPr>
      </w:pPr>
      <w:r>
        <w:rPr>
          <w:rFonts w:ascii="Arial" w:hAnsi="Arial" w:cs="Arial"/>
          <w:b w:val="0"/>
          <w:sz w:val="20"/>
          <w:szCs w:val="20"/>
        </w:rPr>
        <w:t>Scott Childress</w:t>
      </w:r>
      <w:r w:rsidR="005855A9" w:rsidRPr="00B85CCD">
        <w:rPr>
          <w:rFonts w:ascii="Arial" w:hAnsi="Arial" w:cs="Arial"/>
          <w:b w:val="0"/>
          <w:sz w:val="20"/>
          <w:szCs w:val="20"/>
        </w:rPr>
        <w:t>, Investor Relations</w:t>
      </w:r>
    </w:p>
    <w:p w:rsidR="005855A9" w:rsidRPr="00B85CCD" w:rsidRDefault="005855A9">
      <w:pPr>
        <w:rPr>
          <w:rFonts w:ascii="Arial" w:hAnsi="Arial" w:cs="Arial"/>
          <w:sz w:val="20"/>
          <w:szCs w:val="20"/>
        </w:rPr>
      </w:pPr>
      <w:r w:rsidRPr="00B85CCD">
        <w:rPr>
          <w:rFonts w:ascii="Arial" w:hAnsi="Arial" w:cs="Arial"/>
          <w:sz w:val="20"/>
          <w:szCs w:val="20"/>
        </w:rPr>
        <w:tab/>
      </w:r>
      <w:r w:rsidRPr="00B85CCD">
        <w:rPr>
          <w:rFonts w:ascii="Arial" w:hAnsi="Arial" w:cs="Arial"/>
          <w:sz w:val="20"/>
          <w:szCs w:val="20"/>
        </w:rPr>
        <w:tab/>
      </w:r>
      <w:r w:rsidR="00FD7795">
        <w:rPr>
          <w:rFonts w:ascii="Arial" w:hAnsi="Arial" w:cs="Arial"/>
          <w:sz w:val="20"/>
          <w:szCs w:val="20"/>
        </w:rPr>
        <w:t xml:space="preserve">+1 </w:t>
      </w:r>
      <w:r w:rsidRPr="00B85CCD">
        <w:rPr>
          <w:rFonts w:ascii="Arial" w:hAnsi="Arial" w:cs="Arial"/>
          <w:sz w:val="20"/>
          <w:szCs w:val="20"/>
        </w:rPr>
        <w:t>404-828-</w:t>
      </w:r>
      <w:r w:rsidR="00ED434E">
        <w:rPr>
          <w:rFonts w:ascii="Arial" w:hAnsi="Arial" w:cs="Arial"/>
          <w:sz w:val="20"/>
          <w:szCs w:val="20"/>
        </w:rPr>
        <w:t>7957</w:t>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r w:rsidRPr="00B85CCD">
        <w:rPr>
          <w:rFonts w:ascii="Arial" w:hAnsi="Arial" w:cs="Arial"/>
          <w:sz w:val="20"/>
          <w:szCs w:val="20"/>
        </w:rPr>
        <w:tab/>
      </w:r>
    </w:p>
    <w:p w:rsidR="00E91AEF" w:rsidRDefault="00E91AEF" w:rsidP="007B357E">
      <w:pPr>
        <w:rPr>
          <w:rFonts w:ascii="Arial" w:hAnsi="Arial" w:cs="Arial"/>
          <w:sz w:val="20"/>
          <w:szCs w:val="20"/>
        </w:rPr>
      </w:pPr>
    </w:p>
    <w:p w:rsidR="00940590" w:rsidRDefault="00940590" w:rsidP="007B357E">
      <w:pPr>
        <w:rPr>
          <w:rFonts w:ascii="Arial" w:hAnsi="Arial" w:cs="Arial"/>
          <w:sz w:val="20"/>
          <w:szCs w:val="20"/>
        </w:rPr>
      </w:pPr>
    </w:p>
    <w:p w:rsidR="005855A9" w:rsidRDefault="005855A9" w:rsidP="007B357E">
      <w:pPr>
        <w:rPr>
          <w:rFonts w:ascii="Arial" w:hAnsi="Arial" w:cs="Arial"/>
          <w:sz w:val="20"/>
          <w:szCs w:val="20"/>
        </w:rPr>
      </w:pPr>
      <w:r w:rsidRPr="00B85CCD">
        <w:rPr>
          <w:rFonts w:ascii="Arial" w:hAnsi="Arial" w:cs="Arial"/>
          <w:sz w:val="20"/>
          <w:szCs w:val="20"/>
        </w:rPr>
        <w:tab/>
      </w:r>
    </w:p>
    <w:p w:rsidR="007D16B9" w:rsidRPr="002A6649" w:rsidRDefault="009C2C76" w:rsidP="008B2E14">
      <w:pPr>
        <w:jc w:val="center"/>
        <w:rPr>
          <w:rFonts w:ascii="Arial" w:hAnsi="Arial" w:cs="Arial"/>
          <w:i/>
          <w:sz w:val="36"/>
          <w:szCs w:val="26"/>
        </w:rPr>
      </w:pPr>
      <w:r w:rsidRPr="002A6649">
        <w:rPr>
          <w:rFonts w:ascii="Arial" w:hAnsi="Arial" w:cs="Arial"/>
          <w:b/>
          <w:sz w:val="32"/>
          <w:szCs w:val="26"/>
        </w:rPr>
        <w:t xml:space="preserve">UPS </w:t>
      </w:r>
      <w:r w:rsidR="008B2E14" w:rsidRPr="002A6649">
        <w:rPr>
          <w:rFonts w:ascii="Arial" w:hAnsi="Arial" w:cs="Arial"/>
          <w:b/>
          <w:sz w:val="32"/>
          <w:szCs w:val="26"/>
        </w:rPr>
        <w:t>3</w:t>
      </w:r>
      <w:r w:rsidR="00F26AE3" w:rsidRPr="002A6649">
        <w:rPr>
          <w:rFonts w:ascii="Arial" w:hAnsi="Arial" w:cs="Arial"/>
          <w:b/>
          <w:sz w:val="32"/>
          <w:szCs w:val="26"/>
        </w:rPr>
        <w:t xml:space="preserve">Q18 </w:t>
      </w:r>
      <w:r w:rsidR="00FD6262" w:rsidRPr="002A6649">
        <w:rPr>
          <w:rFonts w:ascii="Arial" w:hAnsi="Arial" w:cs="Arial"/>
          <w:b/>
          <w:sz w:val="32"/>
          <w:szCs w:val="26"/>
        </w:rPr>
        <w:t xml:space="preserve">Earnings Per Share Up More Than </w:t>
      </w:r>
      <w:r w:rsidR="00FD6262" w:rsidRPr="002A6649">
        <w:rPr>
          <w:rFonts w:ascii="Arial" w:hAnsi="Arial" w:cs="Arial"/>
          <w:b/>
          <w:sz w:val="36"/>
          <w:szCs w:val="26"/>
        </w:rPr>
        <w:t>20%</w:t>
      </w:r>
    </w:p>
    <w:p w:rsidR="00F21B81" w:rsidRPr="002A6649" w:rsidRDefault="00F21B81" w:rsidP="001D3F51">
      <w:pPr>
        <w:ind w:left="180"/>
        <w:jc w:val="center"/>
        <w:rPr>
          <w:rFonts w:ascii="Arial" w:hAnsi="Arial" w:cs="Arial"/>
          <w:b/>
          <w:sz w:val="28"/>
          <w:szCs w:val="26"/>
        </w:rPr>
      </w:pPr>
    </w:p>
    <w:p w:rsidR="00070680" w:rsidRPr="002A6649" w:rsidRDefault="008B2E14" w:rsidP="000F1D36">
      <w:pPr>
        <w:pStyle w:val="ListParagraph"/>
        <w:numPr>
          <w:ilvl w:val="0"/>
          <w:numId w:val="35"/>
        </w:numPr>
        <w:ind w:left="540"/>
        <w:rPr>
          <w:rFonts w:ascii="Arial" w:hAnsi="Arial" w:cs="Arial"/>
          <w:b/>
          <w:i/>
        </w:rPr>
      </w:pPr>
      <w:r w:rsidRPr="002A6649">
        <w:rPr>
          <w:rFonts w:ascii="Arial" w:hAnsi="Arial" w:cs="Arial"/>
          <w:b/>
          <w:i/>
        </w:rPr>
        <w:t>3</w:t>
      </w:r>
      <w:r w:rsidR="00070680" w:rsidRPr="002A6649">
        <w:rPr>
          <w:rFonts w:ascii="Arial" w:hAnsi="Arial" w:cs="Arial"/>
          <w:b/>
          <w:i/>
        </w:rPr>
        <w:t>Q18 EPS of $</w:t>
      </w:r>
      <w:r w:rsidR="009C2C76" w:rsidRPr="002A6649">
        <w:rPr>
          <w:rFonts w:ascii="Arial" w:hAnsi="Arial" w:cs="Arial"/>
          <w:b/>
          <w:i/>
        </w:rPr>
        <w:t>1.7</w:t>
      </w:r>
      <w:r w:rsidRPr="002A6649">
        <w:rPr>
          <w:rFonts w:ascii="Arial" w:hAnsi="Arial" w:cs="Arial"/>
          <w:b/>
          <w:i/>
        </w:rPr>
        <w:t>3</w:t>
      </w:r>
      <w:r w:rsidR="00DC24DD" w:rsidRPr="002A6649">
        <w:rPr>
          <w:rFonts w:ascii="Arial" w:hAnsi="Arial" w:cs="Arial"/>
          <w:b/>
          <w:i/>
        </w:rPr>
        <w:t xml:space="preserve">, up </w:t>
      </w:r>
      <w:r w:rsidR="0067308B" w:rsidRPr="002A6649">
        <w:rPr>
          <w:rFonts w:ascii="Arial" w:hAnsi="Arial" w:cs="Arial"/>
          <w:b/>
          <w:i/>
        </w:rPr>
        <w:t>More Than</w:t>
      </w:r>
      <w:r w:rsidR="00433D18" w:rsidRPr="002A6649">
        <w:rPr>
          <w:rFonts w:ascii="Arial" w:hAnsi="Arial" w:cs="Arial"/>
          <w:b/>
          <w:i/>
        </w:rPr>
        <w:t xml:space="preserve"> </w:t>
      </w:r>
      <w:r w:rsidRPr="002A6649">
        <w:rPr>
          <w:rFonts w:ascii="Arial" w:hAnsi="Arial" w:cs="Arial"/>
          <w:b/>
          <w:i/>
        </w:rPr>
        <w:t>20</w:t>
      </w:r>
      <w:r w:rsidR="00DC24DD" w:rsidRPr="002A6649">
        <w:rPr>
          <w:rFonts w:ascii="Arial" w:hAnsi="Arial" w:cs="Arial"/>
          <w:b/>
          <w:i/>
        </w:rPr>
        <w:t>%</w:t>
      </w:r>
      <w:r w:rsidR="00070680" w:rsidRPr="002A6649">
        <w:rPr>
          <w:rFonts w:ascii="Arial" w:hAnsi="Arial" w:cs="Arial"/>
          <w:b/>
          <w:i/>
        </w:rPr>
        <w:t>; Adjusted EPS</w:t>
      </w:r>
      <w:r w:rsidR="00DC24DD" w:rsidRPr="002A6649">
        <w:rPr>
          <w:rFonts w:ascii="Arial" w:hAnsi="Arial" w:cs="Arial"/>
          <w:b/>
          <w:i/>
        </w:rPr>
        <w:t xml:space="preserve"> up 2</w:t>
      </w:r>
      <w:r w:rsidRPr="002A6649">
        <w:rPr>
          <w:rFonts w:ascii="Arial" w:hAnsi="Arial" w:cs="Arial"/>
          <w:b/>
          <w:i/>
        </w:rPr>
        <w:t>6</w:t>
      </w:r>
      <w:r w:rsidR="00DC24DD" w:rsidRPr="002A6649">
        <w:rPr>
          <w:rFonts w:ascii="Arial" w:hAnsi="Arial" w:cs="Arial"/>
          <w:b/>
          <w:i/>
        </w:rPr>
        <w:t>%</w:t>
      </w:r>
      <w:r w:rsidR="00334F29" w:rsidRPr="002A6649">
        <w:rPr>
          <w:rFonts w:ascii="Arial" w:hAnsi="Arial" w:cs="Arial"/>
          <w:b/>
          <w:i/>
        </w:rPr>
        <w:t xml:space="preserve"> to $1.82</w:t>
      </w:r>
    </w:p>
    <w:p w:rsidR="008B2E14" w:rsidRPr="002A6649" w:rsidRDefault="008B2E14" w:rsidP="00174DB0">
      <w:pPr>
        <w:pStyle w:val="ListParagraph"/>
        <w:numPr>
          <w:ilvl w:val="0"/>
          <w:numId w:val="35"/>
        </w:numPr>
        <w:ind w:left="540"/>
        <w:rPr>
          <w:rFonts w:ascii="Arial" w:hAnsi="Arial" w:cs="Arial"/>
          <w:b/>
          <w:i/>
        </w:rPr>
      </w:pPr>
      <w:r w:rsidRPr="002A6649">
        <w:rPr>
          <w:rFonts w:ascii="Arial" w:hAnsi="Arial" w:cs="Arial"/>
          <w:b/>
          <w:i/>
        </w:rPr>
        <w:t xml:space="preserve">U.S. Domestic Revenue up 8.1% on </w:t>
      </w:r>
      <w:r w:rsidR="00896881" w:rsidRPr="002A6649">
        <w:rPr>
          <w:rFonts w:ascii="Arial" w:hAnsi="Arial" w:cs="Arial"/>
          <w:b/>
          <w:i/>
        </w:rPr>
        <w:t>Growth and Accelerat</w:t>
      </w:r>
      <w:r w:rsidR="00595C44" w:rsidRPr="002A6649">
        <w:rPr>
          <w:rFonts w:ascii="Arial" w:hAnsi="Arial" w:cs="Arial"/>
          <w:b/>
          <w:i/>
        </w:rPr>
        <w:t>ing</w:t>
      </w:r>
      <w:r w:rsidR="00896881" w:rsidRPr="002A6649">
        <w:rPr>
          <w:rFonts w:ascii="Arial" w:hAnsi="Arial" w:cs="Arial"/>
          <w:b/>
          <w:i/>
        </w:rPr>
        <w:t xml:space="preserve"> </w:t>
      </w:r>
      <w:r w:rsidR="00595C44" w:rsidRPr="002A6649">
        <w:rPr>
          <w:rFonts w:ascii="Arial" w:hAnsi="Arial" w:cs="Arial"/>
          <w:b/>
          <w:i/>
        </w:rPr>
        <w:t>Yields</w:t>
      </w:r>
      <w:r w:rsidRPr="002A6649">
        <w:rPr>
          <w:rFonts w:ascii="Arial" w:hAnsi="Arial" w:cs="Arial"/>
          <w:b/>
          <w:i/>
        </w:rPr>
        <w:t xml:space="preserve"> </w:t>
      </w:r>
    </w:p>
    <w:p w:rsidR="0098553D" w:rsidRPr="002A6649" w:rsidRDefault="000F1D36" w:rsidP="00174DB0">
      <w:pPr>
        <w:pStyle w:val="ListParagraph"/>
        <w:numPr>
          <w:ilvl w:val="0"/>
          <w:numId w:val="35"/>
        </w:numPr>
        <w:ind w:left="540"/>
        <w:rPr>
          <w:rFonts w:ascii="Arial" w:hAnsi="Arial" w:cs="Arial"/>
          <w:b/>
          <w:i/>
        </w:rPr>
      </w:pPr>
      <w:r w:rsidRPr="002A6649">
        <w:rPr>
          <w:rFonts w:ascii="Arial" w:hAnsi="Arial" w:cs="Arial"/>
          <w:b/>
          <w:i/>
        </w:rPr>
        <w:t xml:space="preserve">International </w:t>
      </w:r>
      <w:r w:rsidR="00991ED5" w:rsidRPr="002A6649">
        <w:rPr>
          <w:rFonts w:ascii="Arial" w:hAnsi="Arial" w:cs="Arial"/>
          <w:b/>
          <w:i/>
        </w:rPr>
        <w:t>C</w:t>
      </w:r>
      <w:r w:rsidR="0098553D" w:rsidRPr="002A6649">
        <w:rPr>
          <w:rFonts w:ascii="Arial" w:hAnsi="Arial" w:cs="Arial"/>
          <w:b/>
          <w:i/>
        </w:rPr>
        <w:t>urrency</w:t>
      </w:r>
      <w:r w:rsidR="00991ED5" w:rsidRPr="002A6649">
        <w:rPr>
          <w:rFonts w:ascii="Arial" w:hAnsi="Arial" w:cs="Arial"/>
          <w:b/>
          <w:i/>
        </w:rPr>
        <w:t>-N</w:t>
      </w:r>
      <w:r w:rsidR="0098553D" w:rsidRPr="002A6649">
        <w:rPr>
          <w:rFonts w:ascii="Arial" w:hAnsi="Arial" w:cs="Arial"/>
          <w:b/>
          <w:i/>
        </w:rPr>
        <w:t xml:space="preserve">eutral Revenue </w:t>
      </w:r>
      <w:r w:rsidR="004F68BA" w:rsidRPr="002A6649">
        <w:rPr>
          <w:rFonts w:ascii="Arial" w:hAnsi="Arial" w:cs="Arial"/>
          <w:b/>
          <w:i/>
        </w:rPr>
        <w:t>Gr</w:t>
      </w:r>
      <w:r w:rsidR="0098553D" w:rsidRPr="002A6649">
        <w:rPr>
          <w:rFonts w:ascii="Arial" w:hAnsi="Arial" w:cs="Arial"/>
          <w:b/>
          <w:i/>
        </w:rPr>
        <w:t>e</w:t>
      </w:r>
      <w:r w:rsidR="004F68BA" w:rsidRPr="002A6649">
        <w:rPr>
          <w:rFonts w:ascii="Arial" w:hAnsi="Arial" w:cs="Arial"/>
          <w:b/>
          <w:i/>
        </w:rPr>
        <w:t xml:space="preserve">w </w:t>
      </w:r>
      <w:r w:rsidR="0098553D" w:rsidRPr="002A6649">
        <w:rPr>
          <w:rFonts w:ascii="Arial" w:hAnsi="Arial" w:cs="Arial"/>
          <w:b/>
          <w:i/>
        </w:rPr>
        <w:t xml:space="preserve">5%, with </w:t>
      </w:r>
      <w:r w:rsidR="00991ED5" w:rsidRPr="002A6649">
        <w:rPr>
          <w:rFonts w:ascii="Arial" w:hAnsi="Arial" w:cs="Arial"/>
          <w:b/>
          <w:i/>
        </w:rPr>
        <w:t>G</w:t>
      </w:r>
      <w:r w:rsidR="0098553D" w:rsidRPr="002A6649">
        <w:rPr>
          <w:rFonts w:ascii="Arial" w:hAnsi="Arial" w:cs="Arial"/>
          <w:b/>
          <w:i/>
        </w:rPr>
        <w:t>ains in all Regions</w:t>
      </w:r>
    </w:p>
    <w:p w:rsidR="006C5096" w:rsidRPr="002A6649" w:rsidRDefault="0098553D" w:rsidP="00174DB0">
      <w:pPr>
        <w:pStyle w:val="ListParagraph"/>
        <w:numPr>
          <w:ilvl w:val="0"/>
          <w:numId w:val="35"/>
        </w:numPr>
        <w:ind w:left="540"/>
        <w:rPr>
          <w:rFonts w:ascii="Arial" w:hAnsi="Arial" w:cs="Arial"/>
          <w:b/>
          <w:i/>
        </w:rPr>
      </w:pPr>
      <w:r w:rsidRPr="002A6649">
        <w:rPr>
          <w:rFonts w:ascii="Arial" w:hAnsi="Arial" w:cs="Arial"/>
          <w:b/>
          <w:i/>
        </w:rPr>
        <w:t xml:space="preserve">International </w:t>
      </w:r>
      <w:r w:rsidR="006D3C8D" w:rsidRPr="002A6649">
        <w:rPr>
          <w:rFonts w:ascii="Arial" w:hAnsi="Arial" w:cs="Arial"/>
          <w:b/>
          <w:i/>
        </w:rPr>
        <w:t xml:space="preserve">Year-Over-Year </w:t>
      </w:r>
      <w:r w:rsidR="00991ED5" w:rsidRPr="002A6649">
        <w:rPr>
          <w:rFonts w:ascii="Arial" w:hAnsi="Arial" w:cs="Arial"/>
          <w:b/>
          <w:i/>
        </w:rPr>
        <w:t>C</w:t>
      </w:r>
      <w:r w:rsidRPr="002A6649">
        <w:rPr>
          <w:rFonts w:ascii="Arial" w:hAnsi="Arial" w:cs="Arial"/>
          <w:b/>
          <w:i/>
        </w:rPr>
        <w:t>omparison</w:t>
      </w:r>
      <w:r w:rsidR="00F7598E" w:rsidRPr="002A6649">
        <w:rPr>
          <w:rFonts w:ascii="Arial" w:hAnsi="Arial" w:cs="Arial"/>
          <w:b/>
          <w:i/>
        </w:rPr>
        <w:t>s</w:t>
      </w:r>
      <w:r w:rsidRPr="002A6649">
        <w:rPr>
          <w:rFonts w:ascii="Arial" w:hAnsi="Arial" w:cs="Arial"/>
          <w:b/>
          <w:i/>
        </w:rPr>
        <w:t xml:space="preserve"> </w:t>
      </w:r>
      <w:r w:rsidR="0097588E" w:rsidRPr="002A6649">
        <w:rPr>
          <w:rFonts w:ascii="Arial" w:hAnsi="Arial" w:cs="Arial"/>
          <w:b/>
          <w:i/>
        </w:rPr>
        <w:t xml:space="preserve">Affected by </w:t>
      </w:r>
      <w:r w:rsidR="00F7598E" w:rsidRPr="002A6649">
        <w:rPr>
          <w:rFonts w:ascii="Arial" w:hAnsi="Arial" w:cs="Arial"/>
          <w:b/>
          <w:i/>
        </w:rPr>
        <w:t xml:space="preserve">Headwinds from </w:t>
      </w:r>
      <w:r w:rsidR="008E438F" w:rsidRPr="002A6649">
        <w:rPr>
          <w:rFonts w:ascii="Arial" w:hAnsi="Arial" w:cs="Arial"/>
          <w:b/>
          <w:i/>
        </w:rPr>
        <w:t>Currency and Fuel</w:t>
      </w:r>
    </w:p>
    <w:p w:rsidR="006C5096" w:rsidRPr="002A6649" w:rsidRDefault="00CC6CB3" w:rsidP="00CC6CB3">
      <w:pPr>
        <w:pStyle w:val="ListParagraph"/>
        <w:numPr>
          <w:ilvl w:val="0"/>
          <w:numId w:val="35"/>
        </w:numPr>
        <w:ind w:left="540"/>
        <w:rPr>
          <w:rFonts w:ascii="Arial" w:hAnsi="Arial" w:cs="Arial"/>
          <w:b/>
          <w:i/>
        </w:rPr>
      </w:pPr>
      <w:r w:rsidRPr="002A6649">
        <w:rPr>
          <w:rFonts w:ascii="Arial" w:hAnsi="Arial" w:cs="Arial"/>
          <w:b/>
          <w:i/>
        </w:rPr>
        <w:t xml:space="preserve">Supply Chain &amp; Freight Operating Profit up </w:t>
      </w:r>
      <w:r w:rsidR="008B2E14" w:rsidRPr="002A6649">
        <w:rPr>
          <w:rFonts w:ascii="Arial" w:hAnsi="Arial" w:cs="Arial"/>
          <w:b/>
          <w:i/>
        </w:rPr>
        <w:t>24</w:t>
      </w:r>
      <w:r w:rsidR="009C2C76" w:rsidRPr="002A6649">
        <w:rPr>
          <w:rFonts w:ascii="Arial" w:hAnsi="Arial" w:cs="Arial"/>
          <w:b/>
          <w:i/>
        </w:rPr>
        <w:t>%;</w:t>
      </w:r>
      <w:r w:rsidR="006C5096" w:rsidRPr="002A6649">
        <w:rPr>
          <w:rFonts w:ascii="Arial" w:hAnsi="Arial" w:cs="Arial"/>
          <w:b/>
          <w:i/>
        </w:rPr>
        <w:t xml:space="preserve"> Adjusted </w:t>
      </w:r>
      <w:r w:rsidR="0008498E" w:rsidRPr="002A6649">
        <w:rPr>
          <w:rFonts w:ascii="Arial" w:hAnsi="Arial" w:cs="Arial"/>
          <w:b/>
          <w:i/>
        </w:rPr>
        <w:t xml:space="preserve">Operating </w:t>
      </w:r>
      <w:r w:rsidR="009C2C76" w:rsidRPr="002A6649">
        <w:rPr>
          <w:rFonts w:ascii="Arial" w:hAnsi="Arial" w:cs="Arial"/>
          <w:b/>
          <w:i/>
        </w:rPr>
        <w:t>P</w:t>
      </w:r>
      <w:r w:rsidR="006C5096" w:rsidRPr="002A6649">
        <w:rPr>
          <w:rFonts w:ascii="Arial" w:hAnsi="Arial" w:cs="Arial"/>
          <w:b/>
          <w:i/>
        </w:rPr>
        <w:t xml:space="preserve">rofit </w:t>
      </w:r>
      <w:r w:rsidR="008B2E14" w:rsidRPr="002A6649">
        <w:rPr>
          <w:rFonts w:ascii="Arial" w:hAnsi="Arial" w:cs="Arial"/>
          <w:b/>
          <w:i/>
        </w:rPr>
        <w:t>Jumps 33</w:t>
      </w:r>
      <w:r w:rsidRPr="002A6649">
        <w:rPr>
          <w:rFonts w:ascii="Arial" w:hAnsi="Arial" w:cs="Arial"/>
          <w:b/>
          <w:i/>
        </w:rPr>
        <w:t xml:space="preserve">% </w:t>
      </w:r>
    </w:p>
    <w:p w:rsidR="009E3FDD" w:rsidRPr="002A6649" w:rsidRDefault="00F47BC9" w:rsidP="00750424">
      <w:pPr>
        <w:pStyle w:val="ListParagraph"/>
        <w:numPr>
          <w:ilvl w:val="0"/>
          <w:numId w:val="35"/>
        </w:numPr>
        <w:ind w:left="540"/>
        <w:rPr>
          <w:rFonts w:ascii="Arial" w:hAnsi="Arial" w:cs="Arial"/>
          <w:b/>
          <w:i/>
        </w:rPr>
      </w:pPr>
      <w:r w:rsidRPr="002A6649">
        <w:rPr>
          <w:rFonts w:ascii="Arial" w:hAnsi="Arial" w:cs="Arial"/>
          <w:b/>
          <w:i/>
        </w:rPr>
        <w:t xml:space="preserve">YTD </w:t>
      </w:r>
      <w:r w:rsidR="00B01D37" w:rsidRPr="002A6649">
        <w:rPr>
          <w:rFonts w:ascii="Arial" w:hAnsi="Arial" w:cs="Arial"/>
          <w:b/>
          <w:i/>
        </w:rPr>
        <w:t xml:space="preserve">Cash from Operations </w:t>
      </w:r>
      <w:r w:rsidR="00A05440" w:rsidRPr="002A6649">
        <w:rPr>
          <w:rFonts w:ascii="Arial" w:hAnsi="Arial" w:cs="Arial"/>
          <w:b/>
          <w:i/>
        </w:rPr>
        <w:t>was</w:t>
      </w:r>
      <w:r w:rsidR="00B01D37" w:rsidRPr="002A6649">
        <w:rPr>
          <w:rFonts w:ascii="Arial" w:hAnsi="Arial" w:cs="Arial"/>
          <w:b/>
          <w:i/>
        </w:rPr>
        <w:t xml:space="preserve"> $</w:t>
      </w:r>
      <w:r w:rsidR="0046702B" w:rsidRPr="002A6649">
        <w:rPr>
          <w:rFonts w:ascii="Arial" w:hAnsi="Arial" w:cs="Arial"/>
          <w:b/>
          <w:i/>
        </w:rPr>
        <w:t>9.4</w:t>
      </w:r>
      <w:r w:rsidR="00B01D37" w:rsidRPr="002A6649">
        <w:rPr>
          <w:rFonts w:ascii="Arial" w:hAnsi="Arial" w:cs="Arial"/>
          <w:b/>
          <w:i/>
        </w:rPr>
        <w:t>B</w:t>
      </w:r>
      <w:r w:rsidRPr="002A6649">
        <w:rPr>
          <w:rFonts w:ascii="Arial" w:hAnsi="Arial" w:cs="Arial"/>
          <w:b/>
          <w:i/>
        </w:rPr>
        <w:t xml:space="preserve"> and</w:t>
      </w:r>
      <w:r w:rsidR="007901EB" w:rsidRPr="002A6649">
        <w:rPr>
          <w:rFonts w:ascii="Arial" w:hAnsi="Arial" w:cs="Arial"/>
          <w:b/>
          <w:i/>
        </w:rPr>
        <w:t xml:space="preserve"> </w:t>
      </w:r>
      <w:r w:rsidR="00EE76F3" w:rsidRPr="002A6649">
        <w:rPr>
          <w:rFonts w:ascii="Arial" w:hAnsi="Arial" w:cs="Arial"/>
          <w:b/>
          <w:i/>
        </w:rPr>
        <w:t xml:space="preserve">Free Cash Flow </w:t>
      </w:r>
      <w:r w:rsidR="008E438F" w:rsidRPr="002A6649">
        <w:rPr>
          <w:rFonts w:ascii="Arial" w:hAnsi="Arial" w:cs="Arial"/>
          <w:b/>
          <w:i/>
        </w:rPr>
        <w:t>was</w:t>
      </w:r>
      <w:r w:rsidR="004C2CC6" w:rsidRPr="002A6649">
        <w:rPr>
          <w:rFonts w:ascii="Arial" w:hAnsi="Arial" w:cs="Arial"/>
          <w:b/>
          <w:i/>
        </w:rPr>
        <w:t xml:space="preserve"> up to</w:t>
      </w:r>
      <w:r w:rsidR="007C73B2" w:rsidRPr="002A6649">
        <w:rPr>
          <w:rFonts w:ascii="Arial" w:hAnsi="Arial" w:cs="Arial"/>
          <w:b/>
          <w:i/>
        </w:rPr>
        <w:t xml:space="preserve"> </w:t>
      </w:r>
      <w:r w:rsidR="008F282D" w:rsidRPr="002A6649">
        <w:rPr>
          <w:rFonts w:ascii="Arial" w:hAnsi="Arial" w:cs="Arial"/>
          <w:b/>
          <w:i/>
        </w:rPr>
        <w:t>$</w:t>
      </w:r>
      <w:r w:rsidR="0046702B" w:rsidRPr="002A6649">
        <w:rPr>
          <w:rFonts w:ascii="Arial" w:hAnsi="Arial" w:cs="Arial"/>
          <w:b/>
          <w:i/>
        </w:rPr>
        <w:t>4.9</w:t>
      </w:r>
      <w:r w:rsidR="00EE76F3" w:rsidRPr="002A6649">
        <w:rPr>
          <w:rFonts w:ascii="Arial" w:hAnsi="Arial" w:cs="Arial"/>
          <w:b/>
          <w:i/>
        </w:rPr>
        <w:t xml:space="preserve">B </w:t>
      </w:r>
    </w:p>
    <w:p w:rsidR="00C01DCC" w:rsidRPr="00C313D5" w:rsidRDefault="00C01DCC" w:rsidP="00C01DCC">
      <w:pPr>
        <w:pStyle w:val="ListParagraph"/>
        <w:numPr>
          <w:ilvl w:val="0"/>
          <w:numId w:val="35"/>
        </w:numPr>
        <w:ind w:left="540"/>
        <w:rPr>
          <w:rFonts w:ascii="Arial" w:hAnsi="Arial" w:cs="Arial"/>
          <w:b/>
          <w:i/>
        </w:rPr>
      </w:pPr>
      <w:r w:rsidRPr="002A6649">
        <w:rPr>
          <w:rFonts w:ascii="Arial" w:hAnsi="Arial" w:cs="Arial"/>
          <w:b/>
          <w:i/>
        </w:rPr>
        <w:t xml:space="preserve">Raising </w:t>
      </w:r>
      <w:r w:rsidR="0067308B" w:rsidRPr="002A6649">
        <w:rPr>
          <w:rFonts w:ascii="Arial" w:hAnsi="Arial" w:cs="Arial"/>
          <w:b/>
          <w:i/>
        </w:rPr>
        <w:t xml:space="preserve">Free Cash Flow Guidance </w:t>
      </w:r>
      <w:r w:rsidR="009E7821" w:rsidRPr="00C313D5">
        <w:rPr>
          <w:rFonts w:ascii="Arial" w:hAnsi="Arial" w:cs="Arial"/>
          <w:b/>
          <w:i/>
        </w:rPr>
        <w:t xml:space="preserve">to </w:t>
      </w:r>
      <w:r w:rsidR="0067308B" w:rsidRPr="00C313D5">
        <w:rPr>
          <w:rFonts w:ascii="Arial" w:hAnsi="Arial" w:cs="Arial"/>
          <w:b/>
          <w:i/>
        </w:rPr>
        <w:t>Over $5B</w:t>
      </w:r>
      <w:r w:rsidRPr="00C313D5">
        <w:rPr>
          <w:rFonts w:ascii="Arial" w:hAnsi="Arial" w:cs="Arial"/>
          <w:b/>
          <w:i/>
        </w:rPr>
        <w:t xml:space="preserve"> and Reaffirming </w:t>
      </w:r>
      <w:r w:rsidR="00BC6367" w:rsidRPr="00C313D5">
        <w:rPr>
          <w:rFonts w:ascii="Arial" w:hAnsi="Arial" w:cs="Arial"/>
          <w:b/>
          <w:i/>
        </w:rPr>
        <w:t>A</w:t>
      </w:r>
      <w:r w:rsidRPr="00C313D5">
        <w:rPr>
          <w:rFonts w:ascii="Arial" w:hAnsi="Arial" w:cs="Arial"/>
          <w:b/>
          <w:i/>
        </w:rPr>
        <w:t>djusted EPS</w:t>
      </w:r>
    </w:p>
    <w:p w:rsidR="00771488" w:rsidRPr="00C313D5" w:rsidRDefault="0067308B" w:rsidP="00756139">
      <w:pPr>
        <w:pStyle w:val="ListParagraph"/>
        <w:tabs>
          <w:tab w:val="left" w:pos="5550"/>
        </w:tabs>
        <w:ind w:left="540"/>
        <w:rPr>
          <w:rFonts w:ascii="Arial" w:hAnsi="Arial" w:cs="Arial"/>
          <w:b/>
          <w:i/>
        </w:rPr>
      </w:pPr>
      <w:r w:rsidRPr="00C313D5">
        <w:rPr>
          <w:rFonts w:ascii="Arial" w:hAnsi="Arial" w:cs="Arial"/>
          <w:b/>
          <w:i/>
        </w:rPr>
        <w:tab/>
      </w:r>
    </w:p>
    <w:p w:rsidR="00940590" w:rsidRPr="00C313D5" w:rsidRDefault="00940590" w:rsidP="00771488">
      <w:pPr>
        <w:pStyle w:val="ListParagraph"/>
        <w:ind w:left="540"/>
        <w:rPr>
          <w:rFonts w:ascii="Arial" w:hAnsi="Arial" w:cs="Arial"/>
          <w:b/>
          <w:i/>
        </w:rPr>
      </w:pPr>
    </w:p>
    <w:p w:rsidR="00DA1BB4" w:rsidRPr="00F84BDD" w:rsidRDefault="004F5DA4" w:rsidP="00765F93">
      <w:pPr>
        <w:ind w:firstLine="720"/>
        <w:rPr>
          <w:rFonts w:ascii="Arial" w:hAnsi="Arial" w:cs="Arial"/>
          <w:sz w:val="22"/>
        </w:rPr>
      </w:pPr>
      <w:r w:rsidRPr="00C313D5">
        <w:rPr>
          <w:rFonts w:ascii="Arial" w:hAnsi="Arial" w:cs="Arial"/>
          <w:b/>
        </w:rPr>
        <w:t>A</w:t>
      </w:r>
      <w:r w:rsidR="006376D6" w:rsidRPr="002A57D6">
        <w:rPr>
          <w:rFonts w:ascii="Arial" w:hAnsi="Arial" w:cs="Arial"/>
          <w:b/>
        </w:rPr>
        <w:t xml:space="preserve">TLANTA </w:t>
      </w:r>
      <w:r w:rsidR="00456224" w:rsidRPr="002A57D6">
        <w:rPr>
          <w:rFonts w:ascii="Arial" w:hAnsi="Arial" w:cs="Arial"/>
          <w:b/>
        </w:rPr>
        <w:t>–</w:t>
      </w:r>
      <w:r w:rsidR="005855A9" w:rsidRPr="002A57D6">
        <w:rPr>
          <w:rFonts w:ascii="Arial" w:hAnsi="Arial" w:cs="Arial"/>
          <w:b/>
        </w:rPr>
        <w:t xml:space="preserve"> </w:t>
      </w:r>
      <w:r w:rsidR="008B2E14" w:rsidRPr="002A57D6">
        <w:rPr>
          <w:rFonts w:ascii="Arial" w:hAnsi="Arial" w:cs="Arial"/>
          <w:b/>
        </w:rPr>
        <w:t>October 24</w:t>
      </w:r>
      <w:r w:rsidR="005855A9" w:rsidRPr="002A57D6">
        <w:rPr>
          <w:rFonts w:ascii="Arial" w:hAnsi="Arial" w:cs="Arial"/>
          <w:b/>
        </w:rPr>
        <w:t>, 201</w:t>
      </w:r>
      <w:r w:rsidR="005A5BC6" w:rsidRPr="00F84BDD">
        <w:rPr>
          <w:rFonts w:ascii="Arial" w:hAnsi="Arial" w:cs="Arial"/>
          <w:b/>
        </w:rPr>
        <w:t>8</w:t>
      </w:r>
      <w:r w:rsidR="005855A9" w:rsidRPr="00F84BDD">
        <w:rPr>
          <w:rFonts w:ascii="Arial" w:hAnsi="Arial" w:cs="Arial"/>
          <w:sz w:val="22"/>
        </w:rPr>
        <w:t xml:space="preserve"> – UPS (NYSE:UPS) today </w:t>
      </w:r>
      <w:r w:rsidR="00E91AEF" w:rsidRPr="00F84BDD">
        <w:rPr>
          <w:rFonts w:ascii="Arial" w:hAnsi="Arial" w:cs="Arial"/>
          <w:sz w:val="22"/>
        </w:rPr>
        <w:t xml:space="preserve">announced </w:t>
      </w:r>
      <w:r w:rsidR="004F68BA" w:rsidRPr="00F84BDD">
        <w:rPr>
          <w:rFonts w:ascii="Arial" w:hAnsi="Arial" w:cs="Arial"/>
          <w:sz w:val="22"/>
        </w:rPr>
        <w:t>third</w:t>
      </w:r>
      <w:r w:rsidR="000640A6" w:rsidRPr="00F84BDD">
        <w:rPr>
          <w:rFonts w:ascii="Arial" w:hAnsi="Arial" w:cs="Arial"/>
          <w:sz w:val="22"/>
        </w:rPr>
        <w:t>-</w:t>
      </w:r>
      <w:r w:rsidR="00E91AEF" w:rsidRPr="00F84BDD">
        <w:rPr>
          <w:rFonts w:ascii="Arial" w:hAnsi="Arial" w:cs="Arial"/>
          <w:sz w:val="22"/>
        </w:rPr>
        <w:t xml:space="preserve">quarter </w:t>
      </w:r>
      <w:r w:rsidR="00713C07" w:rsidRPr="00F84BDD">
        <w:rPr>
          <w:rFonts w:ascii="Arial" w:hAnsi="Arial" w:cs="Arial"/>
          <w:sz w:val="22"/>
        </w:rPr>
        <w:t>diluted earnings</w:t>
      </w:r>
      <w:r w:rsidR="006D3C8D" w:rsidRPr="00F84BDD">
        <w:rPr>
          <w:rFonts w:ascii="Arial" w:hAnsi="Arial" w:cs="Arial"/>
          <w:sz w:val="22"/>
        </w:rPr>
        <w:t xml:space="preserve"> </w:t>
      </w:r>
      <w:r w:rsidR="00713C07" w:rsidRPr="00F84BDD">
        <w:rPr>
          <w:rFonts w:ascii="Arial" w:hAnsi="Arial" w:cs="Arial"/>
          <w:sz w:val="22"/>
        </w:rPr>
        <w:t>per</w:t>
      </w:r>
      <w:r w:rsidR="006D3C8D" w:rsidRPr="00F84BDD">
        <w:rPr>
          <w:rFonts w:ascii="Arial" w:hAnsi="Arial" w:cs="Arial"/>
          <w:sz w:val="22"/>
        </w:rPr>
        <w:t xml:space="preserve"> </w:t>
      </w:r>
      <w:r w:rsidR="00713C07" w:rsidRPr="00F84BDD">
        <w:rPr>
          <w:rFonts w:ascii="Arial" w:hAnsi="Arial" w:cs="Arial"/>
          <w:sz w:val="22"/>
        </w:rPr>
        <w:t xml:space="preserve">share </w:t>
      </w:r>
      <w:r w:rsidR="00E91AEF" w:rsidRPr="00F84BDD">
        <w:rPr>
          <w:rFonts w:ascii="Arial" w:hAnsi="Arial" w:cs="Arial"/>
          <w:sz w:val="22"/>
        </w:rPr>
        <w:t>of</w:t>
      </w:r>
      <w:r w:rsidR="00713C07" w:rsidRPr="00F84BDD">
        <w:rPr>
          <w:rFonts w:ascii="Arial" w:hAnsi="Arial" w:cs="Arial"/>
          <w:sz w:val="22"/>
        </w:rPr>
        <w:t xml:space="preserve"> </w:t>
      </w:r>
      <w:r w:rsidR="00DF35C0" w:rsidRPr="00F84BDD">
        <w:rPr>
          <w:rFonts w:ascii="Arial" w:hAnsi="Arial" w:cs="Arial"/>
          <w:sz w:val="22"/>
        </w:rPr>
        <w:t>$1.7</w:t>
      </w:r>
      <w:r w:rsidR="004F68BA" w:rsidRPr="00F84BDD">
        <w:rPr>
          <w:rFonts w:ascii="Arial" w:hAnsi="Arial" w:cs="Arial"/>
          <w:sz w:val="22"/>
        </w:rPr>
        <w:t>3</w:t>
      </w:r>
      <w:r w:rsidR="006D3C8D" w:rsidRPr="00F84BDD">
        <w:rPr>
          <w:rFonts w:ascii="Arial" w:hAnsi="Arial" w:cs="Arial"/>
          <w:sz w:val="22"/>
        </w:rPr>
        <w:t xml:space="preserve">, up </w:t>
      </w:r>
      <w:r w:rsidR="004C2CC6" w:rsidRPr="00F84BDD">
        <w:rPr>
          <w:rFonts w:ascii="Arial" w:hAnsi="Arial" w:cs="Arial"/>
          <w:sz w:val="22"/>
        </w:rPr>
        <w:t xml:space="preserve">more than </w:t>
      </w:r>
      <w:r w:rsidR="006D3C8D" w:rsidRPr="00F84BDD">
        <w:rPr>
          <w:rFonts w:ascii="Arial" w:hAnsi="Arial" w:cs="Arial"/>
          <w:sz w:val="22"/>
        </w:rPr>
        <w:t>20%</w:t>
      </w:r>
      <w:r w:rsidR="00DF35C0" w:rsidRPr="00F84BDD">
        <w:rPr>
          <w:rFonts w:ascii="Arial" w:hAnsi="Arial" w:cs="Arial"/>
          <w:sz w:val="22"/>
        </w:rPr>
        <w:t>, and adjusted</w:t>
      </w:r>
      <w:r w:rsidR="00F7653C" w:rsidRPr="00F84BDD">
        <w:rPr>
          <w:rFonts w:ascii="Arial" w:hAnsi="Arial" w:cs="Arial"/>
          <w:sz w:val="22"/>
        </w:rPr>
        <w:t>,</w:t>
      </w:r>
      <w:r w:rsidR="00DF35C0" w:rsidRPr="00F84BDD">
        <w:rPr>
          <w:rFonts w:ascii="Arial" w:hAnsi="Arial" w:cs="Arial"/>
          <w:sz w:val="22"/>
        </w:rPr>
        <w:t xml:space="preserve"> diluted earnings</w:t>
      </w:r>
      <w:r w:rsidR="006D3C8D" w:rsidRPr="00F84BDD">
        <w:rPr>
          <w:rFonts w:ascii="Arial" w:hAnsi="Arial" w:cs="Arial"/>
          <w:sz w:val="22"/>
        </w:rPr>
        <w:t xml:space="preserve"> </w:t>
      </w:r>
      <w:r w:rsidR="00DF35C0" w:rsidRPr="00F84BDD">
        <w:rPr>
          <w:rFonts w:ascii="Arial" w:hAnsi="Arial" w:cs="Arial"/>
          <w:sz w:val="22"/>
        </w:rPr>
        <w:t>per</w:t>
      </w:r>
      <w:r w:rsidR="006D3C8D" w:rsidRPr="00F84BDD">
        <w:rPr>
          <w:rFonts w:ascii="Arial" w:hAnsi="Arial" w:cs="Arial"/>
          <w:sz w:val="22"/>
        </w:rPr>
        <w:t xml:space="preserve"> </w:t>
      </w:r>
      <w:r w:rsidR="00DF35C0" w:rsidRPr="00F84BDD">
        <w:rPr>
          <w:rFonts w:ascii="Arial" w:hAnsi="Arial" w:cs="Arial"/>
          <w:sz w:val="22"/>
        </w:rPr>
        <w:t xml:space="preserve">share </w:t>
      </w:r>
      <w:r w:rsidR="00D34882" w:rsidRPr="00F84BDD">
        <w:rPr>
          <w:rFonts w:ascii="Arial" w:hAnsi="Arial" w:cs="Arial"/>
          <w:sz w:val="22"/>
        </w:rPr>
        <w:t xml:space="preserve">of </w:t>
      </w:r>
      <w:r w:rsidR="00DF35C0" w:rsidRPr="00F84BDD">
        <w:rPr>
          <w:rFonts w:ascii="Arial" w:hAnsi="Arial" w:cs="Arial"/>
          <w:sz w:val="22"/>
        </w:rPr>
        <w:t>$1.</w:t>
      </w:r>
      <w:r w:rsidR="004F68BA" w:rsidRPr="00F84BDD">
        <w:rPr>
          <w:rFonts w:ascii="Arial" w:hAnsi="Arial" w:cs="Arial"/>
          <w:sz w:val="22"/>
        </w:rPr>
        <w:t>82</w:t>
      </w:r>
      <w:r w:rsidR="006D3C8D" w:rsidRPr="00F84BDD">
        <w:rPr>
          <w:rFonts w:ascii="Arial" w:hAnsi="Arial" w:cs="Arial"/>
          <w:sz w:val="22"/>
        </w:rPr>
        <w:t>, up 26%</w:t>
      </w:r>
      <w:r w:rsidR="006A56E7" w:rsidRPr="00F84BDD">
        <w:rPr>
          <w:rFonts w:ascii="Arial" w:hAnsi="Arial" w:cs="Arial"/>
          <w:sz w:val="22"/>
        </w:rPr>
        <w:t xml:space="preserve">. </w:t>
      </w:r>
      <w:r w:rsidR="00C503E5" w:rsidRPr="00F84BDD">
        <w:rPr>
          <w:rFonts w:ascii="Arial" w:hAnsi="Arial" w:cs="Arial"/>
          <w:sz w:val="22"/>
        </w:rPr>
        <w:t xml:space="preserve"> </w:t>
      </w:r>
    </w:p>
    <w:p w:rsidR="00DA1BB4" w:rsidRPr="00F84BDD" w:rsidRDefault="00DA1BB4" w:rsidP="00765F93">
      <w:pPr>
        <w:ind w:firstLine="720"/>
        <w:rPr>
          <w:rFonts w:ascii="Arial" w:hAnsi="Arial" w:cs="Arial"/>
          <w:sz w:val="22"/>
        </w:rPr>
      </w:pPr>
    </w:p>
    <w:p w:rsidR="00E91AEF" w:rsidRPr="00F84BDD" w:rsidRDefault="004F68BA" w:rsidP="00765F93">
      <w:pPr>
        <w:ind w:firstLine="720"/>
        <w:rPr>
          <w:rFonts w:ascii="Arial" w:hAnsi="Arial" w:cs="Arial"/>
          <w:sz w:val="22"/>
        </w:rPr>
      </w:pPr>
      <w:r w:rsidRPr="00F84BDD">
        <w:rPr>
          <w:rFonts w:ascii="Arial" w:hAnsi="Arial" w:cs="Arial"/>
          <w:sz w:val="22"/>
        </w:rPr>
        <w:t>Third</w:t>
      </w:r>
      <w:r w:rsidR="006D3C8D" w:rsidRPr="00F84BDD">
        <w:rPr>
          <w:rFonts w:ascii="Arial" w:hAnsi="Arial" w:cs="Arial"/>
          <w:sz w:val="22"/>
        </w:rPr>
        <w:t>-</w:t>
      </w:r>
      <w:r w:rsidRPr="00F84BDD">
        <w:rPr>
          <w:rFonts w:ascii="Arial" w:hAnsi="Arial" w:cs="Arial"/>
          <w:sz w:val="22"/>
        </w:rPr>
        <w:t>quarter</w:t>
      </w:r>
      <w:r w:rsidR="005E5BC4" w:rsidRPr="00F84BDD">
        <w:rPr>
          <w:rFonts w:ascii="Arial" w:hAnsi="Arial" w:cs="Arial"/>
          <w:sz w:val="22"/>
        </w:rPr>
        <w:t xml:space="preserve"> adjusted results exclude a </w:t>
      </w:r>
      <w:r w:rsidR="00BB3101" w:rsidRPr="00F84BDD">
        <w:rPr>
          <w:rFonts w:ascii="Arial" w:hAnsi="Arial" w:cs="Arial"/>
          <w:sz w:val="22"/>
        </w:rPr>
        <w:t xml:space="preserve">pre-tax </w:t>
      </w:r>
      <w:r w:rsidR="005E5BC4" w:rsidRPr="00F84BDD">
        <w:rPr>
          <w:rFonts w:ascii="Arial" w:hAnsi="Arial" w:cs="Arial"/>
          <w:sz w:val="22"/>
        </w:rPr>
        <w:t>charge of $</w:t>
      </w:r>
      <w:r w:rsidRPr="00F84BDD">
        <w:rPr>
          <w:rFonts w:ascii="Arial" w:hAnsi="Arial" w:cs="Arial"/>
          <w:sz w:val="22"/>
        </w:rPr>
        <w:t>97</w:t>
      </w:r>
      <w:r w:rsidR="005E5BC4" w:rsidRPr="00F84BDD">
        <w:rPr>
          <w:rFonts w:ascii="Arial" w:hAnsi="Arial" w:cs="Arial"/>
          <w:sz w:val="22"/>
        </w:rPr>
        <w:t xml:space="preserve"> million, or $0.</w:t>
      </w:r>
      <w:r w:rsidRPr="00F84BDD">
        <w:rPr>
          <w:rFonts w:ascii="Arial" w:hAnsi="Arial" w:cs="Arial"/>
          <w:sz w:val="22"/>
        </w:rPr>
        <w:t>09</w:t>
      </w:r>
      <w:r w:rsidR="005E5BC4" w:rsidRPr="00F84BDD">
        <w:rPr>
          <w:rFonts w:ascii="Arial" w:hAnsi="Arial" w:cs="Arial"/>
          <w:sz w:val="22"/>
        </w:rPr>
        <w:t xml:space="preserve"> per share</w:t>
      </w:r>
      <w:r w:rsidR="00BB3101" w:rsidRPr="00F84BDD">
        <w:rPr>
          <w:rFonts w:ascii="Arial" w:hAnsi="Arial" w:cs="Arial"/>
          <w:sz w:val="22"/>
        </w:rPr>
        <w:t xml:space="preserve"> after</w:t>
      </w:r>
      <w:r w:rsidR="006D3C8D" w:rsidRPr="00F84BDD">
        <w:rPr>
          <w:rFonts w:ascii="Arial" w:hAnsi="Arial" w:cs="Arial"/>
          <w:sz w:val="22"/>
        </w:rPr>
        <w:t xml:space="preserve"> </w:t>
      </w:r>
      <w:r w:rsidR="00BB3101" w:rsidRPr="00F84BDD">
        <w:rPr>
          <w:rFonts w:ascii="Arial" w:hAnsi="Arial" w:cs="Arial"/>
          <w:sz w:val="22"/>
        </w:rPr>
        <w:t>tax</w:t>
      </w:r>
      <w:r w:rsidR="005E5BC4" w:rsidRPr="00F84BDD">
        <w:rPr>
          <w:rFonts w:ascii="Arial" w:hAnsi="Arial" w:cs="Arial"/>
          <w:sz w:val="22"/>
        </w:rPr>
        <w:t>, due to transformation</w:t>
      </w:r>
      <w:r w:rsidR="00F7653C" w:rsidRPr="00F84BDD">
        <w:rPr>
          <w:rFonts w:ascii="Arial" w:hAnsi="Arial" w:cs="Arial"/>
          <w:sz w:val="22"/>
        </w:rPr>
        <w:t>-</w:t>
      </w:r>
      <w:r w:rsidRPr="00F84BDD">
        <w:rPr>
          <w:rFonts w:ascii="Arial" w:hAnsi="Arial" w:cs="Arial"/>
          <w:sz w:val="22"/>
        </w:rPr>
        <w:t xml:space="preserve">related </w:t>
      </w:r>
      <w:r w:rsidR="005E5BC4" w:rsidRPr="00F84BDD">
        <w:rPr>
          <w:rFonts w:ascii="Arial" w:hAnsi="Arial" w:cs="Arial"/>
          <w:sz w:val="22"/>
        </w:rPr>
        <w:t>costs.</w:t>
      </w:r>
      <w:r w:rsidR="006316A1" w:rsidRPr="00F84BDD">
        <w:rPr>
          <w:rFonts w:ascii="Arial" w:hAnsi="Arial" w:cs="Arial"/>
          <w:sz w:val="22"/>
        </w:rPr>
        <w:t xml:space="preserve">  These </w:t>
      </w:r>
      <w:r w:rsidR="0067308B" w:rsidRPr="00F84BDD">
        <w:rPr>
          <w:rFonts w:ascii="Arial" w:hAnsi="Arial" w:cs="Arial"/>
          <w:sz w:val="22"/>
        </w:rPr>
        <w:t xml:space="preserve">projects </w:t>
      </w:r>
      <w:r w:rsidR="006316A1" w:rsidRPr="00F84BDD">
        <w:rPr>
          <w:rFonts w:ascii="Arial" w:hAnsi="Arial" w:cs="Arial"/>
          <w:sz w:val="22"/>
        </w:rPr>
        <w:t xml:space="preserve">are </w:t>
      </w:r>
      <w:r w:rsidR="0067308B" w:rsidRPr="00F84BDD">
        <w:rPr>
          <w:rFonts w:ascii="Arial" w:hAnsi="Arial" w:cs="Arial"/>
          <w:sz w:val="22"/>
        </w:rPr>
        <w:t xml:space="preserve">a </w:t>
      </w:r>
      <w:r w:rsidR="004C2CC6" w:rsidRPr="00F84BDD">
        <w:rPr>
          <w:rFonts w:ascii="Arial" w:hAnsi="Arial" w:cs="Arial"/>
          <w:sz w:val="22"/>
        </w:rPr>
        <w:t>part of the company’s transformation initiatives that will</w:t>
      </w:r>
      <w:r w:rsidR="0097588E" w:rsidRPr="00F84BDD">
        <w:rPr>
          <w:rFonts w:ascii="Arial" w:hAnsi="Arial" w:cs="Arial"/>
          <w:sz w:val="22"/>
        </w:rPr>
        <w:t xml:space="preserve"> </w:t>
      </w:r>
      <w:r w:rsidR="0067308B" w:rsidRPr="00F84BDD">
        <w:rPr>
          <w:rFonts w:ascii="Arial" w:hAnsi="Arial" w:cs="Arial"/>
          <w:sz w:val="22"/>
        </w:rPr>
        <w:t>create efficiencies across the enterprise</w:t>
      </w:r>
      <w:r w:rsidR="0097588E" w:rsidRPr="00F84BDD">
        <w:rPr>
          <w:rFonts w:ascii="Arial" w:hAnsi="Arial" w:cs="Arial"/>
          <w:sz w:val="22"/>
        </w:rPr>
        <w:t>.</w:t>
      </w:r>
      <w:r w:rsidR="0056318B" w:rsidRPr="00F84BDD">
        <w:rPr>
          <w:rFonts w:ascii="Arial" w:hAnsi="Arial" w:cs="Arial"/>
          <w:sz w:val="22"/>
        </w:rPr>
        <w:t xml:space="preserve">  </w:t>
      </w:r>
      <w:r w:rsidR="0067308B" w:rsidRPr="00F84BDD">
        <w:rPr>
          <w:rFonts w:ascii="Arial" w:hAnsi="Arial" w:cs="Arial"/>
          <w:sz w:val="22"/>
        </w:rPr>
        <w:t>Transformation will also produce higher-quality revenue growth.</w:t>
      </w:r>
      <w:r w:rsidR="006316A1" w:rsidRPr="00F84BDD">
        <w:rPr>
          <w:rFonts w:ascii="Arial" w:hAnsi="Arial" w:cs="Arial"/>
          <w:sz w:val="22"/>
        </w:rPr>
        <w:t xml:space="preserve"> </w:t>
      </w:r>
      <w:r w:rsidR="005E5BC4" w:rsidRPr="00F84BDD">
        <w:rPr>
          <w:rFonts w:ascii="Arial" w:hAnsi="Arial" w:cs="Arial"/>
          <w:sz w:val="22"/>
        </w:rPr>
        <w:t xml:space="preserve">   </w:t>
      </w:r>
      <w:r w:rsidR="00E91AEF" w:rsidRPr="00F84BDD">
        <w:rPr>
          <w:rFonts w:ascii="Arial" w:hAnsi="Arial" w:cs="Arial"/>
          <w:sz w:val="22"/>
        </w:rPr>
        <w:t xml:space="preserve"> </w:t>
      </w:r>
    </w:p>
    <w:p w:rsidR="00940590" w:rsidRPr="00F84BDD" w:rsidRDefault="00940590" w:rsidP="00765F93">
      <w:pPr>
        <w:ind w:firstLine="720"/>
        <w:rPr>
          <w:rFonts w:ascii="Arial" w:hAnsi="Arial" w:cs="Arial"/>
          <w:sz w:val="22"/>
        </w:rPr>
      </w:pPr>
    </w:p>
    <w:tbl>
      <w:tblPr>
        <w:tblStyle w:val="TableGrid"/>
        <w:tblW w:w="75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1428"/>
        <w:gridCol w:w="1361"/>
        <w:gridCol w:w="1604"/>
      </w:tblGrid>
      <w:tr w:rsidR="00F173C9" w:rsidRPr="00F84BDD" w:rsidTr="00DF35C0">
        <w:trPr>
          <w:jc w:val="center"/>
        </w:trPr>
        <w:tc>
          <w:tcPr>
            <w:tcW w:w="3168" w:type="dxa"/>
          </w:tcPr>
          <w:p w:rsidR="00F173C9" w:rsidRPr="00F84BDD" w:rsidRDefault="00F173C9" w:rsidP="00174DB0">
            <w:pPr>
              <w:rPr>
                <w:rFonts w:ascii="Arial" w:hAnsi="Arial" w:cs="Arial"/>
                <w:b/>
                <w:sz w:val="20"/>
                <w:szCs w:val="22"/>
                <w:u w:val="single"/>
              </w:rPr>
            </w:pPr>
          </w:p>
          <w:p w:rsidR="00F173C9" w:rsidRPr="00F84BDD" w:rsidRDefault="00F173C9" w:rsidP="00174DB0">
            <w:pPr>
              <w:rPr>
                <w:rFonts w:ascii="Arial" w:hAnsi="Arial" w:cs="Arial"/>
                <w:b/>
                <w:sz w:val="20"/>
                <w:szCs w:val="22"/>
                <w:u w:val="single"/>
              </w:rPr>
            </w:pPr>
            <w:r w:rsidRPr="00F84BDD">
              <w:rPr>
                <w:rFonts w:ascii="Arial" w:hAnsi="Arial" w:cs="Arial"/>
                <w:b/>
                <w:sz w:val="20"/>
                <w:szCs w:val="22"/>
                <w:u w:val="single"/>
              </w:rPr>
              <w:t>Consolidated Results</w:t>
            </w:r>
          </w:p>
        </w:tc>
        <w:tc>
          <w:tcPr>
            <w:tcW w:w="1428" w:type="dxa"/>
          </w:tcPr>
          <w:p w:rsidR="00F173C9" w:rsidRPr="00F84BDD" w:rsidRDefault="00F173C9" w:rsidP="00174DB0">
            <w:pPr>
              <w:jc w:val="right"/>
              <w:rPr>
                <w:rFonts w:ascii="Arial" w:hAnsi="Arial" w:cs="Arial"/>
                <w:b/>
                <w:sz w:val="20"/>
                <w:szCs w:val="22"/>
                <w:u w:val="single"/>
              </w:rPr>
            </w:pPr>
          </w:p>
          <w:p w:rsidR="00F173C9" w:rsidRPr="00F84BDD" w:rsidRDefault="004F68BA" w:rsidP="00DF7166">
            <w:pPr>
              <w:jc w:val="right"/>
              <w:rPr>
                <w:rFonts w:ascii="Arial" w:hAnsi="Arial" w:cs="Arial"/>
                <w:b/>
                <w:sz w:val="20"/>
                <w:szCs w:val="22"/>
                <w:u w:val="single"/>
              </w:rPr>
            </w:pPr>
            <w:r w:rsidRPr="00F84BDD">
              <w:rPr>
                <w:rFonts w:ascii="Arial" w:hAnsi="Arial" w:cs="Arial"/>
                <w:b/>
                <w:sz w:val="20"/>
                <w:szCs w:val="22"/>
                <w:u w:val="single"/>
              </w:rPr>
              <w:t>3</w:t>
            </w:r>
            <w:r w:rsidR="00F173C9" w:rsidRPr="00F84BDD">
              <w:rPr>
                <w:rFonts w:ascii="Arial" w:hAnsi="Arial" w:cs="Arial"/>
                <w:b/>
                <w:sz w:val="20"/>
                <w:szCs w:val="22"/>
                <w:u w:val="single"/>
              </w:rPr>
              <w:t>Q 2018</w:t>
            </w:r>
          </w:p>
        </w:tc>
        <w:tc>
          <w:tcPr>
            <w:tcW w:w="1361" w:type="dxa"/>
          </w:tcPr>
          <w:p w:rsidR="00F173C9" w:rsidRPr="00F84BDD" w:rsidRDefault="00F173C9" w:rsidP="00174DB0">
            <w:pPr>
              <w:jc w:val="right"/>
              <w:rPr>
                <w:rFonts w:ascii="Arial" w:hAnsi="Arial" w:cs="Arial"/>
                <w:b/>
                <w:sz w:val="20"/>
                <w:szCs w:val="22"/>
                <w:u w:val="single"/>
              </w:rPr>
            </w:pPr>
            <w:r w:rsidRPr="00F84BDD">
              <w:rPr>
                <w:rFonts w:ascii="Arial" w:hAnsi="Arial" w:cs="Arial"/>
                <w:b/>
                <w:sz w:val="20"/>
                <w:szCs w:val="22"/>
                <w:u w:val="single"/>
              </w:rPr>
              <w:t>Adjusted</w:t>
            </w:r>
          </w:p>
          <w:p w:rsidR="00F173C9" w:rsidRPr="00F84BDD" w:rsidRDefault="004F68BA" w:rsidP="00DF7166">
            <w:pPr>
              <w:jc w:val="right"/>
              <w:rPr>
                <w:rFonts w:ascii="Arial" w:hAnsi="Arial" w:cs="Arial"/>
                <w:b/>
                <w:sz w:val="20"/>
                <w:szCs w:val="22"/>
                <w:u w:val="single"/>
              </w:rPr>
            </w:pPr>
            <w:r w:rsidRPr="00F84BDD">
              <w:rPr>
                <w:rFonts w:ascii="Arial" w:hAnsi="Arial" w:cs="Arial"/>
                <w:b/>
                <w:sz w:val="20"/>
                <w:szCs w:val="22"/>
                <w:u w:val="single"/>
              </w:rPr>
              <w:t>3</w:t>
            </w:r>
            <w:r w:rsidR="00F173C9" w:rsidRPr="00F84BDD">
              <w:rPr>
                <w:rFonts w:ascii="Arial" w:hAnsi="Arial" w:cs="Arial"/>
                <w:b/>
                <w:sz w:val="20"/>
                <w:szCs w:val="22"/>
                <w:u w:val="single"/>
              </w:rPr>
              <w:t>Q 2018</w:t>
            </w:r>
          </w:p>
        </w:tc>
        <w:tc>
          <w:tcPr>
            <w:tcW w:w="1604" w:type="dxa"/>
          </w:tcPr>
          <w:p w:rsidR="00F173C9" w:rsidRPr="00F84BDD" w:rsidRDefault="00F173C9" w:rsidP="00174DB0">
            <w:pPr>
              <w:jc w:val="right"/>
              <w:rPr>
                <w:rFonts w:ascii="Arial" w:hAnsi="Arial" w:cs="Arial"/>
                <w:b/>
                <w:sz w:val="20"/>
                <w:szCs w:val="22"/>
                <w:u w:val="single"/>
              </w:rPr>
            </w:pPr>
          </w:p>
          <w:p w:rsidR="00F173C9" w:rsidRPr="00F84BDD" w:rsidRDefault="004F68BA">
            <w:pPr>
              <w:jc w:val="right"/>
              <w:rPr>
                <w:rFonts w:ascii="Arial" w:hAnsi="Arial" w:cs="Arial"/>
                <w:b/>
                <w:sz w:val="20"/>
                <w:szCs w:val="22"/>
                <w:u w:val="single"/>
              </w:rPr>
            </w:pPr>
            <w:r w:rsidRPr="00F84BDD">
              <w:rPr>
                <w:rFonts w:ascii="Arial" w:hAnsi="Arial" w:cs="Arial"/>
                <w:b/>
                <w:sz w:val="20"/>
                <w:szCs w:val="22"/>
                <w:u w:val="single"/>
              </w:rPr>
              <w:t>3</w:t>
            </w:r>
            <w:r w:rsidR="00F173C9" w:rsidRPr="00F84BDD">
              <w:rPr>
                <w:rFonts w:ascii="Arial" w:hAnsi="Arial" w:cs="Arial"/>
                <w:b/>
                <w:sz w:val="20"/>
                <w:szCs w:val="22"/>
                <w:u w:val="single"/>
              </w:rPr>
              <w:t>Q 2017</w:t>
            </w:r>
          </w:p>
        </w:tc>
      </w:tr>
      <w:tr w:rsidR="00F173C9" w:rsidRPr="00F84BDD" w:rsidTr="00DF35C0">
        <w:trPr>
          <w:jc w:val="center"/>
        </w:trPr>
        <w:tc>
          <w:tcPr>
            <w:tcW w:w="3168" w:type="dxa"/>
          </w:tcPr>
          <w:p w:rsidR="00F173C9" w:rsidRPr="00F84BDD" w:rsidRDefault="00F173C9" w:rsidP="00174DB0">
            <w:pPr>
              <w:rPr>
                <w:rFonts w:ascii="Arial" w:hAnsi="Arial" w:cs="Arial"/>
                <w:sz w:val="20"/>
                <w:szCs w:val="22"/>
              </w:rPr>
            </w:pPr>
            <w:r w:rsidRPr="00F84BDD">
              <w:rPr>
                <w:rFonts w:ascii="Arial" w:hAnsi="Arial" w:cs="Arial"/>
                <w:sz w:val="20"/>
                <w:szCs w:val="22"/>
              </w:rPr>
              <w:t>Revenue</w:t>
            </w:r>
          </w:p>
        </w:tc>
        <w:tc>
          <w:tcPr>
            <w:tcW w:w="1428" w:type="dxa"/>
          </w:tcPr>
          <w:p w:rsidR="00F173C9" w:rsidRPr="00F84BDD" w:rsidRDefault="00F173C9" w:rsidP="004F68BA">
            <w:pPr>
              <w:jc w:val="right"/>
              <w:rPr>
                <w:rFonts w:ascii="Arial" w:hAnsi="Arial" w:cs="Arial"/>
                <w:sz w:val="20"/>
                <w:szCs w:val="22"/>
              </w:rPr>
            </w:pPr>
            <w:r w:rsidRPr="00F84BDD">
              <w:rPr>
                <w:rFonts w:ascii="Arial" w:hAnsi="Arial" w:cs="Arial"/>
                <w:sz w:val="20"/>
                <w:szCs w:val="22"/>
              </w:rPr>
              <w:t>$17,4</w:t>
            </w:r>
            <w:r w:rsidR="004F68BA" w:rsidRPr="00F84BDD">
              <w:rPr>
                <w:rFonts w:ascii="Arial" w:hAnsi="Arial" w:cs="Arial"/>
                <w:sz w:val="20"/>
                <w:szCs w:val="22"/>
              </w:rPr>
              <w:t>44</w:t>
            </w:r>
            <w:r w:rsidRPr="00F84BDD">
              <w:rPr>
                <w:rFonts w:ascii="Arial" w:hAnsi="Arial" w:cs="Arial"/>
                <w:sz w:val="20"/>
                <w:szCs w:val="22"/>
              </w:rPr>
              <w:t xml:space="preserve"> M</w:t>
            </w:r>
          </w:p>
        </w:tc>
        <w:tc>
          <w:tcPr>
            <w:tcW w:w="1361" w:type="dxa"/>
          </w:tcPr>
          <w:p w:rsidR="00F173C9" w:rsidRPr="00F84BDD" w:rsidRDefault="00F173C9" w:rsidP="00174DB0">
            <w:pPr>
              <w:jc w:val="right"/>
              <w:rPr>
                <w:rFonts w:ascii="Arial" w:hAnsi="Arial" w:cs="Arial"/>
                <w:sz w:val="20"/>
                <w:szCs w:val="22"/>
              </w:rPr>
            </w:pPr>
          </w:p>
        </w:tc>
        <w:tc>
          <w:tcPr>
            <w:tcW w:w="1604" w:type="dxa"/>
          </w:tcPr>
          <w:p w:rsidR="00F173C9" w:rsidRPr="00F84BDD" w:rsidRDefault="00F173C9" w:rsidP="004F68BA">
            <w:pPr>
              <w:jc w:val="right"/>
              <w:rPr>
                <w:rFonts w:ascii="Arial" w:hAnsi="Arial" w:cs="Arial"/>
                <w:sz w:val="20"/>
                <w:szCs w:val="22"/>
              </w:rPr>
            </w:pPr>
            <w:r w:rsidRPr="00F84BDD">
              <w:rPr>
                <w:rFonts w:ascii="Arial" w:hAnsi="Arial" w:cs="Arial"/>
                <w:sz w:val="20"/>
                <w:szCs w:val="22"/>
              </w:rPr>
              <w:t>$</w:t>
            </w:r>
            <w:r w:rsidR="004F68BA" w:rsidRPr="00F84BDD">
              <w:rPr>
                <w:rFonts w:ascii="Arial" w:hAnsi="Arial" w:cs="Arial"/>
                <w:sz w:val="20"/>
                <w:szCs w:val="22"/>
              </w:rPr>
              <w:t>16</w:t>
            </w:r>
            <w:r w:rsidRPr="00F84BDD">
              <w:rPr>
                <w:rFonts w:ascii="Arial" w:hAnsi="Arial" w:cs="Arial"/>
                <w:sz w:val="20"/>
                <w:szCs w:val="22"/>
              </w:rPr>
              <w:t>,</w:t>
            </w:r>
            <w:r w:rsidR="004F68BA" w:rsidRPr="00F84BDD">
              <w:rPr>
                <w:rFonts w:ascii="Arial" w:hAnsi="Arial" w:cs="Arial"/>
                <w:sz w:val="20"/>
                <w:szCs w:val="22"/>
              </w:rPr>
              <w:t>173</w:t>
            </w:r>
            <w:r w:rsidRPr="00F84BDD">
              <w:rPr>
                <w:rFonts w:ascii="Arial" w:hAnsi="Arial" w:cs="Arial"/>
                <w:sz w:val="20"/>
                <w:szCs w:val="22"/>
              </w:rPr>
              <w:t xml:space="preserve"> M</w:t>
            </w:r>
          </w:p>
        </w:tc>
      </w:tr>
      <w:tr w:rsidR="00F173C9" w:rsidRPr="00F84BDD" w:rsidTr="00DF35C0">
        <w:trPr>
          <w:jc w:val="center"/>
        </w:trPr>
        <w:tc>
          <w:tcPr>
            <w:tcW w:w="3168" w:type="dxa"/>
          </w:tcPr>
          <w:p w:rsidR="00F173C9" w:rsidRPr="00F84BDD" w:rsidRDefault="00DC24DD">
            <w:pPr>
              <w:rPr>
                <w:rFonts w:ascii="Arial" w:hAnsi="Arial" w:cs="Arial"/>
                <w:sz w:val="20"/>
                <w:szCs w:val="22"/>
              </w:rPr>
            </w:pPr>
            <w:r w:rsidRPr="00F84BDD">
              <w:rPr>
                <w:rFonts w:ascii="Arial" w:hAnsi="Arial" w:cs="Arial"/>
                <w:sz w:val="20"/>
                <w:szCs w:val="22"/>
              </w:rPr>
              <w:t>Net Income</w:t>
            </w:r>
            <w:r w:rsidR="00F173C9" w:rsidRPr="00F84BDD">
              <w:rPr>
                <w:rFonts w:ascii="Arial" w:hAnsi="Arial" w:cs="Arial"/>
                <w:sz w:val="20"/>
                <w:szCs w:val="22"/>
              </w:rPr>
              <w:t xml:space="preserve"> </w:t>
            </w:r>
          </w:p>
        </w:tc>
        <w:tc>
          <w:tcPr>
            <w:tcW w:w="1428" w:type="dxa"/>
          </w:tcPr>
          <w:p w:rsidR="00F173C9" w:rsidRPr="00F84BDD" w:rsidRDefault="00F173C9" w:rsidP="004F68BA">
            <w:pPr>
              <w:jc w:val="right"/>
              <w:rPr>
                <w:rFonts w:ascii="Arial" w:hAnsi="Arial" w:cs="Arial"/>
                <w:sz w:val="20"/>
                <w:szCs w:val="22"/>
              </w:rPr>
            </w:pPr>
            <w:r w:rsidRPr="00F84BDD">
              <w:rPr>
                <w:rFonts w:ascii="Arial" w:hAnsi="Arial" w:cs="Arial"/>
                <w:sz w:val="20"/>
                <w:szCs w:val="22"/>
              </w:rPr>
              <w:t>$</w:t>
            </w:r>
            <w:r w:rsidR="00DC24DD" w:rsidRPr="00F84BDD">
              <w:rPr>
                <w:rFonts w:ascii="Arial" w:hAnsi="Arial" w:cs="Arial"/>
                <w:sz w:val="20"/>
                <w:szCs w:val="22"/>
              </w:rPr>
              <w:t>1,</w:t>
            </w:r>
            <w:r w:rsidR="004F68BA" w:rsidRPr="00F84BDD">
              <w:rPr>
                <w:rFonts w:ascii="Arial" w:hAnsi="Arial" w:cs="Arial"/>
                <w:sz w:val="20"/>
                <w:szCs w:val="22"/>
              </w:rPr>
              <w:t>508</w:t>
            </w:r>
            <w:r w:rsidRPr="00F84BDD">
              <w:rPr>
                <w:rFonts w:ascii="Arial" w:hAnsi="Arial" w:cs="Arial"/>
                <w:sz w:val="20"/>
                <w:szCs w:val="22"/>
              </w:rPr>
              <w:t xml:space="preserve"> M</w:t>
            </w:r>
          </w:p>
        </w:tc>
        <w:tc>
          <w:tcPr>
            <w:tcW w:w="1361" w:type="dxa"/>
          </w:tcPr>
          <w:p w:rsidR="00F173C9" w:rsidRPr="00F84BDD" w:rsidRDefault="00F173C9" w:rsidP="004F68BA">
            <w:pPr>
              <w:jc w:val="right"/>
              <w:rPr>
                <w:rFonts w:ascii="Arial" w:hAnsi="Arial" w:cs="Arial"/>
                <w:sz w:val="20"/>
                <w:szCs w:val="22"/>
              </w:rPr>
            </w:pPr>
            <w:r w:rsidRPr="00F84BDD">
              <w:rPr>
                <w:rFonts w:ascii="Arial" w:hAnsi="Arial" w:cs="Arial"/>
                <w:sz w:val="20"/>
                <w:szCs w:val="22"/>
              </w:rPr>
              <w:t>$</w:t>
            </w:r>
            <w:r w:rsidR="00DC24DD" w:rsidRPr="00F84BDD">
              <w:rPr>
                <w:rFonts w:ascii="Arial" w:hAnsi="Arial" w:cs="Arial"/>
                <w:sz w:val="20"/>
                <w:szCs w:val="22"/>
              </w:rPr>
              <w:t>1,</w:t>
            </w:r>
            <w:r w:rsidR="004F68BA" w:rsidRPr="00F84BDD">
              <w:rPr>
                <w:rFonts w:ascii="Arial" w:hAnsi="Arial" w:cs="Arial"/>
                <w:sz w:val="20"/>
                <w:szCs w:val="22"/>
              </w:rPr>
              <w:t>581</w:t>
            </w:r>
            <w:r w:rsidRPr="00F84BDD">
              <w:rPr>
                <w:rFonts w:ascii="Arial" w:hAnsi="Arial" w:cs="Arial"/>
                <w:sz w:val="20"/>
                <w:szCs w:val="22"/>
              </w:rPr>
              <w:t xml:space="preserve"> M</w:t>
            </w:r>
          </w:p>
        </w:tc>
        <w:tc>
          <w:tcPr>
            <w:tcW w:w="1604" w:type="dxa"/>
          </w:tcPr>
          <w:p w:rsidR="00F173C9" w:rsidRPr="00F84BDD" w:rsidRDefault="00DC24DD" w:rsidP="00E252FF">
            <w:pPr>
              <w:jc w:val="right"/>
              <w:rPr>
                <w:rFonts w:ascii="Arial" w:hAnsi="Arial" w:cs="Arial"/>
                <w:sz w:val="20"/>
                <w:szCs w:val="22"/>
              </w:rPr>
            </w:pPr>
            <w:r w:rsidRPr="00F84BDD">
              <w:rPr>
                <w:rFonts w:ascii="Arial" w:hAnsi="Arial" w:cs="Arial"/>
                <w:sz w:val="20"/>
                <w:szCs w:val="22"/>
              </w:rPr>
              <w:t>$1,</w:t>
            </w:r>
            <w:r w:rsidR="00E252FF" w:rsidRPr="00F84BDD">
              <w:rPr>
                <w:rFonts w:ascii="Arial" w:hAnsi="Arial" w:cs="Arial"/>
                <w:sz w:val="20"/>
                <w:szCs w:val="22"/>
              </w:rPr>
              <w:t>259</w:t>
            </w:r>
            <w:r w:rsidR="00F173C9" w:rsidRPr="00F84BDD">
              <w:rPr>
                <w:rFonts w:ascii="Arial" w:hAnsi="Arial" w:cs="Arial"/>
                <w:sz w:val="20"/>
                <w:szCs w:val="22"/>
              </w:rPr>
              <w:t xml:space="preserve"> M</w:t>
            </w:r>
          </w:p>
        </w:tc>
      </w:tr>
      <w:tr w:rsidR="00F173C9" w:rsidRPr="00F84BDD" w:rsidTr="00DF35C0">
        <w:trPr>
          <w:jc w:val="center"/>
        </w:trPr>
        <w:tc>
          <w:tcPr>
            <w:tcW w:w="3168" w:type="dxa"/>
          </w:tcPr>
          <w:p w:rsidR="00F173C9" w:rsidRPr="00F84BDD" w:rsidRDefault="00F173C9" w:rsidP="0067570D">
            <w:pPr>
              <w:rPr>
                <w:rFonts w:ascii="Arial" w:hAnsi="Arial" w:cs="Arial"/>
                <w:sz w:val="20"/>
                <w:szCs w:val="22"/>
              </w:rPr>
            </w:pPr>
            <w:r w:rsidRPr="00F84BDD">
              <w:rPr>
                <w:rFonts w:ascii="Arial" w:hAnsi="Arial" w:cs="Arial"/>
                <w:sz w:val="20"/>
                <w:szCs w:val="22"/>
              </w:rPr>
              <w:t xml:space="preserve">Diluted </w:t>
            </w:r>
            <w:r w:rsidR="0067570D" w:rsidRPr="00F84BDD">
              <w:rPr>
                <w:rFonts w:ascii="Arial" w:hAnsi="Arial" w:cs="Arial"/>
                <w:sz w:val="20"/>
                <w:szCs w:val="22"/>
              </w:rPr>
              <w:t>E</w:t>
            </w:r>
            <w:r w:rsidRPr="00F84BDD">
              <w:rPr>
                <w:rFonts w:ascii="Arial" w:hAnsi="Arial" w:cs="Arial"/>
                <w:sz w:val="20"/>
                <w:szCs w:val="22"/>
              </w:rPr>
              <w:t>arnings</w:t>
            </w:r>
            <w:r w:rsidR="00B12F3D" w:rsidRPr="00F84BDD">
              <w:rPr>
                <w:rFonts w:ascii="Arial" w:hAnsi="Arial" w:cs="Arial"/>
                <w:sz w:val="20"/>
                <w:szCs w:val="22"/>
              </w:rPr>
              <w:t xml:space="preserve"> </w:t>
            </w:r>
            <w:r w:rsidR="0067570D" w:rsidRPr="00F84BDD">
              <w:rPr>
                <w:rFonts w:ascii="Arial" w:hAnsi="Arial" w:cs="Arial"/>
                <w:sz w:val="20"/>
                <w:szCs w:val="22"/>
              </w:rPr>
              <w:t>P</w:t>
            </w:r>
            <w:r w:rsidRPr="00F84BDD">
              <w:rPr>
                <w:rFonts w:ascii="Arial" w:hAnsi="Arial" w:cs="Arial"/>
                <w:sz w:val="20"/>
                <w:szCs w:val="22"/>
              </w:rPr>
              <w:t xml:space="preserve">er </w:t>
            </w:r>
            <w:r w:rsidR="0067570D" w:rsidRPr="00F84BDD">
              <w:rPr>
                <w:rFonts w:ascii="Arial" w:hAnsi="Arial" w:cs="Arial"/>
                <w:sz w:val="20"/>
                <w:szCs w:val="22"/>
              </w:rPr>
              <w:t>S</w:t>
            </w:r>
            <w:r w:rsidRPr="00F84BDD">
              <w:rPr>
                <w:rFonts w:ascii="Arial" w:hAnsi="Arial" w:cs="Arial"/>
                <w:sz w:val="20"/>
                <w:szCs w:val="22"/>
              </w:rPr>
              <w:t>hare</w:t>
            </w:r>
          </w:p>
        </w:tc>
        <w:tc>
          <w:tcPr>
            <w:tcW w:w="1428" w:type="dxa"/>
          </w:tcPr>
          <w:p w:rsidR="00F173C9" w:rsidRPr="00F84BDD" w:rsidRDefault="00F173C9" w:rsidP="00E252FF">
            <w:pPr>
              <w:jc w:val="right"/>
              <w:rPr>
                <w:rFonts w:ascii="Arial" w:hAnsi="Arial" w:cs="Arial"/>
                <w:sz w:val="20"/>
                <w:szCs w:val="22"/>
              </w:rPr>
            </w:pPr>
            <w:r w:rsidRPr="00F84BDD">
              <w:rPr>
                <w:rFonts w:ascii="Arial" w:hAnsi="Arial" w:cs="Arial"/>
                <w:sz w:val="20"/>
                <w:szCs w:val="22"/>
              </w:rPr>
              <w:t>$1.7</w:t>
            </w:r>
            <w:r w:rsidR="00E252FF" w:rsidRPr="00F84BDD">
              <w:rPr>
                <w:rFonts w:ascii="Arial" w:hAnsi="Arial" w:cs="Arial"/>
                <w:sz w:val="20"/>
                <w:szCs w:val="22"/>
              </w:rPr>
              <w:t>3</w:t>
            </w:r>
          </w:p>
        </w:tc>
        <w:tc>
          <w:tcPr>
            <w:tcW w:w="1361" w:type="dxa"/>
          </w:tcPr>
          <w:p w:rsidR="00F173C9" w:rsidRPr="00F84BDD" w:rsidRDefault="00F173C9" w:rsidP="00E252FF">
            <w:pPr>
              <w:jc w:val="right"/>
              <w:rPr>
                <w:rFonts w:ascii="Arial" w:hAnsi="Arial" w:cs="Arial"/>
                <w:sz w:val="20"/>
                <w:szCs w:val="22"/>
              </w:rPr>
            </w:pPr>
            <w:r w:rsidRPr="00F84BDD">
              <w:rPr>
                <w:rFonts w:ascii="Arial" w:hAnsi="Arial" w:cs="Arial"/>
                <w:sz w:val="20"/>
                <w:szCs w:val="22"/>
              </w:rPr>
              <w:t>$1.</w:t>
            </w:r>
            <w:r w:rsidR="00E252FF" w:rsidRPr="00F84BDD">
              <w:rPr>
                <w:rFonts w:ascii="Arial" w:hAnsi="Arial" w:cs="Arial"/>
                <w:sz w:val="20"/>
                <w:szCs w:val="22"/>
              </w:rPr>
              <w:t>82</w:t>
            </w:r>
          </w:p>
        </w:tc>
        <w:tc>
          <w:tcPr>
            <w:tcW w:w="1604" w:type="dxa"/>
          </w:tcPr>
          <w:p w:rsidR="00F173C9" w:rsidRPr="00F84BDD" w:rsidRDefault="00F173C9" w:rsidP="00E252FF">
            <w:pPr>
              <w:jc w:val="right"/>
              <w:rPr>
                <w:rFonts w:ascii="Arial" w:hAnsi="Arial" w:cs="Arial"/>
                <w:sz w:val="20"/>
                <w:szCs w:val="22"/>
              </w:rPr>
            </w:pPr>
            <w:r w:rsidRPr="00F84BDD">
              <w:rPr>
                <w:rFonts w:ascii="Arial" w:hAnsi="Arial" w:cs="Arial"/>
                <w:sz w:val="20"/>
                <w:szCs w:val="22"/>
              </w:rPr>
              <w:t>$1.</w:t>
            </w:r>
            <w:r w:rsidR="00E252FF" w:rsidRPr="00F84BDD">
              <w:rPr>
                <w:rFonts w:ascii="Arial" w:hAnsi="Arial" w:cs="Arial"/>
                <w:sz w:val="20"/>
                <w:szCs w:val="22"/>
              </w:rPr>
              <w:t>44</w:t>
            </w:r>
          </w:p>
        </w:tc>
      </w:tr>
      <w:tr w:rsidR="00854198" w:rsidRPr="00F84BDD" w:rsidTr="00DF35C0">
        <w:trPr>
          <w:jc w:val="center"/>
        </w:trPr>
        <w:tc>
          <w:tcPr>
            <w:tcW w:w="3168" w:type="dxa"/>
          </w:tcPr>
          <w:p w:rsidR="00854198" w:rsidRPr="00F84BDD" w:rsidRDefault="00854198">
            <w:pPr>
              <w:rPr>
                <w:rFonts w:ascii="Arial" w:hAnsi="Arial" w:cs="Arial"/>
                <w:sz w:val="20"/>
                <w:szCs w:val="22"/>
              </w:rPr>
            </w:pPr>
            <w:r w:rsidRPr="00F84BDD">
              <w:rPr>
                <w:rFonts w:ascii="Arial" w:hAnsi="Arial" w:cs="Arial"/>
                <w:sz w:val="20"/>
                <w:szCs w:val="22"/>
              </w:rPr>
              <w:t>EPS Growth</w:t>
            </w:r>
          </w:p>
        </w:tc>
        <w:tc>
          <w:tcPr>
            <w:tcW w:w="1428" w:type="dxa"/>
          </w:tcPr>
          <w:p w:rsidR="00854198" w:rsidRPr="00F84BDD" w:rsidRDefault="00E252FF" w:rsidP="00DF35C0">
            <w:pPr>
              <w:jc w:val="right"/>
              <w:rPr>
                <w:rFonts w:ascii="Arial" w:hAnsi="Arial" w:cs="Arial"/>
                <w:sz w:val="20"/>
                <w:szCs w:val="22"/>
              </w:rPr>
            </w:pPr>
            <w:r w:rsidRPr="00F84BDD">
              <w:rPr>
                <w:rFonts w:ascii="Arial" w:hAnsi="Arial" w:cs="Arial"/>
                <w:sz w:val="20"/>
                <w:szCs w:val="22"/>
              </w:rPr>
              <w:t>20.1</w:t>
            </w:r>
            <w:r w:rsidR="00854198" w:rsidRPr="00F84BDD">
              <w:rPr>
                <w:rFonts w:ascii="Arial" w:hAnsi="Arial" w:cs="Arial"/>
                <w:sz w:val="20"/>
                <w:szCs w:val="22"/>
              </w:rPr>
              <w:t>%</w:t>
            </w:r>
          </w:p>
        </w:tc>
        <w:tc>
          <w:tcPr>
            <w:tcW w:w="1361" w:type="dxa"/>
          </w:tcPr>
          <w:p w:rsidR="00854198" w:rsidRPr="00F84BDD" w:rsidRDefault="00E252FF" w:rsidP="00DF35C0">
            <w:pPr>
              <w:jc w:val="right"/>
              <w:rPr>
                <w:rFonts w:ascii="Arial" w:hAnsi="Arial" w:cs="Arial"/>
                <w:sz w:val="20"/>
                <w:szCs w:val="22"/>
              </w:rPr>
            </w:pPr>
            <w:r w:rsidRPr="00F84BDD">
              <w:rPr>
                <w:rFonts w:ascii="Arial" w:hAnsi="Arial" w:cs="Arial"/>
                <w:sz w:val="20"/>
                <w:szCs w:val="22"/>
              </w:rPr>
              <w:t>26.4</w:t>
            </w:r>
            <w:r w:rsidR="00854198" w:rsidRPr="00F84BDD">
              <w:rPr>
                <w:rFonts w:ascii="Arial" w:hAnsi="Arial" w:cs="Arial"/>
                <w:sz w:val="20"/>
                <w:szCs w:val="22"/>
              </w:rPr>
              <w:t>%</w:t>
            </w:r>
          </w:p>
        </w:tc>
        <w:tc>
          <w:tcPr>
            <w:tcW w:w="1604" w:type="dxa"/>
          </w:tcPr>
          <w:p w:rsidR="00854198" w:rsidRPr="00F84BDD" w:rsidRDefault="00854198" w:rsidP="00174DB0">
            <w:pPr>
              <w:jc w:val="right"/>
              <w:rPr>
                <w:rFonts w:ascii="Arial" w:hAnsi="Arial" w:cs="Arial"/>
                <w:sz w:val="20"/>
                <w:szCs w:val="22"/>
              </w:rPr>
            </w:pPr>
          </w:p>
        </w:tc>
      </w:tr>
    </w:tbl>
    <w:p w:rsidR="00BA4900" w:rsidRPr="00F84BDD" w:rsidRDefault="00BA4900" w:rsidP="000E624D">
      <w:pPr>
        <w:rPr>
          <w:rFonts w:ascii="Arial" w:hAnsi="Arial" w:cs="Arial"/>
          <w:sz w:val="22"/>
        </w:rPr>
      </w:pPr>
    </w:p>
    <w:p w:rsidR="00E91AEF" w:rsidRPr="00F84BDD" w:rsidRDefault="00E91AEF" w:rsidP="00E91AEF">
      <w:pPr>
        <w:ind w:firstLine="720"/>
        <w:rPr>
          <w:rFonts w:ascii="Arial" w:hAnsi="Arial" w:cs="Arial"/>
          <w:sz w:val="22"/>
          <w:szCs w:val="22"/>
        </w:rPr>
      </w:pPr>
      <w:r w:rsidRPr="00F84BDD">
        <w:rPr>
          <w:rFonts w:ascii="Arial" w:hAnsi="Arial" w:cs="Arial"/>
          <w:sz w:val="22"/>
          <w:szCs w:val="22"/>
        </w:rPr>
        <w:t>“</w:t>
      </w:r>
      <w:r w:rsidR="006D3C8D" w:rsidRPr="00F84BDD">
        <w:rPr>
          <w:rFonts w:ascii="Arial" w:hAnsi="Arial" w:cs="Arial"/>
          <w:sz w:val="22"/>
          <w:szCs w:val="22"/>
        </w:rPr>
        <w:t xml:space="preserve">Our </w:t>
      </w:r>
      <w:r w:rsidR="00511E86" w:rsidRPr="00F84BDD">
        <w:rPr>
          <w:rFonts w:ascii="Arial" w:hAnsi="Arial" w:cs="Arial"/>
          <w:sz w:val="22"/>
          <w:szCs w:val="22"/>
        </w:rPr>
        <w:t>business strategies</w:t>
      </w:r>
      <w:r w:rsidR="00777F21" w:rsidRPr="00F84BDD">
        <w:rPr>
          <w:rFonts w:ascii="Arial" w:hAnsi="Arial" w:cs="Arial"/>
          <w:sz w:val="22"/>
          <w:szCs w:val="22"/>
        </w:rPr>
        <w:t xml:space="preserve"> position UPS to improve </w:t>
      </w:r>
      <w:r w:rsidR="008E438F" w:rsidRPr="00F84BDD">
        <w:rPr>
          <w:rFonts w:ascii="Arial" w:hAnsi="Arial" w:cs="Arial"/>
          <w:sz w:val="22"/>
          <w:szCs w:val="22"/>
        </w:rPr>
        <w:t>operating</w:t>
      </w:r>
      <w:r w:rsidR="00777F21" w:rsidRPr="00F84BDD">
        <w:rPr>
          <w:rFonts w:ascii="Arial" w:hAnsi="Arial" w:cs="Arial"/>
          <w:sz w:val="22"/>
          <w:szCs w:val="22"/>
        </w:rPr>
        <w:t xml:space="preserve"> leverage</w:t>
      </w:r>
      <w:r w:rsidR="00171A15" w:rsidRPr="00F84BDD">
        <w:rPr>
          <w:rFonts w:ascii="Arial" w:hAnsi="Arial" w:cs="Arial"/>
          <w:sz w:val="22"/>
          <w:szCs w:val="22"/>
        </w:rPr>
        <w:t xml:space="preserve"> and many of our actions are already contributing</w:t>
      </w:r>
      <w:r w:rsidR="00756139" w:rsidRPr="00F84BDD">
        <w:rPr>
          <w:rFonts w:ascii="Arial" w:hAnsi="Arial" w:cs="Arial"/>
          <w:sz w:val="22"/>
          <w:szCs w:val="22"/>
        </w:rPr>
        <w:t xml:space="preserve"> to</w:t>
      </w:r>
      <w:r w:rsidR="00171A15" w:rsidRPr="00F84BDD">
        <w:rPr>
          <w:rFonts w:ascii="Arial" w:hAnsi="Arial" w:cs="Arial"/>
          <w:sz w:val="22"/>
          <w:szCs w:val="22"/>
        </w:rPr>
        <w:t xml:space="preserve"> performance gains</w:t>
      </w:r>
      <w:r w:rsidR="00777F21" w:rsidRPr="00F84BDD">
        <w:rPr>
          <w:rFonts w:ascii="Arial" w:hAnsi="Arial" w:cs="Arial"/>
          <w:sz w:val="22"/>
          <w:szCs w:val="22"/>
        </w:rPr>
        <w:t>,</w:t>
      </w:r>
      <w:r w:rsidRPr="00F84BDD">
        <w:rPr>
          <w:rFonts w:ascii="Arial" w:hAnsi="Arial" w:cs="Arial"/>
          <w:sz w:val="22"/>
        </w:rPr>
        <w:t>”</w:t>
      </w:r>
      <w:r w:rsidRPr="00F84BDD">
        <w:rPr>
          <w:rFonts w:ascii="Arial" w:hAnsi="Arial" w:cs="Arial"/>
          <w:sz w:val="22"/>
          <w:szCs w:val="22"/>
        </w:rPr>
        <w:t xml:space="preserve"> said </w:t>
      </w:r>
      <w:r w:rsidR="00F7653C" w:rsidRPr="00F84BDD">
        <w:rPr>
          <w:rFonts w:ascii="Arial" w:hAnsi="Arial" w:cs="Arial"/>
          <w:sz w:val="22"/>
          <w:szCs w:val="22"/>
        </w:rPr>
        <w:t xml:space="preserve">UPS Chairman and CEO </w:t>
      </w:r>
      <w:r w:rsidR="008C6DC2" w:rsidRPr="00F84BDD">
        <w:rPr>
          <w:rFonts w:ascii="Arial" w:hAnsi="Arial" w:cs="Arial"/>
          <w:sz w:val="22"/>
          <w:szCs w:val="22"/>
        </w:rPr>
        <w:t>David Abney</w:t>
      </w:r>
      <w:r w:rsidRPr="00F84BDD">
        <w:rPr>
          <w:rFonts w:ascii="Arial" w:hAnsi="Arial" w:cs="Arial"/>
          <w:sz w:val="22"/>
          <w:szCs w:val="22"/>
        </w:rPr>
        <w:t>.  “</w:t>
      </w:r>
      <w:r w:rsidR="00511E86" w:rsidRPr="00F84BDD">
        <w:rPr>
          <w:rFonts w:ascii="Arial" w:hAnsi="Arial" w:cs="Arial"/>
          <w:sz w:val="22"/>
          <w:szCs w:val="22"/>
        </w:rPr>
        <w:t xml:space="preserve">We generated another quarter of </w:t>
      </w:r>
      <w:r w:rsidR="0034129F" w:rsidRPr="00622DAF">
        <w:rPr>
          <w:rFonts w:ascii="Arial" w:hAnsi="Arial" w:cs="Arial"/>
          <w:sz w:val="22"/>
          <w:szCs w:val="22"/>
        </w:rPr>
        <w:t xml:space="preserve">industry-leading </w:t>
      </w:r>
      <w:r w:rsidR="00511E86" w:rsidRPr="00622DAF">
        <w:rPr>
          <w:rFonts w:ascii="Arial" w:hAnsi="Arial" w:cs="Arial"/>
          <w:sz w:val="22"/>
          <w:szCs w:val="22"/>
        </w:rPr>
        <w:t>margins</w:t>
      </w:r>
      <w:r w:rsidR="00511E86" w:rsidRPr="00F84BDD">
        <w:rPr>
          <w:rFonts w:ascii="Arial" w:hAnsi="Arial" w:cs="Arial"/>
          <w:sz w:val="22"/>
          <w:szCs w:val="22"/>
        </w:rPr>
        <w:t xml:space="preserve"> and strong free cash flow and we are confident in the outlook for the business</w:t>
      </w:r>
      <w:r w:rsidR="00777F21" w:rsidRPr="00F84BDD">
        <w:rPr>
          <w:rFonts w:ascii="Arial" w:hAnsi="Arial" w:cs="Arial"/>
          <w:sz w:val="22"/>
          <w:szCs w:val="22"/>
        </w:rPr>
        <w:t>.</w:t>
      </w:r>
      <w:r w:rsidRPr="00F84BDD">
        <w:rPr>
          <w:rFonts w:ascii="Arial" w:hAnsi="Arial" w:cs="Arial"/>
          <w:sz w:val="22"/>
          <w:szCs w:val="22"/>
        </w:rPr>
        <w:t xml:space="preserve">”  </w:t>
      </w:r>
    </w:p>
    <w:p w:rsidR="007F4A7A" w:rsidRPr="00F84BDD" w:rsidRDefault="007F4A7A" w:rsidP="00E91AEF">
      <w:pPr>
        <w:ind w:firstLine="720"/>
        <w:rPr>
          <w:rFonts w:ascii="Arial" w:hAnsi="Arial" w:cs="Arial"/>
          <w:sz w:val="22"/>
        </w:rPr>
      </w:pPr>
    </w:p>
    <w:p w:rsidR="00940590" w:rsidRPr="00F84BDD" w:rsidRDefault="00940590" w:rsidP="00E91AEF">
      <w:pPr>
        <w:ind w:firstLine="720"/>
        <w:rPr>
          <w:rFonts w:ascii="Arial" w:hAnsi="Arial" w:cs="Arial"/>
          <w:sz w:val="22"/>
        </w:rPr>
      </w:pPr>
    </w:p>
    <w:p w:rsidR="0034129F" w:rsidRPr="00F84BDD" w:rsidRDefault="0034129F" w:rsidP="00E91AEF">
      <w:pPr>
        <w:ind w:firstLine="720"/>
        <w:rPr>
          <w:rFonts w:ascii="Arial" w:hAnsi="Arial" w:cs="Arial"/>
          <w:sz w:val="22"/>
        </w:rPr>
      </w:pPr>
    </w:p>
    <w:p w:rsidR="0034129F" w:rsidRDefault="0034129F" w:rsidP="00E91AEF">
      <w:pPr>
        <w:ind w:firstLine="720"/>
        <w:rPr>
          <w:rFonts w:ascii="Arial" w:hAnsi="Arial" w:cs="Arial"/>
          <w:sz w:val="22"/>
        </w:rPr>
      </w:pPr>
    </w:p>
    <w:p w:rsidR="008F5F66" w:rsidRDefault="008F5F66" w:rsidP="00E91AEF">
      <w:pPr>
        <w:ind w:firstLine="720"/>
        <w:rPr>
          <w:rFonts w:ascii="Arial" w:hAnsi="Arial" w:cs="Arial"/>
          <w:sz w:val="22"/>
        </w:rPr>
      </w:pPr>
    </w:p>
    <w:p w:rsidR="00622DAF" w:rsidRPr="00F84BDD" w:rsidRDefault="00622DAF" w:rsidP="00E91AEF">
      <w:pPr>
        <w:ind w:firstLine="720"/>
        <w:rPr>
          <w:rFonts w:ascii="Arial" w:hAnsi="Arial" w:cs="Arial"/>
          <w:sz w:val="22"/>
        </w:rPr>
      </w:pPr>
    </w:p>
    <w:p w:rsidR="00940590" w:rsidRPr="00F84BDD" w:rsidRDefault="00940590" w:rsidP="00940590">
      <w:pPr>
        <w:rPr>
          <w:rFonts w:ascii="Arial" w:hAnsi="Arial" w:cs="Arial"/>
          <w:b/>
          <w:sz w:val="22"/>
          <w:vertAlign w:val="subscript"/>
        </w:rPr>
      </w:pPr>
      <w:r w:rsidRPr="00F84BDD">
        <w:rPr>
          <w:rFonts w:ascii="Arial" w:hAnsi="Arial" w:cs="Arial"/>
          <w:b/>
          <w:sz w:val="22"/>
          <w:vertAlign w:val="subscript"/>
        </w:rPr>
        <w:t>* Information on non-GAAP financial measures is attached to this press release.</w:t>
      </w:r>
    </w:p>
    <w:p w:rsidR="00940590" w:rsidRPr="00F84BDD" w:rsidRDefault="00940590" w:rsidP="00940590">
      <w:pPr>
        <w:jc w:val="center"/>
        <w:rPr>
          <w:rFonts w:ascii="Arial" w:hAnsi="Arial" w:cs="Arial"/>
          <w:sz w:val="20"/>
          <w:szCs w:val="20"/>
        </w:rPr>
      </w:pPr>
    </w:p>
    <w:p w:rsidR="00940590" w:rsidRPr="00F84BDD" w:rsidRDefault="00940590" w:rsidP="00940590">
      <w:pPr>
        <w:jc w:val="center"/>
        <w:rPr>
          <w:rFonts w:ascii="Arial" w:hAnsi="Arial" w:cs="Arial"/>
          <w:sz w:val="20"/>
          <w:szCs w:val="20"/>
        </w:rPr>
      </w:pPr>
    </w:p>
    <w:p w:rsidR="008E438F" w:rsidRPr="00F84BDD" w:rsidRDefault="008E438F" w:rsidP="00940590">
      <w:pPr>
        <w:jc w:val="center"/>
        <w:rPr>
          <w:rFonts w:ascii="Arial" w:hAnsi="Arial" w:cs="Arial"/>
          <w:sz w:val="20"/>
          <w:szCs w:val="20"/>
        </w:rPr>
      </w:pPr>
    </w:p>
    <w:p w:rsidR="00940590" w:rsidRPr="00F84BDD" w:rsidRDefault="00940590" w:rsidP="00940590">
      <w:pPr>
        <w:jc w:val="center"/>
        <w:rPr>
          <w:rFonts w:ascii="Arial" w:hAnsi="Arial" w:cs="Arial"/>
          <w:sz w:val="20"/>
          <w:szCs w:val="20"/>
        </w:rPr>
      </w:pPr>
      <w:r w:rsidRPr="00F84BDD">
        <w:rPr>
          <w:rFonts w:ascii="Arial" w:hAnsi="Arial" w:cs="Arial"/>
          <w:sz w:val="20"/>
          <w:szCs w:val="20"/>
        </w:rPr>
        <w:t>– more –</w:t>
      </w:r>
    </w:p>
    <w:p w:rsidR="00940590" w:rsidRPr="00F84BDD" w:rsidRDefault="00940590" w:rsidP="00940590">
      <w:pPr>
        <w:rPr>
          <w:rFonts w:ascii="Arial" w:hAnsi="Arial" w:cs="Arial"/>
          <w:sz w:val="22"/>
        </w:rPr>
      </w:pPr>
      <w:r w:rsidRPr="00F84BDD">
        <w:rPr>
          <w:rFonts w:ascii="Arial" w:hAnsi="Arial" w:cs="Arial"/>
          <w:sz w:val="22"/>
        </w:rPr>
        <w:lastRenderedPageBreak/>
        <w:t>2-2-2</w:t>
      </w:r>
    </w:p>
    <w:p w:rsidR="00940590" w:rsidRPr="00F84BDD" w:rsidRDefault="00940590" w:rsidP="00E91AEF">
      <w:pPr>
        <w:ind w:firstLine="720"/>
        <w:rPr>
          <w:rFonts w:ascii="Arial" w:hAnsi="Arial" w:cs="Arial"/>
          <w:sz w:val="22"/>
        </w:rPr>
      </w:pPr>
    </w:p>
    <w:p w:rsidR="0043712D" w:rsidRPr="00F84BDD" w:rsidRDefault="0043712D" w:rsidP="00E91AEF">
      <w:pPr>
        <w:ind w:firstLine="720"/>
        <w:rPr>
          <w:rFonts w:ascii="Arial" w:hAnsi="Arial" w:cs="Arial"/>
          <w:sz w:val="22"/>
        </w:rPr>
      </w:pPr>
    </w:p>
    <w:p w:rsidR="000E02CF" w:rsidRPr="00F84BDD" w:rsidRDefault="000E02CF" w:rsidP="000E624D">
      <w:pPr>
        <w:rPr>
          <w:rFonts w:ascii="Arial" w:hAnsi="Arial" w:cs="Arial"/>
          <w:sz w:val="22"/>
        </w:rPr>
      </w:pPr>
      <w:r w:rsidRPr="00F84BDD">
        <w:rPr>
          <w:rFonts w:ascii="Arial" w:hAnsi="Arial" w:cs="Arial"/>
          <w:sz w:val="22"/>
        </w:rPr>
        <w:t xml:space="preserve">For the company </w:t>
      </w:r>
      <w:r w:rsidR="00B12F3D" w:rsidRPr="00F84BDD">
        <w:rPr>
          <w:rFonts w:ascii="Arial" w:hAnsi="Arial" w:cs="Arial"/>
          <w:sz w:val="22"/>
        </w:rPr>
        <w:t xml:space="preserve">in </w:t>
      </w:r>
      <w:r w:rsidR="00E252FF" w:rsidRPr="00F84BDD">
        <w:rPr>
          <w:rFonts w:ascii="Arial" w:hAnsi="Arial" w:cs="Arial"/>
          <w:sz w:val="22"/>
        </w:rPr>
        <w:t>3</w:t>
      </w:r>
      <w:r w:rsidRPr="00F84BDD">
        <w:rPr>
          <w:rFonts w:ascii="Arial" w:hAnsi="Arial" w:cs="Arial"/>
          <w:sz w:val="22"/>
        </w:rPr>
        <w:t xml:space="preserve">Q </w:t>
      </w:r>
      <w:r w:rsidR="00EE76F3" w:rsidRPr="00F84BDD">
        <w:rPr>
          <w:rFonts w:ascii="Arial" w:hAnsi="Arial" w:cs="Arial"/>
          <w:sz w:val="22"/>
        </w:rPr>
        <w:t>2018</w:t>
      </w:r>
      <w:r w:rsidRPr="00F84BDD">
        <w:rPr>
          <w:rFonts w:ascii="Arial" w:hAnsi="Arial" w:cs="Arial"/>
          <w:sz w:val="22"/>
        </w:rPr>
        <w:t>:</w:t>
      </w:r>
    </w:p>
    <w:p w:rsidR="0023562B" w:rsidRPr="00F84BDD" w:rsidRDefault="00511E86" w:rsidP="00FB4FFD">
      <w:pPr>
        <w:pStyle w:val="ListParagraph"/>
        <w:numPr>
          <w:ilvl w:val="0"/>
          <w:numId w:val="37"/>
        </w:numPr>
        <w:rPr>
          <w:rFonts w:ascii="Arial" w:hAnsi="Arial" w:cs="Arial"/>
          <w:sz w:val="22"/>
        </w:rPr>
      </w:pPr>
      <w:r w:rsidRPr="00F84BDD">
        <w:rPr>
          <w:rFonts w:ascii="Arial" w:hAnsi="Arial" w:cs="Arial"/>
          <w:sz w:val="22"/>
        </w:rPr>
        <w:t>Consolidated re</w:t>
      </w:r>
      <w:r w:rsidR="00233C34" w:rsidRPr="00F84BDD">
        <w:rPr>
          <w:rFonts w:ascii="Arial" w:hAnsi="Arial" w:cs="Arial"/>
          <w:sz w:val="22"/>
        </w:rPr>
        <w:t xml:space="preserve">venue increased </w:t>
      </w:r>
      <w:r w:rsidR="00E252FF" w:rsidRPr="00F84BDD">
        <w:rPr>
          <w:rFonts w:ascii="Arial" w:hAnsi="Arial" w:cs="Arial"/>
          <w:sz w:val="22"/>
        </w:rPr>
        <w:t>7.9</w:t>
      </w:r>
      <w:r w:rsidRPr="00F84BDD">
        <w:rPr>
          <w:rFonts w:ascii="Arial" w:hAnsi="Arial" w:cs="Arial"/>
          <w:sz w:val="22"/>
        </w:rPr>
        <w:t>%</w:t>
      </w:r>
      <w:r w:rsidR="007F4A7A" w:rsidRPr="00F84BDD">
        <w:rPr>
          <w:rFonts w:ascii="Arial" w:hAnsi="Arial" w:cs="Arial"/>
          <w:sz w:val="22"/>
        </w:rPr>
        <w:t xml:space="preserve"> and currency-neutral revenue was 8.4% higher</w:t>
      </w:r>
      <w:r w:rsidR="0023562B" w:rsidRPr="00F84BDD">
        <w:rPr>
          <w:rFonts w:ascii="Arial" w:hAnsi="Arial" w:cs="Arial"/>
          <w:sz w:val="22"/>
        </w:rPr>
        <w:t>.</w:t>
      </w:r>
    </w:p>
    <w:p w:rsidR="00436936" w:rsidRPr="00F84BDD" w:rsidRDefault="00747008" w:rsidP="00FB4FFD">
      <w:pPr>
        <w:pStyle w:val="ListParagraph"/>
        <w:numPr>
          <w:ilvl w:val="0"/>
          <w:numId w:val="37"/>
        </w:numPr>
        <w:rPr>
          <w:rFonts w:ascii="Arial" w:hAnsi="Arial" w:cs="Arial"/>
          <w:sz w:val="22"/>
        </w:rPr>
      </w:pPr>
      <w:r w:rsidRPr="00F84BDD">
        <w:rPr>
          <w:rFonts w:ascii="Arial" w:hAnsi="Arial" w:cs="Arial"/>
          <w:sz w:val="22"/>
        </w:rPr>
        <w:t>Average</w:t>
      </w:r>
      <w:r w:rsidR="00436936" w:rsidRPr="00F84BDD">
        <w:rPr>
          <w:rFonts w:ascii="Arial" w:hAnsi="Arial" w:cs="Arial"/>
          <w:sz w:val="22"/>
        </w:rPr>
        <w:t xml:space="preserve"> </w:t>
      </w:r>
      <w:r w:rsidR="00DE22E5">
        <w:rPr>
          <w:rFonts w:ascii="Arial" w:hAnsi="Arial" w:cs="Arial"/>
          <w:sz w:val="22"/>
        </w:rPr>
        <w:t xml:space="preserve">revenue </w:t>
      </w:r>
      <w:r w:rsidR="00436936" w:rsidRPr="00F84BDD">
        <w:rPr>
          <w:rFonts w:ascii="Arial" w:hAnsi="Arial" w:cs="Arial"/>
          <w:sz w:val="22"/>
        </w:rPr>
        <w:t xml:space="preserve">yield </w:t>
      </w:r>
      <w:r w:rsidR="00A26BF6" w:rsidRPr="00F84BDD">
        <w:rPr>
          <w:rFonts w:ascii="Arial" w:hAnsi="Arial" w:cs="Arial"/>
          <w:sz w:val="22"/>
        </w:rPr>
        <w:t>increased</w:t>
      </w:r>
      <w:r w:rsidR="00436936" w:rsidRPr="00F84BDD">
        <w:rPr>
          <w:rFonts w:ascii="Arial" w:hAnsi="Arial" w:cs="Arial"/>
          <w:sz w:val="22"/>
        </w:rPr>
        <w:t xml:space="preserve"> </w:t>
      </w:r>
      <w:r w:rsidR="00E252FF" w:rsidRPr="00F84BDD">
        <w:rPr>
          <w:rFonts w:ascii="Arial" w:hAnsi="Arial" w:cs="Arial"/>
          <w:sz w:val="22"/>
        </w:rPr>
        <w:t>4.0</w:t>
      </w:r>
      <w:r w:rsidR="00436936" w:rsidRPr="00F84BDD">
        <w:rPr>
          <w:rFonts w:ascii="Arial" w:hAnsi="Arial" w:cs="Arial"/>
          <w:sz w:val="22"/>
        </w:rPr>
        <w:t xml:space="preserve">%, </w:t>
      </w:r>
      <w:r w:rsidR="00310D34" w:rsidRPr="00F84BDD">
        <w:rPr>
          <w:rFonts w:ascii="Arial" w:hAnsi="Arial" w:cs="Arial"/>
          <w:sz w:val="22"/>
        </w:rPr>
        <w:t xml:space="preserve">with </w:t>
      </w:r>
      <w:r w:rsidR="004B6D59" w:rsidRPr="00F84BDD">
        <w:rPr>
          <w:rFonts w:ascii="Arial" w:hAnsi="Arial" w:cs="Arial"/>
          <w:sz w:val="22"/>
        </w:rPr>
        <w:t>base-</w:t>
      </w:r>
      <w:r w:rsidR="00125916" w:rsidRPr="00F84BDD">
        <w:rPr>
          <w:rFonts w:ascii="Arial" w:hAnsi="Arial" w:cs="Arial"/>
          <w:sz w:val="22"/>
        </w:rPr>
        <w:t xml:space="preserve">pricing </w:t>
      </w:r>
      <w:r w:rsidR="00310D34" w:rsidRPr="00F84BDD">
        <w:rPr>
          <w:rFonts w:ascii="Arial" w:hAnsi="Arial" w:cs="Arial"/>
          <w:sz w:val="22"/>
        </w:rPr>
        <w:t xml:space="preserve">gains </w:t>
      </w:r>
      <w:r w:rsidR="0097588E" w:rsidRPr="00F84BDD">
        <w:rPr>
          <w:rFonts w:ascii="Arial" w:hAnsi="Arial" w:cs="Arial"/>
          <w:sz w:val="22"/>
        </w:rPr>
        <w:t>in</w:t>
      </w:r>
      <w:r w:rsidR="00310D34" w:rsidRPr="00F84BDD">
        <w:rPr>
          <w:rFonts w:ascii="Arial" w:hAnsi="Arial" w:cs="Arial"/>
          <w:sz w:val="22"/>
        </w:rPr>
        <w:t xml:space="preserve"> all product</w:t>
      </w:r>
      <w:r w:rsidR="0097588E" w:rsidRPr="00F84BDD">
        <w:rPr>
          <w:rFonts w:ascii="Arial" w:hAnsi="Arial" w:cs="Arial"/>
          <w:sz w:val="22"/>
        </w:rPr>
        <w:t xml:space="preserve"> categories</w:t>
      </w:r>
      <w:r w:rsidR="00310D34" w:rsidRPr="00F84BDD">
        <w:rPr>
          <w:rFonts w:ascii="Arial" w:hAnsi="Arial" w:cs="Arial"/>
          <w:sz w:val="22"/>
        </w:rPr>
        <w:t>.</w:t>
      </w:r>
    </w:p>
    <w:p w:rsidR="007B26BF" w:rsidRPr="00F84BDD" w:rsidRDefault="00BB3101" w:rsidP="007B26BF">
      <w:pPr>
        <w:pStyle w:val="ListParagraph"/>
        <w:numPr>
          <w:ilvl w:val="0"/>
          <w:numId w:val="37"/>
        </w:numPr>
        <w:rPr>
          <w:rFonts w:ascii="Arial" w:hAnsi="Arial" w:cs="Arial"/>
          <w:sz w:val="22"/>
        </w:rPr>
      </w:pPr>
      <w:r w:rsidRPr="00F84BDD">
        <w:rPr>
          <w:rFonts w:ascii="Arial" w:hAnsi="Arial" w:cs="Arial"/>
          <w:sz w:val="22"/>
        </w:rPr>
        <w:t>Year-to-date c</w:t>
      </w:r>
      <w:r w:rsidR="00D60108" w:rsidRPr="00F84BDD">
        <w:rPr>
          <w:rFonts w:ascii="Arial" w:hAnsi="Arial" w:cs="Arial"/>
          <w:sz w:val="22"/>
        </w:rPr>
        <w:t xml:space="preserve">ash from operations </w:t>
      </w:r>
      <w:r w:rsidR="0034129F" w:rsidRPr="00F84BDD">
        <w:rPr>
          <w:rFonts w:ascii="Arial" w:hAnsi="Arial" w:cs="Arial"/>
          <w:sz w:val="22"/>
        </w:rPr>
        <w:t xml:space="preserve">expanded to </w:t>
      </w:r>
      <w:r w:rsidR="00D60108" w:rsidRPr="00F84BDD">
        <w:rPr>
          <w:rFonts w:ascii="Arial" w:hAnsi="Arial" w:cs="Arial"/>
          <w:sz w:val="22"/>
        </w:rPr>
        <w:t>$</w:t>
      </w:r>
      <w:r w:rsidR="00693646" w:rsidRPr="00F84BDD">
        <w:rPr>
          <w:rFonts w:ascii="Arial" w:hAnsi="Arial" w:cs="Arial"/>
          <w:sz w:val="22"/>
        </w:rPr>
        <w:t>9.4</w:t>
      </w:r>
      <w:r w:rsidR="001D43D7" w:rsidRPr="00F84BDD">
        <w:rPr>
          <w:rFonts w:ascii="Arial" w:hAnsi="Arial" w:cs="Arial"/>
          <w:sz w:val="22"/>
        </w:rPr>
        <w:t xml:space="preserve"> </w:t>
      </w:r>
      <w:r w:rsidR="00D60108" w:rsidRPr="00F84BDD">
        <w:rPr>
          <w:rFonts w:ascii="Arial" w:hAnsi="Arial" w:cs="Arial"/>
          <w:sz w:val="22"/>
        </w:rPr>
        <w:t>billion</w:t>
      </w:r>
      <w:r w:rsidR="007B26BF" w:rsidRPr="00F84BDD">
        <w:rPr>
          <w:rFonts w:ascii="Arial" w:hAnsi="Arial" w:cs="Arial"/>
          <w:sz w:val="22"/>
        </w:rPr>
        <w:t xml:space="preserve">.  </w:t>
      </w:r>
    </w:p>
    <w:p w:rsidR="00D60108" w:rsidRPr="00F84BDD" w:rsidRDefault="00D60108" w:rsidP="007B26BF">
      <w:pPr>
        <w:pStyle w:val="ListParagraph"/>
        <w:numPr>
          <w:ilvl w:val="0"/>
          <w:numId w:val="37"/>
        </w:numPr>
        <w:rPr>
          <w:rFonts w:ascii="Arial" w:hAnsi="Arial" w:cs="Arial"/>
          <w:sz w:val="22"/>
        </w:rPr>
      </w:pPr>
      <w:r w:rsidRPr="00F84BDD">
        <w:rPr>
          <w:rFonts w:ascii="Arial" w:hAnsi="Arial" w:cs="Arial"/>
          <w:sz w:val="22"/>
        </w:rPr>
        <w:t xml:space="preserve">Free </w:t>
      </w:r>
      <w:r w:rsidR="0067570D" w:rsidRPr="00F84BDD">
        <w:rPr>
          <w:rFonts w:ascii="Arial" w:hAnsi="Arial" w:cs="Arial"/>
          <w:sz w:val="22"/>
        </w:rPr>
        <w:t>c</w:t>
      </w:r>
      <w:r w:rsidRPr="00F84BDD">
        <w:rPr>
          <w:rFonts w:ascii="Arial" w:hAnsi="Arial" w:cs="Arial"/>
          <w:sz w:val="22"/>
        </w:rPr>
        <w:t xml:space="preserve">ash </w:t>
      </w:r>
      <w:r w:rsidR="0067570D" w:rsidRPr="00F84BDD">
        <w:rPr>
          <w:rFonts w:ascii="Arial" w:hAnsi="Arial" w:cs="Arial"/>
          <w:sz w:val="22"/>
        </w:rPr>
        <w:t>f</w:t>
      </w:r>
      <w:r w:rsidRPr="00F84BDD">
        <w:rPr>
          <w:rFonts w:ascii="Arial" w:hAnsi="Arial" w:cs="Arial"/>
          <w:sz w:val="22"/>
        </w:rPr>
        <w:t xml:space="preserve">low </w:t>
      </w:r>
      <w:r w:rsidR="0034129F" w:rsidRPr="00F84BDD">
        <w:rPr>
          <w:rFonts w:ascii="Arial" w:hAnsi="Arial" w:cs="Arial"/>
          <w:sz w:val="22"/>
        </w:rPr>
        <w:t xml:space="preserve">increased to </w:t>
      </w:r>
      <w:r w:rsidRPr="00F84BDD">
        <w:rPr>
          <w:rFonts w:ascii="Arial" w:hAnsi="Arial" w:cs="Arial"/>
          <w:sz w:val="22"/>
        </w:rPr>
        <w:t>$</w:t>
      </w:r>
      <w:r w:rsidR="00693646" w:rsidRPr="00F84BDD">
        <w:rPr>
          <w:rFonts w:ascii="Arial" w:hAnsi="Arial" w:cs="Arial"/>
          <w:sz w:val="22"/>
        </w:rPr>
        <w:t>4.9</w:t>
      </w:r>
      <w:r w:rsidRPr="00F84BDD">
        <w:rPr>
          <w:rFonts w:ascii="Arial" w:hAnsi="Arial" w:cs="Arial"/>
          <w:sz w:val="22"/>
        </w:rPr>
        <w:t xml:space="preserve"> billion</w:t>
      </w:r>
      <w:r w:rsidR="007B26BF" w:rsidRPr="00F84BDD">
        <w:rPr>
          <w:rFonts w:ascii="Arial" w:hAnsi="Arial" w:cs="Arial"/>
          <w:sz w:val="22"/>
        </w:rPr>
        <w:t xml:space="preserve"> </w:t>
      </w:r>
      <w:r w:rsidR="00E252FF" w:rsidRPr="00F84BDD">
        <w:rPr>
          <w:rFonts w:ascii="Arial" w:hAnsi="Arial" w:cs="Arial"/>
          <w:sz w:val="22"/>
        </w:rPr>
        <w:t>through the first nine months</w:t>
      </w:r>
      <w:r w:rsidR="007B26BF" w:rsidRPr="00F84BDD">
        <w:rPr>
          <w:rFonts w:ascii="Arial" w:hAnsi="Arial" w:cs="Arial"/>
          <w:sz w:val="22"/>
        </w:rPr>
        <w:t xml:space="preserve"> of the year</w:t>
      </w:r>
      <w:r w:rsidR="00940590" w:rsidRPr="00F84BDD">
        <w:rPr>
          <w:rFonts w:ascii="Arial" w:hAnsi="Arial" w:cs="Arial"/>
          <w:sz w:val="22"/>
        </w:rPr>
        <w:t>.</w:t>
      </w:r>
    </w:p>
    <w:p w:rsidR="00693646" w:rsidRPr="00F84BDD" w:rsidRDefault="0008498E" w:rsidP="007E6DF7">
      <w:pPr>
        <w:pStyle w:val="ListParagraph"/>
        <w:numPr>
          <w:ilvl w:val="0"/>
          <w:numId w:val="37"/>
        </w:numPr>
        <w:rPr>
          <w:rFonts w:ascii="Arial" w:hAnsi="Arial" w:cs="Arial"/>
          <w:sz w:val="22"/>
        </w:rPr>
      </w:pPr>
      <w:r w:rsidRPr="00F84BDD">
        <w:rPr>
          <w:rFonts w:ascii="Arial" w:hAnsi="Arial" w:cs="Arial"/>
          <w:sz w:val="22"/>
        </w:rPr>
        <w:t>Year-to-date</w:t>
      </w:r>
      <w:r w:rsidR="00BB3101" w:rsidRPr="00F84BDD">
        <w:rPr>
          <w:rFonts w:ascii="Arial" w:hAnsi="Arial" w:cs="Arial"/>
          <w:sz w:val="22"/>
        </w:rPr>
        <w:t xml:space="preserve"> d</w:t>
      </w:r>
      <w:r w:rsidR="00221AC5" w:rsidRPr="00F84BDD">
        <w:rPr>
          <w:rFonts w:ascii="Arial" w:hAnsi="Arial" w:cs="Arial"/>
          <w:sz w:val="22"/>
        </w:rPr>
        <w:t xml:space="preserve">ividends per share </w:t>
      </w:r>
      <w:r w:rsidR="007D5F63" w:rsidRPr="00F84BDD">
        <w:rPr>
          <w:rFonts w:ascii="Arial" w:hAnsi="Arial" w:cs="Arial"/>
          <w:sz w:val="22"/>
        </w:rPr>
        <w:t xml:space="preserve">increased </w:t>
      </w:r>
      <w:r w:rsidR="00221AC5" w:rsidRPr="00F84BDD">
        <w:rPr>
          <w:rFonts w:ascii="Arial" w:hAnsi="Arial" w:cs="Arial"/>
          <w:sz w:val="22"/>
        </w:rPr>
        <w:t>by</w:t>
      </w:r>
      <w:r w:rsidR="00516C9E" w:rsidRPr="00F84BDD">
        <w:rPr>
          <w:rFonts w:ascii="Arial" w:hAnsi="Arial" w:cs="Arial"/>
          <w:sz w:val="22"/>
        </w:rPr>
        <w:t xml:space="preserve"> </w:t>
      </w:r>
      <w:r w:rsidR="00F13DC3" w:rsidRPr="00F84BDD">
        <w:rPr>
          <w:rFonts w:ascii="Arial" w:hAnsi="Arial" w:cs="Arial"/>
          <w:sz w:val="22"/>
        </w:rPr>
        <w:t>10</w:t>
      </w:r>
      <w:r w:rsidR="00516C9E" w:rsidRPr="00F84BDD">
        <w:rPr>
          <w:rFonts w:ascii="Arial" w:hAnsi="Arial" w:cs="Arial"/>
          <w:sz w:val="22"/>
        </w:rPr>
        <w:t>%</w:t>
      </w:r>
      <w:r w:rsidR="00765F93" w:rsidRPr="00F84BDD">
        <w:rPr>
          <w:rFonts w:ascii="Arial" w:hAnsi="Arial" w:cs="Arial"/>
          <w:sz w:val="22"/>
        </w:rPr>
        <w:t xml:space="preserve">, producing </w:t>
      </w:r>
      <w:r w:rsidR="008E438F" w:rsidRPr="00F84BDD">
        <w:rPr>
          <w:rFonts w:ascii="Arial" w:hAnsi="Arial" w:cs="Arial"/>
          <w:sz w:val="22"/>
        </w:rPr>
        <w:t>a</w:t>
      </w:r>
      <w:r w:rsidR="00765F93" w:rsidRPr="00F84BDD">
        <w:rPr>
          <w:rFonts w:ascii="Arial" w:hAnsi="Arial" w:cs="Arial"/>
          <w:sz w:val="22"/>
        </w:rPr>
        <w:t>n annual dividend yield in excess of 3%</w:t>
      </w:r>
      <w:r w:rsidR="00516C9E" w:rsidRPr="00F84BDD">
        <w:rPr>
          <w:rFonts w:ascii="Arial" w:hAnsi="Arial" w:cs="Arial"/>
          <w:sz w:val="22"/>
        </w:rPr>
        <w:t xml:space="preserve">. </w:t>
      </w:r>
    </w:p>
    <w:p w:rsidR="00516C9E" w:rsidRPr="002A6649" w:rsidRDefault="00693646" w:rsidP="007E6DF7">
      <w:pPr>
        <w:pStyle w:val="ListParagraph"/>
        <w:numPr>
          <w:ilvl w:val="0"/>
          <w:numId w:val="37"/>
        </w:numPr>
        <w:rPr>
          <w:rFonts w:ascii="Arial" w:hAnsi="Arial" w:cs="Arial"/>
          <w:sz w:val="22"/>
        </w:rPr>
      </w:pPr>
      <w:r w:rsidRPr="00F84BDD">
        <w:rPr>
          <w:rFonts w:ascii="Arial" w:hAnsi="Arial" w:cs="Arial"/>
          <w:sz w:val="22"/>
        </w:rPr>
        <w:t xml:space="preserve">The company repurchased 6.6 million shares </w:t>
      </w:r>
      <w:r w:rsidR="00575334" w:rsidRPr="002A6649">
        <w:rPr>
          <w:rFonts w:ascii="Arial" w:hAnsi="Arial" w:cs="Arial"/>
          <w:sz w:val="22"/>
        </w:rPr>
        <w:t xml:space="preserve">year-to-date </w:t>
      </w:r>
      <w:r w:rsidRPr="002A6649">
        <w:rPr>
          <w:rFonts w:ascii="Arial" w:hAnsi="Arial" w:cs="Arial"/>
          <w:sz w:val="22"/>
        </w:rPr>
        <w:t xml:space="preserve">for </w:t>
      </w:r>
      <w:r w:rsidR="0001368F" w:rsidRPr="002A6649">
        <w:rPr>
          <w:rFonts w:ascii="Arial" w:hAnsi="Arial" w:cs="Arial"/>
          <w:sz w:val="22"/>
        </w:rPr>
        <w:t xml:space="preserve">approximately </w:t>
      </w:r>
      <w:r w:rsidRPr="002A6649">
        <w:rPr>
          <w:rFonts w:ascii="Arial" w:hAnsi="Arial" w:cs="Arial"/>
          <w:sz w:val="22"/>
        </w:rPr>
        <w:t>$7</w:t>
      </w:r>
      <w:r w:rsidR="0001368F" w:rsidRPr="002A6649">
        <w:rPr>
          <w:rFonts w:ascii="Arial" w:hAnsi="Arial" w:cs="Arial"/>
          <w:sz w:val="22"/>
        </w:rPr>
        <w:t>50</w:t>
      </w:r>
      <w:r w:rsidRPr="002A6649">
        <w:rPr>
          <w:rFonts w:ascii="Arial" w:hAnsi="Arial" w:cs="Arial"/>
          <w:sz w:val="22"/>
        </w:rPr>
        <w:t xml:space="preserve"> million.</w:t>
      </w:r>
      <w:r w:rsidR="00516C9E" w:rsidRPr="002A6649">
        <w:rPr>
          <w:rFonts w:ascii="Arial" w:hAnsi="Arial" w:cs="Arial"/>
          <w:sz w:val="22"/>
        </w:rPr>
        <w:t xml:space="preserve"> </w:t>
      </w:r>
    </w:p>
    <w:p w:rsidR="00496520" w:rsidRPr="002A6649" w:rsidRDefault="00125916" w:rsidP="00196424">
      <w:pPr>
        <w:pStyle w:val="ListParagraph"/>
        <w:numPr>
          <w:ilvl w:val="0"/>
          <w:numId w:val="37"/>
        </w:numPr>
        <w:rPr>
          <w:rFonts w:ascii="Arial" w:hAnsi="Arial" w:cs="Arial"/>
          <w:sz w:val="22"/>
        </w:rPr>
      </w:pPr>
      <w:r w:rsidRPr="002A6649">
        <w:rPr>
          <w:rFonts w:ascii="Arial" w:hAnsi="Arial" w:cs="Arial"/>
          <w:sz w:val="22"/>
        </w:rPr>
        <w:t>C</w:t>
      </w:r>
      <w:r w:rsidR="00880BD0" w:rsidRPr="002A6649">
        <w:rPr>
          <w:rFonts w:ascii="Arial" w:hAnsi="Arial" w:cs="Arial"/>
          <w:sz w:val="22"/>
        </w:rPr>
        <w:t xml:space="preserve">apital </w:t>
      </w:r>
      <w:r w:rsidR="0067570D" w:rsidRPr="002A6649">
        <w:rPr>
          <w:rFonts w:ascii="Arial" w:hAnsi="Arial" w:cs="Arial"/>
          <w:sz w:val="22"/>
        </w:rPr>
        <w:t>investments</w:t>
      </w:r>
      <w:r w:rsidR="00DC24DD" w:rsidRPr="002A6649">
        <w:rPr>
          <w:rFonts w:ascii="Arial" w:hAnsi="Arial" w:cs="Arial"/>
          <w:sz w:val="22"/>
        </w:rPr>
        <w:t xml:space="preserve"> </w:t>
      </w:r>
      <w:r w:rsidR="00EF35D3" w:rsidRPr="002A6649">
        <w:rPr>
          <w:rFonts w:ascii="Arial" w:hAnsi="Arial" w:cs="Arial"/>
          <w:sz w:val="22"/>
        </w:rPr>
        <w:t xml:space="preserve">and associated efficiencies were as expected in the quarter with year-to-date </w:t>
      </w:r>
      <w:r w:rsidR="0067570D" w:rsidRPr="002A6649">
        <w:rPr>
          <w:rFonts w:ascii="Arial" w:hAnsi="Arial" w:cs="Arial"/>
          <w:sz w:val="22"/>
        </w:rPr>
        <w:t>expenditures</w:t>
      </w:r>
      <w:r w:rsidR="00EF35D3" w:rsidRPr="002A6649">
        <w:rPr>
          <w:rFonts w:ascii="Arial" w:hAnsi="Arial" w:cs="Arial"/>
          <w:sz w:val="22"/>
        </w:rPr>
        <w:t xml:space="preserve"> at </w:t>
      </w:r>
      <w:r w:rsidR="00880BD0" w:rsidRPr="002A6649">
        <w:rPr>
          <w:rFonts w:ascii="Arial" w:hAnsi="Arial" w:cs="Arial"/>
          <w:sz w:val="22"/>
        </w:rPr>
        <w:t>$</w:t>
      </w:r>
      <w:r w:rsidR="00693646" w:rsidRPr="002A6649">
        <w:rPr>
          <w:rFonts w:ascii="Arial" w:hAnsi="Arial" w:cs="Arial"/>
          <w:sz w:val="22"/>
        </w:rPr>
        <w:t>4.5</w:t>
      </w:r>
      <w:r w:rsidR="00880BD0" w:rsidRPr="002A6649">
        <w:rPr>
          <w:rFonts w:ascii="Arial" w:hAnsi="Arial" w:cs="Arial"/>
          <w:sz w:val="22"/>
        </w:rPr>
        <w:t xml:space="preserve"> billion.</w:t>
      </w:r>
    </w:p>
    <w:p w:rsidR="00D926C6" w:rsidRPr="002A6649" w:rsidRDefault="00345BD2" w:rsidP="00196424">
      <w:pPr>
        <w:pStyle w:val="ListParagraph"/>
        <w:numPr>
          <w:ilvl w:val="0"/>
          <w:numId w:val="37"/>
        </w:numPr>
        <w:rPr>
          <w:rFonts w:ascii="Arial" w:hAnsi="Arial" w:cs="Arial"/>
          <w:sz w:val="22"/>
        </w:rPr>
      </w:pPr>
      <w:r>
        <w:rPr>
          <w:rFonts w:ascii="Arial" w:hAnsi="Arial" w:cs="Arial"/>
          <w:sz w:val="22"/>
        </w:rPr>
        <w:t>Third quarter results benefit</w:t>
      </w:r>
      <w:r w:rsidR="00D926C6" w:rsidRPr="002A6649">
        <w:rPr>
          <w:rFonts w:ascii="Arial" w:hAnsi="Arial" w:cs="Arial"/>
          <w:sz w:val="22"/>
        </w:rPr>
        <w:t>ed from several discrete items</w:t>
      </w:r>
      <w:r w:rsidR="00DE22E5">
        <w:rPr>
          <w:rFonts w:ascii="Arial" w:hAnsi="Arial" w:cs="Arial"/>
          <w:sz w:val="22"/>
        </w:rPr>
        <w:t>,</w:t>
      </w:r>
      <w:r w:rsidR="00D926C6" w:rsidRPr="002A6649">
        <w:rPr>
          <w:rFonts w:ascii="Arial" w:hAnsi="Arial" w:cs="Arial"/>
          <w:sz w:val="22"/>
        </w:rPr>
        <w:t xml:space="preserve"> </w:t>
      </w:r>
      <w:r w:rsidR="00DE22E5">
        <w:rPr>
          <w:rFonts w:ascii="Arial" w:hAnsi="Arial" w:cs="Arial"/>
          <w:sz w:val="22"/>
        </w:rPr>
        <w:t>including tax that helped</w:t>
      </w:r>
      <w:r w:rsidR="00DE22E5" w:rsidRPr="002A6649">
        <w:rPr>
          <w:rFonts w:ascii="Arial" w:hAnsi="Arial" w:cs="Arial"/>
          <w:sz w:val="22"/>
        </w:rPr>
        <w:t xml:space="preserve"> </w:t>
      </w:r>
      <w:r w:rsidR="00D926C6" w:rsidRPr="002A6649">
        <w:rPr>
          <w:rFonts w:ascii="Arial" w:hAnsi="Arial" w:cs="Arial"/>
          <w:sz w:val="22"/>
        </w:rPr>
        <w:t xml:space="preserve">to offset unplanned </w:t>
      </w:r>
      <w:r w:rsidR="002A57D6">
        <w:rPr>
          <w:rFonts w:ascii="Arial" w:hAnsi="Arial" w:cs="Arial"/>
          <w:sz w:val="22"/>
        </w:rPr>
        <w:t xml:space="preserve">International </w:t>
      </w:r>
      <w:r w:rsidR="00D926C6" w:rsidRPr="002A6649">
        <w:rPr>
          <w:rFonts w:ascii="Arial" w:hAnsi="Arial" w:cs="Arial"/>
          <w:sz w:val="22"/>
        </w:rPr>
        <w:t xml:space="preserve">headwinds from currency and </w:t>
      </w:r>
      <w:r w:rsidR="002A57D6">
        <w:rPr>
          <w:rFonts w:ascii="Arial" w:hAnsi="Arial" w:cs="Arial"/>
          <w:sz w:val="22"/>
        </w:rPr>
        <w:t>fuel.</w:t>
      </w:r>
    </w:p>
    <w:p w:rsidR="00CC6CB3" w:rsidRPr="002A6649" w:rsidRDefault="00CC6CB3" w:rsidP="00B54509">
      <w:pPr>
        <w:rPr>
          <w:rFonts w:ascii="Arial" w:hAnsi="Arial" w:cs="Arial"/>
          <w:b/>
          <w:sz w:val="22"/>
          <w:u w:val="single"/>
        </w:rPr>
      </w:pPr>
    </w:p>
    <w:p w:rsidR="00940590" w:rsidRPr="002A6649" w:rsidRDefault="00940590" w:rsidP="00B54509">
      <w:pPr>
        <w:rPr>
          <w:rFonts w:ascii="Arial" w:hAnsi="Arial" w:cs="Arial"/>
          <w:b/>
          <w:sz w:val="22"/>
          <w:u w:val="single"/>
        </w:rPr>
      </w:pPr>
    </w:p>
    <w:p w:rsidR="00B54509" w:rsidRPr="002A6649" w:rsidRDefault="00B54509" w:rsidP="00B54509">
      <w:pPr>
        <w:rPr>
          <w:rFonts w:ascii="Arial" w:hAnsi="Arial" w:cs="Arial"/>
          <w:b/>
          <w:sz w:val="22"/>
          <w:u w:val="single"/>
        </w:rPr>
      </w:pPr>
      <w:r w:rsidRPr="002A6649">
        <w:rPr>
          <w:rFonts w:ascii="Arial" w:hAnsi="Arial" w:cs="Arial"/>
          <w:b/>
          <w:sz w:val="22"/>
          <w:u w:val="single"/>
        </w:rPr>
        <w:t>U.S. Domestic Segment</w:t>
      </w:r>
    </w:p>
    <w:p w:rsidR="00451F11" w:rsidRPr="002A6649" w:rsidRDefault="00451F11" w:rsidP="000E624D">
      <w:pPr>
        <w:rPr>
          <w:rFonts w:ascii="Arial" w:hAnsi="Arial" w:cs="Arial"/>
          <w:sz w:val="22"/>
        </w:rPr>
      </w:pPr>
    </w:p>
    <w:p w:rsidR="00E679CA" w:rsidRPr="002A6649" w:rsidRDefault="00E679CA" w:rsidP="002B6D69">
      <w:pPr>
        <w:ind w:firstLine="720"/>
        <w:rPr>
          <w:rFonts w:ascii="Arial" w:hAnsi="Arial" w:cs="Arial"/>
          <w:sz w:val="22"/>
        </w:rPr>
      </w:pPr>
      <w:r w:rsidRPr="002A6649">
        <w:rPr>
          <w:rFonts w:ascii="Arial" w:hAnsi="Arial" w:cs="Arial"/>
          <w:sz w:val="22"/>
        </w:rPr>
        <w:t>The U.S. Domestic segment experience</w:t>
      </w:r>
      <w:r w:rsidR="00DE0363" w:rsidRPr="002A6649">
        <w:rPr>
          <w:rFonts w:ascii="Arial" w:hAnsi="Arial" w:cs="Arial"/>
          <w:sz w:val="22"/>
        </w:rPr>
        <w:t>d</w:t>
      </w:r>
      <w:r w:rsidRPr="002A6649">
        <w:rPr>
          <w:rFonts w:ascii="Arial" w:hAnsi="Arial" w:cs="Arial"/>
          <w:sz w:val="22"/>
        </w:rPr>
        <w:t xml:space="preserve"> strong </w:t>
      </w:r>
      <w:r w:rsidR="0008498E" w:rsidRPr="002A6649">
        <w:rPr>
          <w:rFonts w:ascii="Arial" w:hAnsi="Arial" w:cs="Arial"/>
          <w:sz w:val="22"/>
        </w:rPr>
        <w:t xml:space="preserve">revenue </w:t>
      </w:r>
      <w:r w:rsidR="00F5406A" w:rsidRPr="002A6649">
        <w:rPr>
          <w:rFonts w:ascii="Arial" w:hAnsi="Arial" w:cs="Arial"/>
          <w:sz w:val="22"/>
        </w:rPr>
        <w:t>growth</w:t>
      </w:r>
      <w:r w:rsidR="00DA0739" w:rsidRPr="002A6649">
        <w:rPr>
          <w:rFonts w:ascii="Arial" w:hAnsi="Arial" w:cs="Arial"/>
          <w:sz w:val="22"/>
        </w:rPr>
        <w:t xml:space="preserve"> </w:t>
      </w:r>
      <w:r w:rsidR="0008498E" w:rsidRPr="002A6649">
        <w:rPr>
          <w:rFonts w:ascii="Arial" w:hAnsi="Arial" w:cs="Arial"/>
          <w:sz w:val="22"/>
        </w:rPr>
        <w:t xml:space="preserve">of </w:t>
      </w:r>
      <w:r w:rsidR="00522C6A" w:rsidRPr="002A6649">
        <w:rPr>
          <w:rFonts w:ascii="Arial" w:hAnsi="Arial" w:cs="Arial"/>
          <w:sz w:val="22"/>
        </w:rPr>
        <w:t>8.1</w:t>
      </w:r>
      <w:r w:rsidR="0008498E" w:rsidRPr="002A6649">
        <w:rPr>
          <w:rFonts w:ascii="Arial" w:hAnsi="Arial" w:cs="Arial"/>
          <w:sz w:val="22"/>
        </w:rPr>
        <w:t>%</w:t>
      </w:r>
      <w:r w:rsidR="008A4B60" w:rsidRPr="002A6649">
        <w:rPr>
          <w:rFonts w:ascii="Arial" w:hAnsi="Arial" w:cs="Arial"/>
          <w:sz w:val="22"/>
        </w:rPr>
        <w:t xml:space="preserve"> to $10.</w:t>
      </w:r>
      <w:r w:rsidR="004A735C">
        <w:rPr>
          <w:rFonts w:ascii="Arial" w:hAnsi="Arial" w:cs="Arial"/>
          <w:sz w:val="22"/>
        </w:rPr>
        <w:t>4</w:t>
      </w:r>
      <w:r w:rsidR="004A735C" w:rsidRPr="002A6649">
        <w:rPr>
          <w:rFonts w:ascii="Arial" w:hAnsi="Arial" w:cs="Arial"/>
          <w:sz w:val="22"/>
        </w:rPr>
        <w:t xml:space="preserve"> </w:t>
      </w:r>
      <w:r w:rsidR="008A4B60" w:rsidRPr="002A6649">
        <w:rPr>
          <w:rFonts w:ascii="Arial" w:hAnsi="Arial" w:cs="Arial"/>
          <w:sz w:val="22"/>
        </w:rPr>
        <w:t>billion</w:t>
      </w:r>
      <w:r w:rsidR="0008498E" w:rsidRPr="002A6649">
        <w:rPr>
          <w:rFonts w:ascii="Arial" w:hAnsi="Arial" w:cs="Arial"/>
          <w:sz w:val="22"/>
        </w:rPr>
        <w:t xml:space="preserve">, </w:t>
      </w:r>
      <w:r w:rsidR="00DA0739" w:rsidRPr="002A6649">
        <w:rPr>
          <w:rFonts w:ascii="Arial" w:hAnsi="Arial" w:cs="Arial"/>
          <w:sz w:val="22"/>
        </w:rPr>
        <w:t xml:space="preserve">driven by </w:t>
      </w:r>
      <w:r w:rsidR="000050AA" w:rsidRPr="002A6649">
        <w:rPr>
          <w:rFonts w:ascii="Arial" w:hAnsi="Arial" w:cs="Arial"/>
          <w:sz w:val="22"/>
        </w:rPr>
        <w:t>high</w:t>
      </w:r>
      <w:r w:rsidR="00DA0739" w:rsidRPr="002A6649">
        <w:rPr>
          <w:rFonts w:ascii="Arial" w:hAnsi="Arial" w:cs="Arial"/>
          <w:sz w:val="22"/>
        </w:rPr>
        <w:t xml:space="preserve"> </w:t>
      </w:r>
      <w:r w:rsidR="00F5406A" w:rsidRPr="002A6649">
        <w:rPr>
          <w:rFonts w:ascii="Arial" w:hAnsi="Arial" w:cs="Arial"/>
          <w:sz w:val="22"/>
        </w:rPr>
        <w:t>demand</w:t>
      </w:r>
      <w:r w:rsidR="00BF6D0F" w:rsidRPr="002A6649">
        <w:rPr>
          <w:rFonts w:ascii="Arial" w:hAnsi="Arial" w:cs="Arial"/>
          <w:sz w:val="22"/>
        </w:rPr>
        <w:t xml:space="preserve"> </w:t>
      </w:r>
      <w:r w:rsidR="000050AA" w:rsidRPr="002A6649">
        <w:rPr>
          <w:rFonts w:ascii="Arial" w:hAnsi="Arial" w:cs="Arial"/>
          <w:sz w:val="22"/>
        </w:rPr>
        <w:t xml:space="preserve">for the company’s solutions </w:t>
      </w:r>
      <w:r w:rsidR="00BF6D0F" w:rsidRPr="002A6649">
        <w:rPr>
          <w:rFonts w:ascii="Arial" w:hAnsi="Arial" w:cs="Arial"/>
          <w:sz w:val="22"/>
        </w:rPr>
        <w:t>and</w:t>
      </w:r>
      <w:r w:rsidR="00DA0739" w:rsidRPr="002A6649">
        <w:rPr>
          <w:rFonts w:ascii="Arial" w:hAnsi="Arial" w:cs="Arial"/>
          <w:sz w:val="22"/>
        </w:rPr>
        <w:t xml:space="preserve"> </w:t>
      </w:r>
      <w:r w:rsidR="00641D2E" w:rsidRPr="002A6649">
        <w:rPr>
          <w:rFonts w:ascii="Arial" w:hAnsi="Arial" w:cs="Arial"/>
          <w:sz w:val="22"/>
        </w:rPr>
        <w:t xml:space="preserve">robust yield expansion </w:t>
      </w:r>
      <w:r w:rsidR="004F0A9C" w:rsidRPr="002A6649">
        <w:rPr>
          <w:rFonts w:ascii="Arial" w:hAnsi="Arial" w:cs="Arial"/>
          <w:sz w:val="22"/>
        </w:rPr>
        <w:t>compared to</w:t>
      </w:r>
      <w:r w:rsidR="00DA0739" w:rsidRPr="002A6649">
        <w:rPr>
          <w:rFonts w:ascii="Arial" w:hAnsi="Arial" w:cs="Arial"/>
          <w:sz w:val="22"/>
        </w:rPr>
        <w:t xml:space="preserve"> </w:t>
      </w:r>
      <w:r w:rsidR="00171A15" w:rsidRPr="002A6649">
        <w:rPr>
          <w:rFonts w:ascii="Arial" w:hAnsi="Arial" w:cs="Arial"/>
          <w:sz w:val="22"/>
        </w:rPr>
        <w:t>3Q 2017</w:t>
      </w:r>
      <w:r w:rsidR="00BF6D0F" w:rsidRPr="002A6649">
        <w:rPr>
          <w:rFonts w:ascii="Arial" w:hAnsi="Arial" w:cs="Arial"/>
          <w:sz w:val="22"/>
        </w:rPr>
        <w:t xml:space="preserve">.  </w:t>
      </w:r>
      <w:r w:rsidR="00641D2E" w:rsidRPr="002A6649">
        <w:rPr>
          <w:rFonts w:ascii="Arial" w:hAnsi="Arial" w:cs="Arial"/>
          <w:sz w:val="22"/>
        </w:rPr>
        <w:t xml:space="preserve">The segment </w:t>
      </w:r>
      <w:r w:rsidR="00EF35D3" w:rsidRPr="002A6649">
        <w:rPr>
          <w:rFonts w:ascii="Arial" w:hAnsi="Arial" w:cs="Arial"/>
          <w:sz w:val="22"/>
        </w:rPr>
        <w:t>also generated</w:t>
      </w:r>
      <w:r w:rsidR="00232D2F" w:rsidRPr="002A6649">
        <w:rPr>
          <w:rFonts w:ascii="Arial" w:hAnsi="Arial" w:cs="Arial"/>
          <w:sz w:val="22"/>
        </w:rPr>
        <w:t xml:space="preserve"> sequential</w:t>
      </w:r>
      <w:r w:rsidR="00EF35D3" w:rsidRPr="002A6649">
        <w:rPr>
          <w:rFonts w:ascii="Arial" w:hAnsi="Arial" w:cs="Arial"/>
          <w:sz w:val="22"/>
        </w:rPr>
        <w:t xml:space="preserve"> yield improvements </w:t>
      </w:r>
      <w:r w:rsidR="00232D2F" w:rsidRPr="002A6649">
        <w:rPr>
          <w:rFonts w:ascii="Arial" w:hAnsi="Arial" w:cs="Arial"/>
          <w:sz w:val="22"/>
        </w:rPr>
        <w:t xml:space="preserve">driven in part by </w:t>
      </w:r>
      <w:r w:rsidR="00DC1F58" w:rsidRPr="002A6649">
        <w:rPr>
          <w:rFonts w:ascii="Arial" w:hAnsi="Arial" w:cs="Arial"/>
          <w:sz w:val="22"/>
        </w:rPr>
        <w:t>a more disciplined approach to capture high-quality growth opportunities.</w:t>
      </w:r>
    </w:p>
    <w:p w:rsidR="004F0A9C" w:rsidRPr="002A6649" w:rsidRDefault="004F0A9C" w:rsidP="002B6D69">
      <w:pPr>
        <w:ind w:firstLine="720"/>
        <w:rPr>
          <w:rFonts w:ascii="Arial" w:hAnsi="Arial" w:cs="Arial"/>
          <w:sz w:val="22"/>
        </w:rPr>
      </w:pPr>
    </w:p>
    <w:tbl>
      <w:tblPr>
        <w:tblStyle w:val="TableGrid"/>
        <w:tblW w:w="7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40"/>
        <w:gridCol w:w="1440"/>
        <w:gridCol w:w="1440"/>
      </w:tblGrid>
      <w:tr w:rsidR="00F173C9" w:rsidRPr="002A6649" w:rsidTr="00713C07">
        <w:trPr>
          <w:jc w:val="center"/>
        </w:trPr>
        <w:tc>
          <w:tcPr>
            <w:tcW w:w="3024" w:type="dxa"/>
          </w:tcPr>
          <w:p w:rsidR="00F173C9" w:rsidRPr="002A6649" w:rsidRDefault="00F173C9" w:rsidP="00174DB0">
            <w:pPr>
              <w:rPr>
                <w:rFonts w:ascii="Arial" w:hAnsi="Arial" w:cs="Arial"/>
                <w:b/>
                <w:sz w:val="20"/>
                <w:szCs w:val="22"/>
                <w:u w:val="single"/>
              </w:rPr>
            </w:pPr>
          </w:p>
          <w:p w:rsidR="00F173C9" w:rsidRPr="002A6649" w:rsidRDefault="00F173C9" w:rsidP="00174DB0">
            <w:pPr>
              <w:rPr>
                <w:rFonts w:ascii="Arial" w:hAnsi="Arial" w:cs="Arial"/>
                <w:b/>
                <w:sz w:val="20"/>
                <w:szCs w:val="22"/>
                <w:u w:val="single"/>
              </w:rPr>
            </w:pPr>
          </w:p>
        </w:tc>
        <w:tc>
          <w:tcPr>
            <w:tcW w:w="1440" w:type="dxa"/>
          </w:tcPr>
          <w:p w:rsidR="00F173C9" w:rsidRPr="002A6649" w:rsidRDefault="00F173C9" w:rsidP="00174DB0">
            <w:pPr>
              <w:jc w:val="right"/>
              <w:rPr>
                <w:rFonts w:ascii="Arial" w:hAnsi="Arial" w:cs="Arial"/>
                <w:b/>
                <w:sz w:val="20"/>
                <w:szCs w:val="22"/>
                <w:u w:val="single"/>
              </w:rPr>
            </w:pPr>
          </w:p>
          <w:p w:rsidR="00F173C9" w:rsidRPr="002A6649" w:rsidRDefault="00522C6A" w:rsidP="00DF7166">
            <w:pPr>
              <w:jc w:val="right"/>
              <w:rPr>
                <w:rFonts w:ascii="Arial" w:hAnsi="Arial" w:cs="Arial"/>
                <w:b/>
                <w:sz w:val="20"/>
                <w:szCs w:val="22"/>
                <w:u w:val="single"/>
              </w:rPr>
            </w:pPr>
            <w:r w:rsidRPr="002A6649">
              <w:rPr>
                <w:rFonts w:ascii="Arial" w:hAnsi="Arial" w:cs="Arial"/>
                <w:b/>
                <w:sz w:val="20"/>
                <w:szCs w:val="22"/>
                <w:u w:val="single"/>
              </w:rPr>
              <w:t>3</w:t>
            </w:r>
            <w:r w:rsidR="00F173C9" w:rsidRPr="002A6649">
              <w:rPr>
                <w:rFonts w:ascii="Arial" w:hAnsi="Arial" w:cs="Arial"/>
                <w:b/>
                <w:sz w:val="20"/>
                <w:szCs w:val="22"/>
                <w:u w:val="single"/>
              </w:rPr>
              <w:t>Q 2018</w:t>
            </w:r>
          </w:p>
        </w:tc>
        <w:tc>
          <w:tcPr>
            <w:tcW w:w="1440" w:type="dxa"/>
          </w:tcPr>
          <w:p w:rsidR="00F173C9" w:rsidRPr="002A6649" w:rsidRDefault="00F173C9" w:rsidP="00174DB0">
            <w:pPr>
              <w:jc w:val="right"/>
              <w:rPr>
                <w:rFonts w:ascii="Arial" w:hAnsi="Arial" w:cs="Arial"/>
                <w:b/>
                <w:sz w:val="20"/>
                <w:szCs w:val="22"/>
                <w:u w:val="single"/>
              </w:rPr>
            </w:pPr>
            <w:r w:rsidRPr="002A6649">
              <w:rPr>
                <w:rFonts w:ascii="Arial" w:hAnsi="Arial" w:cs="Arial"/>
                <w:b/>
                <w:sz w:val="20"/>
                <w:szCs w:val="22"/>
                <w:u w:val="single"/>
              </w:rPr>
              <w:t>Adjusted</w:t>
            </w:r>
          </w:p>
          <w:p w:rsidR="00F173C9" w:rsidRPr="002A6649" w:rsidRDefault="00522C6A" w:rsidP="00DF7166">
            <w:pPr>
              <w:jc w:val="right"/>
              <w:rPr>
                <w:rFonts w:ascii="Arial" w:hAnsi="Arial" w:cs="Arial"/>
                <w:b/>
                <w:sz w:val="20"/>
                <w:szCs w:val="22"/>
                <w:u w:val="single"/>
              </w:rPr>
            </w:pPr>
            <w:r w:rsidRPr="002A6649">
              <w:rPr>
                <w:rFonts w:ascii="Arial" w:hAnsi="Arial" w:cs="Arial"/>
                <w:b/>
                <w:sz w:val="20"/>
                <w:szCs w:val="22"/>
                <w:u w:val="single"/>
              </w:rPr>
              <w:t>3</w:t>
            </w:r>
            <w:r w:rsidR="00F173C9" w:rsidRPr="002A6649">
              <w:rPr>
                <w:rFonts w:ascii="Arial" w:hAnsi="Arial" w:cs="Arial"/>
                <w:b/>
                <w:sz w:val="20"/>
                <w:szCs w:val="22"/>
                <w:u w:val="single"/>
              </w:rPr>
              <w:t>Q 2018</w:t>
            </w:r>
          </w:p>
        </w:tc>
        <w:tc>
          <w:tcPr>
            <w:tcW w:w="1440" w:type="dxa"/>
          </w:tcPr>
          <w:p w:rsidR="00F173C9" w:rsidRPr="002A6649" w:rsidRDefault="00F173C9" w:rsidP="00174DB0">
            <w:pPr>
              <w:jc w:val="right"/>
              <w:rPr>
                <w:rFonts w:ascii="Arial" w:hAnsi="Arial" w:cs="Arial"/>
                <w:b/>
                <w:sz w:val="20"/>
                <w:szCs w:val="22"/>
                <w:u w:val="single"/>
              </w:rPr>
            </w:pPr>
          </w:p>
          <w:p w:rsidR="00F173C9" w:rsidRPr="002A6649" w:rsidRDefault="00522C6A">
            <w:pPr>
              <w:jc w:val="right"/>
              <w:rPr>
                <w:rFonts w:ascii="Arial" w:hAnsi="Arial" w:cs="Arial"/>
                <w:b/>
                <w:sz w:val="20"/>
                <w:szCs w:val="22"/>
                <w:u w:val="single"/>
              </w:rPr>
            </w:pPr>
            <w:r w:rsidRPr="002A6649">
              <w:rPr>
                <w:rFonts w:ascii="Arial" w:hAnsi="Arial" w:cs="Arial"/>
                <w:b/>
                <w:sz w:val="20"/>
                <w:szCs w:val="22"/>
                <w:u w:val="single"/>
              </w:rPr>
              <w:t>3</w:t>
            </w:r>
            <w:r w:rsidR="00F173C9" w:rsidRPr="002A6649">
              <w:rPr>
                <w:rFonts w:ascii="Arial" w:hAnsi="Arial" w:cs="Arial"/>
                <w:b/>
                <w:sz w:val="20"/>
                <w:szCs w:val="22"/>
                <w:u w:val="single"/>
              </w:rPr>
              <w:t>Q 2017</w:t>
            </w:r>
          </w:p>
        </w:tc>
      </w:tr>
      <w:tr w:rsidR="00F173C9" w:rsidRPr="002A6649" w:rsidTr="00713C07">
        <w:trPr>
          <w:jc w:val="center"/>
        </w:trPr>
        <w:tc>
          <w:tcPr>
            <w:tcW w:w="3024" w:type="dxa"/>
          </w:tcPr>
          <w:p w:rsidR="00F173C9" w:rsidRPr="002A6649" w:rsidRDefault="00F173C9" w:rsidP="00174DB0">
            <w:pPr>
              <w:rPr>
                <w:rFonts w:ascii="Arial" w:hAnsi="Arial" w:cs="Arial"/>
                <w:sz w:val="20"/>
                <w:szCs w:val="22"/>
              </w:rPr>
            </w:pPr>
            <w:r w:rsidRPr="002A6649">
              <w:rPr>
                <w:rFonts w:ascii="Arial" w:hAnsi="Arial" w:cs="Arial"/>
                <w:sz w:val="20"/>
                <w:szCs w:val="22"/>
              </w:rPr>
              <w:t>Revenue</w:t>
            </w:r>
          </w:p>
        </w:tc>
        <w:tc>
          <w:tcPr>
            <w:tcW w:w="1440" w:type="dxa"/>
          </w:tcPr>
          <w:p w:rsidR="00F173C9" w:rsidRPr="002A6649" w:rsidRDefault="00F173C9" w:rsidP="00522C6A">
            <w:pPr>
              <w:jc w:val="right"/>
              <w:rPr>
                <w:rFonts w:ascii="Arial" w:hAnsi="Arial" w:cs="Arial"/>
                <w:sz w:val="20"/>
                <w:szCs w:val="22"/>
              </w:rPr>
            </w:pPr>
            <w:r w:rsidRPr="002A6649">
              <w:rPr>
                <w:rFonts w:ascii="Arial" w:hAnsi="Arial" w:cs="Arial"/>
                <w:sz w:val="20"/>
                <w:szCs w:val="22"/>
              </w:rPr>
              <w:t>$10,</w:t>
            </w:r>
            <w:r w:rsidR="00522C6A" w:rsidRPr="002A6649">
              <w:rPr>
                <w:rFonts w:ascii="Arial" w:hAnsi="Arial" w:cs="Arial"/>
                <w:sz w:val="20"/>
                <w:szCs w:val="22"/>
              </w:rPr>
              <w:t>437</w:t>
            </w:r>
            <w:r w:rsidRPr="002A6649">
              <w:rPr>
                <w:rFonts w:ascii="Arial" w:hAnsi="Arial" w:cs="Arial"/>
                <w:sz w:val="20"/>
                <w:szCs w:val="22"/>
              </w:rPr>
              <w:t xml:space="preserve"> M</w:t>
            </w:r>
          </w:p>
        </w:tc>
        <w:tc>
          <w:tcPr>
            <w:tcW w:w="1440" w:type="dxa"/>
          </w:tcPr>
          <w:p w:rsidR="00F173C9" w:rsidRPr="002A6649" w:rsidRDefault="00F173C9" w:rsidP="00174DB0">
            <w:pPr>
              <w:jc w:val="right"/>
              <w:rPr>
                <w:rFonts w:ascii="Arial" w:hAnsi="Arial" w:cs="Arial"/>
                <w:sz w:val="20"/>
                <w:szCs w:val="22"/>
              </w:rPr>
            </w:pPr>
          </w:p>
        </w:tc>
        <w:tc>
          <w:tcPr>
            <w:tcW w:w="1440" w:type="dxa"/>
          </w:tcPr>
          <w:p w:rsidR="00F173C9" w:rsidRPr="002A6649" w:rsidRDefault="00F173C9" w:rsidP="00522C6A">
            <w:pPr>
              <w:jc w:val="right"/>
              <w:rPr>
                <w:rFonts w:ascii="Arial" w:hAnsi="Arial" w:cs="Arial"/>
                <w:sz w:val="20"/>
                <w:szCs w:val="22"/>
              </w:rPr>
            </w:pPr>
            <w:r w:rsidRPr="002A6649">
              <w:rPr>
                <w:rFonts w:ascii="Arial" w:hAnsi="Arial" w:cs="Arial"/>
                <w:sz w:val="20"/>
                <w:szCs w:val="22"/>
              </w:rPr>
              <w:t>$9,</w:t>
            </w:r>
            <w:r w:rsidR="00522C6A" w:rsidRPr="002A6649">
              <w:rPr>
                <w:rFonts w:ascii="Arial" w:hAnsi="Arial" w:cs="Arial"/>
                <w:sz w:val="20"/>
                <w:szCs w:val="22"/>
              </w:rPr>
              <w:t>651</w:t>
            </w:r>
            <w:r w:rsidRPr="002A6649">
              <w:rPr>
                <w:rFonts w:ascii="Arial" w:hAnsi="Arial" w:cs="Arial"/>
                <w:sz w:val="20"/>
                <w:szCs w:val="22"/>
              </w:rPr>
              <w:t xml:space="preserve"> M</w:t>
            </w:r>
          </w:p>
        </w:tc>
      </w:tr>
      <w:tr w:rsidR="00F173C9" w:rsidRPr="002A6649" w:rsidTr="00713C07">
        <w:trPr>
          <w:jc w:val="center"/>
        </w:trPr>
        <w:tc>
          <w:tcPr>
            <w:tcW w:w="3024" w:type="dxa"/>
          </w:tcPr>
          <w:p w:rsidR="00F173C9" w:rsidRPr="002A6649" w:rsidRDefault="00F173C9">
            <w:pPr>
              <w:rPr>
                <w:rFonts w:ascii="Arial" w:hAnsi="Arial" w:cs="Arial"/>
                <w:sz w:val="20"/>
                <w:szCs w:val="22"/>
              </w:rPr>
            </w:pPr>
            <w:r w:rsidRPr="002A6649">
              <w:rPr>
                <w:rFonts w:ascii="Arial" w:hAnsi="Arial" w:cs="Arial"/>
                <w:sz w:val="20"/>
                <w:szCs w:val="22"/>
              </w:rPr>
              <w:t>Operating profit</w:t>
            </w:r>
          </w:p>
        </w:tc>
        <w:tc>
          <w:tcPr>
            <w:tcW w:w="1440" w:type="dxa"/>
          </w:tcPr>
          <w:p w:rsidR="00F173C9" w:rsidRPr="002A6649" w:rsidRDefault="00F173C9" w:rsidP="00522C6A">
            <w:pPr>
              <w:jc w:val="right"/>
              <w:rPr>
                <w:rFonts w:ascii="Arial" w:hAnsi="Arial" w:cs="Arial"/>
                <w:sz w:val="20"/>
                <w:szCs w:val="22"/>
              </w:rPr>
            </w:pPr>
            <w:r w:rsidRPr="002A6649">
              <w:rPr>
                <w:rFonts w:ascii="Arial" w:hAnsi="Arial" w:cs="Arial"/>
                <w:sz w:val="20"/>
                <w:szCs w:val="22"/>
              </w:rPr>
              <w:t>$9</w:t>
            </w:r>
            <w:r w:rsidR="00522C6A" w:rsidRPr="002A6649">
              <w:rPr>
                <w:rFonts w:ascii="Arial" w:hAnsi="Arial" w:cs="Arial"/>
                <w:sz w:val="20"/>
                <w:szCs w:val="22"/>
              </w:rPr>
              <w:t>4</w:t>
            </w:r>
            <w:r w:rsidRPr="002A6649">
              <w:rPr>
                <w:rFonts w:ascii="Arial" w:hAnsi="Arial" w:cs="Arial"/>
                <w:sz w:val="20"/>
                <w:szCs w:val="22"/>
              </w:rPr>
              <w:t>9 M</w:t>
            </w:r>
          </w:p>
        </w:tc>
        <w:tc>
          <w:tcPr>
            <w:tcW w:w="1440" w:type="dxa"/>
          </w:tcPr>
          <w:p w:rsidR="00F173C9" w:rsidRPr="002A6649" w:rsidRDefault="00F173C9" w:rsidP="00522C6A">
            <w:pPr>
              <w:jc w:val="right"/>
              <w:rPr>
                <w:rFonts w:ascii="Arial" w:hAnsi="Arial" w:cs="Arial"/>
                <w:sz w:val="20"/>
                <w:szCs w:val="22"/>
              </w:rPr>
            </w:pPr>
            <w:r w:rsidRPr="002A6649">
              <w:rPr>
                <w:rFonts w:ascii="Arial" w:hAnsi="Arial" w:cs="Arial"/>
                <w:sz w:val="20"/>
                <w:szCs w:val="22"/>
              </w:rPr>
              <w:t>$</w:t>
            </w:r>
            <w:r w:rsidR="00522C6A" w:rsidRPr="002A6649">
              <w:rPr>
                <w:rFonts w:ascii="Arial" w:hAnsi="Arial" w:cs="Arial"/>
                <w:sz w:val="20"/>
                <w:szCs w:val="22"/>
              </w:rPr>
              <w:t>988</w:t>
            </w:r>
            <w:r w:rsidRPr="002A6649">
              <w:rPr>
                <w:rFonts w:ascii="Arial" w:hAnsi="Arial" w:cs="Arial"/>
                <w:sz w:val="20"/>
                <w:szCs w:val="22"/>
              </w:rPr>
              <w:t xml:space="preserve"> M</w:t>
            </w:r>
          </w:p>
        </w:tc>
        <w:tc>
          <w:tcPr>
            <w:tcW w:w="1440" w:type="dxa"/>
          </w:tcPr>
          <w:p w:rsidR="00F173C9" w:rsidRPr="002A6649" w:rsidRDefault="00F173C9" w:rsidP="00522C6A">
            <w:pPr>
              <w:jc w:val="right"/>
              <w:rPr>
                <w:rFonts w:ascii="Arial" w:hAnsi="Arial" w:cs="Arial"/>
                <w:sz w:val="20"/>
                <w:szCs w:val="22"/>
              </w:rPr>
            </w:pPr>
            <w:r w:rsidRPr="002A6649">
              <w:rPr>
                <w:rFonts w:ascii="Arial" w:hAnsi="Arial" w:cs="Arial"/>
                <w:sz w:val="20"/>
                <w:szCs w:val="22"/>
              </w:rPr>
              <w:t>$1,</w:t>
            </w:r>
            <w:r w:rsidR="00522C6A" w:rsidRPr="002A6649">
              <w:rPr>
                <w:rFonts w:ascii="Arial" w:hAnsi="Arial" w:cs="Arial"/>
                <w:sz w:val="20"/>
                <w:szCs w:val="22"/>
              </w:rPr>
              <w:t>011</w:t>
            </w:r>
            <w:r w:rsidRPr="002A6649">
              <w:rPr>
                <w:rFonts w:ascii="Arial" w:hAnsi="Arial" w:cs="Arial"/>
                <w:sz w:val="20"/>
                <w:szCs w:val="22"/>
              </w:rPr>
              <w:t xml:space="preserve"> M</w:t>
            </w:r>
          </w:p>
        </w:tc>
      </w:tr>
    </w:tbl>
    <w:p w:rsidR="005A5BC6" w:rsidRPr="002A6649" w:rsidRDefault="005A5BC6" w:rsidP="000E624D">
      <w:pPr>
        <w:rPr>
          <w:rFonts w:ascii="Arial" w:hAnsi="Arial" w:cs="Arial"/>
          <w:sz w:val="22"/>
        </w:rPr>
      </w:pPr>
    </w:p>
    <w:p w:rsidR="005A693E" w:rsidRPr="002A6649" w:rsidRDefault="000E624D" w:rsidP="000E624D">
      <w:pPr>
        <w:rPr>
          <w:rFonts w:ascii="Arial" w:hAnsi="Arial" w:cs="Arial"/>
          <w:sz w:val="22"/>
        </w:rPr>
      </w:pPr>
      <w:r w:rsidRPr="002A6649">
        <w:rPr>
          <w:rFonts w:ascii="Arial" w:hAnsi="Arial" w:cs="Arial"/>
          <w:sz w:val="22"/>
        </w:rPr>
        <w:t xml:space="preserve">For the U.S. Domestic </w:t>
      </w:r>
      <w:r w:rsidR="00576472" w:rsidRPr="002A6649">
        <w:rPr>
          <w:rFonts w:ascii="Arial" w:hAnsi="Arial" w:cs="Arial"/>
          <w:sz w:val="22"/>
        </w:rPr>
        <w:t xml:space="preserve">segment </w:t>
      </w:r>
      <w:r w:rsidRPr="002A6649">
        <w:rPr>
          <w:rFonts w:ascii="Arial" w:hAnsi="Arial" w:cs="Arial"/>
          <w:sz w:val="22"/>
        </w:rPr>
        <w:t xml:space="preserve">in </w:t>
      </w:r>
      <w:r w:rsidR="00522C6A" w:rsidRPr="002A6649">
        <w:rPr>
          <w:rFonts w:ascii="Arial" w:hAnsi="Arial" w:cs="Arial"/>
          <w:sz w:val="22"/>
        </w:rPr>
        <w:t>3Q</w:t>
      </w:r>
      <w:r w:rsidRPr="002A6649">
        <w:rPr>
          <w:rFonts w:ascii="Arial" w:hAnsi="Arial" w:cs="Arial"/>
          <w:sz w:val="22"/>
        </w:rPr>
        <w:t xml:space="preserve"> </w:t>
      </w:r>
      <w:r w:rsidR="00EE76F3" w:rsidRPr="002A6649">
        <w:rPr>
          <w:rFonts w:ascii="Arial" w:hAnsi="Arial" w:cs="Arial"/>
          <w:sz w:val="22"/>
        </w:rPr>
        <w:t>2018</w:t>
      </w:r>
      <w:r w:rsidRPr="002A6649">
        <w:rPr>
          <w:rFonts w:ascii="Arial" w:hAnsi="Arial" w:cs="Arial"/>
          <w:sz w:val="22"/>
        </w:rPr>
        <w:t>:</w:t>
      </w:r>
    </w:p>
    <w:p w:rsidR="00AF198D" w:rsidRPr="002A6649" w:rsidRDefault="009D7FBB" w:rsidP="00746CB8">
      <w:pPr>
        <w:pStyle w:val="ListParagraph"/>
        <w:numPr>
          <w:ilvl w:val="0"/>
          <w:numId w:val="37"/>
        </w:numPr>
        <w:rPr>
          <w:rFonts w:ascii="Arial" w:hAnsi="Arial" w:cs="Arial"/>
          <w:sz w:val="22"/>
        </w:rPr>
      </w:pPr>
      <w:r w:rsidRPr="002A6649">
        <w:rPr>
          <w:rFonts w:ascii="Arial" w:hAnsi="Arial" w:cs="Arial"/>
          <w:sz w:val="22"/>
        </w:rPr>
        <w:t>Revenue</w:t>
      </w:r>
      <w:r w:rsidR="008A4B60" w:rsidRPr="002A6649">
        <w:rPr>
          <w:rFonts w:ascii="Arial" w:hAnsi="Arial" w:cs="Arial"/>
          <w:sz w:val="22"/>
        </w:rPr>
        <w:t xml:space="preserve">, volume and revenue per piece </w:t>
      </w:r>
      <w:r w:rsidR="00AF198D" w:rsidRPr="002A6649">
        <w:rPr>
          <w:rFonts w:ascii="Arial" w:hAnsi="Arial" w:cs="Arial"/>
          <w:sz w:val="22"/>
        </w:rPr>
        <w:t>increased across all products</w:t>
      </w:r>
      <w:r w:rsidR="008A4B60" w:rsidRPr="002A6649">
        <w:rPr>
          <w:rFonts w:ascii="Arial" w:hAnsi="Arial" w:cs="Arial"/>
          <w:sz w:val="22"/>
        </w:rPr>
        <w:t xml:space="preserve"> in the quarter</w:t>
      </w:r>
      <w:r w:rsidR="00AF198D" w:rsidRPr="002A6649">
        <w:rPr>
          <w:rFonts w:ascii="Arial" w:hAnsi="Arial" w:cs="Arial"/>
          <w:sz w:val="22"/>
        </w:rPr>
        <w:t>.</w:t>
      </w:r>
    </w:p>
    <w:p w:rsidR="008E438F" w:rsidRPr="002A6649" w:rsidRDefault="008E438F" w:rsidP="00746CB8">
      <w:pPr>
        <w:pStyle w:val="ListParagraph"/>
        <w:numPr>
          <w:ilvl w:val="0"/>
          <w:numId w:val="37"/>
        </w:numPr>
        <w:rPr>
          <w:rFonts w:ascii="Arial" w:hAnsi="Arial" w:cs="Arial"/>
          <w:sz w:val="22"/>
        </w:rPr>
      </w:pPr>
      <w:r w:rsidRPr="002A6649">
        <w:rPr>
          <w:rFonts w:ascii="Arial" w:hAnsi="Arial" w:cs="Arial"/>
          <w:sz w:val="22"/>
        </w:rPr>
        <w:t>Daily shipments increased 3.3%, led by Next Day Air and Ground products.</w:t>
      </w:r>
    </w:p>
    <w:p w:rsidR="00746CB8" w:rsidRPr="002A6649" w:rsidRDefault="00AF198D" w:rsidP="00746CB8">
      <w:pPr>
        <w:pStyle w:val="ListParagraph"/>
        <w:numPr>
          <w:ilvl w:val="0"/>
          <w:numId w:val="37"/>
        </w:numPr>
        <w:rPr>
          <w:rFonts w:ascii="Arial" w:hAnsi="Arial" w:cs="Arial"/>
          <w:sz w:val="22"/>
        </w:rPr>
      </w:pPr>
      <w:r w:rsidRPr="002A6649">
        <w:rPr>
          <w:rFonts w:ascii="Arial" w:hAnsi="Arial" w:cs="Arial"/>
          <w:sz w:val="22"/>
        </w:rPr>
        <w:t>Ground revenue per piece increase</w:t>
      </w:r>
      <w:r w:rsidR="00171A15" w:rsidRPr="002A6649">
        <w:rPr>
          <w:rFonts w:ascii="Arial" w:hAnsi="Arial" w:cs="Arial"/>
          <w:sz w:val="22"/>
        </w:rPr>
        <w:t>d</w:t>
      </w:r>
      <w:r w:rsidRPr="002A6649">
        <w:rPr>
          <w:rFonts w:ascii="Arial" w:hAnsi="Arial" w:cs="Arial"/>
          <w:sz w:val="22"/>
        </w:rPr>
        <w:t xml:space="preserve"> by 5.1%</w:t>
      </w:r>
      <w:r w:rsidR="00575334" w:rsidRPr="002A6649">
        <w:rPr>
          <w:rFonts w:ascii="Arial" w:hAnsi="Arial" w:cs="Arial"/>
          <w:sz w:val="22"/>
        </w:rPr>
        <w:t xml:space="preserve"> over the prior year. </w:t>
      </w:r>
      <w:r w:rsidR="00746CB8" w:rsidRPr="002A6649">
        <w:rPr>
          <w:rFonts w:ascii="Arial" w:hAnsi="Arial" w:cs="Arial"/>
          <w:sz w:val="22"/>
        </w:rPr>
        <w:t xml:space="preserve">  </w:t>
      </w:r>
    </w:p>
    <w:p w:rsidR="00777F21" w:rsidRPr="002A6649" w:rsidRDefault="008A4B60" w:rsidP="009E7EED">
      <w:pPr>
        <w:pStyle w:val="ListParagraph"/>
        <w:numPr>
          <w:ilvl w:val="0"/>
          <w:numId w:val="37"/>
        </w:numPr>
        <w:rPr>
          <w:rFonts w:ascii="Arial" w:hAnsi="Arial" w:cs="Arial"/>
          <w:sz w:val="22"/>
        </w:rPr>
      </w:pPr>
      <w:r w:rsidRPr="002A6649">
        <w:rPr>
          <w:rFonts w:ascii="Arial" w:hAnsi="Arial" w:cs="Arial"/>
          <w:sz w:val="22"/>
        </w:rPr>
        <w:t xml:space="preserve">Operating profit was reduced by planned increases in pension expense and </w:t>
      </w:r>
      <w:r w:rsidR="004F0A9C" w:rsidRPr="002A6649">
        <w:rPr>
          <w:rFonts w:ascii="Arial" w:hAnsi="Arial" w:cs="Arial"/>
          <w:sz w:val="22"/>
        </w:rPr>
        <w:t xml:space="preserve">the </w:t>
      </w:r>
      <w:r w:rsidRPr="002A6649">
        <w:rPr>
          <w:rFonts w:ascii="Arial" w:hAnsi="Arial" w:cs="Arial"/>
          <w:sz w:val="22"/>
        </w:rPr>
        <w:t xml:space="preserve">cost </w:t>
      </w:r>
      <w:r w:rsidR="004F0A9C" w:rsidRPr="002A6649">
        <w:rPr>
          <w:rFonts w:ascii="Arial" w:hAnsi="Arial" w:cs="Arial"/>
          <w:sz w:val="22"/>
        </w:rPr>
        <w:t>of</w:t>
      </w:r>
      <w:r w:rsidRPr="002A6649">
        <w:rPr>
          <w:rFonts w:ascii="Arial" w:hAnsi="Arial" w:cs="Arial"/>
          <w:sz w:val="22"/>
        </w:rPr>
        <w:t xml:space="preserve"> ongoing network </w:t>
      </w:r>
      <w:r w:rsidR="004F0A9C" w:rsidRPr="002A6649">
        <w:rPr>
          <w:rFonts w:ascii="Arial" w:hAnsi="Arial" w:cs="Arial"/>
          <w:sz w:val="22"/>
        </w:rPr>
        <w:t>improvements</w:t>
      </w:r>
      <w:r w:rsidRPr="002A6649">
        <w:rPr>
          <w:rFonts w:ascii="Arial" w:hAnsi="Arial" w:cs="Arial"/>
          <w:sz w:val="22"/>
        </w:rPr>
        <w:t xml:space="preserve">.  </w:t>
      </w:r>
    </w:p>
    <w:p w:rsidR="002B6D69" w:rsidRPr="00C313D5" w:rsidRDefault="002B6D69" w:rsidP="00174DB0">
      <w:pPr>
        <w:pStyle w:val="ListParagraph"/>
        <w:numPr>
          <w:ilvl w:val="0"/>
          <w:numId w:val="37"/>
        </w:numPr>
        <w:rPr>
          <w:rFonts w:ascii="Arial" w:hAnsi="Arial" w:cs="Arial"/>
          <w:sz w:val="22"/>
        </w:rPr>
      </w:pPr>
      <w:r w:rsidRPr="002A6649">
        <w:rPr>
          <w:rFonts w:ascii="Arial" w:hAnsi="Arial" w:cs="Arial"/>
          <w:sz w:val="22"/>
        </w:rPr>
        <w:t xml:space="preserve">Adjusted operating profit excludes </w:t>
      </w:r>
      <w:r w:rsidR="00D60108" w:rsidRPr="002A6649">
        <w:rPr>
          <w:rFonts w:ascii="Arial" w:hAnsi="Arial" w:cs="Arial"/>
          <w:sz w:val="22"/>
        </w:rPr>
        <w:t xml:space="preserve">transformation </w:t>
      </w:r>
      <w:r w:rsidR="007014D5" w:rsidRPr="002A6649">
        <w:rPr>
          <w:rFonts w:ascii="Arial" w:hAnsi="Arial" w:cs="Arial"/>
          <w:sz w:val="22"/>
        </w:rPr>
        <w:t>charges of $</w:t>
      </w:r>
      <w:r w:rsidR="006B4EA8" w:rsidRPr="002A6649">
        <w:rPr>
          <w:rFonts w:ascii="Arial" w:hAnsi="Arial" w:cs="Arial"/>
          <w:sz w:val="22"/>
        </w:rPr>
        <w:t>39</w:t>
      </w:r>
      <w:r w:rsidR="007014D5" w:rsidRPr="002A6649">
        <w:rPr>
          <w:rFonts w:ascii="Arial" w:hAnsi="Arial" w:cs="Arial"/>
          <w:sz w:val="22"/>
        </w:rPr>
        <w:t xml:space="preserve"> million</w:t>
      </w:r>
      <w:r w:rsidRPr="00C313D5">
        <w:rPr>
          <w:rFonts w:ascii="Arial" w:hAnsi="Arial" w:cs="Arial"/>
          <w:sz w:val="22"/>
        </w:rPr>
        <w:t>.</w:t>
      </w:r>
    </w:p>
    <w:p w:rsidR="006C7CB1" w:rsidRPr="00C313D5" w:rsidRDefault="006C7CB1" w:rsidP="00D12477">
      <w:pPr>
        <w:rPr>
          <w:rFonts w:ascii="Arial" w:hAnsi="Arial" w:cs="Arial"/>
          <w:b/>
          <w:sz w:val="22"/>
          <w:szCs w:val="20"/>
          <w:u w:val="single"/>
        </w:rPr>
      </w:pPr>
    </w:p>
    <w:p w:rsidR="00940590" w:rsidRPr="00C313D5" w:rsidRDefault="00940590" w:rsidP="00D12477">
      <w:pPr>
        <w:rPr>
          <w:rFonts w:ascii="Arial" w:hAnsi="Arial" w:cs="Arial"/>
          <w:b/>
          <w:sz w:val="22"/>
          <w:szCs w:val="20"/>
          <w:u w:val="single"/>
        </w:rPr>
      </w:pPr>
    </w:p>
    <w:p w:rsidR="00825A62" w:rsidRPr="002A57D6" w:rsidRDefault="004914AA" w:rsidP="00D12477">
      <w:pPr>
        <w:rPr>
          <w:rFonts w:ascii="Arial" w:hAnsi="Arial" w:cs="Arial"/>
          <w:b/>
          <w:sz w:val="22"/>
          <w:szCs w:val="20"/>
          <w:u w:val="single"/>
        </w:rPr>
      </w:pPr>
      <w:r w:rsidRPr="002A57D6">
        <w:rPr>
          <w:rFonts w:ascii="Arial" w:hAnsi="Arial" w:cs="Arial"/>
          <w:b/>
          <w:sz w:val="22"/>
          <w:szCs w:val="20"/>
          <w:u w:val="single"/>
        </w:rPr>
        <w:t>International</w:t>
      </w:r>
      <w:r w:rsidR="00941FD4" w:rsidRPr="002A57D6">
        <w:rPr>
          <w:rFonts w:ascii="Arial" w:hAnsi="Arial" w:cs="Arial"/>
          <w:b/>
          <w:sz w:val="22"/>
          <w:szCs w:val="20"/>
          <w:u w:val="single"/>
        </w:rPr>
        <w:t xml:space="preserve"> </w:t>
      </w:r>
      <w:r w:rsidRPr="002A57D6">
        <w:rPr>
          <w:rFonts w:ascii="Arial" w:hAnsi="Arial" w:cs="Arial"/>
          <w:b/>
          <w:sz w:val="22"/>
          <w:szCs w:val="20"/>
          <w:u w:val="single"/>
        </w:rPr>
        <w:t>Segment</w:t>
      </w:r>
    </w:p>
    <w:p w:rsidR="00E524E4" w:rsidRPr="002A57D6" w:rsidRDefault="00E524E4" w:rsidP="00D12477">
      <w:pPr>
        <w:rPr>
          <w:rFonts w:ascii="Arial" w:hAnsi="Arial" w:cs="Arial"/>
          <w:sz w:val="22"/>
          <w:szCs w:val="20"/>
        </w:rPr>
      </w:pPr>
    </w:p>
    <w:p w:rsidR="005E3FC5" w:rsidRDefault="004F0A9C">
      <w:pPr>
        <w:ind w:firstLine="720"/>
        <w:rPr>
          <w:rFonts w:ascii="Arial" w:hAnsi="Arial" w:cs="Arial"/>
          <w:sz w:val="22"/>
        </w:rPr>
      </w:pPr>
      <w:r w:rsidRPr="002A57D6">
        <w:rPr>
          <w:rFonts w:ascii="Arial" w:hAnsi="Arial" w:cs="Arial"/>
          <w:sz w:val="22"/>
        </w:rPr>
        <w:t xml:space="preserve">International </w:t>
      </w:r>
      <w:r w:rsidR="0067570D" w:rsidRPr="00F84BDD">
        <w:rPr>
          <w:rFonts w:ascii="Arial" w:hAnsi="Arial" w:cs="Arial"/>
          <w:sz w:val="22"/>
        </w:rPr>
        <w:t xml:space="preserve">segment </w:t>
      </w:r>
      <w:r w:rsidR="002C3A7E" w:rsidRPr="00F84BDD">
        <w:rPr>
          <w:rFonts w:ascii="Arial" w:hAnsi="Arial" w:cs="Arial"/>
          <w:sz w:val="22"/>
        </w:rPr>
        <w:t xml:space="preserve">revenue increased in all regions compared to </w:t>
      </w:r>
      <w:r w:rsidR="0067570D" w:rsidRPr="00F84BDD">
        <w:rPr>
          <w:rFonts w:ascii="Arial" w:hAnsi="Arial" w:cs="Arial"/>
          <w:sz w:val="22"/>
        </w:rPr>
        <w:t xml:space="preserve">the </w:t>
      </w:r>
      <w:r w:rsidR="00171A15" w:rsidRPr="00F84BDD">
        <w:rPr>
          <w:rFonts w:ascii="Arial" w:hAnsi="Arial" w:cs="Arial"/>
          <w:sz w:val="22"/>
        </w:rPr>
        <w:t>same period last year</w:t>
      </w:r>
      <w:r w:rsidR="00913983" w:rsidRPr="00F84BDD">
        <w:rPr>
          <w:rFonts w:ascii="Arial" w:hAnsi="Arial" w:cs="Arial"/>
          <w:sz w:val="22"/>
        </w:rPr>
        <w:t>, on both a reported and currency-neutral basis</w:t>
      </w:r>
      <w:r w:rsidR="002C3A7E" w:rsidRPr="00F84BDD">
        <w:rPr>
          <w:rFonts w:ascii="Arial" w:hAnsi="Arial" w:cs="Arial"/>
          <w:sz w:val="22"/>
        </w:rPr>
        <w:t>.  Export volume also increased across all regions and</w:t>
      </w:r>
      <w:r w:rsidR="001D40C7" w:rsidRPr="00F84BDD">
        <w:rPr>
          <w:rFonts w:ascii="Arial" w:hAnsi="Arial" w:cs="Arial"/>
          <w:sz w:val="22"/>
        </w:rPr>
        <w:t xml:space="preserve"> exports</w:t>
      </w:r>
      <w:r w:rsidR="002C3A7E" w:rsidRPr="00F84BDD">
        <w:rPr>
          <w:rFonts w:ascii="Arial" w:hAnsi="Arial" w:cs="Arial"/>
          <w:sz w:val="22"/>
        </w:rPr>
        <w:t xml:space="preserve"> grew </w:t>
      </w:r>
      <w:r w:rsidR="0076690D" w:rsidRPr="00F84BDD">
        <w:rPr>
          <w:rFonts w:ascii="Arial" w:hAnsi="Arial" w:cs="Arial"/>
          <w:sz w:val="22"/>
        </w:rPr>
        <w:t>nearly 3</w:t>
      </w:r>
      <w:r w:rsidR="002C3A7E" w:rsidRPr="00F84BDD">
        <w:rPr>
          <w:rFonts w:ascii="Arial" w:hAnsi="Arial" w:cs="Arial"/>
          <w:sz w:val="22"/>
        </w:rPr>
        <w:t xml:space="preserve">% on top of 19% growth last year.  </w:t>
      </w:r>
      <w:r w:rsidRPr="00F84BDD">
        <w:rPr>
          <w:rFonts w:ascii="Arial" w:hAnsi="Arial" w:cs="Arial"/>
          <w:sz w:val="22"/>
        </w:rPr>
        <w:t xml:space="preserve">Year-over-year comparisons </w:t>
      </w:r>
      <w:r w:rsidR="00D177BE" w:rsidRPr="00F84BDD">
        <w:rPr>
          <w:rFonts w:ascii="Arial" w:hAnsi="Arial" w:cs="Arial"/>
          <w:sz w:val="22"/>
        </w:rPr>
        <w:t xml:space="preserve">are </w:t>
      </w:r>
      <w:r w:rsidR="00906DE5">
        <w:rPr>
          <w:rFonts w:ascii="Arial" w:hAnsi="Arial" w:cs="Arial"/>
          <w:sz w:val="22"/>
        </w:rPr>
        <w:t>a</w:t>
      </w:r>
      <w:r w:rsidR="00575334" w:rsidRPr="002A6649">
        <w:rPr>
          <w:rFonts w:ascii="Arial" w:hAnsi="Arial" w:cs="Arial"/>
          <w:sz w:val="22"/>
        </w:rPr>
        <w:t xml:space="preserve">ffected </w:t>
      </w:r>
      <w:r w:rsidR="0067570D" w:rsidRPr="002A6649">
        <w:rPr>
          <w:rFonts w:ascii="Arial" w:hAnsi="Arial" w:cs="Arial"/>
          <w:sz w:val="22"/>
        </w:rPr>
        <w:t>by</w:t>
      </w:r>
      <w:r w:rsidR="00D177BE" w:rsidRPr="002A6649">
        <w:rPr>
          <w:rFonts w:ascii="Arial" w:hAnsi="Arial" w:cs="Arial"/>
          <w:sz w:val="22"/>
        </w:rPr>
        <w:t xml:space="preserve"> the </w:t>
      </w:r>
      <w:r w:rsidRPr="002A6649">
        <w:rPr>
          <w:rFonts w:ascii="Arial" w:hAnsi="Arial" w:cs="Arial"/>
          <w:sz w:val="22"/>
        </w:rPr>
        <w:t>strong</w:t>
      </w:r>
      <w:r w:rsidR="00D177BE" w:rsidRPr="002A6649">
        <w:rPr>
          <w:rFonts w:ascii="Arial" w:hAnsi="Arial" w:cs="Arial"/>
          <w:sz w:val="22"/>
        </w:rPr>
        <w:t xml:space="preserve"> 3Q 2017</w:t>
      </w:r>
      <w:r w:rsidRPr="002A6649">
        <w:rPr>
          <w:rFonts w:ascii="Arial" w:hAnsi="Arial" w:cs="Arial"/>
          <w:sz w:val="22"/>
        </w:rPr>
        <w:t xml:space="preserve"> </w:t>
      </w:r>
      <w:r w:rsidR="007F4A7A" w:rsidRPr="002A6649">
        <w:rPr>
          <w:rFonts w:ascii="Arial" w:hAnsi="Arial" w:cs="Arial"/>
          <w:sz w:val="22"/>
        </w:rPr>
        <w:t xml:space="preserve">growth </w:t>
      </w:r>
      <w:r w:rsidR="004B6D59" w:rsidRPr="002A6649">
        <w:rPr>
          <w:rFonts w:ascii="Arial" w:hAnsi="Arial" w:cs="Arial"/>
          <w:sz w:val="22"/>
        </w:rPr>
        <w:t xml:space="preserve">UPS experienced </w:t>
      </w:r>
      <w:r w:rsidR="007F4A7A" w:rsidRPr="002A6649">
        <w:rPr>
          <w:rFonts w:ascii="Arial" w:hAnsi="Arial" w:cs="Arial"/>
          <w:sz w:val="22"/>
        </w:rPr>
        <w:t>in Europe</w:t>
      </w:r>
      <w:r w:rsidR="00575334" w:rsidRPr="002A6649">
        <w:rPr>
          <w:rFonts w:ascii="Arial" w:hAnsi="Arial" w:cs="Arial"/>
          <w:sz w:val="22"/>
        </w:rPr>
        <w:t>.</w:t>
      </w:r>
      <w:r w:rsidRPr="002A6649">
        <w:rPr>
          <w:rFonts w:ascii="Arial" w:hAnsi="Arial" w:cs="Arial"/>
          <w:sz w:val="22"/>
        </w:rPr>
        <w:t xml:space="preserve">  </w:t>
      </w:r>
    </w:p>
    <w:p w:rsidR="002A6649" w:rsidRPr="002A6649" w:rsidRDefault="002A6649">
      <w:pPr>
        <w:ind w:firstLine="720"/>
        <w:rPr>
          <w:rFonts w:ascii="Arial" w:hAnsi="Arial" w:cs="Arial"/>
          <w:sz w:val="22"/>
        </w:rPr>
      </w:pPr>
    </w:p>
    <w:tbl>
      <w:tblPr>
        <w:tblStyle w:val="TableGrid"/>
        <w:tblW w:w="7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40"/>
        <w:gridCol w:w="1440"/>
        <w:gridCol w:w="1440"/>
      </w:tblGrid>
      <w:tr w:rsidR="00F173C9" w:rsidRPr="00F84BDD" w:rsidTr="00713C07">
        <w:trPr>
          <w:jc w:val="center"/>
        </w:trPr>
        <w:tc>
          <w:tcPr>
            <w:tcW w:w="3024" w:type="dxa"/>
          </w:tcPr>
          <w:p w:rsidR="00F173C9" w:rsidRPr="00C313D5" w:rsidRDefault="00F173C9" w:rsidP="00174DB0">
            <w:pPr>
              <w:rPr>
                <w:rFonts w:ascii="Arial" w:hAnsi="Arial" w:cs="Arial"/>
                <w:b/>
                <w:sz w:val="20"/>
                <w:szCs w:val="22"/>
                <w:u w:val="single"/>
              </w:rPr>
            </w:pPr>
          </w:p>
          <w:p w:rsidR="00F173C9" w:rsidRPr="00C313D5" w:rsidRDefault="00F173C9" w:rsidP="00174DB0">
            <w:pPr>
              <w:rPr>
                <w:rFonts w:ascii="Arial" w:hAnsi="Arial" w:cs="Arial"/>
                <w:b/>
                <w:sz w:val="20"/>
                <w:szCs w:val="22"/>
                <w:u w:val="single"/>
              </w:rPr>
            </w:pPr>
          </w:p>
        </w:tc>
        <w:tc>
          <w:tcPr>
            <w:tcW w:w="1440" w:type="dxa"/>
          </w:tcPr>
          <w:p w:rsidR="00F173C9" w:rsidRPr="00C313D5" w:rsidRDefault="00F173C9" w:rsidP="00174DB0">
            <w:pPr>
              <w:jc w:val="right"/>
              <w:rPr>
                <w:rFonts w:ascii="Arial" w:hAnsi="Arial" w:cs="Arial"/>
                <w:b/>
                <w:sz w:val="20"/>
                <w:szCs w:val="22"/>
                <w:u w:val="single"/>
              </w:rPr>
            </w:pPr>
          </w:p>
          <w:p w:rsidR="00F173C9" w:rsidRPr="002A57D6" w:rsidRDefault="00522C6A" w:rsidP="00174DB0">
            <w:pPr>
              <w:jc w:val="right"/>
              <w:rPr>
                <w:rFonts w:ascii="Arial" w:hAnsi="Arial" w:cs="Arial"/>
                <w:b/>
                <w:sz w:val="20"/>
                <w:szCs w:val="22"/>
                <w:u w:val="single"/>
              </w:rPr>
            </w:pPr>
            <w:r w:rsidRPr="002A57D6">
              <w:rPr>
                <w:rFonts w:ascii="Arial" w:hAnsi="Arial" w:cs="Arial"/>
                <w:b/>
                <w:sz w:val="20"/>
                <w:szCs w:val="22"/>
                <w:u w:val="single"/>
              </w:rPr>
              <w:t>3</w:t>
            </w:r>
            <w:r w:rsidR="00F173C9" w:rsidRPr="002A57D6">
              <w:rPr>
                <w:rFonts w:ascii="Arial" w:hAnsi="Arial" w:cs="Arial"/>
                <w:b/>
                <w:sz w:val="20"/>
                <w:szCs w:val="22"/>
                <w:u w:val="single"/>
              </w:rPr>
              <w:t>Q 2018</w:t>
            </w:r>
          </w:p>
        </w:tc>
        <w:tc>
          <w:tcPr>
            <w:tcW w:w="1440" w:type="dxa"/>
          </w:tcPr>
          <w:p w:rsidR="00F173C9" w:rsidRPr="002A57D6" w:rsidRDefault="00F173C9" w:rsidP="00174DB0">
            <w:pPr>
              <w:jc w:val="right"/>
              <w:rPr>
                <w:rFonts w:ascii="Arial" w:hAnsi="Arial" w:cs="Arial"/>
                <w:b/>
                <w:sz w:val="20"/>
                <w:szCs w:val="22"/>
                <w:u w:val="single"/>
              </w:rPr>
            </w:pPr>
            <w:r w:rsidRPr="002A57D6">
              <w:rPr>
                <w:rFonts w:ascii="Arial" w:hAnsi="Arial" w:cs="Arial"/>
                <w:b/>
                <w:sz w:val="20"/>
                <w:szCs w:val="22"/>
                <w:u w:val="single"/>
              </w:rPr>
              <w:t>Adjusted</w:t>
            </w:r>
          </w:p>
          <w:p w:rsidR="00F173C9" w:rsidRPr="00F84BDD" w:rsidRDefault="00522C6A" w:rsidP="00174DB0">
            <w:pPr>
              <w:jc w:val="right"/>
              <w:rPr>
                <w:rFonts w:ascii="Arial" w:hAnsi="Arial" w:cs="Arial"/>
                <w:b/>
                <w:sz w:val="20"/>
                <w:szCs w:val="22"/>
                <w:u w:val="single"/>
              </w:rPr>
            </w:pPr>
            <w:r w:rsidRPr="00F84BDD">
              <w:rPr>
                <w:rFonts w:ascii="Arial" w:hAnsi="Arial" w:cs="Arial"/>
                <w:b/>
                <w:sz w:val="20"/>
                <w:szCs w:val="22"/>
                <w:u w:val="single"/>
              </w:rPr>
              <w:t>3</w:t>
            </w:r>
            <w:r w:rsidR="00F173C9" w:rsidRPr="00F84BDD">
              <w:rPr>
                <w:rFonts w:ascii="Arial" w:hAnsi="Arial" w:cs="Arial"/>
                <w:b/>
                <w:sz w:val="20"/>
                <w:szCs w:val="22"/>
                <w:u w:val="single"/>
              </w:rPr>
              <w:t>Q 2018</w:t>
            </w:r>
          </w:p>
        </w:tc>
        <w:tc>
          <w:tcPr>
            <w:tcW w:w="1440" w:type="dxa"/>
          </w:tcPr>
          <w:p w:rsidR="00F173C9" w:rsidRPr="00F84BDD" w:rsidRDefault="00F173C9" w:rsidP="00174DB0">
            <w:pPr>
              <w:jc w:val="right"/>
              <w:rPr>
                <w:rFonts w:ascii="Arial" w:hAnsi="Arial" w:cs="Arial"/>
                <w:b/>
                <w:sz w:val="20"/>
                <w:szCs w:val="22"/>
                <w:u w:val="single"/>
              </w:rPr>
            </w:pPr>
          </w:p>
          <w:p w:rsidR="00F173C9" w:rsidRPr="00F84BDD" w:rsidRDefault="00522C6A">
            <w:pPr>
              <w:jc w:val="right"/>
              <w:rPr>
                <w:rFonts w:ascii="Arial" w:hAnsi="Arial" w:cs="Arial"/>
                <w:b/>
                <w:sz w:val="20"/>
                <w:szCs w:val="22"/>
                <w:u w:val="single"/>
              </w:rPr>
            </w:pPr>
            <w:r w:rsidRPr="00F84BDD">
              <w:rPr>
                <w:rFonts w:ascii="Arial" w:hAnsi="Arial" w:cs="Arial"/>
                <w:b/>
                <w:sz w:val="20"/>
                <w:szCs w:val="22"/>
                <w:u w:val="single"/>
              </w:rPr>
              <w:t>3</w:t>
            </w:r>
            <w:r w:rsidR="00F173C9" w:rsidRPr="00F84BDD">
              <w:rPr>
                <w:rFonts w:ascii="Arial" w:hAnsi="Arial" w:cs="Arial"/>
                <w:b/>
                <w:sz w:val="20"/>
                <w:szCs w:val="22"/>
                <w:u w:val="single"/>
              </w:rPr>
              <w:t>Q 2017</w:t>
            </w:r>
          </w:p>
        </w:tc>
      </w:tr>
      <w:tr w:rsidR="00F173C9" w:rsidRPr="00F84BDD" w:rsidTr="00713C07">
        <w:trPr>
          <w:jc w:val="center"/>
        </w:trPr>
        <w:tc>
          <w:tcPr>
            <w:tcW w:w="3024" w:type="dxa"/>
          </w:tcPr>
          <w:p w:rsidR="00F173C9" w:rsidRPr="00F84BDD" w:rsidRDefault="00F173C9" w:rsidP="00174DB0">
            <w:pPr>
              <w:rPr>
                <w:rFonts w:ascii="Arial" w:hAnsi="Arial" w:cs="Arial"/>
                <w:sz w:val="20"/>
                <w:szCs w:val="22"/>
              </w:rPr>
            </w:pPr>
            <w:r w:rsidRPr="00F84BDD">
              <w:rPr>
                <w:rFonts w:ascii="Arial" w:hAnsi="Arial" w:cs="Arial"/>
                <w:sz w:val="20"/>
                <w:szCs w:val="22"/>
              </w:rPr>
              <w:t>Revenue</w:t>
            </w:r>
          </w:p>
        </w:tc>
        <w:tc>
          <w:tcPr>
            <w:tcW w:w="1440" w:type="dxa"/>
          </w:tcPr>
          <w:p w:rsidR="00F173C9" w:rsidRPr="00F84BDD" w:rsidRDefault="00F173C9" w:rsidP="00522C6A">
            <w:pPr>
              <w:jc w:val="right"/>
              <w:rPr>
                <w:rFonts w:ascii="Arial" w:hAnsi="Arial" w:cs="Arial"/>
                <w:sz w:val="20"/>
                <w:szCs w:val="22"/>
              </w:rPr>
            </w:pPr>
            <w:r w:rsidRPr="00F84BDD">
              <w:rPr>
                <w:rFonts w:ascii="Arial" w:hAnsi="Arial" w:cs="Arial"/>
                <w:sz w:val="20"/>
                <w:szCs w:val="22"/>
              </w:rPr>
              <w:t>$3,</w:t>
            </w:r>
            <w:r w:rsidR="00522C6A" w:rsidRPr="00F84BDD">
              <w:rPr>
                <w:rFonts w:ascii="Arial" w:hAnsi="Arial" w:cs="Arial"/>
                <w:sz w:val="20"/>
                <w:szCs w:val="22"/>
              </w:rPr>
              <w:t>478</w:t>
            </w:r>
            <w:r w:rsidRPr="00F84BDD">
              <w:rPr>
                <w:rFonts w:ascii="Arial" w:hAnsi="Arial" w:cs="Arial"/>
                <w:sz w:val="20"/>
                <w:szCs w:val="22"/>
              </w:rPr>
              <w:t xml:space="preserve"> M</w:t>
            </w:r>
          </w:p>
        </w:tc>
        <w:tc>
          <w:tcPr>
            <w:tcW w:w="1440" w:type="dxa"/>
          </w:tcPr>
          <w:p w:rsidR="00F173C9" w:rsidRPr="00F84BDD" w:rsidRDefault="00F173C9" w:rsidP="00174DB0">
            <w:pPr>
              <w:jc w:val="right"/>
              <w:rPr>
                <w:rFonts w:ascii="Arial" w:hAnsi="Arial" w:cs="Arial"/>
                <w:sz w:val="20"/>
                <w:szCs w:val="22"/>
              </w:rPr>
            </w:pPr>
          </w:p>
        </w:tc>
        <w:tc>
          <w:tcPr>
            <w:tcW w:w="1440" w:type="dxa"/>
          </w:tcPr>
          <w:p w:rsidR="00F173C9" w:rsidRPr="00F84BDD" w:rsidRDefault="00F173C9" w:rsidP="00522C6A">
            <w:pPr>
              <w:jc w:val="right"/>
              <w:rPr>
                <w:rFonts w:ascii="Arial" w:hAnsi="Arial" w:cs="Arial"/>
                <w:sz w:val="20"/>
                <w:szCs w:val="22"/>
              </w:rPr>
            </w:pPr>
            <w:r w:rsidRPr="00F84BDD">
              <w:rPr>
                <w:rFonts w:ascii="Arial" w:hAnsi="Arial" w:cs="Arial"/>
                <w:sz w:val="20"/>
                <w:szCs w:val="22"/>
              </w:rPr>
              <w:t>$3,</w:t>
            </w:r>
            <w:r w:rsidR="00522C6A" w:rsidRPr="00F84BDD">
              <w:rPr>
                <w:rFonts w:ascii="Arial" w:hAnsi="Arial" w:cs="Arial"/>
                <w:sz w:val="20"/>
                <w:szCs w:val="22"/>
              </w:rPr>
              <w:t>376</w:t>
            </w:r>
            <w:r w:rsidRPr="00F84BDD">
              <w:rPr>
                <w:rFonts w:ascii="Arial" w:hAnsi="Arial" w:cs="Arial"/>
                <w:sz w:val="20"/>
                <w:szCs w:val="22"/>
              </w:rPr>
              <w:t xml:space="preserve"> M</w:t>
            </w:r>
          </w:p>
        </w:tc>
      </w:tr>
      <w:tr w:rsidR="00F173C9" w:rsidRPr="00F84BDD" w:rsidTr="00713C07">
        <w:trPr>
          <w:jc w:val="center"/>
        </w:trPr>
        <w:tc>
          <w:tcPr>
            <w:tcW w:w="3024" w:type="dxa"/>
          </w:tcPr>
          <w:p w:rsidR="00F173C9" w:rsidRPr="00F84BDD" w:rsidRDefault="00F173C9">
            <w:pPr>
              <w:rPr>
                <w:rFonts w:ascii="Arial" w:hAnsi="Arial" w:cs="Arial"/>
                <w:sz w:val="20"/>
                <w:szCs w:val="22"/>
              </w:rPr>
            </w:pPr>
            <w:r w:rsidRPr="00F84BDD">
              <w:rPr>
                <w:rFonts w:ascii="Arial" w:hAnsi="Arial" w:cs="Arial"/>
                <w:sz w:val="20"/>
                <w:szCs w:val="22"/>
              </w:rPr>
              <w:t>Operating profit</w:t>
            </w:r>
          </w:p>
        </w:tc>
        <w:tc>
          <w:tcPr>
            <w:tcW w:w="1440" w:type="dxa"/>
          </w:tcPr>
          <w:p w:rsidR="00F173C9" w:rsidRPr="00F84BDD" w:rsidRDefault="00F173C9" w:rsidP="00522C6A">
            <w:pPr>
              <w:jc w:val="right"/>
              <w:rPr>
                <w:rFonts w:ascii="Arial" w:hAnsi="Arial" w:cs="Arial"/>
                <w:sz w:val="20"/>
                <w:szCs w:val="22"/>
              </w:rPr>
            </w:pPr>
            <w:r w:rsidRPr="00F84BDD">
              <w:rPr>
                <w:rFonts w:ascii="Arial" w:hAnsi="Arial" w:cs="Arial"/>
                <w:sz w:val="20"/>
                <w:szCs w:val="22"/>
              </w:rPr>
              <w:t>$</w:t>
            </w:r>
            <w:r w:rsidR="00522C6A" w:rsidRPr="00F84BDD">
              <w:rPr>
                <w:rFonts w:ascii="Arial" w:hAnsi="Arial" w:cs="Arial"/>
                <w:sz w:val="20"/>
                <w:szCs w:val="22"/>
              </w:rPr>
              <w:t>536</w:t>
            </w:r>
            <w:r w:rsidRPr="00F84BDD">
              <w:rPr>
                <w:rFonts w:ascii="Arial" w:hAnsi="Arial" w:cs="Arial"/>
                <w:sz w:val="20"/>
                <w:szCs w:val="22"/>
              </w:rPr>
              <w:t xml:space="preserve"> M</w:t>
            </w:r>
          </w:p>
        </w:tc>
        <w:tc>
          <w:tcPr>
            <w:tcW w:w="1440" w:type="dxa"/>
          </w:tcPr>
          <w:p w:rsidR="00F173C9" w:rsidRPr="00F84BDD" w:rsidRDefault="00F173C9" w:rsidP="00522C6A">
            <w:pPr>
              <w:jc w:val="right"/>
              <w:rPr>
                <w:rFonts w:ascii="Arial" w:hAnsi="Arial" w:cs="Arial"/>
                <w:sz w:val="20"/>
                <w:szCs w:val="22"/>
              </w:rPr>
            </w:pPr>
            <w:r w:rsidRPr="00F84BDD">
              <w:rPr>
                <w:rFonts w:ascii="Arial" w:hAnsi="Arial" w:cs="Arial"/>
                <w:sz w:val="20"/>
                <w:szCs w:val="22"/>
              </w:rPr>
              <w:t>$</w:t>
            </w:r>
            <w:r w:rsidR="00522C6A" w:rsidRPr="00F84BDD">
              <w:rPr>
                <w:rFonts w:ascii="Arial" w:hAnsi="Arial" w:cs="Arial"/>
                <w:sz w:val="20"/>
                <w:szCs w:val="22"/>
              </w:rPr>
              <w:t>576</w:t>
            </w:r>
            <w:r w:rsidRPr="00F84BDD">
              <w:rPr>
                <w:rFonts w:ascii="Arial" w:hAnsi="Arial" w:cs="Arial"/>
                <w:sz w:val="20"/>
                <w:szCs w:val="22"/>
              </w:rPr>
              <w:t xml:space="preserve"> M</w:t>
            </w:r>
          </w:p>
        </w:tc>
        <w:tc>
          <w:tcPr>
            <w:tcW w:w="1440" w:type="dxa"/>
          </w:tcPr>
          <w:p w:rsidR="00F173C9" w:rsidRPr="00F84BDD" w:rsidRDefault="00F173C9" w:rsidP="00522C6A">
            <w:pPr>
              <w:jc w:val="right"/>
              <w:rPr>
                <w:rFonts w:ascii="Arial" w:hAnsi="Arial" w:cs="Arial"/>
                <w:sz w:val="20"/>
                <w:szCs w:val="22"/>
              </w:rPr>
            </w:pPr>
            <w:r w:rsidRPr="00F84BDD">
              <w:rPr>
                <w:rFonts w:ascii="Arial" w:hAnsi="Arial" w:cs="Arial"/>
                <w:sz w:val="20"/>
                <w:szCs w:val="22"/>
              </w:rPr>
              <w:t>$</w:t>
            </w:r>
            <w:r w:rsidR="00522C6A" w:rsidRPr="00F84BDD">
              <w:rPr>
                <w:rFonts w:ascii="Arial" w:hAnsi="Arial" w:cs="Arial"/>
                <w:sz w:val="20"/>
                <w:szCs w:val="22"/>
              </w:rPr>
              <w:t>606</w:t>
            </w:r>
            <w:r w:rsidRPr="00F84BDD">
              <w:rPr>
                <w:rFonts w:ascii="Arial" w:hAnsi="Arial" w:cs="Arial"/>
                <w:sz w:val="20"/>
                <w:szCs w:val="22"/>
              </w:rPr>
              <w:t xml:space="preserve"> M</w:t>
            </w:r>
          </w:p>
        </w:tc>
      </w:tr>
    </w:tbl>
    <w:p w:rsidR="003C1009" w:rsidRPr="00F84BDD" w:rsidRDefault="003C1009" w:rsidP="00512620">
      <w:pPr>
        <w:ind w:left="720" w:hanging="720"/>
        <w:rPr>
          <w:rFonts w:ascii="Arial" w:hAnsi="Arial" w:cs="Arial"/>
          <w:szCs w:val="22"/>
        </w:rPr>
      </w:pPr>
    </w:p>
    <w:p w:rsidR="00940590" w:rsidRPr="00F84BDD" w:rsidRDefault="00940590" w:rsidP="00940590">
      <w:pPr>
        <w:rPr>
          <w:rFonts w:ascii="Arial" w:hAnsi="Arial" w:cs="Arial"/>
          <w:b/>
          <w:sz w:val="22"/>
          <w:vertAlign w:val="subscript"/>
        </w:rPr>
      </w:pPr>
      <w:r w:rsidRPr="00F84BDD">
        <w:rPr>
          <w:rFonts w:ascii="Arial" w:hAnsi="Arial" w:cs="Arial"/>
          <w:b/>
          <w:sz w:val="22"/>
          <w:vertAlign w:val="subscript"/>
        </w:rPr>
        <w:t>* Information on non-GAAP financial measures is attached to this press release.</w:t>
      </w:r>
    </w:p>
    <w:p w:rsidR="00940590" w:rsidRPr="00F84BDD" w:rsidRDefault="00940590" w:rsidP="00940590">
      <w:pPr>
        <w:rPr>
          <w:rFonts w:ascii="Arial" w:hAnsi="Arial" w:cs="Arial"/>
          <w:sz w:val="22"/>
        </w:rPr>
      </w:pPr>
    </w:p>
    <w:p w:rsidR="00940590" w:rsidRPr="00F84BDD" w:rsidRDefault="00940590" w:rsidP="00940590">
      <w:pPr>
        <w:jc w:val="center"/>
        <w:rPr>
          <w:rFonts w:ascii="Arial" w:hAnsi="Arial" w:cs="Arial"/>
          <w:sz w:val="20"/>
          <w:szCs w:val="20"/>
        </w:rPr>
      </w:pPr>
      <w:r w:rsidRPr="00F84BDD">
        <w:rPr>
          <w:rFonts w:ascii="Arial" w:hAnsi="Arial" w:cs="Arial"/>
          <w:sz w:val="20"/>
          <w:szCs w:val="20"/>
        </w:rPr>
        <w:t>– more –</w:t>
      </w:r>
    </w:p>
    <w:p w:rsidR="00940590" w:rsidRPr="00F84BDD" w:rsidRDefault="00940590" w:rsidP="00940590">
      <w:pPr>
        <w:rPr>
          <w:rFonts w:ascii="Arial" w:hAnsi="Arial" w:cs="Arial"/>
          <w:sz w:val="22"/>
        </w:rPr>
      </w:pPr>
      <w:r w:rsidRPr="00F84BDD">
        <w:rPr>
          <w:rFonts w:ascii="Arial" w:hAnsi="Arial" w:cs="Arial"/>
          <w:sz w:val="22"/>
        </w:rPr>
        <w:lastRenderedPageBreak/>
        <w:t>3-3-3</w:t>
      </w:r>
    </w:p>
    <w:p w:rsidR="00940590" w:rsidRPr="00F84BDD" w:rsidRDefault="00940590" w:rsidP="00940590">
      <w:pPr>
        <w:rPr>
          <w:rFonts w:ascii="Arial" w:hAnsi="Arial" w:cs="Arial"/>
          <w:sz w:val="22"/>
        </w:rPr>
      </w:pPr>
    </w:p>
    <w:p w:rsidR="003C1009" w:rsidRPr="00F84BDD" w:rsidRDefault="003C1009" w:rsidP="00940590">
      <w:pPr>
        <w:rPr>
          <w:rFonts w:ascii="Arial" w:hAnsi="Arial" w:cs="Arial"/>
          <w:sz w:val="22"/>
        </w:rPr>
      </w:pPr>
    </w:p>
    <w:p w:rsidR="000E624D" w:rsidRPr="00F84BDD" w:rsidRDefault="000E624D" w:rsidP="00512620">
      <w:pPr>
        <w:ind w:left="720" w:hanging="720"/>
        <w:rPr>
          <w:rFonts w:ascii="Arial" w:hAnsi="Arial" w:cs="Arial"/>
          <w:szCs w:val="22"/>
        </w:rPr>
      </w:pPr>
      <w:r w:rsidRPr="00F84BDD">
        <w:rPr>
          <w:rFonts w:ascii="Arial" w:hAnsi="Arial" w:cs="Arial"/>
          <w:sz w:val="22"/>
          <w:szCs w:val="22"/>
        </w:rPr>
        <w:t xml:space="preserve">For the International </w:t>
      </w:r>
      <w:r w:rsidR="00576472" w:rsidRPr="00F84BDD">
        <w:rPr>
          <w:rFonts w:ascii="Arial" w:hAnsi="Arial" w:cs="Arial"/>
          <w:sz w:val="22"/>
          <w:szCs w:val="22"/>
        </w:rPr>
        <w:t xml:space="preserve">segment </w:t>
      </w:r>
      <w:r w:rsidRPr="00F84BDD">
        <w:rPr>
          <w:rFonts w:ascii="Arial" w:hAnsi="Arial" w:cs="Arial"/>
          <w:sz w:val="22"/>
          <w:szCs w:val="22"/>
        </w:rPr>
        <w:t xml:space="preserve">in </w:t>
      </w:r>
      <w:r w:rsidR="00522C6A" w:rsidRPr="00F84BDD">
        <w:rPr>
          <w:rFonts w:ascii="Arial" w:hAnsi="Arial" w:cs="Arial"/>
          <w:sz w:val="22"/>
          <w:szCs w:val="22"/>
        </w:rPr>
        <w:t>3Q</w:t>
      </w:r>
      <w:r w:rsidRPr="00F84BDD">
        <w:rPr>
          <w:rFonts w:ascii="Arial" w:hAnsi="Arial" w:cs="Arial"/>
          <w:sz w:val="22"/>
          <w:szCs w:val="22"/>
        </w:rPr>
        <w:t xml:space="preserve"> </w:t>
      </w:r>
      <w:r w:rsidR="00EE76F3" w:rsidRPr="00F84BDD">
        <w:rPr>
          <w:rFonts w:ascii="Arial" w:hAnsi="Arial" w:cs="Arial"/>
          <w:sz w:val="22"/>
          <w:szCs w:val="22"/>
        </w:rPr>
        <w:t>2018</w:t>
      </w:r>
      <w:r w:rsidRPr="00F84BDD">
        <w:rPr>
          <w:rFonts w:ascii="Arial" w:hAnsi="Arial" w:cs="Arial"/>
          <w:szCs w:val="22"/>
        </w:rPr>
        <w:t>:</w:t>
      </w:r>
    </w:p>
    <w:p w:rsidR="00D8122D" w:rsidRPr="00F84BDD" w:rsidRDefault="0067570D">
      <w:pPr>
        <w:pStyle w:val="ListParagraph"/>
        <w:numPr>
          <w:ilvl w:val="0"/>
          <w:numId w:val="37"/>
        </w:numPr>
        <w:rPr>
          <w:rFonts w:ascii="Arial" w:hAnsi="Arial" w:cs="Arial"/>
          <w:sz w:val="22"/>
        </w:rPr>
      </w:pPr>
      <w:r w:rsidRPr="00F84BDD">
        <w:rPr>
          <w:rFonts w:ascii="Arial" w:hAnsi="Arial" w:cs="Arial"/>
          <w:sz w:val="22"/>
        </w:rPr>
        <w:t>R</w:t>
      </w:r>
      <w:r w:rsidR="00DB02EC" w:rsidRPr="00F84BDD">
        <w:rPr>
          <w:rFonts w:ascii="Arial" w:hAnsi="Arial" w:cs="Arial"/>
          <w:sz w:val="22"/>
        </w:rPr>
        <w:t xml:space="preserve">evenue increased </w:t>
      </w:r>
      <w:r w:rsidR="00966E75" w:rsidRPr="00F84BDD">
        <w:rPr>
          <w:rFonts w:ascii="Arial" w:hAnsi="Arial" w:cs="Arial"/>
          <w:sz w:val="22"/>
        </w:rPr>
        <w:t>3</w:t>
      </w:r>
      <w:r w:rsidR="001D43D7" w:rsidRPr="00F84BDD">
        <w:rPr>
          <w:rFonts w:ascii="Arial" w:hAnsi="Arial" w:cs="Arial"/>
          <w:sz w:val="22"/>
        </w:rPr>
        <w:t>%</w:t>
      </w:r>
      <w:r w:rsidR="00566353" w:rsidRPr="00F84BDD">
        <w:rPr>
          <w:rFonts w:ascii="Arial" w:hAnsi="Arial" w:cs="Arial"/>
          <w:sz w:val="22"/>
        </w:rPr>
        <w:t xml:space="preserve">; </w:t>
      </w:r>
      <w:r w:rsidR="002C3A7E" w:rsidRPr="00F84BDD">
        <w:rPr>
          <w:rFonts w:ascii="Arial" w:hAnsi="Arial" w:cs="Arial"/>
          <w:sz w:val="22"/>
        </w:rPr>
        <w:t>on a currency</w:t>
      </w:r>
      <w:r w:rsidR="004F0A9C" w:rsidRPr="00F84BDD">
        <w:rPr>
          <w:rFonts w:ascii="Arial" w:hAnsi="Arial" w:cs="Arial"/>
          <w:sz w:val="22"/>
        </w:rPr>
        <w:t>-</w:t>
      </w:r>
      <w:r w:rsidR="002C3A7E" w:rsidRPr="00F84BDD">
        <w:rPr>
          <w:rFonts w:ascii="Arial" w:hAnsi="Arial" w:cs="Arial"/>
          <w:sz w:val="22"/>
        </w:rPr>
        <w:t xml:space="preserve">neutral </w:t>
      </w:r>
      <w:r w:rsidR="00566353" w:rsidRPr="00F84BDD">
        <w:rPr>
          <w:rFonts w:ascii="Arial" w:hAnsi="Arial" w:cs="Arial"/>
          <w:sz w:val="22"/>
        </w:rPr>
        <w:t>basis,</w:t>
      </w:r>
      <w:r w:rsidR="002C3A7E" w:rsidRPr="00F84BDD">
        <w:rPr>
          <w:rFonts w:ascii="Arial" w:hAnsi="Arial" w:cs="Arial"/>
          <w:sz w:val="22"/>
        </w:rPr>
        <w:t xml:space="preserve"> revenue increased 5%. </w:t>
      </w:r>
      <w:r w:rsidR="002B6D69" w:rsidRPr="00F84BDD">
        <w:rPr>
          <w:rFonts w:ascii="Arial" w:hAnsi="Arial" w:cs="Arial"/>
          <w:sz w:val="22"/>
        </w:rPr>
        <w:t xml:space="preserve"> </w:t>
      </w:r>
    </w:p>
    <w:p w:rsidR="00534786" w:rsidRPr="00F84BDD" w:rsidRDefault="008A1355">
      <w:pPr>
        <w:pStyle w:val="ListParagraph"/>
        <w:numPr>
          <w:ilvl w:val="0"/>
          <w:numId w:val="37"/>
        </w:numPr>
        <w:rPr>
          <w:rFonts w:ascii="Arial" w:hAnsi="Arial" w:cs="Arial"/>
          <w:sz w:val="22"/>
        </w:rPr>
      </w:pPr>
      <w:r w:rsidRPr="00F84BDD">
        <w:rPr>
          <w:rFonts w:ascii="Arial" w:hAnsi="Arial" w:cs="Arial"/>
          <w:sz w:val="22"/>
        </w:rPr>
        <w:t xml:space="preserve">Europe export volume grew 4.2% on top of </w:t>
      </w:r>
      <w:r w:rsidR="00284887" w:rsidRPr="00F84BDD">
        <w:rPr>
          <w:rFonts w:ascii="Arial" w:hAnsi="Arial" w:cs="Arial"/>
          <w:sz w:val="22"/>
        </w:rPr>
        <w:t>the</w:t>
      </w:r>
      <w:r w:rsidR="002C3A7E" w:rsidRPr="00F84BDD">
        <w:rPr>
          <w:rFonts w:ascii="Arial" w:hAnsi="Arial" w:cs="Arial"/>
          <w:sz w:val="22"/>
        </w:rPr>
        <w:t xml:space="preserve"> </w:t>
      </w:r>
      <w:r w:rsidR="001D40C7" w:rsidRPr="00F84BDD">
        <w:rPr>
          <w:rFonts w:ascii="Arial" w:hAnsi="Arial" w:cs="Arial"/>
          <w:sz w:val="22"/>
        </w:rPr>
        <w:t>25</w:t>
      </w:r>
      <w:r w:rsidR="002C3A7E" w:rsidRPr="00F84BDD">
        <w:rPr>
          <w:rFonts w:ascii="Arial" w:hAnsi="Arial" w:cs="Arial"/>
          <w:sz w:val="22"/>
        </w:rPr>
        <w:t>% growth in 3Q</w:t>
      </w:r>
      <w:r w:rsidR="004F0A9C" w:rsidRPr="00F84BDD">
        <w:rPr>
          <w:rFonts w:ascii="Arial" w:hAnsi="Arial" w:cs="Arial"/>
          <w:sz w:val="22"/>
        </w:rPr>
        <w:t xml:space="preserve"> 20</w:t>
      </w:r>
      <w:r w:rsidR="002C3A7E" w:rsidRPr="00F84BDD">
        <w:rPr>
          <w:rFonts w:ascii="Arial" w:hAnsi="Arial" w:cs="Arial"/>
          <w:sz w:val="22"/>
        </w:rPr>
        <w:t xml:space="preserve">17. </w:t>
      </w:r>
    </w:p>
    <w:p w:rsidR="00D177BE" w:rsidRPr="00F84BDD" w:rsidRDefault="00853D9A" w:rsidP="00FC22C1">
      <w:pPr>
        <w:pStyle w:val="ListParagraph"/>
        <w:numPr>
          <w:ilvl w:val="0"/>
          <w:numId w:val="37"/>
        </w:numPr>
        <w:rPr>
          <w:rFonts w:ascii="Arial" w:hAnsi="Arial" w:cs="Arial"/>
          <w:sz w:val="22"/>
        </w:rPr>
      </w:pPr>
      <w:r w:rsidRPr="00F84BDD">
        <w:rPr>
          <w:rFonts w:ascii="Arial" w:hAnsi="Arial" w:cs="Arial"/>
          <w:sz w:val="22"/>
        </w:rPr>
        <w:t>Yield increased 3.0% and currency-neutral yield jumped 5.1%</w:t>
      </w:r>
      <w:r w:rsidR="004B6D59" w:rsidRPr="00F84BDD">
        <w:rPr>
          <w:rFonts w:ascii="Arial" w:hAnsi="Arial" w:cs="Arial"/>
          <w:sz w:val="22"/>
        </w:rPr>
        <w:t>,</w:t>
      </w:r>
      <w:r w:rsidRPr="00F84BDD">
        <w:rPr>
          <w:rFonts w:ascii="Arial" w:hAnsi="Arial" w:cs="Arial"/>
          <w:sz w:val="22"/>
        </w:rPr>
        <w:t xml:space="preserve"> driven by revenue management actions and improved product mix.</w:t>
      </w:r>
    </w:p>
    <w:p w:rsidR="0035754F" w:rsidRPr="00F84BDD" w:rsidRDefault="00702E0D" w:rsidP="00FC22C1">
      <w:pPr>
        <w:pStyle w:val="ListParagraph"/>
        <w:numPr>
          <w:ilvl w:val="0"/>
          <w:numId w:val="37"/>
        </w:numPr>
        <w:rPr>
          <w:rFonts w:ascii="Arial" w:hAnsi="Arial" w:cs="Arial"/>
          <w:sz w:val="22"/>
        </w:rPr>
      </w:pPr>
      <w:r w:rsidRPr="00F84BDD">
        <w:rPr>
          <w:rFonts w:ascii="Arial" w:hAnsi="Arial" w:cs="Arial"/>
          <w:sz w:val="22"/>
        </w:rPr>
        <w:t xml:space="preserve">Operating profit includes </w:t>
      </w:r>
      <w:r w:rsidR="0035754F" w:rsidRPr="00F84BDD">
        <w:rPr>
          <w:rFonts w:ascii="Arial" w:hAnsi="Arial" w:cs="Arial"/>
          <w:sz w:val="22"/>
        </w:rPr>
        <w:t>headwinds</w:t>
      </w:r>
      <w:r w:rsidRPr="00F84BDD">
        <w:rPr>
          <w:rFonts w:ascii="Arial" w:hAnsi="Arial" w:cs="Arial"/>
          <w:sz w:val="22"/>
        </w:rPr>
        <w:t xml:space="preserve"> </w:t>
      </w:r>
      <w:r w:rsidR="00DC1F58" w:rsidRPr="00F84BDD">
        <w:rPr>
          <w:rFonts w:ascii="Arial" w:hAnsi="Arial" w:cs="Arial"/>
          <w:sz w:val="22"/>
        </w:rPr>
        <w:t xml:space="preserve">primarily </w:t>
      </w:r>
      <w:r w:rsidRPr="00F84BDD">
        <w:rPr>
          <w:rFonts w:ascii="Arial" w:hAnsi="Arial" w:cs="Arial"/>
          <w:sz w:val="22"/>
        </w:rPr>
        <w:t xml:space="preserve">from </w:t>
      </w:r>
      <w:r w:rsidR="008E438F" w:rsidRPr="00F84BDD">
        <w:rPr>
          <w:rFonts w:ascii="Arial" w:hAnsi="Arial" w:cs="Arial"/>
          <w:sz w:val="22"/>
        </w:rPr>
        <w:t>currency and fuel</w:t>
      </w:r>
      <w:r w:rsidR="00D177BE" w:rsidRPr="00F84BDD">
        <w:rPr>
          <w:rFonts w:ascii="Arial" w:hAnsi="Arial" w:cs="Arial"/>
          <w:sz w:val="22"/>
        </w:rPr>
        <w:t>, as well as some economic softening related to changing trade policies</w:t>
      </w:r>
      <w:r w:rsidRPr="00F84BDD">
        <w:rPr>
          <w:rFonts w:ascii="Arial" w:hAnsi="Arial" w:cs="Arial"/>
          <w:sz w:val="22"/>
        </w:rPr>
        <w:t>.</w:t>
      </w:r>
    </w:p>
    <w:p w:rsidR="001D40C7" w:rsidRPr="00F84BDD" w:rsidRDefault="00084353" w:rsidP="00E9489E">
      <w:pPr>
        <w:pStyle w:val="ListParagraph"/>
        <w:numPr>
          <w:ilvl w:val="0"/>
          <w:numId w:val="37"/>
        </w:numPr>
        <w:rPr>
          <w:rFonts w:ascii="Arial" w:hAnsi="Arial" w:cs="Arial"/>
          <w:sz w:val="22"/>
        </w:rPr>
      </w:pPr>
      <w:r w:rsidRPr="00F84BDD">
        <w:rPr>
          <w:rFonts w:ascii="Arial" w:hAnsi="Arial" w:cs="Arial"/>
          <w:sz w:val="22"/>
        </w:rPr>
        <w:t>C</w:t>
      </w:r>
      <w:r w:rsidR="0035754F" w:rsidRPr="00F84BDD">
        <w:rPr>
          <w:rFonts w:ascii="Arial" w:hAnsi="Arial" w:cs="Arial"/>
          <w:sz w:val="22"/>
        </w:rPr>
        <w:t>urrenc</w:t>
      </w:r>
      <w:r w:rsidRPr="00F84BDD">
        <w:rPr>
          <w:rFonts w:ascii="Arial" w:hAnsi="Arial" w:cs="Arial"/>
          <w:sz w:val="22"/>
        </w:rPr>
        <w:t xml:space="preserve">y </w:t>
      </w:r>
      <w:r w:rsidR="003049ED" w:rsidRPr="00F84BDD">
        <w:rPr>
          <w:rFonts w:ascii="Arial" w:hAnsi="Arial" w:cs="Arial"/>
          <w:sz w:val="22"/>
        </w:rPr>
        <w:t xml:space="preserve">was a </w:t>
      </w:r>
      <w:r w:rsidR="00FF4E00" w:rsidRPr="00F84BDD">
        <w:rPr>
          <w:rFonts w:ascii="Arial" w:hAnsi="Arial" w:cs="Arial"/>
          <w:sz w:val="22"/>
        </w:rPr>
        <w:t>negative impact</w:t>
      </w:r>
      <w:r w:rsidR="003049ED" w:rsidRPr="00F84BDD">
        <w:rPr>
          <w:rFonts w:ascii="Arial" w:hAnsi="Arial" w:cs="Arial"/>
          <w:sz w:val="22"/>
        </w:rPr>
        <w:t xml:space="preserve"> of $28 million, primarily from emerging markets</w:t>
      </w:r>
      <w:r w:rsidR="00E9489E" w:rsidRPr="00F84BDD">
        <w:rPr>
          <w:rFonts w:ascii="Arial" w:hAnsi="Arial" w:cs="Arial"/>
          <w:sz w:val="22"/>
        </w:rPr>
        <w:t>.</w:t>
      </w:r>
    </w:p>
    <w:p w:rsidR="002B6D69" w:rsidRPr="00F84BDD" w:rsidRDefault="00D60108">
      <w:pPr>
        <w:pStyle w:val="ListParagraph"/>
        <w:numPr>
          <w:ilvl w:val="0"/>
          <w:numId w:val="37"/>
        </w:numPr>
        <w:rPr>
          <w:rFonts w:ascii="Arial" w:hAnsi="Arial" w:cs="Arial"/>
          <w:sz w:val="22"/>
        </w:rPr>
      </w:pPr>
      <w:r w:rsidRPr="00F84BDD">
        <w:rPr>
          <w:rFonts w:ascii="Arial" w:hAnsi="Arial" w:cs="Arial"/>
          <w:sz w:val="22"/>
        </w:rPr>
        <w:t xml:space="preserve">Adjusted operating profit excludes transformation </w:t>
      </w:r>
      <w:r w:rsidR="007014D5" w:rsidRPr="00F84BDD">
        <w:rPr>
          <w:rFonts w:ascii="Arial" w:hAnsi="Arial" w:cs="Arial"/>
          <w:sz w:val="22"/>
        </w:rPr>
        <w:t>charges of $</w:t>
      </w:r>
      <w:r w:rsidR="006B4EA8" w:rsidRPr="00F84BDD">
        <w:rPr>
          <w:rFonts w:ascii="Arial" w:hAnsi="Arial" w:cs="Arial"/>
          <w:sz w:val="22"/>
        </w:rPr>
        <w:t>40</w:t>
      </w:r>
      <w:r w:rsidR="007014D5" w:rsidRPr="00F84BDD">
        <w:rPr>
          <w:rFonts w:ascii="Arial" w:hAnsi="Arial" w:cs="Arial"/>
          <w:sz w:val="22"/>
        </w:rPr>
        <w:t xml:space="preserve"> million</w:t>
      </w:r>
      <w:r w:rsidRPr="00F84BDD">
        <w:rPr>
          <w:rFonts w:ascii="Arial" w:hAnsi="Arial" w:cs="Arial"/>
          <w:sz w:val="22"/>
        </w:rPr>
        <w:t>.</w:t>
      </w:r>
    </w:p>
    <w:p w:rsidR="00606769" w:rsidRPr="00F84BDD" w:rsidRDefault="00606769" w:rsidP="004914AA">
      <w:pPr>
        <w:rPr>
          <w:rFonts w:ascii="Arial" w:hAnsi="Arial" w:cs="Arial"/>
          <w:sz w:val="22"/>
        </w:rPr>
      </w:pPr>
    </w:p>
    <w:p w:rsidR="00940590" w:rsidRPr="00F84BDD" w:rsidRDefault="00940590" w:rsidP="004914AA">
      <w:pPr>
        <w:rPr>
          <w:rFonts w:ascii="Arial" w:hAnsi="Arial" w:cs="Arial"/>
          <w:sz w:val="22"/>
        </w:rPr>
      </w:pPr>
    </w:p>
    <w:p w:rsidR="000E624D" w:rsidRPr="00F84BDD" w:rsidRDefault="000E624D" w:rsidP="004914AA">
      <w:pPr>
        <w:rPr>
          <w:rFonts w:ascii="Arial" w:hAnsi="Arial" w:cs="Arial"/>
          <w:b/>
          <w:sz w:val="22"/>
          <w:u w:val="single"/>
        </w:rPr>
      </w:pPr>
      <w:r w:rsidRPr="00F84BDD">
        <w:rPr>
          <w:rFonts w:ascii="Arial" w:hAnsi="Arial" w:cs="Arial"/>
          <w:b/>
          <w:sz w:val="22"/>
          <w:u w:val="single"/>
        </w:rPr>
        <w:t>Supply Chain and Freight Segment</w:t>
      </w:r>
    </w:p>
    <w:p w:rsidR="000E624D" w:rsidRPr="00F84BDD" w:rsidRDefault="000E624D" w:rsidP="004914AA">
      <w:pPr>
        <w:rPr>
          <w:rFonts w:ascii="Arial" w:hAnsi="Arial" w:cs="Arial"/>
          <w:b/>
          <w:sz w:val="22"/>
          <w:u w:val="single"/>
        </w:rPr>
      </w:pPr>
    </w:p>
    <w:p w:rsidR="00B47CCC" w:rsidRPr="00F84BDD" w:rsidRDefault="00E91AEF" w:rsidP="002B6D69">
      <w:pPr>
        <w:ind w:firstLine="720"/>
        <w:rPr>
          <w:rFonts w:ascii="Arial" w:hAnsi="Arial" w:cs="Arial"/>
          <w:sz w:val="22"/>
        </w:rPr>
      </w:pPr>
      <w:r w:rsidRPr="00F84BDD">
        <w:rPr>
          <w:rFonts w:ascii="Arial" w:hAnsi="Arial" w:cs="Arial"/>
          <w:sz w:val="22"/>
        </w:rPr>
        <w:t>“</w:t>
      </w:r>
      <w:r w:rsidR="0097774E" w:rsidRPr="00F84BDD">
        <w:rPr>
          <w:rFonts w:ascii="Arial" w:hAnsi="Arial" w:cs="Arial"/>
          <w:sz w:val="22"/>
        </w:rPr>
        <w:t xml:space="preserve">Supply Chain and Freight </w:t>
      </w:r>
      <w:r w:rsidR="00CD1AE7" w:rsidRPr="00F84BDD">
        <w:rPr>
          <w:rFonts w:ascii="Arial" w:hAnsi="Arial" w:cs="Arial"/>
          <w:sz w:val="22"/>
        </w:rPr>
        <w:t>performance</w:t>
      </w:r>
      <w:r w:rsidR="00534786" w:rsidRPr="00F84BDD">
        <w:rPr>
          <w:rFonts w:ascii="Arial" w:hAnsi="Arial" w:cs="Arial"/>
          <w:sz w:val="22"/>
        </w:rPr>
        <w:t xml:space="preserve"> was outstanding</w:t>
      </w:r>
      <w:r w:rsidR="00CD1AE7" w:rsidRPr="00F84BDD">
        <w:rPr>
          <w:rFonts w:ascii="Arial" w:hAnsi="Arial" w:cs="Arial"/>
          <w:sz w:val="22"/>
        </w:rPr>
        <w:t xml:space="preserve"> this quarter</w:t>
      </w:r>
      <w:r w:rsidR="00534786" w:rsidRPr="00F84BDD">
        <w:rPr>
          <w:rFonts w:ascii="Arial" w:hAnsi="Arial" w:cs="Arial"/>
          <w:sz w:val="22"/>
        </w:rPr>
        <w:t xml:space="preserve">, </w:t>
      </w:r>
      <w:r w:rsidR="00CD1AE7" w:rsidRPr="00F84BDD">
        <w:rPr>
          <w:rFonts w:ascii="Arial" w:hAnsi="Arial" w:cs="Arial"/>
          <w:sz w:val="22"/>
        </w:rPr>
        <w:t xml:space="preserve">as the unit </w:t>
      </w:r>
      <w:r w:rsidR="00534786" w:rsidRPr="00F84BDD">
        <w:rPr>
          <w:rFonts w:ascii="Arial" w:hAnsi="Arial" w:cs="Arial"/>
          <w:sz w:val="22"/>
        </w:rPr>
        <w:t>d</w:t>
      </w:r>
      <w:r w:rsidRPr="00F84BDD">
        <w:rPr>
          <w:rFonts w:ascii="Arial" w:hAnsi="Arial" w:cs="Arial"/>
          <w:sz w:val="22"/>
        </w:rPr>
        <w:t xml:space="preserve">elivered </w:t>
      </w:r>
      <w:r w:rsidR="000E6019" w:rsidRPr="00F84BDD">
        <w:rPr>
          <w:rFonts w:ascii="Arial" w:hAnsi="Arial" w:cs="Arial"/>
          <w:sz w:val="22"/>
        </w:rPr>
        <w:t xml:space="preserve">double-digit </w:t>
      </w:r>
      <w:r w:rsidR="00473572" w:rsidRPr="00F84BDD">
        <w:rPr>
          <w:rFonts w:ascii="Arial" w:hAnsi="Arial" w:cs="Arial"/>
          <w:sz w:val="22"/>
        </w:rPr>
        <w:t xml:space="preserve">growth in </w:t>
      </w:r>
      <w:r w:rsidR="004B6D59" w:rsidRPr="00F84BDD">
        <w:rPr>
          <w:rFonts w:ascii="Arial" w:hAnsi="Arial" w:cs="Arial"/>
          <w:sz w:val="22"/>
        </w:rPr>
        <w:t xml:space="preserve">both </w:t>
      </w:r>
      <w:r w:rsidR="000E6019" w:rsidRPr="00F84BDD">
        <w:rPr>
          <w:rFonts w:ascii="Arial" w:hAnsi="Arial" w:cs="Arial"/>
          <w:sz w:val="22"/>
        </w:rPr>
        <w:t xml:space="preserve">revenue and </w:t>
      </w:r>
      <w:r w:rsidR="00B12F3D" w:rsidRPr="00F84BDD">
        <w:rPr>
          <w:rFonts w:ascii="Arial" w:hAnsi="Arial" w:cs="Arial"/>
          <w:sz w:val="22"/>
        </w:rPr>
        <w:t xml:space="preserve">adjusted </w:t>
      </w:r>
      <w:r w:rsidR="000E6019" w:rsidRPr="00F84BDD">
        <w:rPr>
          <w:rFonts w:ascii="Arial" w:hAnsi="Arial" w:cs="Arial"/>
          <w:sz w:val="22"/>
        </w:rPr>
        <w:t>operating profi</w:t>
      </w:r>
      <w:r w:rsidR="00473572" w:rsidRPr="00F84BDD">
        <w:rPr>
          <w:rFonts w:ascii="Arial" w:hAnsi="Arial" w:cs="Arial"/>
          <w:sz w:val="22"/>
        </w:rPr>
        <w:t>t</w:t>
      </w:r>
      <w:r w:rsidRPr="00F84BDD">
        <w:rPr>
          <w:rFonts w:ascii="Arial" w:hAnsi="Arial" w:cs="Arial"/>
          <w:sz w:val="22"/>
        </w:rPr>
        <w:t>,” Abney</w:t>
      </w:r>
      <w:r w:rsidR="004E4E9E" w:rsidRPr="00F84BDD">
        <w:rPr>
          <w:rFonts w:ascii="Arial" w:hAnsi="Arial" w:cs="Arial"/>
          <w:sz w:val="22"/>
        </w:rPr>
        <w:t xml:space="preserve"> said</w:t>
      </w:r>
      <w:r w:rsidRPr="00F84BDD">
        <w:rPr>
          <w:rFonts w:ascii="Arial" w:hAnsi="Arial" w:cs="Arial"/>
          <w:sz w:val="22"/>
        </w:rPr>
        <w:t>.  “</w:t>
      </w:r>
      <w:r w:rsidR="00534786" w:rsidRPr="00F84BDD">
        <w:rPr>
          <w:rFonts w:ascii="Arial" w:hAnsi="Arial" w:cs="Arial"/>
          <w:sz w:val="22"/>
        </w:rPr>
        <w:t xml:space="preserve">UPS </w:t>
      </w:r>
      <w:r w:rsidR="00ED2EE0" w:rsidRPr="00F84BDD">
        <w:rPr>
          <w:rFonts w:ascii="Arial" w:hAnsi="Arial" w:cs="Arial"/>
          <w:sz w:val="22"/>
        </w:rPr>
        <w:t xml:space="preserve">will continue to leverage our vast </w:t>
      </w:r>
      <w:r w:rsidR="00CD1AE7" w:rsidRPr="00F84BDD">
        <w:rPr>
          <w:rFonts w:ascii="Arial" w:hAnsi="Arial" w:cs="Arial"/>
          <w:sz w:val="22"/>
        </w:rPr>
        <w:t>forwarding, customs, and supply-chain</w:t>
      </w:r>
      <w:r w:rsidR="00ED2EE0" w:rsidRPr="00F84BDD">
        <w:rPr>
          <w:rFonts w:ascii="Arial" w:hAnsi="Arial" w:cs="Arial"/>
          <w:sz w:val="22"/>
        </w:rPr>
        <w:t xml:space="preserve"> solutions to help </w:t>
      </w:r>
      <w:r w:rsidR="00534786" w:rsidRPr="00F84BDD">
        <w:rPr>
          <w:rFonts w:ascii="Arial" w:hAnsi="Arial" w:cs="Arial"/>
          <w:sz w:val="22"/>
        </w:rPr>
        <w:t>customers</w:t>
      </w:r>
      <w:r w:rsidR="00ED2EE0" w:rsidRPr="00F84BDD">
        <w:rPr>
          <w:rFonts w:ascii="Arial" w:hAnsi="Arial" w:cs="Arial"/>
          <w:sz w:val="22"/>
        </w:rPr>
        <w:t xml:space="preserve"> </w:t>
      </w:r>
      <w:r w:rsidR="00CB5F96" w:rsidRPr="00F84BDD">
        <w:rPr>
          <w:rFonts w:ascii="Arial" w:hAnsi="Arial" w:cs="Arial"/>
          <w:sz w:val="22"/>
        </w:rPr>
        <w:t>expand their existing business</w:t>
      </w:r>
      <w:r w:rsidR="004E4E9E" w:rsidRPr="00F84BDD">
        <w:rPr>
          <w:rFonts w:ascii="Arial" w:hAnsi="Arial" w:cs="Arial"/>
          <w:sz w:val="22"/>
        </w:rPr>
        <w:t>es and reach new markets</w:t>
      </w:r>
      <w:r w:rsidR="00CB5F96" w:rsidRPr="00F84BDD">
        <w:rPr>
          <w:rFonts w:ascii="Arial" w:hAnsi="Arial" w:cs="Arial"/>
          <w:sz w:val="22"/>
        </w:rPr>
        <w:t>.”</w:t>
      </w:r>
      <w:r w:rsidR="0097774E" w:rsidRPr="00F84BDD">
        <w:rPr>
          <w:rFonts w:ascii="Arial" w:hAnsi="Arial" w:cs="Arial"/>
          <w:sz w:val="22"/>
        </w:rPr>
        <w:t xml:space="preserve"> </w:t>
      </w:r>
    </w:p>
    <w:p w:rsidR="007B26BF" w:rsidRPr="002A6649" w:rsidRDefault="007B26BF" w:rsidP="007B26BF">
      <w:pPr>
        <w:rPr>
          <w:rFonts w:ascii="Arial" w:hAnsi="Arial" w:cs="Arial"/>
          <w:sz w:val="22"/>
        </w:rPr>
      </w:pPr>
    </w:p>
    <w:tbl>
      <w:tblPr>
        <w:tblStyle w:val="TableGrid"/>
        <w:tblW w:w="7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40"/>
        <w:gridCol w:w="1440"/>
        <w:gridCol w:w="1440"/>
      </w:tblGrid>
      <w:tr w:rsidR="007B26BF" w:rsidRPr="002A6649" w:rsidTr="00A4453A">
        <w:trPr>
          <w:jc w:val="center"/>
        </w:trPr>
        <w:tc>
          <w:tcPr>
            <w:tcW w:w="3024" w:type="dxa"/>
          </w:tcPr>
          <w:p w:rsidR="007B26BF" w:rsidRPr="002A6649" w:rsidRDefault="007B26BF" w:rsidP="00A4453A">
            <w:pPr>
              <w:rPr>
                <w:rFonts w:ascii="Arial" w:hAnsi="Arial" w:cs="Arial"/>
                <w:b/>
                <w:sz w:val="20"/>
                <w:szCs w:val="22"/>
                <w:u w:val="single"/>
              </w:rPr>
            </w:pPr>
          </w:p>
          <w:p w:rsidR="007B26BF" w:rsidRPr="002A6649" w:rsidRDefault="007B26BF" w:rsidP="00A4453A">
            <w:pPr>
              <w:rPr>
                <w:rFonts w:ascii="Arial" w:hAnsi="Arial" w:cs="Arial"/>
                <w:b/>
                <w:sz w:val="20"/>
                <w:szCs w:val="22"/>
                <w:u w:val="single"/>
              </w:rPr>
            </w:pPr>
          </w:p>
        </w:tc>
        <w:tc>
          <w:tcPr>
            <w:tcW w:w="1440" w:type="dxa"/>
          </w:tcPr>
          <w:p w:rsidR="007B26BF" w:rsidRPr="002A6649" w:rsidRDefault="007B26BF" w:rsidP="00A4453A">
            <w:pPr>
              <w:jc w:val="right"/>
              <w:rPr>
                <w:rFonts w:ascii="Arial" w:hAnsi="Arial" w:cs="Arial"/>
                <w:b/>
                <w:sz w:val="20"/>
                <w:szCs w:val="22"/>
                <w:u w:val="single"/>
              </w:rPr>
            </w:pPr>
          </w:p>
          <w:p w:rsidR="007B26BF" w:rsidRPr="002A6649" w:rsidRDefault="00522C6A" w:rsidP="00A4453A">
            <w:pPr>
              <w:jc w:val="right"/>
              <w:rPr>
                <w:rFonts w:ascii="Arial" w:hAnsi="Arial" w:cs="Arial"/>
                <w:b/>
                <w:sz w:val="20"/>
                <w:szCs w:val="22"/>
                <w:u w:val="single"/>
              </w:rPr>
            </w:pPr>
            <w:r w:rsidRPr="002A6649">
              <w:rPr>
                <w:rFonts w:ascii="Arial" w:hAnsi="Arial" w:cs="Arial"/>
                <w:b/>
                <w:sz w:val="20"/>
                <w:szCs w:val="22"/>
                <w:u w:val="single"/>
              </w:rPr>
              <w:t>3</w:t>
            </w:r>
            <w:r w:rsidR="007B26BF" w:rsidRPr="002A6649">
              <w:rPr>
                <w:rFonts w:ascii="Arial" w:hAnsi="Arial" w:cs="Arial"/>
                <w:b/>
                <w:sz w:val="20"/>
                <w:szCs w:val="22"/>
                <w:u w:val="single"/>
              </w:rPr>
              <w:t>Q 2018</w:t>
            </w:r>
          </w:p>
        </w:tc>
        <w:tc>
          <w:tcPr>
            <w:tcW w:w="1440" w:type="dxa"/>
          </w:tcPr>
          <w:p w:rsidR="007B26BF" w:rsidRPr="002A6649" w:rsidRDefault="007B26BF" w:rsidP="00A4453A">
            <w:pPr>
              <w:jc w:val="right"/>
              <w:rPr>
                <w:rFonts w:ascii="Arial" w:hAnsi="Arial" w:cs="Arial"/>
                <w:b/>
                <w:sz w:val="20"/>
                <w:szCs w:val="22"/>
                <w:u w:val="single"/>
              </w:rPr>
            </w:pPr>
            <w:r w:rsidRPr="002A6649">
              <w:rPr>
                <w:rFonts w:ascii="Arial" w:hAnsi="Arial" w:cs="Arial"/>
                <w:b/>
                <w:sz w:val="20"/>
                <w:szCs w:val="22"/>
                <w:u w:val="single"/>
              </w:rPr>
              <w:t>Adjusted</w:t>
            </w:r>
          </w:p>
          <w:p w:rsidR="007B26BF" w:rsidRPr="002A6649" w:rsidRDefault="00522C6A" w:rsidP="00A4453A">
            <w:pPr>
              <w:jc w:val="right"/>
              <w:rPr>
                <w:rFonts w:ascii="Arial" w:hAnsi="Arial" w:cs="Arial"/>
                <w:b/>
                <w:sz w:val="20"/>
                <w:szCs w:val="22"/>
                <w:u w:val="single"/>
              </w:rPr>
            </w:pPr>
            <w:r w:rsidRPr="002A6649">
              <w:rPr>
                <w:rFonts w:ascii="Arial" w:hAnsi="Arial" w:cs="Arial"/>
                <w:b/>
                <w:sz w:val="20"/>
                <w:szCs w:val="22"/>
                <w:u w:val="single"/>
              </w:rPr>
              <w:t>3</w:t>
            </w:r>
            <w:r w:rsidR="007B26BF" w:rsidRPr="002A6649">
              <w:rPr>
                <w:rFonts w:ascii="Arial" w:hAnsi="Arial" w:cs="Arial"/>
                <w:b/>
                <w:sz w:val="20"/>
                <w:szCs w:val="22"/>
                <w:u w:val="single"/>
              </w:rPr>
              <w:t>Q 2018</w:t>
            </w:r>
          </w:p>
        </w:tc>
        <w:tc>
          <w:tcPr>
            <w:tcW w:w="1440" w:type="dxa"/>
          </w:tcPr>
          <w:p w:rsidR="007B26BF" w:rsidRPr="002A6649" w:rsidRDefault="007B26BF" w:rsidP="00A4453A">
            <w:pPr>
              <w:jc w:val="right"/>
              <w:rPr>
                <w:rFonts w:ascii="Arial" w:hAnsi="Arial" w:cs="Arial"/>
                <w:b/>
                <w:sz w:val="20"/>
                <w:szCs w:val="22"/>
                <w:u w:val="single"/>
              </w:rPr>
            </w:pPr>
          </w:p>
          <w:p w:rsidR="007B26BF" w:rsidRPr="002A6649" w:rsidRDefault="00522C6A" w:rsidP="00A4453A">
            <w:pPr>
              <w:jc w:val="right"/>
              <w:rPr>
                <w:rFonts w:ascii="Arial" w:hAnsi="Arial" w:cs="Arial"/>
                <w:b/>
                <w:sz w:val="20"/>
                <w:szCs w:val="22"/>
                <w:u w:val="single"/>
              </w:rPr>
            </w:pPr>
            <w:r w:rsidRPr="002A6649">
              <w:rPr>
                <w:rFonts w:ascii="Arial" w:hAnsi="Arial" w:cs="Arial"/>
                <w:b/>
                <w:sz w:val="20"/>
                <w:szCs w:val="22"/>
                <w:u w:val="single"/>
              </w:rPr>
              <w:t>3</w:t>
            </w:r>
            <w:r w:rsidR="007B26BF" w:rsidRPr="002A6649">
              <w:rPr>
                <w:rFonts w:ascii="Arial" w:hAnsi="Arial" w:cs="Arial"/>
                <w:b/>
                <w:sz w:val="20"/>
                <w:szCs w:val="22"/>
                <w:u w:val="single"/>
              </w:rPr>
              <w:t>Q 2017</w:t>
            </w:r>
          </w:p>
        </w:tc>
      </w:tr>
      <w:tr w:rsidR="007B26BF" w:rsidRPr="002A6649" w:rsidTr="00A4453A">
        <w:trPr>
          <w:jc w:val="center"/>
        </w:trPr>
        <w:tc>
          <w:tcPr>
            <w:tcW w:w="3024" w:type="dxa"/>
          </w:tcPr>
          <w:p w:rsidR="007B26BF" w:rsidRPr="002A6649" w:rsidRDefault="007B26BF" w:rsidP="00A4453A">
            <w:pPr>
              <w:rPr>
                <w:rFonts w:ascii="Arial" w:hAnsi="Arial" w:cs="Arial"/>
                <w:sz w:val="20"/>
                <w:szCs w:val="22"/>
              </w:rPr>
            </w:pPr>
            <w:r w:rsidRPr="002A6649">
              <w:rPr>
                <w:rFonts w:ascii="Arial" w:hAnsi="Arial" w:cs="Arial"/>
                <w:sz w:val="20"/>
                <w:szCs w:val="22"/>
              </w:rPr>
              <w:t>Revenue</w:t>
            </w:r>
          </w:p>
        </w:tc>
        <w:tc>
          <w:tcPr>
            <w:tcW w:w="1440" w:type="dxa"/>
          </w:tcPr>
          <w:p w:rsidR="007B26BF" w:rsidRPr="002A6649" w:rsidRDefault="007B26BF" w:rsidP="00522C6A">
            <w:pPr>
              <w:jc w:val="right"/>
              <w:rPr>
                <w:rFonts w:ascii="Arial" w:hAnsi="Arial" w:cs="Arial"/>
                <w:sz w:val="20"/>
                <w:szCs w:val="22"/>
              </w:rPr>
            </w:pPr>
            <w:r w:rsidRPr="002A6649">
              <w:rPr>
                <w:rFonts w:ascii="Arial" w:hAnsi="Arial" w:cs="Arial"/>
                <w:sz w:val="20"/>
                <w:szCs w:val="22"/>
              </w:rPr>
              <w:t>$3,5</w:t>
            </w:r>
            <w:r w:rsidR="00522C6A" w:rsidRPr="002A6649">
              <w:rPr>
                <w:rFonts w:ascii="Arial" w:hAnsi="Arial" w:cs="Arial"/>
                <w:sz w:val="20"/>
                <w:szCs w:val="22"/>
              </w:rPr>
              <w:t>29</w:t>
            </w:r>
            <w:r w:rsidRPr="002A6649">
              <w:rPr>
                <w:rFonts w:ascii="Arial" w:hAnsi="Arial" w:cs="Arial"/>
                <w:sz w:val="20"/>
                <w:szCs w:val="22"/>
              </w:rPr>
              <w:t xml:space="preserve"> M</w:t>
            </w:r>
          </w:p>
        </w:tc>
        <w:tc>
          <w:tcPr>
            <w:tcW w:w="1440" w:type="dxa"/>
          </w:tcPr>
          <w:p w:rsidR="007B26BF" w:rsidRPr="002A6649" w:rsidRDefault="007B26BF" w:rsidP="00A4453A">
            <w:pPr>
              <w:jc w:val="right"/>
              <w:rPr>
                <w:rFonts w:ascii="Arial" w:hAnsi="Arial" w:cs="Arial"/>
                <w:sz w:val="20"/>
                <w:szCs w:val="22"/>
              </w:rPr>
            </w:pPr>
          </w:p>
        </w:tc>
        <w:tc>
          <w:tcPr>
            <w:tcW w:w="1440" w:type="dxa"/>
          </w:tcPr>
          <w:p w:rsidR="007B26BF" w:rsidRPr="002A6649" w:rsidRDefault="007B26BF" w:rsidP="00456796">
            <w:pPr>
              <w:jc w:val="right"/>
              <w:rPr>
                <w:rFonts w:ascii="Arial" w:hAnsi="Arial" w:cs="Arial"/>
                <w:sz w:val="20"/>
                <w:szCs w:val="22"/>
              </w:rPr>
            </w:pPr>
            <w:r w:rsidRPr="002A6649">
              <w:rPr>
                <w:rFonts w:ascii="Arial" w:hAnsi="Arial" w:cs="Arial"/>
                <w:sz w:val="20"/>
                <w:szCs w:val="22"/>
              </w:rPr>
              <w:t>$3,</w:t>
            </w:r>
            <w:r w:rsidR="00456796" w:rsidRPr="002A6649">
              <w:rPr>
                <w:rFonts w:ascii="Arial" w:hAnsi="Arial" w:cs="Arial"/>
                <w:sz w:val="20"/>
                <w:szCs w:val="22"/>
              </w:rPr>
              <w:t>146</w:t>
            </w:r>
            <w:r w:rsidRPr="002A6649">
              <w:rPr>
                <w:rFonts w:ascii="Arial" w:hAnsi="Arial" w:cs="Arial"/>
                <w:sz w:val="20"/>
                <w:szCs w:val="22"/>
              </w:rPr>
              <w:t xml:space="preserve"> M</w:t>
            </w:r>
          </w:p>
        </w:tc>
      </w:tr>
      <w:tr w:rsidR="007B26BF" w:rsidRPr="002A6649" w:rsidTr="00A4453A">
        <w:trPr>
          <w:jc w:val="center"/>
        </w:trPr>
        <w:tc>
          <w:tcPr>
            <w:tcW w:w="3024" w:type="dxa"/>
          </w:tcPr>
          <w:p w:rsidR="007B26BF" w:rsidRPr="002A6649" w:rsidRDefault="007B26BF" w:rsidP="00A4453A">
            <w:pPr>
              <w:rPr>
                <w:rFonts w:ascii="Arial" w:hAnsi="Arial" w:cs="Arial"/>
                <w:sz w:val="20"/>
                <w:szCs w:val="22"/>
              </w:rPr>
            </w:pPr>
            <w:r w:rsidRPr="002A6649">
              <w:rPr>
                <w:rFonts w:ascii="Arial" w:hAnsi="Arial" w:cs="Arial"/>
                <w:sz w:val="20"/>
                <w:szCs w:val="22"/>
              </w:rPr>
              <w:t>Operating profit</w:t>
            </w:r>
          </w:p>
        </w:tc>
        <w:tc>
          <w:tcPr>
            <w:tcW w:w="1440" w:type="dxa"/>
          </w:tcPr>
          <w:p w:rsidR="007B26BF" w:rsidRPr="002A6649" w:rsidRDefault="007B26BF" w:rsidP="00522C6A">
            <w:pPr>
              <w:jc w:val="right"/>
              <w:rPr>
                <w:rFonts w:ascii="Arial" w:hAnsi="Arial" w:cs="Arial"/>
                <w:sz w:val="20"/>
                <w:szCs w:val="22"/>
              </w:rPr>
            </w:pPr>
            <w:r w:rsidRPr="002A6649">
              <w:rPr>
                <w:rFonts w:ascii="Arial" w:hAnsi="Arial" w:cs="Arial"/>
                <w:sz w:val="20"/>
                <w:szCs w:val="22"/>
              </w:rPr>
              <w:t>$2</w:t>
            </w:r>
            <w:r w:rsidR="00522C6A" w:rsidRPr="002A6649">
              <w:rPr>
                <w:rFonts w:ascii="Arial" w:hAnsi="Arial" w:cs="Arial"/>
                <w:sz w:val="20"/>
                <w:szCs w:val="22"/>
              </w:rPr>
              <w:t>42</w:t>
            </w:r>
            <w:r w:rsidRPr="002A6649">
              <w:rPr>
                <w:rFonts w:ascii="Arial" w:hAnsi="Arial" w:cs="Arial"/>
                <w:sz w:val="20"/>
                <w:szCs w:val="22"/>
              </w:rPr>
              <w:t xml:space="preserve"> M</w:t>
            </w:r>
          </w:p>
        </w:tc>
        <w:tc>
          <w:tcPr>
            <w:tcW w:w="1440" w:type="dxa"/>
          </w:tcPr>
          <w:p w:rsidR="007B26BF" w:rsidRPr="002A6649" w:rsidRDefault="007B26BF" w:rsidP="00522C6A">
            <w:pPr>
              <w:jc w:val="right"/>
              <w:rPr>
                <w:rFonts w:ascii="Arial" w:hAnsi="Arial" w:cs="Arial"/>
                <w:sz w:val="20"/>
                <w:szCs w:val="22"/>
              </w:rPr>
            </w:pPr>
            <w:r w:rsidRPr="002A6649">
              <w:rPr>
                <w:rFonts w:ascii="Arial" w:hAnsi="Arial" w:cs="Arial"/>
                <w:sz w:val="20"/>
                <w:szCs w:val="22"/>
              </w:rPr>
              <w:t>$2</w:t>
            </w:r>
            <w:r w:rsidR="00522C6A" w:rsidRPr="002A6649">
              <w:rPr>
                <w:rFonts w:ascii="Arial" w:hAnsi="Arial" w:cs="Arial"/>
                <w:sz w:val="20"/>
                <w:szCs w:val="22"/>
              </w:rPr>
              <w:t>60</w:t>
            </w:r>
            <w:r w:rsidRPr="002A6649">
              <w:rPr>
                <w:rFonts w:ascii="Arial" w:hAnsi="Arial" w:cs="Arial"/>
                <w:sz w:val="20"/>
                <w:szCs w:val="22"/>
              </w:rPr>
              <w:t xml:space="preserve"> M</w:t>
            </w:r>
          </w:p>
        </w:tc>
        <w:tc>
          <w:tcPr>
            <w:tcW w:w="1440" w:type="dxa"/>
          </w:tcPr>
          <w:p w:rsidR="007B26BF" w:rsidRPr="002A6649" w:rsidRDefault="007B26BF" w:rsidP="00522C6A">
            <w:pPr>
              <w:jc w:val="right"/>
              <w:rPr>
                <w:rFonts w:ascii="Arial" w:hAnsi="Arial" w:cs="Arial"/>
                <w:sz w:val="20"/>
                <w:szCs w:val="22"/>
              </w:rPr>
            </w:pPr>
            <w:r w:rsidRPr="002A6649">
              <w:rPr>
                <w:rFonts w:ascii="Arial" w:hAnsi="Arial" w:cs="Arial"/>
                <w:sz w:val="20"/>
                <w:szCs w:val="22"/>
              </w:rPr>
              <w:t>$</w:t>
            </w:r>
            <w:r w:rsidR="00522C6A" w:rsidRPr="002A6649">
              <w:rPr>
                <w:rFonts w:ascii="Arial" w:hAnsi="Arial" w:cs="Arial"/>
                <w:sz w:val="20"/>
                <w:szCs w:val="22"/>
              </w:rPr>
              <w:t>195</w:t>
            </w:r>
            <w:r w:rsidRPr="002A6649">
              <w:rPr>
                <w:rFonts w:ascii="Arial" w:hAnsi="Arial" w:cs="Arial"/>
                <w:sz w:val="20"/>
                <w:szCs w:val="22"/>
              </w:rPr>
              <w:t xml:space="preserve"> M</w:t>
            </w:r>
          </w:p>
        </w:tc>
      </w:tr>
    </w:tbl>
    <w:p w:rsidR="007B26BF" w:rsidRPr="002A6649" w:rsidRDefault="007B26BF" w:rsidP="00B12F3D">
      <w:pPr>
        <w:rPr>
          <w:rFonts w:ascii="Arial" w:hAnsi="Arial" w:cs="Arial"/>
          <w:sz w:val="22"/>
        </w:rPr>
      </w:pPr>
    </w:p>
    <w:p w:rsidR="00556A78" w:rsidRPr="002A6649" w:rsidRDefault="00556A78" w:rsidP="00B47CCC">
      <w:pPr>
        <w:ind w:left="720" w:hanging="720"/>
        <w:rPr>
          <w:rFonts w:ascii="Arial" w:hAnsi="Arial" w:cs="Arial"/>
          <w:sz w:val="22"/>
          <w:szCs w:val="22"/>
        </w:rPr>
      </w:pPr>
    </w:p>
    <w:p w:rsidR="00B47CCC" w:rsidRPr="002A6649" w:rsidRDefault="00B47CCC" w:rsidP="00B47CCC">
      <w:pPr>
        <w:ind w:left="720" w:hanging="720"/>
        <w:rPr>
          <w:rFonts w:ascii="Arial" w:hAnsi="Arial" w:cs="Arial"/>
          <w:szCs w:val="22"/>
        </w:rPr>
      </w:pPr>
      <w:r w:rsidRPr="002A6649">
        <w:rPr>
          <w:rFonts w:ascii="Arial" w:hAnsi="Arial" w:cs="Arial"/>
          <w:sz w:val="22"/>
          <w:szCs w:val="22"/>
        </w:rPr>
        <w:t xml:space="preserve">For the Supply Chain and Freight segment in </w:t>
      </w:r>
      <w:r w:rsidR="00522C6A" w:rsidRPr="002A6649">
        <w:rPr>
          <w:rFonts w:ascii="Arial" w:hAnsi="Arial" w:cs="Arial"/>
          <w:sz w:val="22"/>
          <w:szCs w:val="22"/>
        </w:rPr>
        <w:t>3Q</w:t>
      </w:r>
      <w:r w:rsidRPr="002A6649">
        <w:rPr>
          <w:rFonts w:ascii="Arial" w:hAnsi="Arial" w:cs="Arial"/>
          <w:sz w:val="22"/>
          <w:szCs w:val="22"/>
        </w:rPr>
        <w:t xml:space="preserve"> </w:t>
      </w:r>
      <w:r w:rsidR="00EE76F3" w:rsidRPr="002A6649">
        <w:rPr>
          <w:rFonts w:ascii="Arial" w:hAnsi="Arial" w:cs="Arial"/>
          <w:sz w:val="22"/>
          <w:szCs w:val="22"/>
        </w:rPr>
        <w:t>2018</w:t>
      </w:r>
      <w:r w:rsidRPr="002A6649">
        <w:rPr>
          <w:rFonts w:ascii="Arial" w:hAnsi="Arial" w:cs="Arial"/>
          <w:szCs w:val="22"/>
        </w:rPr>
        <w:t>:</w:t>
      </w:r>
    </w:p>
    <w:p w:rsidR="00690801" w:rsidRPr="002A6649" w:rsidRDefault="00690801" w:rsidP="00690801">
      <w:pPr>
        <w:pStyle w:val="ListParagraph"/>
        <w:numPr>
          <w:ilvl w:val="0"/>
          <w:numId w:val="37"/>
        </w:numPr>
        <w:rPr>
          <w:rFonts w:ascii="Arial" w:hAnsi="Arial" w:cs="Arial"/>
          <w:sz w:val="22"/>
        </w:rPr>
      </w:pPr>
      <w:r w:rsidRPr="002A6649">
        <w:rPr>
          <w:rFonts w:ascii="Arial" w:hAnsi="Arial" w:cs="Arial"/>
          <w:sz w:val="22"/>
        </w:rPr>
        <w:t>Revenue increased</w:t>
      </w:r>
      <w:r w:rsidR="005F4FAA" w:rsidRPr="002A6649">
        <w:rPr>
          <w:rFonts w:ascii="Arial" w:hAnsi="Arial" w:cs="Arial"/>
          <w:sz w:val="22"/>
        </w:rPr>
        <w:t xml:space="preserve"> more than </w:t>
      </w:r>
      <w:r w:rsidR="006B4EA8" w:rsidRPr="002A6649">
        <w:rPr>
          <w:rFonts w:ascii="Arial" w:hAnsi="Arial" w:cs="Arial"/>
          <w:sz w:val="22"/>
        </w:rPr>
        <w:t>12</w:t>
      </w:r>
      <w:r w:rsidR="002924E7" w:rsidRPr="002A6649">
        <w:rPr>
          <w:rFonts w:ascii="Arial" w:hAnsi="Arial" w:cs="Arial"/>
          <w:sz w:val="22"/>
        </w:rPr>
        <w:t>%</w:t>
      </w:r>
      <w:r w:rsidRPr="002A6649">
        <w:rPr>
          <w:rFonts w:ascii="Arial" w:hAnsi="Arial" w:cs="Arial"/>
          <w:sz w:val="22"/>
        </w:rPr>
        <w:t xml:space="preserve"> </w:t>
      </w:r>
      <w:r w:rsidR="00F700D3" w:rsidRPr="002A6649">
        <w:rPr>
          <w:rFonts w:ascii="Arial" w:hAnsi="Arial" w:cs="Arial"/>
          <w:sz w:val="22"/>
        </w:rPr>
        <w:t>to $3.</w:t>
      </w:r>
      <w:r w:rsidR="00DD27FF" w:rsidRPr="002A6649">
        <w:rPr>
          <w:rFonts w:ascii="Arial" w:hAnsi="Arial" w:cs="Arial"/>
          <w:sz w:val="22"/>
        </w:rPr>
        <w:t>5</w:t>
      </w:r>
      <w:r w:rsidR="00F700D3" w:rsidRPr="002A6649">
        <w:rPr>
          <w:rFonts w:ascii="Arial" w:hAnsi="Arial" w:cs="Arial"/>
          <w:sz w:val="22"/>
        </w:rPr>
        <w:t xml:space="preserve"> billion</w:t>
      </w:r>
      <w:r w:rsidR="00913983" w:rsidRPr="002A6649">
        <w:rPr>
          <w:rFonts w:ascii="Arial" w:hAnsi="Arial" w:cs="Arial"/>
          <w:sz w:val="22"/>
        </w:rPr>
        <w:t>,</w:t>
      </w:r>
      <w:r w:rsidR="00482A89" w:rsidRPr="002A6649">
        <w:rPr>
          <w:rFonts w:ascii="Arial" w:hAnsi="Arial" w:cs="Arial"/>
          <w:sz w:val="22"/>
        </w:rPr>
        <w:t xml:space="preserve"> as the </w:t>
      </w:r>
      <w:r w:rsidR="00FA202E" w:rsidRPr="002A6649">
        <w:rPr>
          <w:rFonts w:ascii="Arial" w:hAnsi="Arial" w:cs="Arial"/>
          <w:sz w:val="22"/>
        </w:rPr>
        <w:t xml:space="preserve">business units </w:t>
      </w:r>
      <w:r w:rsidR="00345BD2">
        <w:rPr>
          <w:rFonts w:ascii="Arial" w:hAnsi="Arial" w:cs="Arial"/>
          <w:sz w:val="22"/>
        </w:rPr>
        <w:t>benefi</w:t>
      </w:r>
      <w:r w:rsidR="00CD1AE7" w:rsidRPr="002A6649">
        <w:rPr>
          <w:rFonts w:ascii="Arial" w:hAnsi="Arial" w:cs="Arial"/>
          <w:sz w:val="22"/>
        </w:rPr>
        <w:t>ted from</w:t>
      </w:r>
      <w:r w:rsidR="00482A89" w:rsidRPr="002A6649">
        <w:rPr>
          <w:rFonts w:ascii="Arial" w:hAnsi="Arial" w:cs="Arial"/>
          <w:sz w:val="22"/>
        </w:rPr>
        <w:t xml:space="preserve"> strategies</w:t>
      </w:r>
      <w:r w:rsidR="00CB5F96" w:rsidRPr="002A6649">
        <w:rPr>
          <w:rFonts w:ascii="Arial" w:hAnsi="Arial" w:cs="Arial"/>
          <w:sz w:val="22"/>
        </w:rPr>
        <w:t xml:space="preserve"> </w:t>
      </w:r>
      <w:r w:rsidR="001E58A8" w:rsidRPr="002A6649">
        <w:rPr>
          <w:rFonts w:ascii="Arial" w:hAnsi="Arial" w:cs="Arial"/>
          <w:sz w:val="22"/>
        </w:rPr>
        <w:t>focused on</w:t>
      </w:r>
      <w:r w:rsidR="00CB5F96" w:rsidRPr="002A6649">
        <w:rPr>
          <w:rFonts w:ascii="Arial" w:hAnsi="Arial" w:cs="Arial"/>
          <w:sz w:val="22"/>
        </w:rPr>
        <w:t xml:space="preserve"> </w:t>
      </w:r>
      <w:r w:rsidR="00CD1AE7" w:rsidRPr="002A6649">
        <w:rPr>
          <w:rFonts w:ascii="Arial" w:hAnsi="Arial" w:cs="Arial"/>
          <w:sz w:val="22"/>
        </w:rPr>
        <w:t>s</w:t>
      </w:r>
      <w:r w:rsidR="00CB5F96" w:rsidRPr="002A6649">
        <w:rPr>
          <w:rFonts w:ascii="Arial" w:hAnsi="Arial" w:cs="Arial"/>
          <w:sz w:val="22"/>
        </w:rPr>
        <w:t xml:space="preserve">mall and </w:t>
      </w:r>
      <w:r w:rsidR="001E58A8" w:rsidRPr="002A6649">
        <w:rPr>
          <w:rFonts w:ascii="Arial" w:hAnsi="Arial" w:cs="Arial"/>
          <w:sz w:val="22"/>
        </w:rPr>
        <w:t>medium-sized</w:t>
      </w:r>
      <w:r w:rsidR="00CB5F96" w:rsidRPr="002A6649">
        <w:rPr>
          <w:rFonts w:ascii="Arial" w:hAnsi="Arial" w:cs="Arial"/>
          <w:sz w:val="22"/>
        </w:rPr>
        <w:t xml:space="preserve"> customers. </w:t>
      </w:r>
      <w:r w:rsidR="00FA202E" w:rsidRPr="002A6649">
        <w:rPr>
          <w:rFonts w:ascii="Arial" w:hAnsi="Arial" w:cs="Arial"/>
          <w:sz w:val="22"/>
        </w:rPr>
        <w:t xml:space="preserve">  </w:t>
      </w:r>
    </w:p>
    <w:p w:rsidR="00AE7B9A" w:rsidRPr="002A6649" w:rsidRDefault="004D6F8E" w:rsidP="00AE7B9A">
      <w:pPr>
        <w:pStyle w:val="ListParagraph"/>
        <w:numPr>
          <w:ilvl w:val="0"/>
          <w:numId w:val="37"/>
        </w:numPr>
        <w:rPr>
          <w:rFonts w:ascii="Arial" w:hAnsi="Arial" w:cs="Arial"/>
          <w:sz w:val="22"/>
        </w:rPr>
      </w:pPr>
      <w:r w:rsidRPr="002A6649">
        <w:rPr>
          <w:rFonts w:ascii="Arial" w:hAnsi="Arial" w:cs="Arial"/>
          <w:sz w:val="22"/>
        </w:rPr>
        <w:t>T</w:t>
      </w:r>
      <w:r w:rsidR="00AE7B9A" w:rsidRPr="002A6649">
        <w:rPr>
          <w:rFonts w:ascii="Arial" w:hAnsi="Arial" w:cs="Arial"/>
          <w:sz w:val="22"/>
        </w:rPr>
        <w:t xml:space="preserve">he Forwarding </w:t>
      </w:r>
      <w:r w:rsidRPr="002A6649">
        <w:rPr>
          <w:rFonts w:ascii="Arial" w:hAnsi="Arial" w:cs="Arial"/>
          <w:sz w:val="22"/>
        </w:rPr>
        <w:t xml:space="preserve">business led all units with </w:t>
      </w:r>
      <w:r w:rsidR="006B4EA8" w:rsidRPr="002A6649">
        <w:rPr>
          <w:rFonts w:ascii="Arial" w:hAnsi="Arial" w:cs="Arial"/>
          <w:sz w:val="22"/>
        </w:rPr>
        <w:t>17</w:t>
      </w:r>
      <w:r w:rsidRPr="002A6649">
        <w:rPr>
          <w:rFonts w:ascii="Arial" w:hAnsi="Arial" w:cs="Arial"/>
          <w:sz w:val="22"/>
        </w:rPr>
        <w:t>% revenue growth, a</w:t>
      </w:r>
      <w:r w:rsidR="00AE7B9A" w:rsidRPr="002A6649">
        <w:rPr>
          <w:rFonts w:ascii="Arial" w:hAnsi="Arial" w:cs="Arial"/>
          <w:sz w:val="22"/>
        </w:rPr>
        <w:t xml:space="preserve">s revenue management initiatives </w:t>
      </w:r>
      <w:r w:rsidR="006A7302" w:rsidRPr="002A6649">
        <w:rPr>
          <w:rFonts w:ascii="Arial" w:hAnsi="Arial" w:cs="Arial"/>
          <w:sz w:val="22"/>
        </w:rPr>
        <w:t xml:space="preserve">and </w:t>
      </w:r>
      <w:r w:rsidR="00CD1AE7" w:rsidRPr="002A6649">
        <w:rPr>
          <w:rFonts w:ascii="Arial" w:hAnsi="Arial" w:cs="Arial"/>
          <w:sz w:val="22"/>
        </w:rPr>
        <w:t>high-value</w:t>
      </w:r>
      <w:r w:rsidR="006A7302" w:rsidRPr="002A6649">
        <w:rPr>
          <w:rFonts w:ascii="Arial" w:hAnsi="Arial" w:cs="Arial"/>
          <w:sz w:val="22"/>
        </w:rPr>
        <w:t xml:space="preserve"> solutions generate</w:t>
      </w:r>
      <w:r w:rsidR="00CD1AE7" w:rsidRPr="002A6649">
        <w:rPr>
          <w:rFonts w:ascii="Arial" w:hAnsi="Arial" w:cs="Arial"/>
          <w:sz w:val="22"/>
        </w:rPr>
        <w:t>d</w:t>
      </w:r>
      <w:r w:rsidR="006A7302" w:rsidRPr="002A6649">
        <w:rPr>
          <w:rFonts w:ascii="Arial" w:hAnsi="Arial" w:cs="Arial"/>
          <w:sz w:val="22"/>
        </w:rPr>
        <w:t xml:space="preserve"> yield i</w:t>
      </w:r>
      <w:r w:rsidR="001D43D7" w:rsidRPr="002A6649">
        <w:rPr>
          <w:rFonts w:ascii="Arial" w:hAnsi="Arial" w:cs="Arial"/>
          <w:sz w:val="22"/>
        </w:rPr>
        <w:t>mprovement</w:t>
      </w:r>
      <w:r w:rsidR="00AE7B9A" w:rsidRPr="002A6649">
        <w:rPr>
          <w:rFonts w:ascii="Arial" w:hAnsi="Arial" w:cs="Arial"/>
          <w:sz w:val="22"/>
        </w:rPr>
        <w:t>.</w:t>
      </w:r>
    </w:p>
    <w:p w:rsidR="00A75041" w:rsidRPr="002A6649" w:rsidRDefault="00A75041" w:rsidP="00A75041">
      <w:pPr>
        <w:pStyle w:val="ListParagraph"/>
        <w:numPr>
          <w:ilvl w:val="0"/>
          <w:numId w:val="37"/>
        </w:numPr>
        <w:rPr>
          <w:rFonts w:ascii="Arial" w:hAnsi="Arial" w:cs="Arial"/>
          <w:sz w:val="22"/>
        </w:rPr>
      </w:pPr>
      <w:r w:rsidRPr="002A6649">
        <w:rPr>
          <w:rFonts w:ascii="Arial" w:hAnsi="Arial" w:cs="Arial"/>
          <w:sz w:val="22"/>
        </w:rPr>
        <w:t xml:space="preserve">UPS Freight revenue increased </w:t>
      </w:r>
      <w:r w:rsidR="00F173C9" w:rsidRPr="002A6649">
        <w:rPr>
          <w:rFonts w:ascii="Arial" w:hAnsi="Arial" w:cs="Arial"/>
          <w:sz w:val="22"/>
        </w:rPr>
        <w:t>1</w:t>
      </w:r>
      <w:r w:rsidR="006B4EA8" w:rsidRPr="002A6649">
        <w:rPr>
          <w:rFonts w:ascii="Arial" w:hAnsi="Arial" w:cs="Arial"/>
          <w:sz w:val="22"/>
        </w:rPr>
        <w:t>1</w:t>
      </w:r>
      <w:r w:rsidRPr="002A6649">
        <w:rPr>
          <w:rFonts w:ascii="Arial" w:hAnsi="Arial" w:cs="Arial"/>
          <w:sz w:val="22"/>
        </w:rPr>
        <w:t xml:space="preserve">% on </w:t>
      </w:r>
      <w:r w:rsidR="00583A78" w:rsidRPr="002A6649">
        <w:rPr>
          <w:rFonts w:ascii="Arial" w:hAnsi="Arial" w:cs="Arial"/>
          <w:sz w:val="22"/>
        </w:rPr>
        <w:t xml:space="preserve">higher pricing and </w:t>
      </w:r>
      <w:r w:rsidR="006A7302" w:rsidRPr="002A6649">
        <w:rPr>
          <w:rFonts w:ascii="Arial" w:hAnsi="Arial" w:cs="Arial"/>
          <w:sz w:val="22"/>
        </w:rPr>
        <w:t>heavier shipments</w:t>
      </w:r>
      <w:r w:rsidRPr="002A6649">
        <w:rPr>
          <w:rFonts w:ascii="Arial" w:hAnsi="Arial" w:cs="Arial"/>
          <w:sz w:val="22"/>
        </w:rPr>
        <w:t>.</w:t>
      </w:r>
    </w:p>
    <w:p w:rsidR="00FA661E" w:rsidRPr="002A6649" w:rsidRDefault="002F6477" w:rsidP="00FA661E">
      <w:pPr>
        <w:pStyle w:val="ListParagraph"/>
        <w:numPr>
          <w:ilvl w:val="0"/>
          <w:numId w:val="37"/>
        </w:numPr>
        <w:rPr>
          <w:rFonts w:ascii="Arial" w:hAnsi="Arial" w:cs="Arial"/>
          <w:sz w:val="22"/>
        </w:rPr>
      </w:pPr>
      <w:r>
        <w:rPr>
          <w:rFonts w:ascii="Arial" w:hAnsi="Arial" w:cs="Arial"/>
          <w:sz w:val="22"/>
        </w:rPr>
        <w:t>Third quarter o</w:t>
      </w:r>
      <w:r w:rsidR="00FA661E" w:rsidRPr="002A6649">
        <w:rPr>
          <w:rFonts w:ascii="Arial" w:hAnsi="Arial" w:cs="Arial"/>
          <w:sz w:val="22"/>
        </w:rPr>
        <w:t>perating margin</w:t>
      </w:r>
      <w:r>
        <w:rPr>
          <w:rFonts w:ascii="Arial" w:hAnsi="Arial" w:cs="Arial"/>
          <w:sz w:val="22"/>
        </w:rPr>
        <w:t xml:space="preserve"> was 6.8%; adjusted operating margin</w:t>
      </w:r>
      <w:r w:rsidR="00FA661E" w:rsidRPr="002A6649">
        <w:rPr>
          <w:rFonts w:ascii="Arial" w:hAnsi="Arial" w:cs="Arial"/>
          <w:sz w:val="22"/>
        </w:rPr>
        <w:t xml:space="preserve"> expanded 120 basis points</w:t>
      </w:r>
      <w:r>
        <w:rPr>
          <w:rFonts w:ascii="Arial" w:hAnsi="Arial" w:cs="Arial"/>
          <w:sz w:val="22"/>
        </w:rPr>
        <w:t xml:space="preserve"> to</w:t>
      </w:r>
      <w:r w:rsidR="00FA661E" w:rsidRPr="002A6649">
        <w:rPr>
          <w:rFonts w:ascii="Arial" w:hAnsi="Arial" w:cs="Arial"/>
          <w:sz w:val="22"/>
        </w:rPr>
        <w:t xml:space="preserve"> 7.4%.    </w:t>
      </w:r>
    </w:p>
    <w:p w:rsidR="00CB5F96" w:rsidRPr="002A6649" w:rsidRDefault="00FA202E" w:rsidP="007D7949">
      <w:pPr>
        <w:pStyle w:val="ListParagraph"/>
        <w:numPr>
          <w:ilvl w:val="0"/>
          <w:numId w:val="37"/>
        </w:numPr>
        <w:rPr>
          <w:rFonts w:ascii="Arial" w:hAnsi="Arial" w:cs="Arial"/>
          <w:sz w:val="22"/>
        </w:rPr>
      </w:pPr>
      <w:r w:rsidRPr="002A6649">
        <w:rPr>
          <w:rFonts w:ascii="Arial" w:hAnsi="Arial" w:cs="Arial"/>
          <w:sz w:val="22"/>
        </w:rPr>
        <w:t xml:space="preserve">Operating profit was </w:t>
      </w:r>
      <w:r w:rsidR="00F007CC" w:rsidRPr="002A6649">
        <w:rPr>
          <w:rFonts w:ascii="Arial" w:hAnsi="Arial" w:cs="Arial"/>
          <w:sz w:val="22"/>
        </w:rPr>
        <w:t xml:space="preserve">up </w:t>
      </w:r>
      <w:r w:rsidR="00FA661E" w:rsidRPr="002A6649">
        <w:rPr>
          <w:rFonts w:ascii="Arial" w:hAnsi="Arial" w:cs="Arial"/>
          <w:sz w:val="22"/>
        </w:rPr>
        <w:t xml:space="preserve">24% to </w:t>
      </w:r>
      <w:r w:rsidR="002B6D69" w:rsidRPr="002A6649">
        <w:rPr>
          <w:rFonts w:ascii="Arial" w:hAnsi="Arial" w:cs="Arial"/>
          <w:sz w:val="22"/>
        </w:rPr>
        <w:t>$</w:t>
      </w:r>
      <w:r w:rsidR="006B4EA8" w:rsidRPr="002A6649">
        <w:rPr>
          <w:rFonts w:ascii="Arial" w:hAnsi="Arial" w:cs="Arial"/>
          <w:sz w:val="22"/>
        </w:rPr>
        <w:t>242</w:t>
      </w:r>
      <w:r w:rsidR="00F173C9" w:rsidRPr="002A6649">
        <w:rPr>
          <w:rFonts w:ascii="Arial" w:hAnsi="Arial" w:cs="Arial"/>
          <w:sz w:val="22"/>
        </w:rPr>
        <w:t xml:space="preserve"> </w:t>
      </w:r>
      <w:r w:rsidR="008F217C" w:rsidRPr="002A6649">
        <w:rPr>
          <w:rFonts w:ascii="Arial" w:hAnsi="Arial" w:cs="Arial"/>
          <w:sz w:val="22"/>
        </w:rPr>
        <w:t xml:space="preserve">million and adjusted operating profit </w:t>
      </w:r>
      <w:r w:rsidR="00F007CC" w:rsidRPr="002A6649">
        <w:rPr>
          <w:rFonts w:ascii="Arial" w:hAnsi="Arial" w:cs="Arial"/>
          <w:sz w:val="22"/>
        </w:rPr>
        <w:t>increased</w:t>
      </w:r>
      <w:r w:rsidR="008F217C" w:rsidRPr="002A6649">
        <w:rPr>
          <w:rFonts w:ascii="Arial" w:hAnsi="Arial" w:cs="Arial"/>
          <w:sz w:val="22"/>
        </w:rPr>
        <w:t xml:space="preserve"> </w:t>
      </w:r>
      <w:r w:rsidR="006B4EA8" w:rsidRPr="002A6649">
        <w:rPr>
          <w:rFonts w:ascii="Arial" w:hAnsi="Arial" w:cs="Arial"/>
          <w:sz w:val="22"/>
        </w:rPr>
        <w:t>33</w:t>
      </w:r>
      <w:r w:rsidR="008F217C" w:rsidRPr="002A6649">
        <w:rPr>
          <w:rFonts w:ascii="Arial" w:hAnsi="Arial" w:cs="Arial"/>
          <w:sz w:val="22"/>
        </w:rPr>
        <w:t xml:space="preserve">% to </w:t>
      </w:r>
      <w:r w:rsidR="005314E3" w:rsidRPr="002A6649">
        <w:rPr>
          <w:rFonts w:ascii="Arial" w:hAnsi="Arial" w:cs="Arial"/>
          <w:sz w:val="22"/>
        </w:rPr>
        <w:t>$</w:t>
      </w:r>
      <w:r w:rsidR="00DD27FF" w:rsidRPr="002A6649">
        <w:rPr>
          <w:rFonts w:ascii="Arial" w:hAnsi="Arial" w:cs="Arial"/>
          <w:sz w:val="22"/>
        </w:rPr>
        <w:t>2</w:t>
      </w:r>
      <w:r w:rsidR="006B4EA8" w:rsidRPr="002A6649">
        <w:rPr>
          <w:rFonts w:ascii="Arial" w:hAnsi="Arial" w:cs="Arial"/>
          <w:sz w:val="22"/>
        </w:rPr>
        <w:t>60</w:t>
      </w:r>
      <w:r w:rsidR="005314E3" w:rsidRPr="002A6649">
        <w:rPr>
          <w:rFonts w:ascii="Arial" w:hAnsi="Arial" w:cs="Arial"/>
          <w:sz w:val="22"/>
        </w:rPr>
        <w:t xml:space="preserve"> million</w:t>
      </w:r>
      <w:r w:rsidRPr="002A6649">
        <w:rPr>
          <w:rFonts w:ascii="Arial" w:hAnsi="Arial" w:cs="Arial"/>
          <w:sz w:val="22"/>
        </w:rPr>
        <w:t>.</w:t>
      </w:r>
    </w:p>
    <w:p w:rsidR="00D60108" w:rsidRPr="002A6649" w:rsidRDefault="007014D5" w:rsidP="00D60108">
      <w:pPr>
        <w:pStyle w:val="ListParagraph"/>
        <w:numPr>
          <w:ilvl w:val="0"/>
          <w:numId w:val="37"/>
        </w:numPr>
        <w:rPr>
          <w:rFonts w:ascii="Arial" w:hAnsi="Arial" w:cs="Arial"/>
          <w:sz w:val="22"/>
        </w:rPr>
      </w:pPr>
      <w:r w:rsidRPr="002A6649">
        <w:rPr>
          <w:rFonts w:ascii="Arial" w:hAnsi="Arial" w:cs="Arial"/>
          <w:sz w:val="22"/>
        </w:rPr>
        <w:t xml:space="preserve">Adjusted operating profit excludes transformation charges of </w:t>
      </w:r>
      <w:r w:rsidR="00D60108" w:rsidRPr="002A6649">
        <w:rPr>
          <w:rFonts w:ascii="Arial" w:hAnsi="Arial" w:cs="Arial"/>
          <w:sz w:val="22"/>
        </w:rPr>
        <w:t>$</w:t>
      </w:r>
      <w:r w:rsidR="006B4EA8" w:rsidRPr="002A6649">
        <w:rPr>
          <w:rFonts w:ascii="Arial" w:hAnsi="Arial" w:cs="Arial"/>
          <w:sz w:val="22"/>
        </w:rPr>
        <w:t>18</w:t>
      </w:r>
      <w:r w:rsidR="00D60108" w:rsidRPr="002A6649">
        <w:rPr>
          <w:rFonts w:ascii="Arial" w:hAnsi="Arial" w:cs="Arial"/>
          <w:sz w:val="22"/>
        </w:rPr>
        <w:t xml:space="preserve"> million.</w:t>
      </w:r>
    </w:p>
    <w:p w:rsidR="00D8122D" w:rsidRPr="002A6649" w:rsidRDefault="00D8122D" w:rsidP="00516C9E">
      <w:pPr>
        <w:pStyle w:val="ListParagraph"/>
        <w:ind w:left="360"/>
        <w:rPr>
          <w:rFonts w:ascii="Arial" w:hAnsi="Arial" w:cs="Arial"/>
          <w:sz w:val="22"/>
        </w:rPr>
      </w:pPr>
    </w:p>
    <w:p w:rsidR="005A5BC6" w:rsidRPr="002A6649" w:rsidRDefault="005A5BC6" w:rsidP="00FB040E">
      <w:pPr>
        <w:ind w:firstLine="720"/>
        <w:rPr>
          <w:rFonts w:ascii="Arial" w:hAnsi="Arial" w:cs="Arial"/>
          <w:sz w:val="22"/>
          <w:szCs w:val="22"/>
        </w:rPr>
      </w:pPr>
    </w:p>
    <w:p w:rsidR="005A5BC6" w:rsidRPr="002A6649" w:rsidRDefault="005A5BC6" w:rsidP="005A5BC6">
      <w:pPr>
        <w:rPr>
          <w:rFonts w:ascii="Arial" w:hAnsi="Arial" w:cs="Arial"/>
          <w:b/>
          <w:u w:val="single"/>
        </w:rPr>
      </w:pPr>
      <w:r w:rsidRPr="002A6649">
        <w:rPr>
          <w:rFonts w:ascii="Arial" w:hAnsi="Arial" w:cs="Arial"/>
          <w:b/>
          <w:u w:val="single"/>
        </w:rPr>
        <w:t>Outlook</w:t>
      </w:r>
      <w:r w:rsidR="00575334" w:rsidRPr="002A6649">
        <w:rPr>
          <w:rFonts w:ascii="Arial" w:hAnsi="Arial" w:cs="Arial"/>
          <w:b/>
          <w:u w:val="single"/>
        </w:rPr>
        <w:t xml:space="preserve"> </w:t>
      </w:r>
    </w:p>
    <w:p w:rsidR="005A5BC6" w:rsidRPr="00C313D5" w:rsidRDefault="005A5BC6" w:rsidP="005A5BC6">
      <w:pPr>
        <w:ind w:firstLine="720"/>
        <w:rPr>
          <w:rFonts w:ascii="Arial" w:hAnsi="Arial" w:cs="Arial"/>
        </w:rPr>
      </w:pPr>
    </w:p>
    <w:p w:rsidR="00A3733A" w:rsidRPr="00F84BDD" w:rsidRDefault="00A13404" w:rsidP="005A5BC6">
      <w:pPr>
        <w:ind w:firstLine="720"/>
        <w:rPr>
          <w:rFonts w:ascii="Arial" w:hAnsi="Arial" w:cs="Arial"/>
          <w:sz w:val="22"/>
          <w:szCs w:val="22"/>
        </w:rPr>
      </w:pPr>
      <w:r w:rsidRPr="00A13404">
        <w:rPr>
          <w:rFonts w:ascii="Arial" w:hAnsi="Arial" w:cs="Arial"/>
          <w:sz w:val="22"/>
          <w:szCs w:val="22"/>
        </w:rPr>
        <w:t>The company provides earnings per share guidance on an adjusted (non-GAAP) basis because it is not possible to predict or provide a reconciliation reflecting the impact of future required pension mark-to-market adjustments, which would be included in reported (GAAP) results. The impact of such adjustments could be material.</w:t>
      </w:r>
    </w:p>
    <w:p w:rsidR="00A3733A" w:rsidRPr="00F84BDD" w:rsidRDefault="00A3733A" w:rsidP="005A5BC6">
      <w:pPr>
        <w:ind w:firstLine="720"/>
        <w:rPr>
          <w:rFonts w:ascii="Arial" w:hAnsi="Arial" w:cs="Arial"/>
          <w:sz w:val="22"/>
          <w:szCs w:val="22"/>
        </w:rPr>
      </w:pPr>
    </w:p>
    <w:p w:rsidR="003C1009" w:rsidRPr="00F84BDD" w:rsidRDefault="003C1009" w:rsidP="005A5BC6">
      <w:pPr>
        <w:ind w:firstLine="720"/>
        <w:rPr>
          <w:rFonts w:ascii="Arial" w:hAnsi="Arial" w:cs="Arial"/>
          <w:sz w:val="22"/>
          <w:szCs w:val="22"/>
        </w:rPr>
      </w:pPr>
    </w:p>
    <w:p w:rsidR="003C1009" w:rsidRDefault="003C1009" w:rsidP="005A5BC6">
      <w:pPr>
        <w:ind w:firstLine="720"/>
        <w:rPr>
          <w:rFonts w:ascii="Arial" w:hAnsi="Arial" w:cs="Arial"/>
          <w:sz w:val="22"/>
          <w:szCs w:val="22"/>
        </w:rPr>
      </w:pPr>
    </w:p>
    <w:p w:rsidR="00906DE5" w:rsidRPr="00C313D5" w:rsidRDefault="00906DE5" w:rsidP="005A5BC6">
      <w:pPr>
        <w:ind w:firstLine="720"/>
        <w:rPr>
          <w:rFonts w:ascii="Arial" w:hAnsi="Arial" w:cs="Arial"/>
          <w:sz w:val="22"/>
          <w:szCs w:val="22"/>
        </w:rPr>
      </w:pPr>
    </w:p>
    <w:p w:rsidR="003C1009" w:rsidRPr="00C313D5" w:rsidRDefault="003C1009" w:rsidP="003C1009">
      <w:pPr>
        <w:rPr>
          <w:rFonts w:ascii="Arial" w:hAnsi="Arial" w:cs="Arial"/>
          <w:b/>
          <w:sz w:val="22"/>
          <w:vertAlign w:val="subscript"/>
        </w:rPr>
      </w:pPr>
      <w:r w:rsidRPr="00C313D5">
        <w:rPr>
          <w:rFonts w:ascii="Arial" w:hAnsi="Arial" w:cs="Arial"/>
          <w:b/>
          <w:sz w:val="22"/>
          <w:vertAlign w:val="subscript"/>
        </w:rPr>
        <w:t>* Information on non-GAAP financial measures is attached to this press release.</w:t>
      </w:r>
    </w:p>
    <w:p w:rsidR="003C1009" w:rsidRPr="00C313D5" w:rsidRDefault="003C1009" w:rsidP="003C1009">
      <w:pPr>
        <w:rPr>
          <w:rFonts w:ascii="Arial" w:hAnsi="Arial" w:cs="Arial"/>
          <w:sz w:val="22"/>
        </w:rPr>
      </w:pPr>
    </w:p>
    <w:p w:rsidR="003C1009" w:rsidRPr="00C313D5" w:rsidRDefault="003C1009" w:rsidP="003C1009">
      <w:pPr>
        <w:jc w:val="center"/>
        <w:rPr>
          <w:rFonts w:ascii="Arial" w:hAnsi="Arial" w:cs="Arial"/>
          <w:sz w:val="20"/>
          <w:szCs w:val="20"/>
        </w:rPr>
      </w:pPr>
      <w:r w:rsidRPr="00C313D5">
        <w:rPr>
          <w:rFonts w:ascii="Arial" w:hAnsi="Arial" w:cs="Arial"/>
          <w:sz w:val="20"/>
          <w:szCs w:val="20"/>
        </w:rPr>
        <w:t>– more –</w:t>
      </w:r>
    </w:p>
    <w:p w:rsidR="003C1009" w:rsidRPr="002A57D6" w:rsidRDefault="003C1009" w:rsidP="003C1009">
      <w:pPr>
        <w:rPr>
          <w:rFonts w:ascii="Arial" w:hAnsi="Arial" w:cs="Arial"/>
          <w:sz w:val="22"/>
        </w:rPr>
      </w:pPr>
      <w:r w:rsidRPr="002A57D6">
        <w:rPr>
          <w:rFonts w:ascii="Arial" w:hAnsi="Arial" w:cs="Arial"/>
          <w:sz w:val="22"/>
        </w:rPr>
        <w:lastRenderedPageBreak/>
        <w:t>4-4-4</w:t>
      </w:r>
    </w:p>
    <w:p w:rsidR="003C1009" w:rsidRPr="00F84BDD" w:rsidRDefault="003C1009" w:rsidP="003C1009">
      <w:pPr>
        <w:ind w:firstLine="720"/>
        <w:rPr>
          <w:rFonts w:ascii="Arial" w:hAnsi="Arial" w:cs="Arial"/>
          <w:sz w:val="22"/>
          <w:szCs w:val="22"/>
        </w:rPr>
      </w:pPr>
    </w:p>
    <w:p w:rsidR="003C1009" w:rsidRPr="00F84BDD" w:rsidRDefault="003C1009" w:rsidP="007F4A7A">
      <w:pPr>
        <w:ind w:firstLine="720"/>
        <w:rPr>
          <w:rFonts w:ascii="Arial" w:hAnsi="Arial" w:cs="Arial"/>
          <w:sz w:val="22"/>
        </w:rPr>
      </w:pPr>
    </w:p>
    <w:p w:rsidR="007F4A7A" w:rsidRPr="002A6649" w:rsidRDefault="007F4A7A" w:rsidP="007F4A7A">
      <w:pPr>
        <w:ind w:firstLine="720"/>
        <w:rPr>
          <w:rFonts w:ascii="Arial" w:hAnsi="Arial" w:cs="Arial"/>
          <w:sz w:val="22"/>
        </w:rPr>
      </w:pPr>
      <w:r w:rsidRPr="002A6649">
        <w:rPr>
          <w:rFonts w:ascii="Arial" w:hAnsi="Arial" w:cs="Arial"/>
          <w:sz w:val="22"/>
        </w:rPr>
        <w:t>“</w:t>
      </w:r>
      <w:r w:rsidR="00756139" w:rsidRPr="002A6649">
        <w:rPr>
          <w:rFonts w:ascii="Arial" w:hAnsi="Arial" w:cs="Arial"/>
          <w:sz w:val="22"/>
        </w:rPr>
        <w:t xml:space="preserve">Improvements in revenue quality and </w:t>
      </w:r>
      <w:r w:rsidR="00416EFD" w:rsidRPr="002A6649">
        <w:rPr>
          <w:rFonts w:ascii="Arial" w:hAnsi="Arial" w:cs="Arial"/>
          <w:sz w:val="22"/>
        </w:rPr>
        <w:t>our new</w:t>
      </w:r>
      <w:r w:rsidRPr="002A6649">
        <w:rPr>
          <w:rFonts w:ascii="Arial" w:hAnsi="Arial" w:cs="Arial"/>
          <w:sz w:val="22"/>
        </w:rPr>
        <w:t>, highly</w:t>
      </w:r>
      <w:r w:rsidR="00416EFD" w:rsidRPr="002A6649">
        <w:rPr>
          <w:rFonts w:ascii="Arial" w:hAnsi="Arial" w:cs="Arial"/>
          <w:sz w:val="22"/>
        </w:rPr>
        <w:t>-</w:t>
      </w:r>
      <w:r w:rsidRPr="002A6649">
        <w:rPr>
          <w:rFonts w:ascii="Arial" w:hAnsi="Arial" w:cs="Arial"/>
          <w:sz w:val="22"/>
        </w:rPr>
        <w:t>automated capacity give</w:t>
      </w:r>
      <w:r w:rsidR="00101274" w:rsidRPr="002A6649">
        <w:rPr>
          <w:rFonts w:ascii="Arial" w:hAnsi="Arial" w:cs="Arial"/>
          <w:sz w:val="22"/>
        </w:rPr>
        <w:t>s</w:t>
      </w:r>
      <w:r w:rsidRPr="002A6649">
        <w:rPr>
          <w:rFonts w:ascii="Arial" w:hAnsi="Arial" w:cs="Arial"/>
          <w:sz w:val="22"/>
        </w:rPr>
        <w:t xml:space="preserve"> us confidence in a successful peak season for our customers and shareowners”</w:t>
      </w:r>
      <w:r w:rsidR="001D1F3F" w:rsidRPr="002A6649">
        <w:rPr>
          <w:rFonts w:ascii="Arial" w:hAnsi="Arial" w:cs="Arial"/>
          <w:sz w:val="22"/>
        </w:rPr>
        <w:t>,</w:t>
      </w:r>
      <w:r w:rsidRPr="002A6649">
        <w:rPr>
          <w:rFonts w:ascii="Arial" w:hAnsi="Arial" w:cs="Arial"/>
          <w:sz w:val="22"/>
          <w:szCs w:val="22"/>
        </w:rPr>
        <w:t xml:space="preserve"> </w:t>
      </w:r>
      <w:r w:rsidR="00D926C6" w:rsidRPr="002A6649">
        <w:rPr>
          <w:rFonts w:ascii="Arial" w:hAnsi="Arial" w:cs="Arial"/>
          <w:sz w:val="22"/>
        </w:rPr>
        <w:t xml:space="preserve">said Richard </w:t>
      </w:r>
      <w:proofErr w:type="spellStart"/>
      <w:r w:rsidR="00D926C6" w:rsidRPr="002A6649">
        <w:rPr>
          <w:rFonts w:ascii="Arial" w:hAnsi="Arial" w:cs="Arial"/>
          <w:sz w:val="22"/>
        </w:rPr>
        <w:t>Peretz</w:t>
      </w:r>
      <w:proofErr w:type="spellEnd"/>
      <w:r w:rsidR="00D926C6" w:rsidRPr="002A6649">
        <w:rPr>
          <w:rFonts w:ascii="Arial" w:hAnsi="Arial" w:cs="Arial"/>
          <w:sz w:val="22"/>
        </w:rPr>
        <w:t>, UPS’s chief financial officer</w:t>
      </w:r>
      <w:r w:rsidR="001D1F3F" w:rsidRPr="002A6649">
        <w:rPr>
          <w:rFonts w:ascii="Arial" w:hAnsi="Arial" w:cs="Arial"/>
          <w:sz w:val="22"/>
        </w:rPr>
        <w:t>.</w:t>
      </w:r>
    </w:p>
    <w:p w:rsidR="005A5BC6" w:rsidRPr="00C313D5" w:rsidRDefault="005A5BC6" w:rsidP="005A5BC6">
      <w:pPr>
        <w:ind w:firstLine="720"/>
        <w:rPr>
          <w:rFonts w:ascii="Arial" w:hAnsi="Arial" w:cs="Arial"/>
          <w:sz w:val="22"/>
          <w:szCs w:val="22"/>
        </w:rPr>
      </w:pPr>
    </w:p>
    <w:p w:rsidR="00AE7B9A" w:rsidRPr="00F84BDD" w:rsidRDefault="005A5BC6" w:rsidP="000F1F16">
      <w:pPr>
        <w:pStyle w:val="ListParagraph"/>
        <w:numPr>
          <w:ilvl w:val="0"/>
          <w:numId w:val="46"/>
        </w:numPr>
        <w:rPr>
          <w:rFonts w:ascii="Arial" w:hAnsi="Arial" w:cs="Arial"/>
          <w:sz w:val="22"/>
        </w:rPr>
      </w:pPr>
      <w:r w:rsidRPr="00C313D5">
        <w:rPr>
          <w:rFonts w:ascii="Arial" w:hAnsi="Arial" w:cs="Arial"/>
          <w:sz w:val="22"/>
        </w:rPr>
        <w:t xml:space="preserve">UPS </w:t>
      </w:r>
      <w:r w:rsidR="00B12F3D" w:rsidRPr="00C313D5">
        <w:rPr>
          <w:rFonts w:ascii="Arial" w:hAnsi="Arial" w:cs="Arial"/>
          <w:sz w:val="22"/>
        </w:rPr>
        <w:t>expects</w:t>
      </w:r>
      <w:r w:rsidRPr="00C313D5">
        <w:rPr>
          <w:rFonts w:ascii="Arial" w:hAnsi="Arial" w:cs="Arial"/>
          <w:sz w:val="22"/>
        </w:rPr>
        <w:t xml:space="preserve"> 201</w:t>
      </w:r>
      <w:r w:rsidR="002D25D2" w:rsidRPr="002A57D6">
        <w:rPr>
          <w:rFonts w:ascii="Arial" w:hAnsi="Arial" w:cs="Arial"/>
          <w:sz w:val="22"/>
        </w:rPr>
        <w:t>8</w:t>
      </w:r>
      <w:r w:rsidRPr="002A57D6">
        <w:rPr>
          <w:rFonts w:ascii="Arial" w:hAnsi="Arial" w:cs="Arial"/>
          <w:sz w:val="22"/>
        </w:rPr>
        <w:t xml:space="preserve"> adjusted</w:t>
      </w:r>
      <w:r w:rsidR="00DE13C6" w:rsidRPr="002A57D6">
        <w:rPr>
          <w:rFonts w:ascii="Arial" w:hAnsi="Arial" w:cs="Arial"/>
          <w:sz w:val="22"/>
        </w:rPr>
        <w:t>,</w:t>
      </w:r>
      <w:r w:rsidRPr="002A57D6">
        <w:rPr>
          <w:rFonts w:ascii="Arial" w:hAnsi="Arial" w:cs="Arial"/>
          <w:sz w:val="22"/>
        </w:rPr>
        <w:t xml:space="preserve"> diluted </w:t>
      </w:r>
      <w:r w:rsidR="005D1240" w:rsidRPr="00F84BDD">
        <w:rPr>
          <w:rFonts w:ascii="Arial" w:hAnsi="Arial" w:cs="Arial"/>
          <w:sz w:val="22"/>
        </w:rPr>
        <w:t xml:space="preserve">earnings per share in a range of </w:t>
      </w:r>
      <w:r w:rsidRPr="00F84BDD">
        <w:rPr>
          <w:rFonts w:ascii="Arial" w:hAnsi="Arial" w:cs="Arial"/>
          <w:sz w:val="22"/>
        </w:rPr>
        <w:t>$</w:t>
      </w:r>
      <w:r w:rsidR="00575334" w:rsidRPr="00F84BDD">
        <w:rPr>
          <w:rFonts w:ascii="Arial" w:hAnsi="Arial" w:cs="Arial"/>
          <w:sz w:val="22"/>
        </w:rPr>
        <w:t>7.03</w:t>
      </w:r>
      <w:r w:rsidR="005D1240" w:rsidRPr="00F84BDD">
        <w:rPr>
          <w:rFonts w:ascii="Arial" w:hAnsi="Arial" w:cs="Arial"/>
          <w:sz w:val="22"/>
        </w:rPr>
        <w:t xml:space="preserve"> </w:t>
      </w:r>
      <w:r w:rsidRPr="00F84BDD">
        <w:rPr>
          <w:rFonts w:ascii="Arial" w:hAnsi="Arial" w:cs="Arial"/>
          <w:sz w:val="22"/>
        </w:rPr>
        <w:t>to $</w:t>
      </w:r>
      <w:r w:rsidR="00575334" w:rsidRPr="00F84BDD">
        <w:rPr>
          <w:rFonts w:ascii="Arial" w:hAnsi="Arial" w:cs="Arial"/>
          <w:sz w:val="22"/>
        </w:rPr>
        <w:t>7.37</w:t>
      </w:r>
      <w:r w:rsidR="00AE7B9A" w:rsidRPr="00F84BDD">
        <w:rPr>
          <w:rFonts w:ascii="Arial" w:hAnsi="Arial" w:cs="Arial"/>
          <w:sz w:val="22"/>
        </w:rPr>
        <w:t xml:space="preserve">. </w:t>
      </w:r>
    </w:p>
    <w:p w:rsidR="00E47C8B" w:rsidRPr="00F84BDD" w:rsidRDefault="00B96AD7">
      <w:pPr>
        <w:pStyle w:val="ListParagraph"/>
        <w:numPr>
          <w:ilvl w:val="0"/>
          <w:numId w:val="37"/>
        </w:numPr>
        <w:rPr>
          <w:rFonts w:ascii="Arial" w:hAnsi="Arial" w:cs="Arial"/>
          <w:sz w:val="22"/>
        </w:rPr>
      </w:pPr>
      <w:r w:rsidRPr="00F84BDD">
        <w:rPr>
          <w:rFonts w:ascii="Arial" w:hAnsi="Arial" w:cs="Arial"/>
          <w:sz w:val="22"/>
        </w:rPr>
        <w:t xml:space="preserve">The company </w:t>
      </w:r>
      <w:r w:rsidR="000047B3" w:rsidRPr="00F84BDD">
        <w:rPr>
          <w:rFonts w:ascii="Arial" w:hAnsi="Arial" w:cs="Arial"/>
          <w:sz w:val="22"/>
        </w:rPr>
        <w:t xml:space="preserve">is raising </w:t>
      </w:r>
      <w:r w:rsidR="00E47C8B" w:rsidRPr="00F84BDD">
        <w:rPr>
          <w:rFonts w:ascii="Arial" w:hAnsi="Arial" w:cs="Arial"/>
          <w:sz w:val="22"/>
        </w:rPr>
        <w:t xml:space="preserve">free cash flow </w:t>
      </w:r>
      <w:r w:rsidR="000047B3" w:rsidRPr="00F84BDD">
        <w:rPr>
          <w:rFonts w:ascii="Arial" w:hAnsi="Arial" w:cs="Arial"/>
          <w:sz w:val="22"/>
        </w:rPr>
        <w:t xml:space="preserve">guidance </w:t>
      </w:r>
      <w:r w:rsidR="009E7821" w:rsidRPr="00F84BDD">
        <w:rPr>
          <w:rFonts w:ascii="Arial" w:hAnsi="Arial" w:cs="Arial"/>
          <w:sz w:val="22"/>
        </w:rPr>
        <w:t xml:space="preserve">to </w:t>
      </w:r>
      <w:r w:rsidR="000047B3" w:rsidRPr="00F84BDD">
        <w:rPr>
          <w:rFonts w:ascii="Arial" w:hAnsi="Arial" w:cs="Arial"/>
          <w:sz w:val="22"/>
        </w:rPr>
        <w:t xml:space="preserve">over </w:t>
      </w:r>
      <w:r w:rsidRPr="00F84BDD">
        <w:rPr>
          <w:rFonts w:ascii="Arial" w:hAnsi="Arial" w:cs="Arial"/>
          <w:sz w:val="22"/>
        </w:rPr>
        <w:t>$5.0 billion</w:t>
      </w:r>
      <w:r w:rsidR="001051B4" w:rsidRPr="00F84BDD">
        <w:rPr>
          <w:rFonts w:ascii="Arial" w:hAnsi="Arial" w:cs="Arial"/>
          <w:sz w:val="22"/>
        </w:rPr>
        <w:t xml:space="preserve"> in 2018</w:t>
      </w:r>
      <w:r w:rsidR="00CA4B23" w:rsidRPr="00F84BDD">
        <w:rPr>
          <w:rFonts w:ascii="Arial" w:hAnsi="Arial" w:cs="Arial"/>
          <w:sz w:val="22"/>
        </w:rPr>
        <w:t xml:space="preserve">. </w:t>
      </w:r>
    </w:p>
    <w:p w:rsidR="00E0083A" w:rsidRPr="00F84BDD" w:rsidRDefault="00E72387">
      <w:pPr>
        <w:pStyle w:val="ListParagraph"/>
        <w:numPr>
          <w:ilvl w:val="0"/>
          <w:numId w:val="37"/>
        </w:numPr>
        <w:rPr>
          <w:rFonts w:ascii="Arial" w:hAnsi="Arial" w:cs="Arial"/>
          <w:sz w:val="22"/>
        </w:rPr>
      </w:pPr>
      <w:r w:rsidRPr="00F84BDD">
        <w:rPr>
          <w:rFonts w:ascii="Arial" w:hAnsi="Arial" w:cs="Arial"/>
          <w:sz w:val="22"/>
        </w:rPr>
        <w:t>Cap</w:t>
      </w:r>
      <w:r w:rsidR="00A140F0" w:rsidRPr="00F84BDD">
        <w:rPr>
          <w:rFonts w:ascii="Arial" w:hAnsi="Arial" w:cs="Arial"/>
          <w:sz w:val="22"/>
        </w:rPr>
        <w:t>ital e</w:t>
      </w:r>
      <w:r w:rsidRPr="00F84BDD">
        <w:rPr>
          <w:rFonts w:ascii="Arial" w:hAnsi="Arial" w:cs="Arial"/>
          <w:sz w:val="22"/>
        </w:rPr>
        <w:t>x</w:t>
      </w:r>
      <w:r w:rsidR="00A140F0" w:rsidRPr="00F84BDD">
        <w:rPr>
          <w:rFonts w:ascii="Arial" w:hAnsi="Arial" w:cs="Arial"/>
          <w:sz w:val="22"/>
        </w:rPr>
        <w:t xml:space="preserve">penditures </w:t>
      </w:r>
      <w:r w:rsidR="00AE7B9A" w:rsidRPr="00F84BDD">
        <w:rPr>
          <w:rFonts w:ascii="Arial" w:hAnsi="Arial" w:cs="Arial"/>
          <w:sz w:val="22"/>
        </w:rPr>
        <w:t xml:space="preserve">in 2018 </w:t>
      </w:r>
      <w:r w:rsidR="009E7821" w:rsidRPr="00F84BDD">
        <w:rPr>
          <w:rFonts w:ascii="Arial" w:hAnsi="Arial" w:cs="Arial"/>
          <w:sz w:val="22"/>
        </w:rPr>
        <w:t xml:space="preserve">remain </w:t>
      </w:r>
      <w:r w:rsidR="00A140F0" w:rsidRPr="00F84BDD">
        <w:rPr>
          <w:rFonts w:ascii="Arial" w:hAnsi="Arial" w:cs="Arial"/>
          <w:sz w:val="22"/>
        </w:rPr>
        <w:t>planned</w:t>
      </w:r>
      <w:r w:rsidRPr="00F84BDD">
        <w:rPr>
          <w:rFonts w:ascii="Arial" w:hAnsi="Arial" w:cs="Arial"/>
          <w:sz w:val="22"/>
        </w:rPr>
        <w:t xml:space="preserve"> between </w:t>
      </w:r>
      <w:r w:rsidR="009D0F6B" w:rsidRPr="00F84BDD">
        <w:rPr>
          <w:rFonts w:ascii="Arial" w:hAnsi="Arial" w:cs="Arial"/>
          <w:sz w:val="22"/>
        </w:rPr>
        <w:t>$</w:t>
      </w:r>
      <w:r w:rsidR="005D1240" w:rsidRPr="00F84BDD">
        <w:rPr>
          <w:rFonts w:ascii="Arial" w:hAnsi="Arial" w:cs="Arial"/>
          <w:sz w:val="22"/>
        </w:rPr>
        <w:t>6.5</w:t>
      </w:r>
      <w:r w:rsidRPr="00F84BDD">
        <w:rPr>
          <w:rFonts w:ascii="Arial" w:hAnsi="Arial" w:cs="Arial"/>
          <w:sz w:val="22"/>
        </w:rPr>
        <w:t xml:space="preserve"> </w:t>
      </w:r>
      <w:r w:rsidR="00934587" w:rsidRPr="00F84BDD">
        <w:rPr>
          <w:rFonts w:ascii="Arial" w:hAnsi="Arial" w:cs="Arial"/>
          <w:sz w:val="22"/>
        </w:rPr>
        <w:t xml:space="preserve">billion </w:t>
      </w:r>
      <w:r w:rsidR="008C6DC2" w:rsidRPr="00F84BDD">
        <w:rPr>
          <w:rFonts w:ascii="Arial" w:hAnsi="Arial" w:cs="Arial"/>
          <w:sz w:val="22"/>
        </w:rPr>
        <w:t xml:space="preserve">and </w:t>
      </w:r>
      <w:r w:rsidR="009D0F6B" w:rsidRPr="00F84BDD">
        <w:rPr>
          <w:rFonts w:ascii="Arial" w:hAnsi="Arial" w:cs="Arial"/>
          <w:sz w:val="22"/>
        </w:rPr>
        <w:t>$</w:t>
      </w:r>
      <w:r w:rsidR="005D1240" w:rsidRPr="00F84BDD">
        <w:rPr>
          <w:rFonts w:ascii="Arial" w:hAnsi="Arial" w:cs="Arial"/>
          <w:sz w:val="22"/>
        </w:rPr>
        <w:t>7.0</w:t>
      </w:r>
      <w:r w:rsidR="004320DC" w:rsidRPr="00F84BDD">
        <w:rPr>
          <w:rFonts w:ascii="Arial" w:hAnsi="Arial" w:cs="Arial"/>
          <w:sz w:val="22"/>
        </w:rPr>
        <w:t xml:space="preserve"> </w:t>
      </w:r>
      <w:r w:rsidR="00934587" w:rsidRPr="00F84BDD">
        <w:rPr>
          <w:rFonts w:ascii="Arial" w:hAnsi="Arial" w:cs="Arial"/>
          <w:sz w:val="22"/>
        </w:rPr>
        <w:t>billion</w:t>
      </w:r>
      <w:r w:rsidR="00E47C8B" w:rsidRPr="00F84BDD">
        <w:rPr>
          <w:rFonts w:ascii="Arial" w:hAnsi="Arial" w:cs="Arial"/>
          <w:sz w:val="22"/>
        </w:rPr>
        <w:t>.</w:t>
      </w:r>
    </w:p>
    <w:p w:rsidR="0046702B" w:rsidRPr="00F84BDD" w:rsidRDefault="00622DAF">
      <w:pPr>
        <w:pStyle w:val="ListParagraph"/>
        <w:numPr>
          <w:ilvl w:val="0"/>
          <w:numId w:val="37"/>
        </w:numPr>
        <w:rPr>
          <w:rFonts w:ascii="Arial" w:hAnsi="Arial" w:cs="Arial"/>
          <w:sz w:val="22"/>
        </w:rPr>
      </w:pPr>
      <w:r>
        <w:rPr>
          <w:rFonts w:ascii="Arial" w:hAnsi="Arial" w:cs="Arial"/>
          <w:sz w:val="22"/>
        </w:rPr>
        <w:t xml:space="preserve">As previously guided, </w:t>
      </w:r>
      <w:r w:rsidR="0046702B" w:rsidRPr="00F84BDD">
        <w:rPr>
          <w:rFonts w:ascii="Arial" w:hAnsi="Arial" w:cs="Arial"/>
          <w:sz w:val="22"/>
        </w:rPr>
        <w:t xml:space="preserve">UPS expects 4Q18 adjusted EPS to </w:t>
      </w:r>
      <w:r w:rsidR="00416EFD" w:rsidRPr="00F84BDD">
        <w:rPr>
          <w:rFonts w:ascii="Arial" w:hAnsi="Arial" w:cs="Arial"/>
          <w:sz w:val="22"/>
        </w:rPr>
        <w:t>increase</w:t>
      </w:r>
      <w:r w:rsidR="005308E6" w:rsidRPr="00F84BDD">
        <w:rPr>
          <w:rFonts w:ascii="Arial" w:hAnsi="Arial" w:cs="Arial"/>
          <w:sz w:val="22"/>
        </w:rPr>
        <w:t xml:space="preserve"> about</w:t>
      </w:r>
      <w:r w:rsidR="0046702B" w:rsidRPr="00F84BDD">
        <w:rPr>
          <w:rFonts w:ascii="Arial" w:hAnsi="Arial" w:cs="Arial"/>
          <w:sz w:val="22"/>
        </w:rPr>
        <w:t xml:space="preserve"> 15 percent</w:t>
      </w:r>
      <w:r w:rsidR="00416EFD" w:rsidRPr="00F84BDD">
        <w:rPr>
          <w:rFonts w:ascii="Arial" w:hAnsi="Arial" w:cs="Arial"/>
          <w:sz w:val="22"/>
        </w:rPr>
        <w:t xml:space="preserve">, despite </w:t>
      </w:r>
      <w:r w:rsidR="00310DCF" w:rsidRPr="00F84BDD">
        <w:rPr>
          <w:rFonts w:ascii="Arial" w:hAnsi="Arial" w:cs="Arial"/>
          <w:sz w:val="22"/>
        </w:rPr>
        <w:t xml:space="preserve">anticipated </w:t>
      </w:r>
      <w:r w:rsidR="00416EFD" w:rsidRPr="00F84BDD">
        <w:rPr>
          <w:rFonts w:ascii="Arial" w:hAnsi="Arial" w:cs="Arial"/>
          <w:sz w:val="22"/>
        </w:rPr>
        <w:t xml:space="preserve">currency </w:t>
      </w:r>
      <w:r w:rsidR="00310DCF" w:rsidRPr="00F84BDD">
        <w:rPr>
          <w:rFonts w:ascii="Arial" w:hAnsi="Arial" w:cs="Arial"/>
          <w:sz w:val="22"/>
        </w:rPr>
        <w:t>headwinds</w:t>
      </w:r>
      <w:r w:rsidR="00AD4024" w:rsidRPr="00F84BDD">
        <w:rPr>
          <w:rFonts w:ascii="Arial" w:hAnsi="Arial" w:cs="Arial"/>
          <w:sz w:val="22"/>
        </w:rPr>
        <w:t xml:space="preserve"> in emerging markets</w:t>
      </w:r>
      <w:r>
        <w:rPr>
          <w:rFonts w:ascii="Arial" w:hAnsi="Arial" w:cs="Arial"/>
          <w:sz w:val="22"/>
        </w:rPr>
        <w:t xml:space="preserve"> </w:t>
      </w:r>
      <w:r w:rsidR="006337CE">
        <w:rPr>
          <w:rFonts w:ascii="Arial" w:hAnsi="Arial" w:cs="Arial"/>
          <w:sz w:val="22"/>
        </w:rPr>
        <w:t>and one less operating day during peak season</w:t>
      </w:r>
      <w:r w:rsidR="00416EFD" w:rsidRPr="00F84BDD">
        <w:rPr>
          <w:rFonts w:ascii="Arial" w:hAnsi="Arial" w:cs="Arial"/>
          <w:sz w:val="22"/>
        </w:rPr>
        <w:t>.</w:t>
      </w:r>
    </w:p>
    <w:p w:rsidR="00310DCF" w:rsidRPr="00F84BDD" w:rsidRDefault="00310DCF" w:rsidP="00310DCF">
      <w:pPr>
        <w:pStyle w:val="ListParagraph"/>
        <w:numPr>
          <w:ilvl w:val="0"/>
          <w:numId w:val="37"/>
        </w:numPr>
        <w:rPr>
          <w:rFonts w:ascii="Arial" w:hAnsi="Arial" w:cs="Arial"/>
          <w:sz w:val="22"/>
        </w:rPr>
      </w:pPr>
      <w:r w:rsidRPr="00F84BDD">
        <w:rPr>
          <w:rFonts w:ascii="Arial" w:hAnsi="Arial" w:cs="Arial"/>
          <w:sz w:val="22"/>
        </w:rPr>
        <w:t>The effective tax rate should be in a range of 23% to 24% for the fourth quarter.</w:t>
      </w:r>
    </w:p>
    <w:p w:rsidR="00D54D52" w:rsidRPr="00F84BDD" w:rsidRDefault="00D54D52" w:rsidP="00D54D52">
      <w:pPr>
        <w:rPr>
          <w:rFonts w:ascii="Arial" w:hAnsi="Arial" w:cs="Arial"/>
          <w:sz w:val="22"/>
        </w:rPr>
      </w:pPr>
    </w:p>
    <w:p w:rsidR="00D12A12" w:rsidRPr="00F84BDD" w:rsidRDefault="00D12A12" w:rsidP="00D54D52">
      <w:pPr>
        <w:rPr>
          <w:rFonts w:ascii="Arial" w:hAnsi="Arial" w:cs="Arial"/>
          <w:sz w:val="22"/>
        </w:rPr>
      </w:pPr>
    </w:p>
    <w:p w:rsidR="00606769" w:rsidRPr="00F84BDD" w:rsidRDefault="00606769" w:rsidP="00606769">
      <w:pPr>
        <w:rPr>
          <w:rFonts w:ascii="Arial" w:hAnsi="Arial" w:cs="Arial"/>
          <w:b/>
          <w:sz w:val="22"/>
          <w:vertAlign w:val="subscript"/>
        </w:rPr>
      </w:pPr>
      <w:r w:rsidRPr="00F84BDD">
        <w:rPr>
          <w:rFonts w:ascii="Arial" w:hAnsi="Arial" w:cs="Arial"/>
          <w:b/>
          <w:sz w:val="22"/>
          <w:vertAlign w:val="subscript"/>
        </w:rPr>
        <w:t>* Information on non-GAAP financial measures is attached to this press release.</w:t>
      </w:r>
    </w:p>
    <w:p w:rsidR="00B12F3D" w:rsidRPr="00F84BDD" w:rsidRDefault="00B12F3D" w:rsidP="004F63F5">
      <w:pPr>
        <w:ind w:firstLine="360"/>
        <w:rPr>
          <w:rFonts w:ascii="Arial" w:hAnsi="Arial" w:cs="Arial"/>
          <w:sz w:val="22"/>
        </w:rPr>
      </w:pPr>
    </w:p>
    <w:p w:rsidR="001B00F3" w:rsidRPr="00F84BDD" w:rsidRDefault="001B00F3" w:rsidP="0092416D">
      <w:pPr>
        <w:autoSpaceDE w:val="0"/>
        <w:autoSpaceDN w:val="0"/>
        <w:adjustRightInd w:val="0"/>
        <w:jc w:val="center"/>
        <w:rPr>
          <w:rFonts w:ascii="Arial" w:hAnsi="Arial" w:cs="Arial"/>
          <w:color w:val="003436"/>
          <w:sz w:val="22"/>
          <w:szCs w:val="22"/>
        </w:rPr>
      </w:pPr>
    </w:p>
    <w:p w:rsidR="0092416D" w:rsidRPr="00F84BDD" w:rsidRDefault="0092416D" w:rsidP="0092416D">
      <w:pPr>
        <w:autoSpaceDE w:val="0"/>
        <w:autoSpaceDN w:val="0"/>
        <w:adjustRightInd w:val="0"/>
        <w:jc w:val="center"/>
        <w:rPr>
          <w:rFonts w:ascii="Arial" w:hAnsi="Arial" w:cs="Arial"/>
          <w:color w:val="003436"/>
          <w:sz w:val="22"/>
          <w:szCs w:val="22"/>
        </w:rPr>
      </w:pPr>
      <w:r w:rsidRPr="00F84BDD">
        <w:rPr>
          <w:rFonts w:ascii="Arial" w:hAnsi="Arial" w:cs="Arial"/>
          <w:color w:val="003436"/>
          <w:sz w:val="22"/>
          <w:szCs w:val="22"/>
        </w:rPr>
        <w:t># # #</w:t>
      </w:r>
    </w:p>
    <w:p w:rsidR="001B00F3" w:rsidRPr="00F84BDD" w:rsidRDefault="001B00F3" w:rsidP="00B86C7E">
      <w:pPr>
        <w:rPr>
          <w:rFonts w:ascii="Arial" w:hAnsi="Arial" w:cs="Arial"/>
          <w:color w:val="003436"/>
          <w:sz w:val="22"/>
          <w:szCs w:val="22"/>
        </w:rPr>
      </w:pPr>
    </w:p>
    <w:p w:rsidR="00B12F3D" w:rsidRPr="00F84BDD" w:rsidRDefault="00B12F3D" w:rsidP="00B86C7E">
      <w:pPr>
        <w:rPr>
          <w:rFonts w:ascii="Arial" w:hAnsi="Arial" w:cs="Arial"/>
          <w:b/>
          <w:sz w:val="22"/>
          <w:szCs w:val="22"/>
          <w:u w:val="single"/>
        </w:rPr>
      </w:pPr>
    </w:p>
    <w:p w:rsidR="00133257" w:rsidRPr="00F84BDD" w:rsidRDefault="00133257" w:rsidP="00133257">
      <w:pPr>
        <w:rPr>
          <w:rFonts w:ascii="Arial" w:hAnsi="Arial" w:cs="Arial"/>
          <w:sz w:val="22"/>
          <w:szCs w:val="22"/>
          <w:u w:val="single"/>
        </w:rPr>
      </w:pPr>
      <w:r w:rsidRPr="00F84BDD">
        <w:rPr>
          <w:rFonts w:ascii="Arial" w:hAnsi="Arial" w:cs="Arial"/>
          <w:b/>
          <w:sz w:val="22"/>
          <w:szCs w:val="22"/>
          <w:u w:val="single"/>
        </w:rPr>
        <w:t>Conference Call Information</w:t>
      </w:r>
    </w:p>
    <w:p w:rsidR="00133257" w:rsidRPr="00F84BDD" w:rsidRDefault="00133257" w:rsidP="00133257">
      <w:pPr>
        <w:rPr>
          <w:rFonts w:ascii="Arial" w:hAnsi="Arial" w:cs="Arial"/>
          <w:sz w:val="22"/>
          <w:szCs w:val="22"/>
        </w:rPr>
      </w:pPr>
      <w:r w:rsidRPr="00F84BDD">
        <w:rPr>
          <w:rFonts w:ascii="Arial" w:hAnsi="Arial" w:cs="Arial"/>
          <w:sz w:val="22"/>
          <w:szCs w:val="22"/>
        </w:rPr>
        <w:tab/>
      </w:r>
    </w:p>
    <w:p w:rsidR="00133257" w:rsidRDefault="00133257" w:rsidP="00133257">
      <w:pPr>
        <w:spacing w:after="240"/>
        <w:rPr>
          <w:rFonts w:ascii="Arial" w:hAnsi="Arial" w:cs="Arial"/>
          <w:sz w:val="22"/>
          <w:szCs w:val="22"/>
        </w:rPr>
      </w:pPr>
      <w:r w:rsidRPr="00F84BDD">
        <w:rPr>
          <w:rFonts w:ascii="Arial" w:hAnsi="Arial" w:cs="Arial"/>
          <w:sz w:val="22"/>
          <w:szCs w:val="22"/>
        </w:rPr>
        <w:t xml:space="preserve">UPS CEO David Abney and CFO Richard </w:t>
      </w:r>
      <w:proofErr w:type="spellStart"/>
      <w:r w:rsidRPr="00F84BDD">
        <w:rPr>
          <w:rFonts w:ascii="Arial" w:hAnsi="Arial" w:cs="Arial"/>
          <w:sz w:val="22"/>
          <w:szCs w:val="22"/>
        </w:rPr>
        <w:t>Peretz</w:t>
      </w:r>
      <w:proofErr w:type="spellEnd"/>
      <w:r w:rsidRPr="00F84BDD">
        <w:rPr>
          <w:rFonts w:ascii="Arial" w:hAnsi="Arial" w:cs="Arial"/>
          <w:sz w:val="22"/>
          <w:szCs w:val="22"/>
        </w:rPr>
        <w:t xml:space="preserve"> will discuss third-quarter results with investors and analysts during a conference call at 8:30 a.m. ET</w:t>
      </w:r>
      <w:r w:rsidR="00FD7795">
        <w:rPr>
          <w:rFonts w:ascii="Arial" w:hAnsi="Arial" w:cs="Arial"/>
          <w:sz w:val="22"/>
          <w:szCs w:val="22"/>
        </w:rPr>
        <w:t xml:space="preserve"> (14:30 CET)</w:t>
      </w:r>
      <w:r w:rsidRPr="00F84BDD">
        <w:rPr>
          <w:rFonts w:ascii="Arial" w:hAnsi="Arial" w:cs="Arial"/>
          <w:sz w:val="22"/>
          <w:szCs w:val="22"/>
        </w:rPr>
        <w:t xml:space="preserve">, October 24, 2018.  That call is open to others through a live Webcast.  To access the call, go to </w:t>
      </w:r>
      <w:hyperlink r:id="rId9" w:history="1">
        <w:r w:rsidRPr="002A6649">
          <w:rPr>
            <w:rStyle w:val="Hyperlink"/>
            <w:rFonts w:ascii="Arial" w:hAnsi="Arial" w:cs="Arial"/>
            <w:sz w:val="22"/>
            <w:szCs w:val="22"/>
          </w:rPr>
          <w:t>www.investors.ups.com</w:t>
        </w:r>
      </w:hyperlink>
      <w:r w:rsidRPr="002A6649">
        <w:rPr>
          <w:rFonts w:ascii="Arial" w:hAnsi="Arial" w:cs="Arial"/>
          <w:sz w:val="22"/>
          <w:szCs w:val="22"/>
          <w:u w:val="single"/>
        </w:rPr>
        <w:t xml:space="preserve"> </w:t>
      </w:r>
      <w:r w:rsidRPr="002A6649">
        <w:rPr>
          <w:rFonts w:ascii="Arial" w:hAnsi="Arial" w:cs="Arial"/>
          <w:sz w:val="22"/>
          <w:szCs w:val="22"/>
        </w:rPr>
        <w:t>and click on “Earnings Webcast.”</w:t>
      </w:r>
    </w:p>
    <w:p w:rsidR="001A6C91" w:rsidRDefault="001A6C91" w:rsidP="001A6C91">
      <w:pPr>
        <w:rPr>
          <w:rFonts w:ascii="Arial" w:hAnsi="Arial" w:cs="Arial"/>
          <w:b/>
          <w:bCs/>
        </w:rPr>
      </w:pPr>
      <w:r>
        <w:rPr>
          <w:rFonts w:ascii="Arial" w:hAnsi="Arial" w:cs="Arial"/>
          <w:b/>
          <w:bCs/>
        </w:rPr>
        <w:t>About UPS</w:t>
      </w:r>
    </w:p>
    <w:p w:rsidR="001A6C91" w:rsidRDefault="001A6C91" w:rsidP="001A6C91">
      <w:pPr>
        <w:rPr>
          <w:rFonts w:ascii="Arial" w:hAnsi="Arial" w:cs="Arial"/>
          <w:b/>
          <w:bCs/>
        </w:rPr>
      </w:pPr>
      <w:r>
        <w:rPr>
          <w:rFonts w:ascii="Arial" w:hAnsi="Arial" w:cs="Arial"/>
          <w:color w:val="000000"/>
        </w:rPr>
        <w:t>UPS is a global leader in logistics, offering a broad range of solutions including transporting packages and freight; facilitating international trade, and deploying advanced technology to more efficiently manage the world of business. Headquartered in Atlanta,</w:t>
      </w:r>
      <w:r w:rsidR="00C4685B">
        <w:rPr>
          <w:rFonts w:ascii="Arial" w:hAnsi="Arial" w:cs="Arial"/>
          <w:color w:val="000000"/>
        </w:rPr>
        <w:t xml:space="preserve"> USA,</w:t>
      </w:r>
      <w:r>
        <w:rPr>
          <w:rFonts w:ascii="Arial" w:hAnsi="Arial" w:cs="Arial"/>
          <w:color w:val="000000"/>
        </w:rPr>
        <w:t xml:space="preserve"> UPS serves more than 220 countries and territories worldwide. The company can be found on the web at </w:t>
      </w:r>
      <w:hyperlink r:id="rId10" w:tgtFrame="_blank" w:history="1">
        <w:r>
          <w:rPr>
            <w:rStyle w:val="Hyperlink"/>
            <w:rFonts w:ascii="Arial" w:hAnsi="Arial" w:cs="Arial"/>
            <w:b/>
            <w:bCs/>
          </w:rPr>
          <w:t>ups.com</w:t>
        </w:r>
      </w:hyperlink>
      <w:r>
        <w:rPr>
          <w:rFonts w:ascii="Arial" w:hAnsi="Arial" w:cs="Arial"/>
          <w:color w:val="000000"/>
        </w:rPr>
        <w:t xml:space="preserve"> or </w:t>
      </w:r>
      <w:hyperlink r:id="rId11" w:history="1">
        <w:r>
          <w:rPr>
            <w:rStyle w:val="Hyperlink"/>
            <w:rFonts w:ascii="Arial" w:hAnsi="Arial" w:cs="Arial"/>
            <w:b/>
            <w:bCs/>
          </w:rPr>
          <w:t>pressroom.ups.com</w:t>
        </w:r>
      </w:hyperlink>
      <w:r>
        <w:rPr>
          <w:rFonts w:ascii="Arial" w:hAnsi="Arial" w:cs="Arial"/>
          <w:color w:val="000000"/>
        </w:rPr>
        <w:t xml:space="preserve"> and its corporate blog can be found at </w:t>
      </w:r>
      <w:hyperlink r:id="rId12" w:tgtFrame="_blank" w:history="1">
        <w:r>
          <w:rPr>
            <w:rStyle w:val="Hyperlink"/>
            <w:rFonts w:ascii="Arial" w:hAnsi="Arial" w:cs="Arial"/>
            <w:b/>
            <w:bCs/>
          </w:rPr>
          <w:t>longitudes.ups.com</w:t>
        </w:r>
      </w:hyperlink>
      <w:r>
        <w:rPr>
          <w:rFonts w:ascii="Arial" w:hAnsi="Arial" w:cs="Arial"/>
          <w:color w:val="000000"/>
        </w:rPr>
        <w:t>. To get UPS news direct, follow </w:t>
      </w:r>
      <w:hyperlink r:id="rId13" w:tgtFrame="_blank" w:tooltip="@UPS_News" w:history="1">
        <w:r>
          <w:rPr>
            <w:rStyle w:val="Hyperlink"/>
            <w:rFonts w:ascii="Arial" w:hAnsi="Arial" w:cs="Arial"/>
            <w:b/>
            <w:bCs/>
          </w:rPr>
          <w:t>@</w:t>
        </w:r>
        <w:proofErr w:type="spellStart"/>
        <w:r>
          <w:rPr>
            <w:rStyle w:val="Hyperlink"/>
            <w:rFonts w:ascii="Arial" w:hAnsi="Arial" w:cs="Arial"/>
            <w:b/>
            <w:bCs/>
          </w:rPr>
          <w:t>UPS_News</w:t>
        </w:r>
        <w:proofErr w:type="spellEnd"/>
      </w:hyperlink>
      <w:r>
        <w:rPr>
          <w:rFonts w:ascii="Arial" w:hAnsi="Arial" w:cs="Arial"/>
          <w:color w:val="000000"/>
        </w:rPr>
        <w:t> on Twitter.</w:t>
      </w:r>
    </w:p>
    <w:p w:rsidR="00133257" w:rsidRDefault="00133257" w:rsidP="00133257">
      <w:pPr>
        <w:tabs>
          <w:tab w:val="left" w:pos="720"/>
        </w:tabs>
        <w:ind w:right="720"/>
        <w:rPr>
          <w:rFonts w:ascii="Arial" w:hAnsi="Arial" w:cs="Arial"/>
          <w:b/>
          <w:sz w:val="22"/>
        </w:rPr>
      </w:pPr>
    </w:p>
    <w:p w:rsidR="00133257" w:rsidRPr="00AA28BE" w:rsidRDefault="00133257" w:rsidP="00133257">
      <w:pPr>
        <w:rPr>
          <w:rFonts w:ascii="Arial" w:hAnsi="Arial" w:cs="Arial"/>
          <w:b/>
          <w:sz w:val="22"/>
          <w:szCs w:val="22"/>
          <w:u w:val="single"/>
        </w:rPr>
      </w:pPr>
      <w:r w:rsidRPr="00AA28BE">
        <w:rPr>
          <w:rFonts w:ascii="Arial" w:hAnsi="Arial" w:cs="Arial"/>
          <w:b/>
          <w:sz w:val="22"/>
          <w:szCs w:val="22"/>
          <w:u w:val="single"/>
        </w:rPr>
        <w:t>Forward-Looking Statements</w:t>
      </w:r>
    </w:p>
    <w:p w:rsidR="00133257" w:rsidRPr="000453FA" w:rsidRDefault="00133257" w:rsidP="00133257">
      <w:pPr>
        <w:autoSpaceDE w:val="0"/>
        <w:autoSpaceDN w:val="0"/>
        <w:adjustRightInd w:val="0"/>
        <w:rPr>
          <w:rFonts w:ascii="Arial" w:hAnsi="Arial" w:cs="Arial"/>
          <w:sz w:val="22"/>
          <w:szCs w:val="22"/>
        </w:rPr>
      </w:pPr>
    </w:p>
    <w:p w:rsidR="00133257" w:rsidRPr="00912A35" w:rsidRDefault="00133257" w:rsidP="00133257">
      <w:pPr>
        <w:spacing w:after="240"/>
        <w:ind w:firstLine="720"/>
        <w:rPr>
          <w:rFonts w:ascii="Arial" w:hAnsi="Arial" w:cs="Arial"/>
          <w:sz w:val="22"/>
        </w:rPr>
      </w:pPr>
      <w:r w:rsidRPr="00912A35">
        <w:rPr>
          <w:rFonts w:ascii="Arial" w:hAnsi="Arial" w:cs="Arial"/>
          <w:sz w:val="22"/>
        </w:rPr>
        <w:t xml:space="preserve">Except for historical information contained herein, the statements made in this release constitute forward-looking statements within the meaning of Section 27A of the Securities Act of 1933 and Section 21E of the Securities Exchange Act of 1934. Such forward-looking statements, including statements regarding the intent, belief or current expectations of UPS and its management regarding the company's strategic directions, prospects and future results, involve certain risks and uncertainties. </w:t>
      </w:r>
    </w:p>
    <w:p w:rsidR="00133257" w:rsidRDefault="00133257" w:rsidP="00133257">
      <w:pPr>
        <w:spacing w:after="240"/>
        <w:ind w:firstLine="720"/>
        <w:rPr>
          <w:rFonts w:ascii="Arial" w:hAnsi="Arial" w:cs="Arial"/>
          <w:b/>
          <w:sz w:val="22"/>
        </w:rPr>
      </w:pPr>
      <w:r w:rsidRPr="00912A35">
        <w:rPr>
          <w:rFonts w:ascii="Arial" w:hAnsi="Arial" w:cs="Arial"/>
          <w:sz w:val="22"/>
        </w:rPr>
        <w:t xml:space="preserve">Certain factors may cause actual results to differ materially from those contained in the forward-looking statements, including economic and other conditions in the markets in which we operate, governmental regulations (including tax laws and regulations), our competitive environment, changes in the facts or assumptions underlying our health and pension benefit funding obligations, negotiation and ratification of labor contracts, strikes, work stoppages and </w:t>
      </w:r>
      <w:r w:rsidRPr="00912A35">
        <w:rPr>
          <w:rFonts w:ascii="Arial" w:hAnsi="Arial" w:cs="Arial"/>
          <w:sz w:val="22"/>
        </w:rPr>
        <w:lastRenderedPageBreak/>
        <w:t>slowdowns, changes in aviation and motor fuel prices, cyclical and seasonal fluctuations in our operating results, and other risks discussed in the company's Form 10-K and other filings with the Securities and Exchange Commission, which discussions are incorporated herein by reference.</w:t>
      </w:r>
    </w:p>
    <w:p w:rsidR="00133257" w:rsidRPr="00AA28BE" w:rsidRDefault="00133257" w:rsidP="00133257">
      <w:pPr>
        <w:rPr>
          <w:rFonts w:ascii="Arial" w:hAnsi="Arial" w:cs="Arial"/>
          <w:b/>
          <w:sz w:val="22"/>
          <w:szCs w:val="22"/>
          <w:u w:val="single"/>
        </w:rPr>
      </w:pPr>
      <w:r w:rsidRPr="00AA28BE">
        <w:rPr>
          <w:rFonts w:ascii="Arial" w:hAnsi="Arial" w:cs="Arial"/>
          <w:b/>
          <w:sz w:val="22"/>
          <w:szCs w:val="22"/>
          <w:u w:val="single"/>
        </w:rPr>
        <w:t>Reconciliation of GAAP and non-GAAP Financial Measures</w:t>
      </w:r>
    </w:p>
    <w:p w:rsidR="00133257" w:rsidRDefault="00133257" w:rsidP="00133257">
      <w:pPr>
        <w:rPr>
          <w:rFonts w:ascii="Arial" w:hAnsi="Arial" w:cs="Arial"/>
        </w:rPr>
      </w:pPr>
    </w:p>
    <w:p w:rsidR="00133257" w:rsidRPr="00AA28BE" w:rsidRDefault="00133257" w:rsidP="00133257">
      <w:pPr>
        <w:ind w:firstLine="720"/>
        <w:rPr>
          <w:rFonts w:ascii="Arial" w:hAnsi="Arial" w:cs="Arial"/>
          <w:sz w:val="22"/>
          <w:szCs w:val="22"/>
        </w:rPr>
      </w:pPr>
      <w:r w:rsidRPr="00AA28BE">
        <w:rPr>
          <w:rFonts w:ascii="Arial" w:hAnsi="Arial" w:cs="Arial"/>
          <w:sz w:val="22"/>
          <w:szCs w:val="22"/>
        </w:rPr>
        <w:t>We supplement the reporting of our financial information determined under generally accepted accounting principles ("GAAP") with certain non-GAAP financial measures, including, as applicable, "as adjusted" operating profit, operating margin, pre-tax income, net income and earnings per share. The equivalent measures determined in accordance with GAAP are also referred to as "reported" or "unadjusted.” Additionally, we periodically disclose free cash flow, free cash flow excluding discretionary pension contributions, as well as currency-neutral revenue, revenue per piece and operating profit.</w:t>
      </w:r>
    </w:p>
    <w:p w:rsidR="00133257" w:rsidRPr="00AA28BE" w:rsidRDefault="00133257" w:rsidP="00133257">
      <w:pPr>
        <w:ind w:firstLine="720"/>
        <w:rPr>
          <w:rFonts w:ascii="Arial" w:hAnsi="Arial" w:cs="Arial"/>
          <w:sz w:val="22"/>
          <w:szCs w:val="22"/>
        </w:rPr>
      </w:pPr>
    </w:p>
    <w:p w:rsidR="00133257" w:rsidRPr="00AA28BE" w:rsidRDefault="00133257" w:rsidP="00133257">
      <w:pPr>
        <w:rPr>
          <w:rFonts w:ascii="Arial" w:hAnsi="Arial" w:cs="Arial"/>
          <w:sz w:val="22"/>
          <w:szCs w:val="22"/>
        </w:rPr>
      </w:pPr>
      <w:r w:rsidRPr="00AA28BE">
        <w:rPr>
          <w:rFonts w:ascii="Arial" w:hAnsi="Arial" w:cs="Arial"/>
          <w:sz w:val="22"/>
          <w:szCs w:val="22"/>
        </w:rPr>
        <w:tab/>
        <w:t>We consider quantitative and qualitative factors in assessing whether to adjust for the impact of items that may be significant or that could affect an understanding of our ongoing financial and business performance or trends. Examples of items for which we may make adjustments include but are not limited to: amounts related to mark-to-market gains or losses (non-cash); settlement of contingencies; gains or losses associated with mergers, acquisitions, divestitures and other structural changes; charges related to restructuring programs; asset impairments (non-cash); amounts related to changes in tax regulations or positions; pension and postretirement related items; and debt modifications.</w:t>
      </w:r>
    </w:p>
    <w:p w:rsidR="00133257" w:rsidRPr="00AA28BE" w:rsidRDefault="00133257" w:rsidP="00133257">
      <w:pPr>
        <w:rPr>
          <w:rFonts w:ascii="Arial" w:hAnsi="Arial" w:cs="Arial"/>
          <w:sz w:val="22"/>
          <w:szCs w:val="22"/>
        </w:rPr>
      </w:pPr>
    </w:p>
    <w:p w:rsidR="00133257" w:rsidRPr="00AA28BE" w:rsidRDefault="00133257" w:rsidP="00133257">
      <w:pPr>
        <w:ind w:firstLine="720"/>
        <w:rPr>
          <w:rFonts w:ascii="Arial" w:hAnsi="Arial" w:cs="Arial"/>
          <w:sz w:val="22"/>
          <w:szCs w:val="22"/>
        </w:rPr>
      </w:pPr>
      <w:r w:rsidRPr="00AA28BE">
        <w:rPr>
          <w:rFonts w:ascii="Arial" w:hAnsi="Arial" w:cs="Arial"/>
          <w:sz w:val="22"/>
          <w:szCs w:val="22"/>
        </w:rPr>
        <w:t>We believe that these non-GAAP measures provide additional meaningful information to assist users of our financial statements in understanding our financial results, cash flows and assessing our ongoing performance because they exclude items that may not be indicative of, or are unrelated to, our underlying operations and may provide a useful baseline for analyzing trends in our underlying businesses. Management uses these non-GAAP financial measures in making financial, operating and planning decisions. We also use certain of these measures for the determination of incentive compensation award results.</w:t>
      </w:r>
    </w:p>
    <w:p w:rsidR="00133257" w:rsidRPr="00AA28BE" w:rsidRDefault="00133257" w:rsidP="00133257">
      <w:pPr>
        <w:ind w:firstLine="720"/>
        <w:rPr>
          <w:rFonts w:ascii="Arial" w:hAnsi="Arial" w:cs="Arial"/>
          <w:sz w:val="22"/>
          <w:szCs w:val="22"/>
        </w:rPr>
      </w:pPr>
    </w:p>
    <w:p w:rsidR="00133257" w:rsidRPr="00AA28BE" w:rsidRDefault="00133257" w:rsidP="00133257">
      <w:pPr>
        <w:ind w:firstLine="720"/>
        <w:rPr>
          <w:rFonts w:ascii="Arial" w:hAnsi="Arial" w:cs="Arial"/>
          <w:sz w:val="22"/>
          <w:szCs w:val="22"/>
        </w:rPr>
      </w:pPr>
      <w:r w:rsidRPr="00AA28BE">
        <w:rPr>
          <w:rFonts w:ascii="Arial" w:hAnsi="Arial" w:cs="Arial"/>
          <w:sz w:val="22"/>
          <w:szCs w:val="22"/>
        </w:rPr>
        <w:t>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w:t>
      </w:r>
    </w:p>
    <w:p w:rsidR="00133257" w:rsidRPr="00AA28BE" w:rsidRDefault="00133257" w:rsidP="00133257">
      <w:pPr>
        <w:rPr>
          <w:rFonts w:ascii="Arial" w:hAnsi="Arial" w:cs="Arial"/>
          <w:sz w:val="22"/>
          <w:szCs w:val="22"/>
        </w:rPr>
      </w:pPr>
    </w:p>
    <w:p w:rsidR="00133257" w:rsidRPr="00AA28BE" w:rsidRDefault="00133257" w:rsidP="00133257">
      <w:pPr>
        <w:rPr>
          <w:rFonts w:ascii="Arial" w:hAnsi="Arial" w:cs="Arial"/>
          <w:i/>
          <w:sz w:val="22"/>
          <w:szCs w:val="22"/>
        </w:rPr>
      </w:pPr>
      <w:r w:rsidRPr="00AA28BE">
        <w:rPr>
          <w:rFonts w:ascii="Arial" w:hAnsi="Arial" w:cs="Arial"/>
          <w:i/>
          <w:sz w:val="22"/>
          <w:szCs w:val="22"/>
        </w:rPr>
        <w:t>Transformation Strategy Costs</w:t>
      </w:r>
    </w:p>
    <w:p w:rsidR="00133257" w:rsidRPr="00AA28BE" w:rsidRDefault="00133257" w:rsidP="00133257">
      <w:pPr>
        <w:rPr>
          <w:rFonts w:ascii="Arial" w:hAnsi="Arial" w:cs="Arial"/>
          <w:i/>
          <w:sz w:val="22"/>
          <w:szCs w:val="22"/>
        </w:rPr>
      </w:pPr>
    </w:p>
    <w:p w:rsidR="00133257" w:rsidRPr="00AA28BE" w:rsidRDefault="00133257" w:rsidP="00133257">
      <w:pPr>
        <w:ind w:firstLine="720"/>
        <w:rPr>
          <w:rFonts w:ascii="Arial" w:hAnsi="Arial" w:cs="Arial"/>
          <w:sz w:val="22"/>
          <w:szCs w:val="22"/>
        </w:rPr>
      </w:pPr>
      <w:r w:rsidRPr="00AA28BE">
        <w:rPr>
          <w:rFonts w:ascii="Arial" w:hAnsi="Arial" w:cs="Arial"/>
          <w:sz w:val="22"/>
          <w:szCs w:val="22"/>
        </w:rPr>
        <w:t>We supplement the presentation of our operating profit, operating margin, pre-tax income, net income and earnings per share with similar non-GAAP measures that exclude the impact of transformation strategy costs.  We believe this adjusted information provides important supplemental information that provides useful comparison of year-to-year financial performance without considering the short-term impact of transformation impacts. We evaluate the performance of our businesses on an adjusted basis.</w:t>
      </w:r>
    </w:p>
    <w:p w:rsidR="00133257" w:rsidRPr="00AA28BE" w:rsidRDefault="00133257" w:rsidP="00133257">
      <w:pPr>
        <w:ind w:firstLine="720"/>
        <w:rPr>
          <w:rFonts w:ascii="Arial" w:hAnsi="Arial" w:cs="Arial"/>
          <w:sz w:val="22"/>
          <w:szCs w:val="22"/>
        </w:rPr>
      </w:pPr>
    </w:p>
    <w:p w:rsidR="00133257" w:rsidRPr="00AA28BE" w:rsidRDefault="00133257" w:rsidP="00133257">
      <w:pPr>
        <w:rPr>
          <w:rFonts w:ascii="Arial" w:hAnsi="Arial" w:cs="Arial"/>
          <w:i/>
          <w:sz w:val="22"/>
          <w:szCs w:val="22"/>
        </w:rPr>
      </w:pPr>
      <w:r w:rsidRPr="00AA28BE">
        <w:rPr>
          <w:rFonts w:ascii="Arial" w:hAnsi="Arial" w:cs="Arial"/>
          <w:i/>
          <w:sz w:val="22"/>
          <w:szCs w:val="22"/>
        </w:rPr>
        <w:t>Currency-Neutral Revenue, Revenue per Piece and Operating Profit</w:t>
      </w:r>
    </w:p>
    <w:p w:rsidR="00133257" w:rsidRPr="00AA28BE" w:rsidRDefault="00133257" w:rsidP="00133257">
      <w:pPr>
        <w:rPr>
          <w:rFonts w:ascii="Arial" w:hAnsi="Arial" w:cs="Arial"/>
          <w:sz w:val="22"/>
          <w:szCs w:val="22"/>
        </w:rPr>
      </w:pPr>
    </w:p>
    <w:p w:rsidR="00133257" w:rsidRPr="00AA28BE" w:rsidRDefault="00133257" w:rsidP="00133257">
      <w:pPr>
        <w:ind w:firstLine="720"/>
        <w:rPr>
          <w:rFonts w:ascii="Arial" w:hAnsi="Arial" w:cs="Arial"/>
          <w:sz w:val="22"/>
          <w:szCs w:val="22"/>
        </w:rPr>
      </w:pPr>
      <w:r w:rsidRPr="00AA28BE">
        <w:rPr>
          <w:rFonts w:ascii="Arial" w:hAnsi="Arial" w:cs="Arial"/>
          <w:sz w:val="22"/>
          <w:szCs w:val="22"/>
        </w:rPr>
        <w:t xml:space="preserve">We supplement the reporting of our revenue, revenue per piece and operating profit with similar non-GAAP measures that exclude the period-over-period impact of foreign currency exchange rate changes and hedging activities. We believe currency-neutral revenue, revenue per piece and operating profit information allows users of our financial statements to understand </w:t>
      </w:r>
      <w:r w:rsidRPr="00AA28BE">
        <w:rPr>
          <w:rFonts w:ascii="Arial" w:hAnsi="Arial" w:cs="Arial"/>
          <w:sz w:val="22"/>
          <w:szCs w:val="22"/>
        </w:rPr>
        <w:lastRenderedPageBreak/>
        <w:t>growth trends in our products and results. We evaluate the performance of our International Package and Supply Chain and Freight businesses on a currency-neutral basis.</w:t>
      </w:r>
    </w:p>
    <w:p w:rsidR="00133257" w:rsidRPr="00AA28BE" w:rsidRDefault="00133257" w:rsidP="00133257">
      <w:pPr>
        <w:rPr>
          <w:rFonts w:ascii="Arial" w:hAnsi="Arial" w:cs="Arial"/>
          <w:sz w:val="22"/>
          <w:szCs w:val="22"/>
        </w:rPr>
      </w:pPr>
    </w:p>
    <w:p w:rsidR="00133257" w:rsidRPr="00AA28BE" w:rsidRDefault="00133257" w:rsidP="00133257">
      <w:pPr>
        <w:ind w:firstLine="720"/>
        <w:rPr>
          <w:rFonts w:ascii="Arial" w:hAnsi="Arial" w:cs="Arial"/>
          <w:sz w:val="22"/>
          <w:szCs w:val="22"/>
        </w:rPr>
      </w:pPr>
      <w:r w:rsidRPr="00AA28BE">
        <w:rPr>
          <w:rFonts w:ascii="Arial" w:hAnsi="Arial" w:cs="Arial"/>
          <w:sz w:val="22"/>
          <w:szCs w:val="22"/>
        </w:rPr>
        <w:t>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current period local currency revenue, revenue per piece and operating profit are then multiplied by the average foreign exchange rates used to translate the comparable results for each month in the prior year period (including the period over period impact of foreign currency revenue hedging activities). The difference between the current period reported U.S. dollar revenue, revenue per piece and operating profit and the derived current period U.S. dollar revenue, revenue per piece and operating profit is the period over period impact of currency fluctuations.</w:t>
      </w:r>
    </w:p>
    <w:p w:rsidR="00133257" w:rsidRPr="00AA28BE" w:rsidRDefault="00133257" w:rsidP="00133257">
      <w:pPr>
        <w:rPr>
          <w:rFonts w:ascii="Arial" w:hAnsi="Arial" w:cs="Arial"/>
          <w:b/>
          <w:sz w:val="22"/>
          <w:szCs w:val="22"/>
        </w:rPr>
      </w:pPr>
    </w:p>
    <w:p w:rsidR="00133257" w:rsidRPr="00AA28BE" w:rsidRDefault="00133257" w:rsidP="00133257">
      <w:pPr>
        <w:rPr>
          <w:rFonts w:ascii="Arial" w:hAnsi="Arial" w:cs="Arial"/>
          <w:i/>
          <w:sz w:val="22"/>
          <w:szCs w:val="22"/>
        </w:rPr>
      </w:pPr>
      <w:r w:rsidRPr="00AA28BE">
        <w:rPr>
          <w:rFonts w:ascii="Arial" w:hAnsi="Arial" w:cs="Arial"/>
          <w:i/>
          <w:sz w:val="22"/>
          <w:szCs w:val="22"/>
        </w:rPr>
        <w:t>Free Cash Flow</w:t>
      </w:r>
    </w:p>
    <w:p w:rsidR="00133257" w:rsidRPr="00AA28BE" w:rsidRDefault="00133257" w:rsidP="00133257">
      <w:pPr>
        <w:rPr>
          <w:rFonts w:ascii="Arial" w:hAnsi="Arial" w:cs="Arial"/>
          <w:b/>
          <w:sz w:val="22"/>
          <w:szCs w:val="22"/>
        </w:rPr>
      </w:pPr>
    </w:p>
    <w:p w:rsidR="00133257" w:rsidRPr="00AA28BE" w:rsidRDefault="00133257" w:rsidP="00133257">
      <w:pPr>
        <w:ind w:firstLine="720"/>
        <w:rPr>
          <w:rFonts w:ascii="Arial" w:hAnsi="Arial" w:cs="Arial"/>
          <w:sz w:val="22"/>
          <w:szCs w:val="22"/>
        </w:rPr>
      </w:pPr>
      <w:r w:rsidRPr="00AA28BE">
        <w:rPr>
          <w:rFonts w:ascii="Arial" w:hAnsi="Arial" w:cs="Arial"/>
          <w:sz w:val="22"/>
          <w:szCs w:val="22"/>
        </w:rPr>
        <w:t>We supplement the reporting of cash flows from operating activities with free cash flow and free cash flow excluding discretionary pension contributions, non-GAAP liquidity measures. We believe free cash flow is an important indicator of how much cash is generated by regular business operations and we use it as a measure of incremental cash available to invest in our business, meet our debt obligations and return cash to shareowners. We calculate free cash flow as cash flows from operating activities less capital expenditures, proceeds from disposals of property, plant and equipment, and plus or minus the net changes in finance receivables and other investing activities.</w:t>
      </w:r>
    </w:p>
    <w:p w:rsidR="00133257" w:rsidRDefault="00133257" w:rsidP="00133257">
      <w:pPr>
        <w:jc w:val="center"/>
        <w:rPr>
          <w:rFonts w:ascii="Arial" w:hAnsi="Arial" w:cs="Arial"/>
          <w:b/>
        </w:rPr>
      </w:pPr>
    </w:p>
    <w:p w:rsidR="00133257" w:rsidRDefault="00133257" w:rsidP="00133257">
      <w:pPr>
        <w:jc w:val="center"/>
        <w:rPr>
          <w:rFonts w:ascii="Arial" w:hAnsi="Arial" w:cs="Arial"/>
          <w:b/>
        </w:rPr>
      </w:pPr>
    </w:p>
    <w:p w:rsidR="00133257" w:rsidRDefault="00133257" w:rsidP="00133257">
      <w:pPr>
        <w:jc w:val="center"/>
        <w:rPr>
          <w:rFonts w:ascii="Arial" w:hAnsi="Arial" w:cs="Arial"/>
          <w:b/>
        </w:rPr>
      </w:pPr>
    </w:p>
    <w:p w:rsidR="00133257" w:rsidRDefault="00133257" w:rsidP="00133257">
      <w:pPr>
        <w:jc w:val="center"/>
        <w:rPr>
          <w:rFonts w:ascii="Arial" w:hAnsi="Arial" w:cs="Arial"/>
          <w:b/>
        </w:rPr>
      </w:pPr>
    </w:p>
    <w:p w:rsidR="00133257" w:rsidRDefault="00133257" w:rsidP="00133257">
      <w:pPr>
        <w:jc w:val="center"/>
        <w:rPr>
          <w:rFonts w:ascii="Arial" w:hAnsi="Arial" w:cs="Arial"/>
          <w:b/>
        </w:rPr>
      </w:pPr>
    </w:p>
    <w:p w:rsidR="00133257" w:rsidRDefault="00133257" w:rsidP="00133257">
      <w:pPr>
        <w:jc w:val="center"/>
        <w:rPr>
          <w:rFonts w:ascii="Arial" w:hAnsi="Arial" w:cs="Arial"/>
          <w:b/>
        </w:rPr>
      </w:pPr>
    </w:p>
    <w:p w:rsidR="00133257" w:rsidRDefault="00133257" w:rsidP="00133257">
      <w:pPr>
        <w:jc w:val="center"/>
        <w:rPr>
          <w:rFonts w:ascii="Arial" w:hAnsi="Arial" w:cs="Arial"/>
          <w:b/>
        </w:rPr>
      </w:pPr>
    </w:p>
    <w:p w:rsidR="00133257" w:rsidRDefault="00133257" w:rsidP="00133257">
      <w:pPr>
        <w:jc w:val="center"/>
        <w:rPr>
          <w:rFonts w:ascii="Arial" w:hAnsi="Arial" w:cs="Arial"/>
          <w:b/>
        </w:rPr>
      </w:pPr>
    </w:p>
    <w:p w:rsidR="00133257" w:rsidRDefault="00133257" w:rsidP="00133257">
      <w:pPr>
        <w:rPr>
          <w:rFonts w:ascii="Arial" w:hAnsi="Arial" w:cs="Arial"/>
          <w:b/>
        </w:rPr>
      </w:pPr>
    </w:p>
    <w:p w:rsidR="00133257" w:rsidRDefault="00133257" w:rsidP="00133257">
      <w:pPr>
        <w:rPr>
          <w:rFonts w:ascii="Arial" w:hAnsi="Arial" w:cs="Arial"/>
          <w:b/>
        </w:rPr>
      </w:pPr>
    </w:p>
    <w:p w:rsidR="00133257" w:rsidRDefault="00133257" w:rsidP="00133257">
      <w:pPr>
        <w:rPr>
          <w:rFonts w:ascii="Arial" w:hAnsi="Arial" w:cs="Arial"/>
          <w:b/>
        </w:rPr>
      </w:pPr>
    </w:p>
    <w:p w:rsidR="00133257" w:rsidRDefault="00133257" w:rsidP="00133257">
      <w:pPr>
        <w:rPr>
          <w:rFonts w:ascii="Arial" w:hAnsi="Arial" w:cs="Arial"/>
          <w:b/>
        </w:rPr>
      </w:pPr>
    </w:p>
    <w:p w:rsidR="00133257" w:rsidRDefault="00133257" w:rsidP="00133257">
      <w:pPr>
        <w:jc w:val="both"/>
        <w:rPr>
          <w:rFonts w:ascii="Arial" w:hAnsi="Arial" w:cs="Arial"/>
          <w:b/>
        </w:rPr>
      </w:pPr>
    </w:p>
    <w:p w:rsidR="00133257" w:rsidRDefault="00133257" w:rsidP="00133257">
      <w:pPr>
        <w:jc w:val="both"/>
        <w:rPr>
          <w:rFonts w:ascii="Arial" w:hAnsi="Arial" w:cs="Arial"/>
          <w:b/>
        </w:rPr>
      </w:pPr>
    </w:p>
    <w:p w:rsidR="00133257" w:rsidRDefault="00133257" w:rsidP="00133257">
      <w:pPr>
        <w:jc w:val="both"/>
        <w:rPr>
          <w:rFonts w:ascii="Arial" w:hAnsi="Arial" w:cs="Arial"/>
          <w:b/>
        </w:rPr>
      </w:pPr>
    </w:p>
    <w:p w:rsidR="00133257" w:rsidRDefault="00133257" w:rsidP="00133257">
      <w:pPr>
        <w:jc w:val="both"/>
        <w:rPr>
          <w:rFonts w:ascii="Arial" w:hAnsi="Arial" w:cs="Arial"/>
          <w:b/>
        </w:rPr>
      </w:pPr>
    </w:p>
    <w:p w:rsidR="00133257" w:rsidRDefault="00133257" w:rsidP="00133257">
      <w:pPr>
        <w:jc w:val="both"/>
        <w:rPr>
          <w:rFonts w:ascii="Arial" w:hAnsi="Arial" w:cs="Arial"/>
          <w:b/>
        </w:rPr>
      </w:pPr>
    </w:p>
    <w:p w:rsidR="00133257" w:rsidRDefault="00133257" w:rsidP="00133257">
      <w:pPr>
        <w:jc w:val="both"/>
        <w:rPr>
          <w:rFonts w:ascii="Arial" w:hAnsi="Arial" w:cs="Arial"/>
          <w:b/>
        </w:rPr>
      </w:pPr>
    </w:p>
    <w:p w:rsidR="00133257" w:rsidRDefault="00133257" w:rsidP="00133257">
      <w:pPr>
        <w:jc w:val="both"/>
        <w:rPr>
          <w:rFonts w:ascii="Arial" w:hAnsi="Arial" w:cs="Arial"/>
          <w:b/>
        </w:rPr>
      </w:pPr>
    </w:p>
    <w:p w:rsidR="00133257" w:rsidRDefault="00133257" w:rsidP="00133257">
      <w:pPr>
        <w:jc w:val="both"/>
        <w:rPr>
          <w:rFonts w:ascii="Arial" w:hAnsi="Arial" w:cs="Arial"/>
          <w:b/>
        </w:rPr>
      </w:pPr>
    </w:p>
    <w:p w:rsidR="00133257" w:rsidRDefault="00133257" w:rsidP="00133257">
      <w:pPr>
        <w:jc w:val="both"/>
        <w:rPr>
          <w:rFonts w:ascii="Arial" w:hAnsi="Arial" w:cs="Arial"/>
          <w:b/>
        </w:rPr>
      </w:pPr>
    </w:p>
    <w:p w:rsidR="00133257" w:rsidRDefault="00133257" w:rsidP="00133257">
      <w:pPr>
        <w:jc w:val="both"/>
        <w:rPr>
          <w:rFonts w:ascii="Arial" w:hAnsi="Arial" w:cs="Arial"/>
          <w:b/>
        </w:rPr>
      </w:pPr>
    </w:p>
    <w:p w:rsidR="00133257" w:rsidRDefault="00133257" w:rsidP="00133257">
      <w:pPr>
        <w:jc w:val="both"/>
        <w:rPr>
          <w:rFonts w:ascii="Arial" w:hAnsi="Arial" w:cs="Arial"/>
          <w:b/>
        </w:rPr>
      </w:pPr>
    </w:p>
    <w:p w:rsidR="00133257" w:rsidRDefault="00133257" w:rsidP="00133257">
      <w:pPr>
        <w:jc w:val="both"/>
        <w:rPr>
          <w:rFonts w:ascii="Arial" w:hAnsi="Arial" w:cs="Arial"/>
          <w:b/>
        </w:rPr>
      </w:pPr>
    </w:p>
    <w:p w:rsidR="00133257" w:rsidRDefault="00133257" w:rsidP="00133257">
      <w:pPr>
        <w:jc w:val="both"/>
        <w:rPr>
          <w:rFonts w:ascii="Arial" w:hAnsi="Arial" w:cs="Arial"/>
          <w:b/>
        </w:rPr>
      </w:pPr>
    </w:p>
    <w:p w:rsidR="00133257" w:rsidRDefault="00133257" w:rsidP="00133257">
      <w:pPr>
        <w:jc w:val="both"/>
        <w:rPr>
          <w:rFonts w:ascii="Arial" w:hAnsi="Arial" w:cs="Arial"/>
          <w:b/>
        </w:rPr>
      </w:pPr>
    </w:p>
    <w:p w:rsidR="00FD6262" w:rsidRDefault="00FD6262" w:rsidP="00133257">
      <w:pPr>
        <w:jc w:val="center"/>
        <w:rPr>
          <w:rFonts w:ascii="Arial" w:hAnsi="Arial" w:cs="Arial"/>
          <w:b/>
        </w:rPr>
      </w:pPr>
    </w:p>
    <w:p w:rsidR="00133257" w:rsidRPr="006255E5" w:rsidRDefault="00133257" w:rsidP="00133257">
      <w:pPr>
        <w:jc w:val="center"/>
        <w:rPr>
          <w:rFonts w:ascii="Arial" w:hAnsi="Arial" w:cs="Arial"/>
          <w:b/>
        </w:rPr>
      </w:pPr>
      <w:r w:rsidRPr="006255E5">
        <w:rPr>
          <w:rFonts w:ascii="Arial" w:hAnsi="Arial" w:cs="Arial"/>
          <w:b/>
        </w:rPr>
        <w:lastRenderedPageBreak/>
        <w:t>Reconciliation of GAAP and non-GAAP Income Statement Data</w:t>
      </w:r>
    </w:p>
    <w:p w:rsidR="00133257" w:rsidRPr="006255E5" w:rsidRDefault="00133257" w:rsidP="00133257">
      <w:pPr>
        <w:jc w:val="center"/>
        <w:rPr>
          <w:rFonts w:ascii="Arial" w:hAnsi="Arial" w:cs="Arial"/>
          <w:b/>
        </w:rPr>
      </w:pPr>
      <w:r w:rsidRPr="006255E5">
        <w:rPr>
          <w:rFonts w:ascii="Arial" w:hAnsi="Arial" w:cs="Arial"/>
          <w:b/>
        </w:rPr>
        <w:t>(in millions, except EPS amounts):</w:t>
      </w:r>
    </w:p>
    <w:p w:rsidR="00133257" w:rsidRDefault="00133257" w:rsidP="00133257">
      <w:pPr>
        <w:jc w:val="center"/>
      </w:pPr>
    </w:p>
    <w:p w:rsidR="00133257" w:rsidRDefault="00133257" w:rsidP="00133257">
      <w:pPr>
        <w:jc w:val="center"/>
      </w:pPr>
      <w:r>
        <w:fldChar w:fldCharType="begin"/>
      </w:r>
      <w:r>
        <w:instrText xml:space="preserve"> LINK Excel.Sheet.12 "\\\\nasp6000006a\\acct\\ACCT_External\\Q3_2018\\Earnings Release &amp; Scripts\\Copy of Q3 Press Release - NonGaap Tables v2.xlsx" "Transformation Costs!R3C1:R19C7" \a \f 4 \h  \* MERGEFORMAT </w:instrText>
      </w:r>
      <w:r>
        <w:fldChar w:fldCharType="separate"/>
      </w:r>
    </w:p>
    <w:tbl>
      <w:tblPr>
        <w:tblW w:w="9156" w:type="dxa"/>
        <w:tblLook w:val="04A0" w:firstRow="1" w:lastRow="0" w:firstColumn="1" w:lastColumn="0" w:noHBand="0" w:noVBand="1"/>
      </w:tblPr>
      <w:tblGrid>
        <w:gridCol w:w="3121"/>
        <w:gridCol w:w="272"/>
        <w:gridCol w:w="1605"/>
        <w:gridCol w:w="272"/>
        <w:gridCol w:w="2006"/>
        <w:gridCol w:w="272"/>
        <w:gridCol w:w="1608"/>
      </w:tblGrid>
      <w:tr w:rsidR="00133257" w:rsidRPr="006255E5" w:rsidTr="00133257">
        <w:trPr>
          <w:trHeight w:val="310"/>
        </w:trPr>
        <w:tc>
          <w:tcPr>
            <w:tcW w:w="9156"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133257" w:rsidRPr="006255E5" w:rsidRDefault="00133257" w:rsidP="00133257">
            <w:pPr>
              <w:jc w:val="center"/>
              <w:rPr>
                <w:rFonts w:ascii="Arial" w:hAnsi="Arial" w:cs="Arial"/>
                <w:b/>
                <w:bCs/>
                <w:sz w:val="20"/>
                <w:szCs w:val="20"/>
              </w:rPr>
            </w:pPr>
            <w:r w:rsidRPr="006255E5">
              <w:rPr>
                <w:rFonts w:ascii="Arial" w:hAnsi="Arial" w:cs="Arial"/>
                <w:b/>
                <w:bCs/>
                <w:sz w:val="20"/>
                <w:szCs w:val="20"/>
              </w:rPr>
              <w:t>Three Months Ended September 30, 2018</w:t>
            </w:r>
          </w:p>
        </w:tc>
      </w:tr>
      <w:tr w:rsidR="00133257" w:rsidRPr="006255E5" w:rsidTr="00133257">
        <w:trPr>
          <w:trHeight w:val="525"/>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nil"/>
              <w:right w:val="nil"/>
            </w:tcBorders>
            <w:shd w:val="clear" w:color="000000" w:fill="FFFFFF"/>
            <w:vAlign w:val="bottom"/>
            <w:hideMark/>
          </w:tcPr>
          <w:p w:rsidR="00133257" w:rsidRPr="006255E5" w:rsidRDefault="00133257" w:rsidP="00133257">
            <w:pPr>
              <w:jc w:val="center"/>
              <w:rPr>
                <w:rFonts w:ascii="Arial" w:hAnsi="Arial" w:cs="Arial"/>
                <w:b/>
                <w:bCs/>
                <w:sz w:val="20"/>
                <w:szCs w:val="20"/>
              </w:rPr>
            </w:pPr>
            <w:r>
              <w:rPr>
                <w:rFonts w:ascii="Arial" w:hAnsi="Arial" w:cs="Arial"/>
                <w:b/>
                <w:bCs/>
                <w:sz w:val="20"/>
                <w:szCs w:val="20"/>
              </w:rPr>
              <w:t>Transformation</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jc w:val="center"/>
              <w:rPr>
                <w:rFonts w:ascii="Arial" w:hAnsi="Arial" w:cs="Arial"/>
                <w:b/>
                <w:bCs/>
                <w:sz w:val="20"/>
                <w:szCs w:val="20"/>
              </w:rPr>
            </w:pPr>
          </w:p>
        </w:tc>
      </w:tr>
      <w:tr w:rsidR="00133257" w:rsidRPr="006255E5" w:rsidTr="00133257">
        <w:trPr>
          <w:trHeight w:val="310"/>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single" w:sz="4" w:space="0" w:color="auto"/>
              <w:right w:val="nil"/>
            </w:tcBorders>
            <w:shd w:val="clear" w:color="000000" w:fill="FFFFFF"/>
            <w:noWrap/>
            <w:vAlign w:val="bottom"/>
            <w:hideMark/>
          </w:tcPr>
          <w:p w:rsidR="00133257" w:rsidRDefault="00133257" w:rsidP="00133257">
            <w:pPr>
              <w:jc w:val="center"/>
              <w:rPr>
                <w:rFonts w:ascii="Arial" w:hAnsi="Arial" w:cs="Arial"/>
                <w:b/>
                <w:bCs/>
                <w:sz w:val="20"/>
                <w:szCs w:val="20"/>
              </w:rPr>
            </w:pPr>
            <w:r>
              <w:rPr>
                <w:rFonts w:ascii="Arial" w:hAnsi="Arial" w:cs="Arial"/>
                <w:b/>
                <w:bCs/>
                <w:sz w:val="20"/>
                <w:szCs w:val="20"/>
              </w:rPr>
              <w:t>As-Reported</w:t>
            </w:r>
          </w:p>
          <w:p w:rsidR="00133257" w:rsidRPr="006255E5" w:rsidRDefault="00133257" w:rsidP="00133257">
            <w:pPr>
              <w:jc w:val="center"/>
              <w:rPr>
                <w:rFonts w:ascii="Arial" w:hAnsi="Arial" w:cs="Arial"/>
                <w:b/>
                <w:bCs/>
                <w:sz w:val="20"/>
                <w:szCs w:val="20"/>
              </w:rPr>
            </w:pPr>
            <w:r w:rsidRPr="006255E5">
              <w:rPr>
                <w:rFonts w:ascii="Arial" w:hAnsi="Arial" w:cs="Arial"/>
                <w:b/>
                <w:bCs/>
                <w:sz w:val="20"/>
                <w:szCs w:val="20"/>
              </w:rPr>
              <w:t>(GAAP)</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single" w:sz="4" w:space="0" w:color="auto"/>
              <w:right w:val="nil"/>
            </w:tcBorders>
            <w:shd w:val="clear" w:color="000000" w:fill="FFFFFF"/>
            <w:noWrap/>
            <w:vAlign w:val="bottom"/>
            <w:hideMark/>
          </w:tcPr>
          <w:p w:rsidR="00133257" w:rsidRDefault="00133257" w:rsidP="00133257">
            <w:pPr>
              <w:jc w:val="center"/>
              <w:rPr>
                <w:rFonts w:ascii="Arial" w:hAnsi="Arial" w:cs="Arial"/>
                <w:b/>
                <w:bCs/>
                <w:color w:val="000000"/>
                <w:sz w:val="20"/>
                <w:szCs w:val="20"/>
              </w:rPr>
            </w:pPr>
            <w:r>
              <w:rPr>
                <w:rFonts w:ascii="Arial" w:hAnsi="Arial" w:cs="Arial"/>
                <w:b/>
                <w:bCs/>
                <w:color w:val="000000"/>
                <w:sz w:val="20"/>
                <w:szCs w:val="20"/>
              </w:rPr>
              <w:t xml:space="preserve">Strategy </w:t>
            </w:r>
          </w:p>
          <w:p w:rsidR="00133257" w:rsidRPr="006255E5" w:rsidRDefault="00133257" w:rsidP="00133257">
            <w:pPr>
              <w:jc w:val="center"/>
              <w:rPr>
                <w:rFonts w:ascii="Arial" w:hAnsi="Arial" w:cs="Arial"/>
                <w:b/>
                <w:bCs/>
                <w:color w:val="000000"/>
                <w:sz w:val="20"/>
                <w:szCs w:val="20"/>
              </w:rPr>
            </w:pPr>
            <w:r>
              <w:rPr>
                <w:rFonts w:ascii="Arial" w:hAnsi="Arial" w:cs="Arial"/>
                <w:b/>
                <w:bCs/>
                <w:color w:val="000000"/>
                <w:sz w:val="20"/>
                <w:szCs w:val="20"/>
              </w:rPr>
              <w:t>Costs</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single" w:sz="4" w:space="0" w:color="auto"/>
              <w:right w:val="nil"/>
            </w:tcBorders>
            <w:shd w:val="clear" w:color="000000" w:fill="FFFFFF"/>
            <w:noWrap/>
            <w:vAlign w:val="bottom"/>
            <w:hideMark/>
          </w:tcPr>
          <w:p w:rsidR="00133257" w:rsidRPr="006255E5" w:rsidRDefault="00133257" w:rsidP="00133257">
            <w:pPr>
              <w:jc w:val="center"/>
              <w:rPr>
                <w:rFonts w:ascii="Arial" w:hAnsi="Arial" w:cs="Arial"/>
                <w:b/>
                <w:bCs/>
                <w:sz w:val="20"/>
                <w:szCs w:val="20"/>
              </w:rPr>
            </w:pPr>
            <w:r>
              <w:rPr>
                <w:rFonts w:ascii="Arial" w:hAnsi="Arial" w:cs="Arial"/>
                <w:b/>
                <w:bCs/>
                <w:sz w:val="20"/>
                <w:szCs w:val="20"/>
              </w:rPr>
              <w:t xml:space="preserve">As-Adjusted </w:t>
            </w:r>
            <w:r w:rsidRPr="006255E5">
              <w:rPr>
                <w:rFonts w:ascii="Arial" w:hAnsi="Arial" w:cs="Arial"/>
                <w:b/>
                <w:bCs/>
                <w:sz w:val="20"/>
                <w:szCs w:val="20"/>
              </w:rPr>
              <w:t>(non-GAAP)</w:t>
            </w:r>
          </w:p>
        </w:tc>
      </w:tr>
      <w:tr w:rsidR="00133257" w:rsidRPr="006255E5" w:rsidTr="00133257">
        <w:trPr>
          <w:trHeight w:val="245"/>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Operating profit:</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r>
      <w:tr w:rsidR="00133257" w:rsidRPr="006255E5" w:rsidTr="00133257">
        <w:trPr>
          <w:trHeight w:val="245"/>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U.S. Domestic Package</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949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39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988 </w:t>
            </w:r>
          </w:p>
        </w:tc>
      </w:tr>
      <w:tr w:rsidR="00133257" w:rsidRPr="006255E5" w:rsidTr="00133257">
        <w:trPr>
          <w:trHeight w:val="248"/>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International Package</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536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40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576 </w:t>
            </w:r>
          </w:p>
        </w:tc>
      </w:tr>
      <w:tr w:rsidR="00133257" w:rsidRPr="006255E5" w:rsidTr="00133257">
        <w:trPr>
          <w:trHeight w:val="219"/>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Supply Chain &amp; Freight</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single" w:sz="4" w:space="0" w:color="auto"/>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242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single" w:sz="4" w:space="0" w:color="auto"/>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18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single" w:sz="4" w:space="0" w:color="auto"/>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260 </w:t>
            </w:r>
          </w:p>
        </w:tc>
      </w:tr>
      <w:tr w:rsidR="00133257" w:rsidRPr="006255E5" w:rsidTr="00133257">
        <w:trPr>
          <w:trHeight w:val="248"/>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Total operating profit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1,727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97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1,824 </w:t>
            </w:r>
          </w:p>
        </w:tc>
      </w:tr>
      <w:tr w:rsidR="00133257" w:rsidRPr="006255E5" w:rsidTr="00133257">
        <w:trPr>
          <w:trHeight w:val="146"/>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r>
      <w:tr w:rsidR="00133257" w:rsidRPr="006255E5" w:rsidTr="00133257">
        <w:trPr>
          <w:trHeight w:val="245"/>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Income before income taxes</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1,889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97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1,986 </w:t>
            </w:r>
          </w:p>
        </w:tc>
      </w:tr>
      <w:tr w:rsidR="00133257" w:rsidRPr="006255E5" w:rsidTr="00133257">
        <w:trPr>
          <w:trHeight w:val="146"/>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r>
      <w:tr w:rsidR="00133257" w:rsidRPr="006255E5" w:rsidTr="00133257">
        <w:trPr>
          <w:trHeight w:val="245"/>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color w:val="000000"/>
                <w:sz w:val="20"/>
                <w:szCs w:val="20"/>
              </w:rPr>
            </w:pPr>
            <w:r w:rsidRPr="006255E5">
              <w:rPr>
                <w:rFonts w:ascii="Arial" w:hAnsi="Arial" w:cs="Arial"/>
                <w:color w:val="000000"/>
                <w:sz w:val="20"/>
                <w:szCs w:val="20"/>
              </w:rPr>
              <w:t>Income tax expense</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381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24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405 </w:t>
            </w:r>
          </w:p>
        </w:tc>
      </w:tr>
      <w:tr w:rsidR="00133257" w:rsidRPr="006255E5" w:rsidTr="00133257">
        <w:trPr>
          <w:trHeight w:val="160"/>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r>
      <w:tr w:rsidR="00133257" w:rsidRPr="006255E5" w:rsidTr="00133257">
        <w:trPr>
          <w:trHeight w:val="252"/>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Net income</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single" w:sz="4" w:space="0" w:color="auto"/>
              <w:left w:val="nil"/>
              <w:bottom w:val="double" w:sz="6" w:space="0" w:color="auto"/>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1,508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single" w:sz="4" w:space="0" w:color="auto"/>
              <w:left w:val="nil"/>
              <w:bottom w:val="double" w:sz="6" w:space="0" w:color="auto"/>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73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single" w:sz="4" w:space="0" w:color="auto"/>
              <w:left w:val="nil"/>
              <w:bottom w:val="double" w:sz="6" w:space="0" w:color="auto"/>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1,581 </w:t>
            </w:r>
          </w:p>
        </w:tc>
      </w:tr>
      <w:tr w:rsidR="00133257" w:rsidRPr="006255E5" w:rsidTr="00133257">
        <w:trPr>
          <w:trHeight w:val="160"/>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r>
      <w:tr w:rsidR="00133257" w:rsidRPr="006255E5" w:rsidTr="00133257">
        <w:trPr>
          <w:trHeight w:val="245"/>
        </w:trPr>
        <w:tc>
          <w:tcPr>
            <w:tcW w:w="3121"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color w:val="000000"/>
                <w:sz w:val="20"/>
                <w:szCs w:val="20"/>
              </w:rPr>
            </w:pPr>
            <w:r w:rsidRPr="006255E5">
              <w:rPr>
                <w:rFonts w:ascii="Arial" w:hAnsi="Arial" w:cs="Arial"/>
                <w:color w:val="000000"/>
                <w:sz w:val="20"/>
                <w:szCs w:val="20"/>
              </w:rPr>
              <w:t>Diluted earnings per share</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1.73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0.09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5"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1.82 </w:t>
            </w:r>
          </w:p>
        </w:tc>
      </w:tr>
    </w:tbl>
    <w:p w:rsidR="00133257" w:rsidRDefault="00133257" w:rsidP="00133257">
      <w:pPr>
        <w:jc w:val="center"/>
        <w:rPr>
          <w:b/>
        </w:rPr>
      </w:pPr>
      <w:r>
        <w:rPr>
          <w:b/>
        </w:rPr>
        <w:fldChar w:fldCharType="end"/>
      </w:r>
    </w:p>
    <w:p w:rsidR="00133257" w:rsidRDefault="00133257" w:rsidP="00133257">
      <w:pPr>
        <w:jc w:val="center"/>
      </w:pPr>
      <w:r>
        <w:fldChar w:fldCharType="begin"/>
      </w:r>
      <w:r>
        <w:instrText xml:space="preserve"> LINK Excel.Sheet.12 "\\\\nasp6000006a\\acct\\ACCT_External\\Q3_2018\\Earnings Release &amp; Scripts\\Copy of Q3 Press Release - NonGaap Tables v2.xlsx" "Transformation Costs!R26C1:R42C7" \a \f 4 \h  \* MERGEFORMAT </w:instrText>
      </w:r>
      <w:r>
        <w:fldChar w:fldCharType="separate"/>
      </w:r>
    </w:p>
    <w:tbl>
      <w:tblPr>
        <w:tblpPr w:leftFromText="180" w:rightFromText="180" w:vertAnchor="text" w:tblpY="1"/>
        <w:tblOverlap w:val="never"/>
        <w:tblW w:w="9141" w:type="dxa"/>
        <w:tblLook w:val="04A0" w:firstRow="1" w:lastRow="0" w:firstColumn="1" w:lastColumn="0" w:noHBand="0" w:noVBand="1"/>
      </w:tblPr>
      <w:tblGrid>
        <w:gridCol w:w="3116"/>
        <w:gridCol w:w="272"/>
        <w:gridCol w:w="1603"/>
        <w:gridCol w:w="272"/>
        <w:gridCol w:w="2003"/>
        <w:gridCol w:w="272"/>
        <w:gridCol w:w="1603"/>
      </w:tblGrid>
      <w:tr w:rsidR="00133257" w:rsidRPr="006255E5" w:rsidTr="00133257">
        <w:trPr>
          <w:trHeight w:val="319"/>
        </w:trPr>
        <w:tc>
          <w:tcPr>
            <w:tcW w:w="9141"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133257" w:rsidRPr="006255E5" w:rsidRDefault="00133257" w:rsidP="00133257">
            <w:pPr>
              <w:jc w:val="center"/>
              <w:rPr>
                <w:rFonts w:ascii="Arial" w:hAnsi="Arial" w:cs="Arial"/>
                <w:b/>
                <w:bCs/>
                <w:sz w:val="20"/>
                <w:szCs w:val="20"/>
              </w:rPr>
            </w:pPr>
            <w:r w:rsidRPr="006255E5">
              <w:rPr>
                <w:rFonts w:ascii="Arial" w:hAnsi="Arial" w:cs="Arial"/>
                <w:b/>
                <w:bCs/>
                <w:sz w:val="20"/>
                <w:szCs w:val="20"/>
              </w:rPr>
              <w:t>Nine Months Ended September 30, 2018</w:t>
            </w:r>
          </w:p>
        </w:tc>
      </w:tr>
      <w:tr w:rsidR="00133257" w:rsidRPr="006255E5" w:rsidTr="00133257">
        <w:trPr>
          <w:trHeight w:val="997"/>
        </w:trPr>
        <w:tc>
          <w:tcPr>
            <w:tcW w:w="3116" w:type="dxa"/>
            <w:tcBorders>
              <w:top w:val="nil"/>
              <w:left w:val="nil"/>
              <w:bottom w:val="nil"/>
              <w:right w:val="nil"/>
            </w:tcBorders>
            <w:shd w:val="clear" w:color="000000" w:fill="FFFFFF"/>
            <w:noWrap/>
            <w:vAlign w:val="bottom"/>
            <w:hideMark/>
          </w:tcPr>
          <w:p w:rsidR="00133257" w:rsidRDefault="00133257" w:rsidP="00133257">
            <w:pPr>
              <w:rPr>
                <w:rFonts w:ascii="Arial" w:hAnsi="Arial" w:cs="Arial"/>
                <w:sz w:val="20"/>
                <w:szCs w:val="20"/>
              </w:rPr>
            </w:pPr>
            <w:r w:rsidRPr="006255E5">
              <w:rPr>
                <w:rFonts w:ascii="Arial" w:hAnsi="Arial" w:cs="Arial"/>
                <w:sz w:val="20"/>
                <w:szCs w:val="20"/>
              </w:rPr>
              <w:t> </w:t>
            </w:r>
          </w:p>
          <w:p w:rsidR="00133257" w:rsidRDefault="00133257" w:rsidP="00133257">
            <w:pPr>
              <w:rPr>
                <w:rFonts w:ascii="Arial" w:hAnsi="Arial" w:cs="Arial"/>
                <w:sz w:val="20"/>
                <w:szCs w:val="20"/>
              </w:rPr>
            </w:pPr>
          </w:p>
          <w:p w:rsidR="00133257" w:rsidRDefault="00133257" w:rsidP="00133257">
            <w:pPr>
              <w:rPr>
                <w:rFonts w:ascii="Arial" w:hAnsi="Arial" w:cs="Arial"/>
                <w:sz w:val="20"/>
                <w:szCs w:val="20"/>
              </w:rPr>
            </w:pPr>
          </w:p>
          <w:p w:rsidR="00133257" w:rsidRPr="006255E5" w:rsidRDefault="00133257" w:rsidP="00133257">
            <w:pPr>
              <w:rPr>
                <w:rFonts w:ascii="Arial" w:hAnsi="Arial" w:cs="Arial"/>
                <w:sz w:val="20"/>
                <w:szCs w:val="20"/>
              </w:rPr>
            </w:pP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single" w:sz="4" w:space="0" w:color="auto"/>
              <w:right w:val="nil"/>
            </w:tcBorders>
            <w:shd w:val="clear" w:color="000000" w:fill="FFFFFF"/>
            <w:noWrap/>
            <w:vAlign w:val="bottom"/>
            <w:hideMark/>
          </w:tcPr>
          <w:p w:rsidR="00133257" w:rsidRPr="006255E5" w:rsidRDefault="00133257" w:rsidP="00133257">
            <w:pPr>
              <w:jc w:val="center"/>
              <w:rPr>
                <w:rFonts w:ascii="Arial" w:hAnsi="Arial" w:cs="Arial"/>
                <w:b/>
                <w:bCs/>
                <w:sz w:val="20"/>
                <w:szCs w:val="20"/>
              </w:rPr>
            </w:pPr>
            <w:r w:rsidRPr="006255E5">
              <w:rPr>
                <w:rFonts w:ascii="Arial" w:hAnsi="Arial" w:cs="Arial"/>
                <w:b/>
                <w:bCs/>
                <w:sz w:val="20"/>
                <w:szCs w:val="20"/>
              </w:rPr>
              <w:t>As-Reported (GAAP)</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nil"/>
              <w:left w:val="nil"/>
              <w:bottom w:val="single" w:sz="4" w:space="0" w:color="auto"/>
              <w:right w:val="nil"/>
            </w:tcBorders>
            <w:shd w:val="clear" w:color="000000" w:fill="FFFFFF"/>
            <w:noWrap/>
            <w:vAlign w:val="bottom"/>
            <w:hideMark/>
          </w:tcPr>
          <w:p w:rsidR="00133257" w:rsidRPr="006255E5" w:rsidRDefault="00133257" w:rsidP="00133257">
            <w:pPr>
              <w:jc w:val="center"/>
              <w:rPr>
                <w:rFonts w:ascii="Arial" w:hAnsi="Arial" w:cs="Arial"/>
                <w:b/>
                <w:bCs/>
                <w:color w:val="000000"/>
                <w:sz w:val="20"/>
                <w:szCs w:val="20"/>
              </w:rPr>
            </w:pPr>
            <w:r>
              <w:rPr>
                <w:rFonts w:ascii="Arial" w:hAnsi="Arial" w:cs="Arial"/>
                <w:b/>
                <w:bCs/>
                <w:color w:val="000000"/>
                <w:sz w:val="20"/>
                <w:szCs w:val="20"/>
              </w:rPr>
              <w:t>Transformation Strategy              Costs</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single" w:sz="4" w:space="0" w:color="auto"/>
              <w:right w:val="nil"/>
            </w:tcBorders>
            <w:shd w:val="clear" w:color="000000" w:fill="FFFFFF"/>
            <w:noWrap/>
            <w:vAlign w:val="bottom"/>
            <w:hideMark/>
          </w:tcPr>
          <w:p w:rsidR="00133257" w:rsidRPr="006255E5" w:rsidRDefault="00133257" w:rsidP="00133257">
            <w:pPr>
              <w:jc w:val="center"/>
              <w:rPr>
                <w:rFonts w:ascii="Arial" w:hAnsi="Arial" w:cs="Arial"/>
                <w:b/>
                <w:bCs/>
                <w:sz w:val="20"/>
                <w:szCs w:val="20"/>
              </w:rPr>
            </w:pPr>
            <w:r>
              <w:rPr>
                <w:rFonts w:ascii="Arial" w:hAnsi="Arial" w:cs="Arial"/>
                <w:b/>
                <w:bCs/>
                <w:sz w:val="20"/>
                <w:szCs w:val="20"/>
              </w:rPr>
              <w:t xml:space="preserve">As-Adjusted </w:t>
            </w:r>
            <w:r w:rsidRPr="006255E5">
              <w:rPr>
                <w:rFonts w:ascii="Arial" w:hAnsi="Arial" w:cs="Arial"/>
                <w:b/>
                <w:bCs/>
                <w:sz w:val="20"/>
                <w:szCs w:val="20"/>
              </w:rPr>
              <w:t>(non-GAAP)</w:t>
            </w:r>
          </w:p>
        </w:tc>
      </w:tr>
      <w:tr w:rsidR="00133257" w:rsidRPr="006255E5" w:rsidTr="00133257">
        <w:trPr>
          <w:trHeight w:val="252"/>
        </w:trPr>
        <w:tc>
          <w:tcPr>
            <w:tcW w:w="311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Operating profit:</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r>
      <w:tr w:rsidR="00133257" w:rsidRPr="006255E5" w:rsidTr="00133257">
        <w:trPr>
          <w:trHeight w:val="252"/>
        </w:trPr>
        <w:tc>
          <w:tcPr>
            <w:tcW w:w="311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U.S. Domestic Package</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2,644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235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2,879 </w:t>
            </w:r>
          </w:p>
        </w:tc>
      </w:tr>
      <w:tr w:rsidR="00133257" w:rsidRPr="006255E5" w:rsidTr="00133257">
        <w:trPr>
          <w:trHeight w:val="255"/>
        </w:trPr>
        <w:tc>
          <w:tcPr>
            <w:tcW w:w="311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International Package</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1,748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76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1,824 </w:t>
            </w:r>
          </w:p>
        </w:tc>
      </w:tr>
      <w:tr w:rsidR="00133257" w:rsidRPr="006255E5" w:rsidTr="00133257">
        <w:trPr>
          <w:trHeight w:val="255"/>
        </w:trPr>
        <w:tc>
          <w:tcPr>
            <w:tcW w:w="311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Supply Chain &amp; Freight</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single" w:sz="4" w:space="0" w:color="auto"/>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628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nil"/>
              <w:left w:val="nil"/>
              <w:bottom w:val="single" w:sz="4" w:space="0" w:color="auto"/>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49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single" w:sz="4" w:space="0" w:color="auto"/>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677 </w:t>
            </w:r>
          </w:p>
        </w:tc>
      </w:tr>
      <w:tr w:rsidR="00133257" w:rsidRPr="006255E5" w:rsidTr="00133257">
        <w:trPr>
          <w:trHeight w:val="255"/>
        </w:trPr>
        <w:tc>
          <w:tcPr>
            <w:tcW w:w="311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Total operating profit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5,020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360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5,380 </w:t>
            </w:r>
          </w:p>
        </w:tc>
      </w:tr>
      <w:tr w:rsidR="00133257" w:rsidRPr="006255E5" w:rsidTr="00133257">
        <w:trPr>
          <w:trHeight w:val="150"/>
        </w:trPr>
        <w:tc>
          <w:tcPr>
            <w:tcW w:w="311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r>
      <w:tr w:rsidR="00133257" w:rsidRPr="006255E5" w:rsidTr="00133257">
        <w:trPr>
          <w:trHeight w:val="255"/>
        </w:trPr>
        <w:tc>
          <w:tcPr>
            <w:tcW w:w="311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Income before income taxes</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5,476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360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5,836 </w:t>
            </w:r>
          </w:p>
        </w:tc>
      </w:tr>
      <w:tr w:rsidR="00133257" w:rsidRPr="006255E5" w:rsidTr="00133257">
        <w:trPr>
          <w:trHeight w:val="150"/>
        </w:trPr>
        <w:tc>
          <w:tcPr>
            <w:tcW w:w="311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r>
      <w:tr w:rsidR="00133257" w:rsidRPr="006255E5" w:rsidTr="00133257">
        <w:trPr>
          <w:trHeight w:val="255"/>
        </w:trPr>
        <w:tc>
          <w:tcPr>
            <w:tcW w:w="311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color w:val="000000"/>
                <w:sz w:val="20"/>
                <w:szCs w:val="20"/>
              </w:rPr>
            </w:pPr>
            <w:r w:rsidRPr="006255E5">
              <w:rPr>
                <w:rFonts w:ascii="Arial" w:hAnsi="Arial" w:cs="Arial"/>
                <w:color w:val="000000"/>
                <w:sz w:val="20"/>
                <w:szCs w:val="20"/>
              </w:rPr>
              <w:t>Income tax expense</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1,138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87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1,225 </w:t>
            </w:r>
          </w:p>
        </w:tc>
      </w:tr>
      <w:tr w:rsidR="00133257" w:rsidRPr="006255E5" w:rsidTr="00133257">
        <w:trPr>
          <w:trHeight w:val="165"/>
        </w:trPr>
        <w:tc>
          <w:tcPr>
            <w:tcW w:w="311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r>
      <w:tr w:rsidR="00133257" w:rsidRPr="006255E5" w:rsidTr="00133257">
        <w:trPr>
          <w:trHeight w:val="270"/>
        </w:trPr>
        <w:tc>
          <w:tcPr>
            <w:tcW w:w="311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Net income</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single" w:sz="4" w:space="0" w:color="auto"/>
              <w:left w:val="nil"/>
              <w:bottom w:val="double" w:sz="6" w:space="0" w:color="auto"/>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4,338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single" w:sz="4" w:space="0" w:color="auto"/>
              <w:left w:val="nil"/>
              <w:bottom w:val="double" w:sz="6" w:space="0" w:color="auto"/>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273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single" w:sz="4" w:space="0" w:color="auto"/>
              <w:left w:val="nil"/>
              <w:bottom w:val="double" w:sz="6" w:space="0" w:color="auto"/>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4,611 </w:t>
            </w:r>
          </w:p>
        </w:tc>
      </w:tr>
      <w:tr w:rsidR="00133257" w:rsidRPr="006255E5" w:rsidTr="00133257">
        <w:trPr>
          <w:trHeight w:val="165"/>
        </w:trPr>
        <w:tc>
          <w:tcPr>
            <w:tcW w:w="311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r>
      <w:tr w:rsidR="00133257" w:rsidRPr="006255E5" w:rsidTr="00133257">
        <w:trPr>
          <w:trHeight w:val="255"/>
        </w:trPr>
        <w:tc>
          <w:tcPr>
            <w:tcW w:w="3116"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color w:val="000000"/>
                <w:sz w:val="20"/>
                <w:szCs w:val="20"/>
              </w:rPr>
            </w:pPr>
            <w:r w:rsidRPr="006255E5">
              <w:rPr>
                <w:rFonts w:ascii="Arial" w:hAnsi="Arial" w:cs="Arial"/>
                <w:color w:val="000000"/>
                <w:sz w:val="20"/>
                <w:szCs w:val="20"/>
              </w:rPr>
              <w:t>Diluted earnings per share</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4.99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20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0.31 </w:t>
            </w:r>
          </w:p>
        </w:tc>
        <w:tc>
          <w:tcPr>
            <w:tcW w:w="272"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w:t>
            </w:r>
          </w:p>
        </w:tc>
        <w:tc>
          <w:tcPr>
            <w:tcW w:w="1603" w:type="dxa"/>
            <w:tcBorders>
              <w:top w:val="nil"/>
              <w:left w:val="nil"/>
              <w:bottom w:val="nil"/>
              <w:right w:val="nil"/>
            </w:tcBorders>
            <w:shd w:val="clear" w:color="000000" w:fill="FFFFFF"/>
            <w:noWrap/>
            <w:vAlign w:val="bottom"/>
            <w:hideMark/>
          </w:tcPr>
          <w:p w:rsidR="00133257" w:rsidRPr="006255E5" w:rsidRDefault="00133257" w:rsidP="00133257">
            <w:pPr>
              <w:rPr>
                <w:rFonts w:ascii="Arial" w:hAnsi="Arial" w:cs="Arial"/>
                <w:sz w:val="20"/>
                <w:szCs w:val="20"/>
              </w:rPr>
            </w:pPr>
            <w:r w:rsidRPr="006255E5">
              <w:rPr>
                <w:rFonts w:ascii="Arial" w:hAnsi="Arial" w:cs="Arial"/>
                <w:sz w:val="20"/>
                <w:szCs w:val="20"/>
              </w:rPr>
              <w:t xml:space="preserve"> $             5.30 </w:t>
            </w:r>
          </w:p>
        </w:tc>
      </w:tr>
    </w:tbl>
    <w:p w:rsidR="00133257" w:rsidRDefault="00133257" w:rsidP="00133257">
      <w:pPr>
        <w:jc w:val="center"/>
      </w:pPr>
      <w:r>
        <w:rPr>
          <w:b/>
        </w:rPr>
        <w:fldChar w:fldCharType="end"/>
      </w:r>
      <w:r>
        <w:fldChar w:fldCharType="begin"/>
      </w:r>
      <w:r>
        <w:instrText xml:space="preserve"> LINK Excel.Sheet.12 "\\\\nasp6000006a\\acct\\ACCT_External\\Q3_2018\\Earnings Release &amp; Scripts\\Copy of Q3 Press Release - NonGaap Tables v2.xlsx" "Transformation Costs!R3C1:R19C7" \a \f 4 \h </w:instrText>
      </w:r>
      <w:r>
        <w:fldChar w:fldCharType="separate"/>
      </w:r>
    </w:p>
    <w:p w:rsidR="00133257" w:rsidRDefault="00133257" w:rsidP="00133257">
      <w:pPr>
        <w:jc w:val="center"/>
        <w:rPr>
          <w:b/>
        </w:rPr>
      </w:pPr>
      <w:r>
        <w:rPr>
          <w:b/>
        </w:rPr>
        <w:fldChar w:fldCharType="end"/>
      </w:r>
    </w:p>
    <w:p w:rsidR="00133257" w:rsidRPr="00AA28BE" w:rsidRDefault="00133257" w:rsidP="00133257">
      <w:pPr>
        <w:jc w:val="center"/>
        <w:rPr>
          <w:sz w:val="22"/>
        </w:rPr>
      </w:pPr>
      <w:r w:rsidRPr="00AA28BE">
        <w:rPr>
          <w:sz w:val="22"/>
        </w:rPr>
        <w:fldChar w:fldCharType="begin"/>
      </w:r>
      <w:r w:rsidRPr="00AA28BE">
        <w:rPr>
          <w:sz w:val="22"/>
        </w:rPr>
        <w:instrText xml:space="preserve"> LINK Excel.Sheet.12 "\\\\nasp6000006a\\acct\\ACCT_External\\Q3_2018\\Earnings Release &amp; Scripts\\Copy of Q3 Press Release - NonGaap Tables v2.xlsx" "Transformation Costs!R26C1:R42C7" \a \f 4 \h </w:instrText>
      </w:r>
      <w:r>
        <w:rPr>
          <w:sz w:val="22"/>
        </w:rPr>
        <w:instrText xml:space="preserve"> \* MERGEFORMAT </w:instrText>
      </w:r>
      <w:r w:rsidRPr="00AA28BE">
        <w:rPr>
          <w:sz w:val="22"/>
        </w:rPr>
        <w:fldChar w:fldCharType="separate"/>
      </w:r>
    </w:p>
    <w:p w:rsidR="00133257" w:rsidRPr="00AA28BE" w:rsidRDefault="00133257" w:rsidP="00133257">
      <w:pPr>
        <w:jc w:val="center"/>
        <w:rPr>
          <w:i/>
          <w:sz w:val="22"/>
        </w:rPr>
      </w:pPr>
      <w:r w:rsidRPr="00AA28BE">
        <w:rPr>
          <w:b/>
          <w:sz w:val="22"/>
        </w:rPr>
        <w:fldChar w:fldCharType="end"/>
      </w:r>
    </w:p>
    <w:p w:rsidR="00133257" w:rsidRPr="00AA28BE" w:rsidRDefault="00133257" w:rsidP="00133257">
      <w:pPr>
        <w:rPr>
          <w:rFonts w:ascii="Arial" w:hAnsi="Arial" w:cs="Arial"/>
          <w:i/>
          <w:sz w:val="22"/>
        </w:rPr>
      </w:pPr>
      <w:r w:rsidRPr="00AA28BE">
        <w:rPr>
          <w:rFonts w:ascii="Arial" w:hAnsi="Arial" w:cs="Arial"/>
          <w:i/>
          <w:sz w:val="22"/>
        </w:rPr>
        <w:t>Note: Certain amounts may not compute due to rounding.</w:t>
      </w:r>
    </w:p>
    <w:p w:rsidR="00133257" w:rsidRDefault="00133257" w:rsidP="00133257">
      <w:pPr>
        <w:rPr>
          <w:rFonts w:ascii="Arial" w:hAnsi="Arial" w:cs="Arial"/>
          <w:b/>
        </w:rPr>
      </w:pPr>
    </w:p>
    <w:p w:rsidR="00133257" w:rsidRDefault="00133257" w:rsidP="00133257">
      <w:pPr>
        <w:rPr>
          <w:rFonts w:ascii="Arial" w:hAnsi="Arial" w:cs="Arial"/>
          <w:b/>
        </w:rPr>
      </w:pPr>
    </w:p>
    <w:p w:rsidR="00133257" w:rsidRDefault="00133257" w:rsidP="00133257">
      <w:pPr>
        <w:rPr>
          <w:rFonts w:ascii="Arial" w:hAnsi="Arial" w:cs="Arial"/>
          <w:b/>
        </w:rPr>
      </w:pPr>
    </w:p>
    <w:p w:rsidR="00133257" w:rsidRDefault="00133257" w:rsidP="00133257">
      <w:pPr>
        <w:rPr>
          <w:rFonts w:ascii="Arial" w:hAnsi="Arial" w:cs="Arial"/>
          <w:b/>
        </w:rPr>
      </w:pPr>
    </w:p>
    <w:p w:rsidR="00133257" w:rsidRDefault="00133257" w:rsidP="00133257">
      <w:pPr>
        <w:rPr>
          <w:rFonts w:ascii="Arial" w:hAnsi="Arial" w:cs="Arial"/>
          <w:b/>
        </w:rPr>
      </w:pPr>
    </w:p>
    <w:p w:rsidR="00133257" w:rsidRDefault="00133257" w:rsidP="00133257">
      <w:pPr>
        <w:jc w:val="center"/>
        <w:rPr>
          <w:rFonts w:ascii="Arial" w:hAnsi="Arial" w:cs="Arial"/>
          <w:b/>
        </w:rPr>
      </w:pPr>
      <w:r w:rsidRPr="006255E5">
        <w:rPr>
          <w:rFonts w:ascii="Arial" w:hAnsi="Arial" w:cs="Arial"/>
          <w:b/>
        </w:rPr>
        <w:lastRenderedPageBreak/>
        <w:t xml:space="preserve">Reconciliation of GAAP and non-GAAP Revenue, Revenue Per Piece and </w:t>
      </w:r>
    </w:p>
    <w:p w:rsidR="00133257" w:rsidRPr="006255E5" w:rsidRDefault="00133257" w:rsidP="00133257">
      <w:pPr>
        <w:jc w:val="center"/>
        <w:rPr>
          <w:rFonts w:ascii="Arial" w:hAnsi="Arial" w:cs="Arial"/>
          <w:b/>
        </w:rPr>
      </w:pPr>
      <w:r w:rsidRPr="006255E5">
        <w:rPr>
          <w:rFonts w:ascii="Arial" w:hAnsi="Arial" w:cs="Arial"/>
          <w:b/>
        </w:rPr>
        <w:t>As-Adjusted Currency Neutral Operating Profit</w:t>
      </w:r>
    </w:p>
    <w:p w:rsidR="00133257" w:rsidRDefault="00133257" w:rsidP="00133257">
      <w:pPr>
        <w:jc w:val="center"/>
        <w:rPr>
          <w:rFonts w:ascii="Arial" w:hAnsi="Arial" w:cs="Arial"/>
          <w:b/>
        </w:rPr>
      </w:pPr>
      <w:r w:rsidRPr="006255E5">
        <w:rPr>
          <w:rFonts w:ascii="Arial" w:hAnsi="Arial" w:cs="Arial"/>
          <w:b/>
        </w:rPr>
        <w:t xml:space="preserve">(in millions, except </w:t>
      </w:r>
      <w:r>
        <w:rPr>
          <w:rFonts w:ascii="Arial" w:hAnsi="Arial" w:cs="Arial"/>
          <w:b/>
        </w:rPr>
        <w:t>p</w:t>
      </w:r>
      <w:r w:rsidRPr="006255E5">
        <w:rPr>
          <w:rFonts w:ascii="Arial" w:hAnsi="Arial" w:cs="Arial"/>
          <w:b/>
        </w:rPr>
        <w:t xml:space="preserve">er </w:t>
      </w:r>
      <w:r>
        <w:rPr>
          <w:rFonts w:ascii="Arial" w:hAnsi="Arial" w:cs="Arial"/>
          <w:b/>
        </w:rPr>
        <w:t>p</w:t>
      </w:r>
      <w:r w:rsidRPr="006255E5">
        <w:rPr>
          <w:rFonts w:ascii="Arial" w:hAnsi="Arial" w:cs="Arial"/>
          <w:b/>
        </w:rPr>
        <w:t>iece amounts):</w:t>
      </w:r>
    </w:p>
    <w:p w:rsidR="00133257" w:rsidRDefault="00133257" w:rsidP="00133257">
      <w:pPr>
        <w:jc w:val="center"/>
        <w:rPr>
          <w:rFonts w:ascii="Arial" w:hAnsi="Arial" w:cs="Arial"/>
          <w:b/>
        </w:rPr>
      </w:pPr>
    </w:p>
    <w:p w:rsidR="00133257" w:rsidRDefault="00133257" w:rsidP="00133257">
      <w:pPr>
        <w:jc w:val="center"/>
        <w:rPr>
          <w:rFonts w:ascii="Arial" w:hAnsi="Arial" w:cs="Arial"/>
          <w:b/>
        </w:rPr>
      </w:pPr>
    </w:p>
    <w:tbl>
      <w:tblPr>
        <w:tblW w:w="11711" w:type="dxa"/>
        <w:tblInd w:w="-1180" w:type="dxa"/>
        <w:tblLook w:val="04A0" w:firstRow="1" w:lastRow="0" w:firstColumn="1" w:lastColumn="0" w:noHBand="0" w:noVBand="1"/>
      </w:tblPr>
      <w:tblGrid>
        <w:gridCol w:w="2775"/>
        <w:gridCol w:w="1262"/>
        <w:gridCol w:w="272"/>
        <w:gridCol w:w="1262"/>
        <w:gridCol w:w="272"/>
        <w:gridCol w:w="1050"/>
        <w:gridCol w:w="177"/>
        <w:gridCol w:w="272"/>
        <w:gridCol w:w="1095"/>
        <w:gridCol w:w="272"/>
        <w:gridCol w:w="1239"/>
        <w:gridCol w:w="272"/>
        <w:gridCol w:w="1214"/>
        <w:gridCol w:w="277"/>
      </w:tblGrid>
      <w:tr w:rsidR="00133257" w:rsidRPr="00194E20" w:rsidTr="00133257">
        <w:trPr>
          <w:trHeight w:val="270"/>
        </w:trPr>
        <w:tc>
          <w:tcPr>
            <w:tcW w:w="11434" w:type="dxa"/>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Three Months Ended September 30</w:t>
            </w:r>
          </w:p>
        </w:tc>
        <w:tc>
          <w:tcPr>
            <w:tcW w:w="277"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59"/>
        </w:trPr>
        <w:tc>
          <w:tcPr>
            <w:tcW w:w="2775"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tcPr>
          <w:p w:rsidR="00133257" w:rsidRPr="00194E20" w:rsidRDefault="00133257" w:rsidP="00133257">
            <w:pPr>
              <w:jc w:val="center"/>
              <w:rPr>
                <w:rFonts w:ascii="Arial" w:hAnsi="Arial" w:cs="Arial"/>
                <w:sz w:val="20"/>
                <w:szCs w:val="20"/>
              </w:rPr>
            </w:pPr>
          </w:p>
        </w:tc>
        <w:tc>
          <w:tcPr>
            <w:tcW w:w="272" w:type="dxa"/>
            <w:tcBorders>
              <w:top w:val="nil"/>
              <w:left w:val="nil"/>
              <w:bottom w:val="nil"/>
              <w:right w:val="nil"/>
            </w:tcBorders>
            <w:shd w:val="clear" w:color="000000" w:fill="FFFFFF"/>
            <w:noWrap/>
            <w:vAlign w:val="bottom"/>
          </w:tcPr>
          <w:p w:rsidR="00133257" w:rsidRPr="00194E20" w:rsidRDefault="00133257" w:rsidP="00133257">
            <w:pPr>
              <w:jc w:val="center"/>
              <w:rPr>
                <w:rFonts w:ascii="Arial" w:hAnsi="Arial" w:cs="Arial"/>
                <w:sz w:val="20"/>
                <w:szCs w:val="20"/>
              </w:rPr>
            </w:pP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r>
      <w:tr w:rsidR="00133257" w:rsidRPr="00194E20" w:rsidTr="00133257">
        <w:trPr>
          <w:trHeight w:val="255"/>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tcPr>
          <w:p w:rsidR="00133257" w:rsidRPr="00194E20"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tcPr>
          <w:p w:rsidR="00133257" w:rsidRPr="00194E20" w:rsidRDefault="00133257" w:rsidP="00133257">
            <w:pPr>
              <w:jc w:val="center"/>
              <w:rPr>
                <w:rFonts w:ascii="Arial" w:hAnsi="Arial" w:cs="Arial"/>
                <w:b/>
                <w:bCs/>
                <w:sz w:val="20"/>
                <w:szCs w:val="20"/>
              </w:rPr>
            </w:pP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vAlign w:val="bottom"/>
            <w:hideMark/>
          </w:tcPr>
          <w:p w:rsidR="00133257" w:rsidRPr="00194E20" w:rsidRDefault="00133257" w:rsidP="00133257">
            <w:pPr>
              <w:jc w:val="center"/>
              <w:rPr>
                <w:rFonts w:ascii="Arial" w:hAnsi="Arial" w:cs="Arial"/>
                <w:b/>
                <w:bCs/>
                <w:sz w:val="20"/>
                <w:szCs w:val="20"/>
              </w:rPr>
            </w:pPr>
            <w:r>
              <w:rPr>
                <w:rFonts w:ascii="Arial" w:hAnsi="Arial" w:cs="Arial"/>
                <w:b/>
                <w:bCs/>
                <w:sz w:val="20"/>
                <w:szCs w:val="20"/>
              </w:rPr>
              <w:t>2018</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r>
      <w:tr w:rsidR="00133257" w:rsidRPr="00194E20" w:rsidTr="00133257">
        <w:trPr>
          <w:trHeight w:val="259"/>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Pr>
                <w:rFonts w:ascii="Arial" w:hAnsi="Arial" w:cs="Arial"/>
                <w:b/>
                <w:bCs/>
                <w:sz w:val="20"/>
                <w:szCs w:val="20"/>
              </w:rPr>
              <w:t>2018 As-</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Pr>
                <w:rFonts w:ascii="Arial" w:hAnsi="Arial" w:cs="Arial"/>
                <w:b/>
                <w:bCs/>
                <w:sz w:val="20"/>
                <w:szCs w:val="20"/>
              </w:rPr>
              <w:t>2017 As-</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27" w:type="dxa"/>
            <w:gridSpan w:val="2"/>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p>
        </w:tc>
        <w:tc>
          <w:tcPr>
            <w:tcW w:w="1239" w:type="dxa"/>
            <w:tcBorders>
              <w:top w:val="nil"/>
              <w:left w:val="nil"/>
              <w:bottom w:val="nil"/>
              <w:right w:val="nil"/>
            </w:tcBorders>
            <w:shd w:val="clear" w:color="000000" w:fill="FFFFFF"/>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Currency Neutral</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Change</w:t>
            </w:r>
          </w:p>
        </w:tc>
        <w:tc>
          <w:tcPr>
            <w:tcW w:w="272" w:type="dxa"/>
            <w:tcBorders>
              <w:top w:val="nil"/>
              <w:left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r>
      <w:tr w:rsidR="00133257" w:rsidRPr="00194E20" w:rsidTr="00133257">
        <w:trPr>
          <w:trHeight w:val="259"/>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1262"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Pr>
                <w:rFonts w:ascii="Arial" w:hAnsi="Arial" w:cs="Arial"/>
                <w:b/>
                <w:bCs/>
                <w:sz w:val="20"/>
                <w:szCs w:val="20"/>
              </w:rPr>
              <w:t>Reported</w:t>
            </w:r>
            <w:r w:rsidRPr="00194E20">
              <w:rPr>
                <w:rFonts w:ascii="Arial" w:hAnsi="Arial" w:cs="Arial"/>
                <w:b/>
                <w:bCs/>
                <w:sz w:val="20"/>
                <w:szCs w:val="20"/>
              </w:rPr>
              <w:t xml:space="preserve"> (GAAP)</w:t>
            </w:r>
          </w:p>
        </w:tc>
        <w:tc>
          <w:tcPr>
            <w:tcW w:w="272"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62"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Pr>
                <w:rFonts w:ascii="Arial" w:hAnsi="Arial" w:cs="Arial"/>
                <w:b/>
                <w:bCs/>
                <w:sz w:val="20"/>
                <w:szCs w:val="20"/>
              </w:rPr>
              <w:t>Reported</w:t>
            </w:r>
            <w:r w:rsidRPr="00194E20">
              <w:rPr>
                <w:rFonts w:ascii="Arial" w:hAnsi="Arial" w:cs="Arial"/>
                <w:b/>
                <w:bCs/>
                <w:sz w:val="20"/>
                <w:szCs w:val="20"/>
              </w:rPr>
              <w:t xml:space="preserve"> (GAAP)</w:t>
            </w:r>
          </w:p>
        </w:tc>
        <w:tc>
          <w:tcPr>
            <w:tcW w:w="272"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27" w:type="dxa"/>
            <w:gridSpan w:val="2"/>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Pr>
                <w:rFonts w:ascii="Arial" w:hAnsi="Arial" w:cs="Arial"/>
                <w:b/>
                <w:bCs/>
                <w:sz w:val="20"/>
                <w:szCs w:val="20"/>
              </w:rPr>
              <w:t xml:space="preserve">% Change </w:t>
            </w:r>
            <w:r w:rsidRPr="00194E20">
              <w:rPr>
                <w:rFonts w:ascii="Arial" w:hAnsi="Arial" w:cs="Arial"/>
                <w:b/>
                <w:bCs/>
                <w:sz w:val="20"/>
                <w:szCs w:val="20"/>
              </w:rPr>
              <w:t>(GAAP)</w:t>
            </w:r>
          </w:p>
        </w:tc>
        <w:tc>
          <w:tcPr>
            <w:tcW w:w="272"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095"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Pr>
                <w:rFonts w:ascii="Arial" w:hAnsi="Arial" w:cs="Arial"/>
                <w:b/>
                <w:bCs/>
                <w:sz w:val="20"/>
                <w:szCs w:val="20"/>
              </w:rPr>
              <w:t xml:space="preserve">Currency </w:t>
            </w:r>
            <w:r w:rsidRPr="00194E20">
              <w:rPr>
                <w:rFonts w:ascii="Arial" w:hAnsi="Arial" w:cs="Arial"/>
                <w:b/>
                <w:bCs/>
                <w:sz w:val="20"/>
                <w:szCs w:val="20"/>
              </w:rPr>
              <w:t>Impact</w:t>
            </w:r>
          </w:p>
        </w:tc>
        <w:tc>
          <w:tcPr>
            <w:tcW w:w="272"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39"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(non-GAAP)</w:t>
            </w:r>
          </w:p>
        </w:tc>
        <w:tc>
          <w:tcPr>
            <w:tcW w:w="272"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06"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Pr>
                <w:rFonts w:ascii="Arial" w:hAnsi="Arial" w:cs="Arial"/>
                <w:b/>
                <w:bCs/>
                <w:sz w:val="20"/>
                <w:szCs w:val="20"/>
              </w:rPr>
              <w:t xml:space="preserve">(non </w:t>
            </w:r>
            <w:r w:rsidRPr="00194E20">
              <w:rPr>
                <w:rFonts w:ascii="Arial" w:hAnsi="Arial" w:cs="Arial"/>
                <w:b/>
                <w:bCs/>
                <w:sz w:val="20"/>
                <w:szCs w:val="20"/>
              </w:rPr>
              <w:t>GAAP)</w:t>
            </w:r>
          </w:p>
        </w:tc>
        <w:tc>
          <w:tcPr>
            <w:tcW w:w="272" w:type="dxa"/>
            <w:tcBorders>
              <w:top w:val="nil"/>
              <w:left w:val="nil"/>
              <w:right w:val="nil"/>
            </w:tcBorders>
            <w:shd w:val="clear" w:color="000000" w:fill="FFFFFF"/>
            <w:noWrap/>
            <w:vAlign w:val="bottom"/>
            <w:hideMark/>
          </w:tcPr>
          <w:p w:rsidR="00133257" w:rsidRPr="004727BB" w:rsidRDefault="00133257" w:rsidP="00133257">
            <w:pPr>
              <w:jc w:val="center"/>
              <w:rPr>
                <w:rFonts w:ascii="Arial" w:hAnsi="Arial" w:cs="Arial"/>
                <w:sz w:val="20"/>
                <w:szCs w:val="20"/>
              </w:rPr>
            </w:pPr>
            <w:r w:rsidRPr="004727BB">
              <w:rPr>
                <w:rFonts w:ascii="Arial" w:hAnsi="Arial" w:cs="Arial"/>
                <w:sz w:val="20"/>
                <w:szCs w:val="20"/>
              </w:rPr>
              <w:t> </w:t>
            </w:r>
          </w:p>
        </w:tc>
      </w:tr>
      <w:tr w:rsidR="00133257" w:rsidRPr="00194E20" w:rsidTr="00133257">
        <w:trPr>
          <w:trHeight w:val="259"/>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Average Revenue Per Piece:</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b/>
                <w:bCs/>
                <w:sz w:val="20"/>
                <w:szCs w:val="20"/>
              </w:rPr>
            </w:pPr>
            <w:r w:rsidRPr="00194E20">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272" w:type="dxa"/>
            <w:tcBorders>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r>
      <w:tr w:rsidR="00133257" w:rsidRPr="00194E20" w:rsidTr="00133257">
        <w:trPr>
          <w:trHeight w:val="259"/>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International Package:</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r>
      <w:tr w:rsidR="00133257" w:rsidRPr="00194E20" w:rsidTr="00133257">
        <w:trPr>
          <w:trHeight w:val="270"/>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Domestic</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6.47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6.26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3.4%</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xml:space="preserve"> $    0.15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Pr>
                <w:rFonts w:ascii="Arial" w:hAnsi="Arial" w:cs="Arial"/>
                <w:sz w:val="20"/>
                <w:szCs w:val="20"/>
              </w:rPr>
              <w:t xml:space="preserve"> $        </w:t>
            </w:r>
            <w:r w:rsidRPr="00194E20">
              <w:rPr>
                <w:rFonts w:ascii="Arial" w:hAnsi="Arial" w:cs="Arial"/>
                <w:sz w:val="20"/>
                <w:szCs w:val="20"/>
              </w:rPr>
              <w:t xml:space="preserve">6.62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5.8%</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70"/>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Export</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29.32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29.09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0.8%</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xml:space="preserve">       0.55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Pr>
                <w:rFonts w:ascii="Arial" w:hAnsi="Arial" w:cs="Arial"/>
                <w:sz w:val="20"/>
                <w:szCs w:val="20"/>
              </w:rPr>
              <w:t xml:space="preserve">         </w:t>
            </w:r>
            <w:r w:rsidRPr="00194E20">
              <w:rPr>
                <w:rFonts w:ascii="Arial" w:hAnsi="Arial" w:cs="Arial"/>
                <w:sz w:val="20"/>
                <w:szCs w:val="20"/>
              </w:rPr>
              <w:t xml:space="preserve">29.87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2.7%</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r>
      <w:tr w:rsidR="00133257" w:rsidRPr="00194E20" w:rsidTr="00133257">
        <w:trPr>
          <w:trHeight w:val="270"/>
        </w:trPr>
        <w:tc>
          <w:tcPr>
            <w:tcW w:w="2775" w:type="dxa"/>
            <w:tcBorders>
              <w:top w:val="nil"/>
              <w:left w:val="nil"/>
              <w:bottom w:val="nil"/>
              <w:right w:val="nil"/>
            </w:tcBorders>
            <w:shd w:val="clear" w:color="000000" w:fill="FFFFFF"/>
            <w:noWrap/>
            <w:vAlign w:val="bottom"/>
            <w:hideMark/>
          </w:tcPr>
          <w:p w:rsidR="00133257" w:rsidRPr="00194E20" w:rsidRDefault="00133257" w:rsidP="00A96D0B">
            <w:pPr>
              <w:rPr>
                <w:rFonts w:ascii="Arial" w:hAnsi="Arial" w:cs="Arial"/>
                <w:sz w:val="20"/>
                <w:szCs w:val="20"/>
              </w:rPr>
            </w:pPr>
            <w:r w:rsidRPr="00194E20">
              <w:rPr>
                <w:rFonts w:ascii="Arial" w:hAnsi="Arial" w:cs="Arial"/>
                <w:sz w:val="20"/>
                <w:szCs w:val="20"/>
              </w:rPr>
              <w:t xml:space="preserve">  </w:t>
            </w:r>
            <w:r w:rsidR="00A96D0B">
              <w:rPr>
                <w:rFonts w:ascii="Arial" w:hAnsi="Arial" w:cs="Arial"/>
                <w:sz w:val="20"/>
                <w:szCs w:val="20"/>
              </w:rPr>
              <w:t xml:space="preserve">Total International </w:t>
            </w:r>
            <w:r w:rsidRPr="00194E20">
              <w:rPr>
                <w:rFonts w:ascii="Arial" w:hAnsi="Arial" w:cs="Arial"/>
                <w:sz w:val="20"/>
                <w:szCs w:val="20"/>
              </w:rPr>
              <w:t>Package</w:t>
            </w:r>
          </w:p>
        </w:tc>
        <w:tc>
          <w:tcPr>
            <w:tcW w:w="126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17.06 </w:t>
            </w:r>
          </w:p>
        </w:tc>
        <w:tc>
          <w:tcPr>
            <w:tcW w:w="27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16.56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3.0%</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0.34 </w:t>
            </w:r>
          </w:p>
        </w:tc>
        <w:tc>
          <w:tcPr>
            <w:tcW w:w="27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double" w:sz="6" w:space="0" w:color="auto"/>
              <w:right w:val="nil"/>
            </w:tcBorders>
            <w:shd w:val="clear" w:color="000000" w:fill="FFFFFF"/>
            <w:noWrap/>
            <w:vAlign w:val="bottom"/>
            <w:hideMark/>
          </w:tcPr>
          <w:p w:rsidR="00133257" w:rsidRPr="00194E20" w:rsidRDefault="00133257" w:rsidP="00133257">
            <w:pPr>
              <w:ind w:right="72"/>
              <w:rPr>
                <w:rFonts w:ascii="Arial" w:hAnsi="Arial" w:cs="Arial"/>
                <w:sz w:val="20"/>
                <w:szCs w:val="20"/>
              </w:rPr>
            </w:pPr>
            <w:r>
              <w:rPr>
                <w:rFonts w:ascii="Arial" w:hAnsi="Arial" w:cs="Arial"/>
                <w:sz w:val="20"/>
                <w:szCs w:val="20"/>
              </w:rPr>
              <w:t xml:space="preserve"> $     </w:t>
            </w:r>
            <w:r w:rsidRPr="00194E20">
              <w:rPr>
                <w:rFonts w:ascii="Arial" w:hAnsi="Arial" w:cs="Arial"/>
                <w:sz w:val="20"/>
                <w:szCs w:val="20"/>
              </w:rPr>
              <w:t xml:space="preserve">17.40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5.1%</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150"/>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52"/>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color w:val="000000"/>
                <w:sz w:val="20"/>
                <w:szCs w:val="20"/>
              </w:rPr>
            </w:pPr>
            <w:r w:rsidRPr="00194E20">
              <w:rPr>
                <w:rFonts w:ascii="Arial" w:hAnsi="Arial" w:cs="Arial"/>
                <w:color w:val="000000"/>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color w:val="000000"/>
                <w:sz w:val="20"/>
                <w:szCs w:val="20"/>
              </w:rPr>
            </w:pPr>
            <w:r w:rsidRPr="00194E20">
              <w:rPr>
                <w:rFonts w:ascii="Arial" w:hAnsi="Arial" w:cs="Arial"/>
                <w:color w:val="000000"/>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color w:val="000000"/>
                <w:sz w:val="20"/>
                <w:szCs w:val="20"/>
              </w:rPr>
            </w:pPr>
            <w:r w:rsidRPr="00194E20">
              <w:rPr>
                <w:rFonts w:ascii="Arial" w:hAnsi="Arial" w:cs="Arial"/>
                <w:color w:val="000000"/>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color w:val="000000"/>
                <w:sz w:val="20"/>
                <w:szCs w:val="20"/>
              </w:rPr>
            </w:pPr>
            <w:r w:rsidRPr="00194E20">
              <w:rPr>
                <w:rFonts w:ascii="Arial" w:hAnsi="Arial" w:cs="Arial"/>
                <w:color w:val="000000"/>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color w:val="000000"/>
                <w:sz w:val="20"/>
                <w:szCs w:val="20"/>
              </w:rPr>
            </w:pPr>
            <w:r w:rsidRPr="00194E20">
              <w:rPr>
                <w:rFonts w:ascii="Arial" w:hAnsi="Arial" w:cs="Arial"/>
                <w:color w:val="000000"/>
                <w:sz w:val="20"/>
                <w:szCs w:val="20"/>
              </w:rPr>
              <w:t> </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color w:val="000000"/>
                <w:sz w:val="20"/>
                <w:szCs w:val="20"/>
              </w:rPr>
            </w:pPr>
            <w:r w:rsidRPr="00194E20">
              <w:rPr>
                <w:rFonts w:ascii="Arial" w:hAnsi="Arial" w:cs="Arial"/>
                <w:color w:val="000000"/>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59"/>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Consolidated</w:t>
            </w:r>
          </w:p>
        </w:tc>
        <w:tc>
          <w:tcPr>
            <w:tcW w:w="126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11.20 </w:t>
            </w:r>
          </w:p>
        </w:tc>
        <w:tc>
          <w:tcPr>
            <w:tcW w:w="27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10.77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4.0%</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0.06 </w:t>
            </w:r>
          </w:p>
        </w:tc>
        <w:tc>
          <w:tcPr>
            <w:tcW w:w="27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Pr>
                <w:rFonts w:ascii="Arial" w:hAnsi="Arial" w:cs="Arial"/>
                <w:sz w:val="20"/>
                <w:szCs w:val="20"/>
              </w:rPr>
              <w:t xml:space="preserve"> $      </w:t>
            </w:r>
            <w:r w:rsidRPr="00194E20">
              <w:rPr>
                <w:rFonts w:ascii="Arial" w:hAnsi="Arial" w:cs="Arial"/>
                <w:sz w:val="20"/>
                <w:szCs w:val="20"/>
              </w:rPr>
              <w:t xml:space="preserve">11.26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4.5%</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150"/>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59"/>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Revenue:</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70"/>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U.S. Domestic Package</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$ 10,437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9,651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8.1%</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Pr>
                <w:rFonts w:ascii="Arial" w:hAnsi="Arial" w:cs="Arial"/>
                <w:sz w:val="20"/>
                <w:szCs w:val="20"/>
              </w:rPr>
              <w:t xml:space="preserve"> $    </w:t>
            </w:r>
            <w:r w:rsidRPr="00194E20">
              <w:rPr>
                <w:rFonts w:ascii="Arial" w:hAnsi="Arial" w:cs="Arial"/>
                <w:sz w:val="20"/>
                <w:szCs w:val="20"/>
              </w:rPr>
              <w:t xml:space="preserve">10,437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8.1%</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70"/>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International Package</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3,478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3,376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3.0%</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67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Pr>
                <w:rFonts w:ascii="Arial" w:hAnsi="Arial" w:cs="Arial"/>
                <w:sz w:val="20"/>
                <w:szCs w:val="20"/>
              </w:rPr>
              <w:t xml:space="preserve">        </w:t>
            </w:r>
            <w:r w:rsidRPr="00194E20">
              <w:rPr>
                <w:rFonts w:ascii="Arial" w:hAnsi="Arial" w:cs="Arial"/>
                <w:sz w:val="20"/>
                <w:szCs w:val="20"/>
              </w:rPr>
              <w:t xml:space="preserve">3,545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5.0%</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70"/>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Supply Chain &amp; Freight</w:t>
            </w:r>
          </w:p>
        </w:tc>
        <w:tc>
          <w:tcPr>
            <w:tcW w:w="1262" w:type="dxa"/>
            <w:tcBorders>
              <w:top w:val="nil"/>
              <w:left w:val="nil"/>
              <w:bottom w:val="single" w:sz="4"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3,529 </w:t>
            </w:r>
          </w:p>
        </w:tc>
        <w:tc>
          <w:tcPr>
            <w:tcW w:w="272" w:type="dxa"/>
            <w:tcBorders>
              <w:top w:val="nil"/>
              <w:left w:val="nil"/>
              <w:bottom w:val="single" w:sz="4"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single" w:sz="4"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3,146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12.2%</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single" w:sz="4"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17 </w:t>
            </w:r>
          </w:p>
        </w:tc>
        <w:tc>
          <w:tcPr>
            <w:tcW w:w="272" w:type="dxa"/>
            <w:tcBorders>
              <w:top w:val="nil"/>
              <w:left w:val="nil"/>
              <w:bottom w:val="single" w:sz="4"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single" w:sz="4"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Pr>
                <w:rFonts w:ascii="Arial" w:hAnsi="Arial" w:cs="Arial"/>
                <w:sz w:val="20"/>
                <w:szCs w:val="20"/>
              </w:rPr>
              <w:t xml:space="preserve">         </w:t>
            </w:r>
            <w:r w:rsidRPr="00194E20">
              <w:rPr>
                <w:rFonts w:ascii="Arial" w:hAnsi="Arial" w:cs="Arial"/>
                <w:sz w:val="20"/>
                <w:szCs w:val="20"/>
              </w:rPr>
              <w:t xml:space="preserve">3,546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12.7%</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70"/>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Total revenue</w:t>
            </w:r>
          </w:p>
        </w:tc>
        <w:tc>
          <w:tcPr>
            <w:tcW w:w="126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$ 17,444 </w:t>
            </w:r>
          </w:p>
        </w:tc>
        <w:tc>
          <w:tcPr>
            <w:tcW w:w="27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16,173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7.9%</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84 </w:t>
            </w:r>
          </w:p>
        </w:tc>
        <w:tc>
          <w:tcPr>
            <w:tcW w:w="27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Pr>
                <w:rFonts w:ascii="Arial" w:hAnsi="Arial" w:cs="Arial"/>
                <w:sz w:val="20"/>
                <w:szCs w:val="20"/>
              </w:rPr>
              <w:t xml:space="preserve"> $    </w:t>
            </w:r>
            <w:r w:rsidRPr="00194E20">
              <w:rPr>
                <w:rFonts w:ascii="Arial" w:hAnsi="Arial" w:cs="Arial"/>
                <w:sz w:val="20"/>
                <w:szCs w:val="20"/>
              </w:rPr>
              <w:t xml:space="preserve">17,528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8.4%</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59"/>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315"/>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tcPr>
          <w:p w:rsidR="00133257" w:rsidRPr="00194E20"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55"/>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tcPr>
          <w:p w:rsidR="00133257" w:rsidRPr="00194E20"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55"/>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Pr>
                <w:rFonts w:ascii="Arial" w:hAnsi="Arial" w:cs="Arial"/>
                <w:b/>
                <w:bCs/>
                <w:sz w:val="20"/>
                <w:szCs w:val="20"/>
              </w:rPr>
              <w:t>2018 As-Adjusted</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sz w:val="20"/>
                <w:szCs w:val="20"/>
              </w:rPr>
            </w:pPr>
            <w:r w:rsidRPr="00194E20">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59"/>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Pr>
                <w:rFonts w:ascii="Arial" w:hAnsi="Arial" w:cs="Arial"/>
                <w:b/>
                <w:bCs/>
                <w:sz w:val="20"/>
                <w:szCs w:val="20"/>
              </w:rPr>
              <w:t>2018 As-</w:t>
            </w:r>
            <w:r w:rsidRPr="00194E20">
              <w:rPr>
                <w:rFonts w:ascii="Arial" w:hAnsi="Arial" w:cs="Arial"/>
                <w:b/>
                <w:bCs/>
                <w:sz w:val="20"/>
                <w:szCs w:val="20"/>
              </w:rPr>
              <w:t>Adjusted</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Pr>
                <w:rFonts w:ascii="Arial" w:hAnsi="Arial" w:cs="Arial"/>
                <w:b/>
                <w:bCs/>
                <w:sz w:val="20"/>
                <w:szCs w:val="20"/>
              </w:rPr>
              <w:t>2017 As-</w:t>
            </w:r>
            <w:r w:rsidRPr="00194E20">
              <w:rPr>
                <w:rFonts w:ascii="Arial" w:hAnsi="Arial" w:cs="Arial"/>
                <w:b/>
                <w:bCs/>
                <w:sz w:val="20"/>
                <w:szCs w:val="20"/>
              </w:rPr>
              <w:t>Adjusted</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Change</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39" w:type="dxa"/>
            <w:tcBorders>
              <w:top w:val="nil"/>
              <w:left w:val="nil"/>
              <w:bottom w:val="nil"/>
              <w:right w:val="nil"/>
            </w:tcBorders>
            <w:shd w:val="clear" w:color="000000" w:fill="FFFFFF"/>
            <w:vAlign w:val="bottom"/>
            <w:hideMark/>
          </w:tcPr>
          <w:p w:rsidR="00133257" w:rsidRPr="00194E20" w:rsidRDefault="00133257" w:rsidP="00133257">
            <w:pPr>
              <w:jc w:val="center"/>
              <w:rPr>
                <w:rFonts w:ascii="Arial" w:hAnsi="Arial" w:cs="Arial"/>
                <w:b/>
                <w:bCs/>
                <w:sz w:val="20"/>
                <w:szCs w:val="20"/>
              </w:rPr>
            </w:pPr>
            <w:r>
              <w:rPr>
                <w:rFonts w:ascii="Arial" w:hAnsi="Arial" w:cs="Arial"/>
                <w:b/>
                <w:bCs/>
                <w:sz w:val="20"/>
                <w:szCs w:val="20"/>
              </w:rPr>
              <w:t xml:space="preserve">Currency </w:t>
            </w:r>
            <w:r w:rsidRPr="00194E20">
              <w:rPr>
                <w:rFonts w:ascii="Arial" w:hAnsi="Arial" w:cs="Arial"/>
                <w:b/>
                <w:bCs/>
                <w:sz w:val="20"/>
                <w:szCs w:val="20"/>
              </w:rPr>
              <w:t>Neutral</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Change</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r>
      <w:tr w:rsidR="00133257" w:rsidRPr="00194E20" w:rsidTr="00133257">
        <w:trPr>
          <w:trHeight w:val="259"/>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xml:space="preserve"> (non-GAAP)</w:t>
            </w:r>
          </w:p>
        </w:tc>
        <w:tc>
          <w:tcPr>
            <w:tcW w:w="272"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62"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xml:space="preserve"> (non-GAAP)</w:t>
            </w:r>
          </w:p>
        </w:tc>
        <w:tc>
          <w:tcPr>
            <w:tcW w:w="272"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050"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(non-GAAP)</w:t>
            </w:r>
          </w:p>
        </w:tc>
        <w:tc>
          <w:tcPr>
            <w:tcW w:w="449" w:type="dxa"/>
            <w:gridSpan w:val="2"/>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095"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Pr>
                <w:rFonts w:ascii="Arial" w:hAnsi="Arial" w:cs="Arial"/>
                <w:b/>
                <w:bCs/>
                <w:sz w:val="20"/>
                <w:szCs w:val="20"/>
              </w:rPr>
              <w:t xml:space="preserve">Currency </w:t>
            </w:r>
            <w:r w:rsidRPr="00194E20">
              <w:rPr>
                <w:rFonts w:ascii="Arial" w:hAnsi="Arial" w:cs="Arial"/>
                <w:b/>
                <w:bCs/>
                <w:sz w:val="20"/>
                <w:szCs w:val="20"/>
              </w:rPr>
              <w:t>Impact</w:t>
            </w:r>
          </w:p>
        </w:tc>
        <w:tc>
          <w:tcPr>
            <w:tcW w:w="272"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39"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(non-GAAP)</w:t>
            </w:r>
          </w:p>
        </w:tc>
        <w:tc>
          <w:tcPr>
            <w:tcW w:w="272"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06" w:type="dxa"/>
            <w:tcBorders>
              <w:top w:val="nil"/>
              <w:left w:val="nil"/>
              <w:bottom w:val="single" w:sz="4" w:space="0" w:color="auto"/>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(non-GAAP)</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59"/>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As-Adjusted Operating Profit:</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center"/>
              <w:rPr>
                <w:rFonts w:ascii="Arial" w:hAnsi="Arial" w:cs="Arial"/>
                <w:b/>
                <w:bCs/>
                <w:sz w:val="20"/>
                <w:szCs w:val="20"/>
              </w:rPr>
            </w:pPr>
            <w:r w:rsidRPr="00194E20">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70"/>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U.S. Domestic Package</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988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1,011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-2.3%</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Pr>
                <w:rFonts w:ascii="Arial" w:hAnsi="Arial" w:cs="Arial"/>
                <w:sz w:val="20"/>
                <w:szCs w:val="20"/>
              </w:rPr>
              <w:t xml:space="preserve"> $         </w:t>
            </w:r>
            <w:r w:rsidRPr="00194E20">
              <w:rPr>
                <w:rFonts w:ascii="Arial" w:hAnsi="Arial" w:cs="Arial"/>
                <w:sz w:val="20"/>
                <w:szCs w:val="20"/>
              </w:rPr>
              <w:t xml:space="preserve">988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-2.3%</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70"/>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International Package</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576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606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-5.0%</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28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Pr>
                <w:rFonts w:ascii="Arial" w:hAnsi="Arial" w:cs="Arial"/>
                <w:sz w:val="20"/>
                <w:szCs w:val="20"/>
              </w:rPr>
              <w:t xml:space="preserve">            </w:t>
            </w:r>
            <w:r w:rsidRPr="00194E20">
              <w:rPr>
                <w:rFonts w:ascii="Arial" w:hAnsi="Arial" w:cs="Arial"/>
                <w:sz w:val="20"/>
                <w:szCs w:val="20"/>
              </w:rPr>
              <w:t xml:space="preserve">604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-0.3%</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70"/>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Supply Chain &amp; Freight</w:t>
            </w:r>
          </w:p>
        </w:tc>
        <w:tc>
          <w:tcPr>
            <w:tcW w:w="1262" w:type="dxa"/>
            <w:tcBorders>
              <w:top w:val="nil"/>
              <w:left w:val="nil"/>
              <w:bottom w:val="single" w:sz="4"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260 </w:t>
            </w:r>
          </w:p>
        </w:tc>
        <w:tc>
          <w:tcPr>
            <w:tcW w:w="272" w:type="dxa"/>
            <w:tcBorders>
              <w:top w:val="nil"/>
              <w:left w:val="nil"/>
              <w:bottom w:val="single" w:sz="4"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single" w:sz="4"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195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b/>
                <w:bCs/>
                <w:sz w:val="20"/>
                <w:szCs w:val="20"/>
              </w:rPr>
            </w:pPr>
            <w:r w:rsidRPr="00194E20">
              <w:rPr>
                <w:rFonts w:ascii="Arial" w:hAnsi="Arial" w:cs="Arial"/>
                <w:b/>
                <w:bCs/>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33.3%</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single" w:sz="4"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4 </w:t>
            </w:r>
          </w:p>
        </w:tc>
        <w:tc>
          <w:tcPr>
            <w:tcW w:w="272" w:type="dxa"/>
            <w:tcBorders>
              <w:top w:val="nil"/>
              <w:left w:val="nil"/>
              <w:bottom w:val="single" w:sz="4"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single" w:sz="4"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Pr>
                <w:rFonts w:ascii="Arial" w:hAnsi="Arial" w:cs="Arial"/>
                <w:sz w:val="20"/>
                <w:szCs w:val="20"/>
              </w:rPr>
              <w:t xml:space="preserve">            </w:t>
            </w:r>
            <w:r w:rsidRPr="00194E20">
              <w:rPr>
                <w:rFonts w:ascii="Arial" w:hAnsi="Arial" w:cs="Arial"/>
                <w:sz w:val="20"/>
                <w:szCs w:val="20"/>
              </w:rPr>
              <w:t xml:space="preserve">264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35.4%</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r w:rsidR="00133257" w:rsidRPr="00194E20" w:rsidTr="00133257">
        <w:trPr>
          <w:trHeight w:val="270"/>
        </w:trPr>
        <w:tc>
          <w:tcPr>
            <w:tcW w:w="2775"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Total operating profit</w:t>
            </w:r>
          </w:p>
        </w:tc>
        <w:tc>
          <w:tcPr>
            <w:tcW w:w="126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1,824 </w:t>
            </w:r>
          </w:p>
        </w:tc>
        <w:tc>
          <w:tcPr>
            <w:tcW w:w="27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6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1,812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50"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0.7%</w:t>
            </w:r>
          </w:p>
        </w:tc>
        <w:tc>
          <w:tcPr>
            <w:tcW w:w="449" w:type="dxa"/>
            <w:gridSpan w:val="2"/>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095"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xml:space="preserve"> $       32 </w:t>
            </w:r>
          </w:p>
        </w:tc>
        <w:tc>
          <w:tcPr>
            <w:tcW w:w="272"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39" w:type="dxa"/>
            <w:tcBorders>
              <w:top w:val="nil"/>
              <w:left w:val="nil"/>
              <w:bottom w:val="double" w:sz="6" w:space="0" w:color="auto"/>
              <w:right w:val="nil"/>
            </w:tcBorders>
            <w:shd w:val="clear" w:color="000000" w:fill="FFFFFF"/>
            <w:noWrap/>
            <w:vAlign w:val="bottom"/>
            <w:hideMark/>
          </w:tcPr>
          <w:p w:rsidR="00133257" w:rsidRPr="00194E20" w:rsidRDefault="00133257" w:rsidP="00133257">
            <w:pPr>
              <w:rPr>
                <w:rFonts w:ascii="Arial" w:hAnsi="Arial" w:cs="Arial"/>
                <w:sz w:val="20"/>
                <w:szCs w:val="20"/>
              </w:rPr>
            </w:pPr>
            <w:r>
              <w:rPr>
                <w:rFonts w:ascii="Arial" w:hAnsi="Arial" w:cs="Arial"/>
                <w:sz w:val="20"/>
                <w:szCs w:val="20"/>
              </w:rPr>
              <w:t xml:space="preserve"> $      </w:t>
            </w:r>
            <w:r w:rsidRPr="00194E20">
              <w:rPr>
                <w:rFonts w:ascii="Arial" w:hAnsi="Arial" w:cs="Arial"/>
                <w:sz w:val="20"/>
                <w:szCs w:val="20"/>
              </w:rPr>
              <w:t xml:space="preserve">1,856 </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c>
          <w:tcPr>
            <w:tcW w:w="1206" w:type="dxa"/>
            <w:tcBorders>
              <w:top w:val="nil"/>
              <w:left w:val="nil"/>
              <w:bottom w:val="nil"/>
              <w:right w:val="nil"/>
            </w:tcBorders>
            <w:shd w:val="clear" w:color="000000" w:fill="FFFFFF"/>
            <w:noWrap/>
            <w:vAlign w:val="bottom"/>
            <w:hideMark/>
          </w:tcPr>
          <w:p w:rsidR="00133257" w:rsidRPr="00194E20" w:rsidRDefault="00133257" w:rsidP="00133257">
            <w:pPr>
              <w:jc w:val="right"/>
              <w:rPr>
                <w:rFonts w:ascii="Arial" w:hAnsi="Arial" w:cs="Arial"/>
                <w:sz w:val="20"/>
                <w:szCs w:val="20"/>
              </w:rPr>
            </w:pPr>
            <w:r w:rsidRPr="00194E20">
              <w:rPr>
                <w:rFonts w:ascii="Arial" w:hAnsi="Arial" w:cs="Arial"/>
                <w:sz w:val="20"/>
                <w:szCs w:val="20"/>
              </w:rPr>
              <w:t>2.4%</w:t>
            </w:r>
          </w:p>
        </w:tc>
        <w:tc>
          <w:tcPr>
            <w:tcW w:w="272" w:type="dxa"/>
            <w:tcBorders>
              <w:top w:val="nil"/>
              <w:left w:val="nil"/>
              <w:bottom w:val="nil"/>
              <w:right w:val="nil"/>
            </w:tcBorders>
            <w:shd w:val="clear" w:color="000000" w:fill="FFFFFF"/>
            <w:noWrap/>
            <w:vAlign w:val="bottom"/>
            <w:hideMark/>
          </w:tcPr>
          <w:p w:rsidR="00133257" w:rsidRPr="00194E20" w:rsidRDefault="00133257" w:rsidP="00133257">
            <w:pPr>
              <w:rPr>
                <w:rFonts w:ascii="Arial" w:hAnsi="Arial" w:cs="Arial"/>
                <w:sz w:val="20"/>
                <w:szCs w:val="20"/>
              </w:rPr>
            </w:pPr>
            <w:r w:rsidRPr="00194E20">
              <w:rPr>
                <w:rFonts w:ascii="Arial" w:hAnsi="Arial" w:cs="Arial"/>
                <w:sz w:val="20"/>
                <w:szCs w:val="20"/>
              </w:rPr>
              <w:t> </w:t>
            </w:r>
          </w:p>
        </w:tc>
      </w:tr>
    </w:tbl>
    <w:p w:rsidR="00133257" w:rsidRDefault="00133257" w:rsidP="00133257">
      <w:pPr>
        <w:jc w:val="center"/>
      </w:pPr>
      <w:r>
        <w:fldChar w:fldCharType="begin"/>
      </w:r>
      <w:r>
        <w:instrText xml:space="preserve"> LINK Excel.Sheet.12 "\\\\nasp6000006a\\acct\\ACCT_External\\Q3_2018\\Earnings Release &amp; Scripts\\Copy of Q3 Press Release - NonGaap Tables v2.xlsx" "Q3 Adj Currency Nuetral!R4C1:R34C13" \a \f 4 \h </w:instrText>
      </w:r>
      <w:r>
        <w:fldChar w:fldCharType="separate"/>
      </w:r>
    </w:p>
    <w:p w:rsidR="00133257" w:rsidRDefault="00133257" w:rsidP="00133257">
      <w:pPr>
        <w:jc w:val="center"/>
      </w:pPr>
      <w:r>
        <w:fldChar w:fldCharType="end"/>
      </w:r>
    </w:p>
    <w:p w:rsidR="00133257" w:rsidRDefault="00133257" w:rsidP="00133257">
      <w:pPr>
        <w:jc w:val="center"/>
      </w:pPr>
      <w:r>
        <w:fldChar w:fldCharType="begin"/>
      </w:r>
      <w:r>
        <w:instrText xml:space="preserve"> LINK Excel.Sheet.12 "\\\\nasp6000006a\\acct\\ACCT_External\\Q3_2018\\Earnings Release &amp; Scripts\\Copy of Q3 Press Release - NonGaap Tables v2.xlsx" "Q3 Adj Currency Nuetral!R4C1:R34C13" \a \f 4 \h </w:instrText>
      </w:r>
      <w:r>
        <w:fldChar w:fldCharType="separate"/>
      </w:r>
    </w:p>
    <w:p w:rsidR="00133257" w:rsidRDefault="00133257" w:rsidP="00133257">
      <w:pPr>
        <w:jc w:val="center"/>
      </w:pPr>
      <w:r>
        <w:fldChar w:fldCharType="end"/>
      </w:r>
    </w:p>
    <w:p w:rsidR="00133257" w:rsidRDefault="00133257" w:rsidP="00133257">
      <w:pPr>
        <w:jc w:val="center"/>
      </w:pPr>
    </w:p>
    <w:p w:rsidR="00133257" w:rsidRDefault="00133257" w:rsidP="00133257">
      <w:pPr>
        <w:jc w:val="center"/>
        <w:rPr>
          <w:rFonts w:ascii="Arial" w:hAnsi="Arial" w:cs="Arial"/>
          <w:b/>
        </w:rPr>
      </w:pPr>
      <w:r>
        <w:rPr>
          <w:rFonts w:asciiTheme="minorHAnsi" w:hAnsiTheme="minorHAnsi" w:cstheme="minorBidi"/>
        </w:rPr>
        <w:br w:type="page"/>
      </w:r>
      <w:r w:rsidRPr="00A5796B">
        <w:rPr>
          <w:rFonts w:ascii="Arial" w:hAnsi="Arial" w:cs="Arial"/>
          <w:b/>
        </w:rPr>
        <w:lastRenderedPageBreak/>
        <w:t xml:space="preserve">Reconciliation of GAAP and non-GAAP Revenue, Revenue Per Piece and </w:t>
      </w:r>
    </w:p>
    <w:p w:rsidR="00133257" w:rsidRPr="00A5796B" w:rsidRDefault="00133257" w:rsidP="00133257">
      <w:pPr>
        <w:jc w:val="center"/>
        <w:rPr>
          <w:rFonts w:ascii="Arial" w:hAnsi="Arial" w:cs="Arial"/>
          <w:b/>
        </w:rPr>
      </w:pPr>
      <w:r w:rsidRPr="00A5796B">
        <w:rPr>
          <w:rFonts w:ascii="Arial" w:hAnsi="Arial" w:cs="Arial"/>
          <w:b/>
        </w:rPr>
        <w:t>As-Adjusted Currency Neutral Operating Profit</w:t>
      </w:r>
    </w:p>
    <w:p w:rsidR="00133257" w:rsidRDefault="00133257" w:rsidP="00133257">
      <w:pPr>
        <w:jc w:val="center"/>
        <w:rPr>
          <w:rFonts w:ascii="Arial" w:hAnsi="Arial" w:cs="Arial"/>
          <w:b/>
        </w:rPr>
      </w:pPr>
      <w:r w:rsidRPr="00A5796B">
        <w:rPr>
          <w:rFonts w:ascii="Arial" w:hAnsi="Arial" w:cs="Arial"/>
          <w:b/>
        </w:rPr>
        <w:t>(in millions, except per piece amounts):</w:t>
      </w:r>
    </w:p>
    <w:p w:rsidR="00133257" w:rsidRDefault="00133257" w:rsidP="00133257">
      <w:pPr>
        <w:jc w:val="center"/>
        <w:rPr>
          <w:rFonts w:ascii="Arial" w:hAnsi="Arial" w:cs="Arial"/>
          <w:b/>
        </w:rPr>
      </w:pPr>
    </w:p>
    <w:p w:rsidR="00133257" w:rsidRDefault="00133257" w:rsidP="00133257">
      <w:pPr>
        <w:jc w:val="center"/>
        <w:rPr>
          <w:rFonts w:ascii="Arial" w:hAnsi="Arial" w:cs="Arial"/>
          <w:b/>
        </w:rPr>
      </w:pPr>
    </w:p>
    <w:tbl>
      <w:tblPr>
        <w:tblW w:w="11949" w:type="dxa"/>
        <w:tblInd w:w="-1300" w:type="dxa"/>
        <w:tblLook w:val="04A0" w:firstRow="1" w:lastRow="0" w:firstColumn="1" w:lastColumn="0" w:noHBand="0" w:noVBand="1"/>
      </w:tblPr>
      <w:tblGrid>
        <w:gridCol w:w="210"/>
        <w:gridCol w:w="2766"/>
        <w:gridCol w:w="1283"/>
        <w:gridCol w:w="272"/>
        <w:gridCol w:w="1283"/>
        <w:gridCol w:w="272"/>
        <w:gridCol w:w="1226"/>
        <w:gridCol w:w="272"/>
        <w:gridCol w:w="1095"/>
        <w:gridCol w:w="272"/>
        <w:gridCol w:w="1228"/>
        <w:gridCol w:w="272"/>
        <w:gridCol w:w="1226"/>
        <w:gridCol w:w="272"/>
      </w:tblGrid>
      <w:tr w:rsidR="00133257" w:rsidRPr="00A5796B" w:rsidTr="00133257">
        <w:trPr>
          <w:trHeight w:val="270"/>
        </w:trPr>
        <w:tc>
          <w:tcPr>
            <w:tcW w:w="11677" w:type="dxa"/>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Nine Months Ended September 30</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59"/>
        </w:trPr>
        <w:tc>
          <w:tcPr>
            <w:tcW w:w="276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55"/>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vAlign w:val="bottom"/>
            <w:hideMark/>
          </w:tcPr>
          <w:p w:rsidR="00133257" w:rsidRPr="00A5796B" w:rsidRDefault="00133257" w:rsidP="00133257">
            <w:pPr>
              <w:jc w:val="center"/>
              <w:rPr>
                <w:rFonts w:ascii="Arial" w:hAnsi="Arial" w:cs="Arial"/>
                <w:b/>
                <w:bCs/>
                <w:sz w:val="20"/>
                <w:szCs w:val="20"/>
              </w:rPr>
            </w:pPr>
            <w:r>
              <w:rPr>
                <w:rFonts w:ascii="Arial" w:hAnsi="Arial" w:cs="Arial"/>
                <w:b/>
                <w:bCs/>
                <w:sz w:val="20"/>
                <w:szCs w:val="20"/>
              </w:rPr>
              <w:t xml:space="preserve">2018 Currency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59"/>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Pr>
                <w:rFonts w:ascii="Arial" w:hAnsi="Arial" w:cs="Arial"/>
                <w:b/>
                <w:bCs/>
                <w:sz w:val="20"/>
                <w:szCs w:val="20"/>
              </w:rPr>
              <w:t>2018 As-</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Pr>
                <w:rFonts w:ascii="Arial" w:hAnsi="Arial" w:cs="Arial"/>
                <w:b/>
                <w:bCs/>
                <w:sz w:val="20"/>
                <w:szCs w:val="20"/>
              </w:rPr>
              <w:t>2017 As-</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8" w:type="dxa"/>
            <w:tcBorders>
              <w:top w:val="nil"/>
              <w:left w:val="nil"/>
              <w:bottom w:val="nil"/>
              <w:right w:val="nil"/>
            </w:tcBorders>
            <w:shd w:val="clear" w:color="000000" w:fill="FFFFFF"/>
            <w:vAlign w:val="bottom"/>
            <w:hideMark/>
          </w:tcPr>
          <w:p w:rsidR="00133257" w:rsidRPr="00A5796B" w:rsidRDefault="00133257" w:rsidP="00133257">
            <w:pPr>
              <w:jc w:val="center"/>
              <w:rPr>
                <w:rFonts w:ascii="Arial" w:hAnsi="Arial" w:cs="Arial"/>
                <w:b/>
                <w:bCs/>
                <w:sz w:val="20"/>
                <w:szCs w:val="20"/>
              </w:rPr>
            </w:pPr>
            <w:r>
              <w:rPr>
                <w:rFonts w:ascii="Arial" w:hAnsi="Arial" w:cs="Arial"/>
                <w:b/>
                <w:bCs/>
                <w:sz w:val="20"/>
                <w:szCs w:val="20"/>
              </w:rPr>
              <w:t>Neutral</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Change</w:t>
            </w:r>
          </w:p>
        </w:tc>
        <w:tc>
          <w:tcPr>
            <w:tcW w:w="272" w:type="dxa"/>
            <w:tcBorders>
              <w:top w:val="nil"/>
              <w:left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59"/>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283"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Pr>
                <w:rFonts w:ascii="Arial" w:hAnsi="Arial" w:cs="Arial"/>
                <w:b/>
                <w:bCs/>
                <w:sz w:val="20"/>
                <w:szCs w:val="20"/>
              </w:rPr>
              <w:t>Reported</w:t>
            </w:r>
            <w:r w:rsidRPr="00A5796B">
              <w:rPr>
                <w:rFonts w:ascii="Arial" w:hAnsi="Arial" w:cs="Arial"/>
                <w:b/>
                <w:bCs/>
                <w:sz w:val="20"/>
                <w:szCs w:val="20"/>
              </w:rPr>
              <w:t xml:space="preserve"> (GAAP)</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83"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Pr>
                <w:rFonts w:ascii="Arial" w:hAnsi="Arial" w:cs="Arial"/>
                <w:b/>
                <w:bCs/>
                <w:sz w:val="20"/>
                <w:szCs w:val="20"/>
              </w:rPr>
              <w:t>Reported</w:t>
            </w:r>
            <w:r w:rsidRPr="00A5796B">
              <w:rPr>
                <w:rFonts w:ascii="Arial" w:hAnsi="Arial" w:cs="Arial"/>
                <w:b/>
                <w:bCs/>
                <w:sz w:val="20"/>
                <w:szCs w:val="20"/>
              </w:rPr>
              <w:t xml:space="preserve"> (GAAP)</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Pr>
                <w:rFonts w:ascii="Arial" w:hAnsi="Arial" w:cs="Arial"/>
                <w:b/>
                <w:bCs/>
                <w:sz w:val="20"/>
                <w:szCs w:val="20"/>
              </w:rPr>
              <w:t xml:space="preserve">% Change </w:t>
            </w:r>
            <w:r w:rsidRPr="00A5796B">
              <w:rPr>
                <w:rFonts w:ascii="Arial" w:hAnsi="Arial" w:cs="Arial"/>
                <w:b/>
                <w:bCs/>
                <w:sz w:val="20"/>
                <w:szCs w:val="20"/>
              </w:rPr>
              <w:t>(GAAP)</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095"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Pr>
                <w:rFonts w:ascii="Arial" w:hAnsi="Arial" w:cs="Arial"/>
                <w:b/>
                <w:bCs/>
                <w:sz w:val="20"/>
                <w:szCs w:val="20"/>
              </w:rPr>
              <w:t xml:space="preserve">Currency </w:t>
            </w:r>
            <w:r w:rsidRPr="00A5796B">
              <w:rPr>
                <w:rFonts w:ascii="Arial" w:hAnsi="Arial" w:cs="Arial"/>
                <w:b/>
                <w:bCs/>
                <w:sz w:val="20"/>
                <w:szCs w:val="20"/>
              </w:rPr>
              <w:t>Impact</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8"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(non-GAAP)</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(non-GAAP)</w:t>
            </w:r>
          </w:p>
        </w:tc>
        <w:tc>
          <w:tcPr>
            <w:tcW w:w="272" w:type="dxa"/>
            <w:tcBorders>
              <w:top w:val="nil"/>
              <w:left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59"/>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Average Revenue Per Piece:</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b/>
                <w:bCs/>
                <w:sz w:val="20"/>
                <w:szCs w:val="20"/>
              </w:rPr>
            </w:pPr>
            <w:r w:rsidRPr="00A5796B">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272" w:type="dxa"/>
            <w:tcBorders>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r>
      <w:tr w:rsidR="00133257" w:rsidRPr="00A5796B" w:rsidTr="00133257">
        <w:trPr>
          <w:gridBefore w:val="1"/>
          <w:wBefore w:w="210" w:type="dxa"/>
          <w:trHeight w:val="259"/>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International Package:</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r>
      <w:tr w:rsidR="00133257" w:rsidRPr="00A5796B" w:rsidTr="00133257">
        <w:trPr>
          <w:gridBefore w:val="1"/>
          <w:wBefore w:w="210" w:type="dxa"/>
          <w:trHeight w:val="27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Domestic</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xml:space="preserve"> $     6.60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xml:space="preserve"> $      5.99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10.2%</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xml:space="preserve"> $   (0.34)</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xml:space="preserve"> $        6.26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4.5%</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7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Export</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xml:space="preserve">      29.43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xml:space="preserve">       28.79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2.2%</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xml:space="preserve">      (0.46)</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xml:space="preserve">         28.97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0.6%</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r>
      <w:tr w:rsidR="00133257" w:rsidRPr="00A5796B" w:rsidTr="00133257">
        <w:trPr>
          <w:gridBefore w:val="1"/>
          <w:wBefore w:w="210" w:type="dxa"/>
          <w:trHeight w:val="270"/>
        </w:trPr>
        <w:tc>
          <w:tcPr>
            <w:tcW w:w="2766" w:type="dxa"/>
            <w:tcBorders>
              <w:top w:val="nil"/>
              <w:left w:val="nil"/>
              <w:bottom w:val="nil"/>
              <w:right w:val="nil"/>
            </w:tcBorders>
            <w:shd w:val="clear" w:color="000000" w:fill="FFFFFF"/>
            <w:noWrap/>
            <w:vAlign w:val="bottom"/>
            <w:hideMark/>
          </w:tcPr>
          <w:p w:rsidR="00133257" w:rsidRPr="00A5796B" w:rsidRDefault="00A96D0B" w:rsidP="00133257">
            <w:pPr>
              <w:rPr>
                <w:rFonts w:ascii="Arial" w:hAnsi="Arial" w:cs="Arial"/>
                <w:sz w:val="20"/>
                <w:szCs w:val="20"/>
              </w:rPr>
            </w:pPr>
            <w:r>
              <w:rPr>
                <w:rFonts w:ascii="Arial" w:hAnsi="Arial" w:cs="Arial"/>
                <w:sz w:val="20"/>
                <w:szCs w:val="20"/>
              </w:rPr>
              <w:t xml:space="preserve"> </w:t>
            </w:r>
            <w:r w:rsidR="00133257" w:rsidRPr="00A5796B">
              <w:rPr>
                <w:rFonts w:ascii="Arial" w:hAnsi="Arial" w:cs="Arial"/>
                <w:sz w:val="20"/>
                <w:szCs w:val="20"/>
              </w:rPr>
              <w:t xml:space="preserve"> Total International Package</w:t>
            </w:r>
          </w:p>
        </w:tc>
        <w:tc>
          <w:tcPr>
            <w:tcW w:w="1283"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17.18 </w:t>
            </w:r>
          </w:p>
        </w:tc>
        <w:tc>
          <w:tcPr>
            <w:tcW w:w="272"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16.11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6.6%</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(0.39)</w:t>
            </w:r>
          </w:p>
        </w:tc>
        <w:tc>
          <w:tcPr>
            <w:tcW w:w="272"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16.79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4.2%</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15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52"/>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color w:val="000000"/>
                <w:sz w:val="20"/>
                <w:szCs w:val="20"/>
              </w:rPr>
            </w:pPr>
            <w:r w:rsidRPr="00A5796B">
              <w:rPr>
                <w:rFonts w:ascii="Arial" w:hAnsi="Arial" w:cs="Arial"/>
                <w:color w:val="000000"/>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color w:val="000000"/>
                <w:sz w:val="20"/>
                <w:szCs w:val="20"/>
              </w:rPr>
            </w:pPr>
            <w:r w:rsidRPr="00A5796B">
              <w:rPr>
                <w:rFonts w:ascii="Arial" w:hAnsi="Arial" w:cs="Arial"/>
                <w:color w:val="000000"/>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color w:val="000000"/>
                <w:sz w:val="20"/>
                <w:szCs w:val="20"/>
              </w:rPr>
            </w:pPr>
            <w:r w:rsidRPr="00A5796B">
              <w:rPr>
                <w:rFonts w:ascii="Arial" w:hAnsi="Arial" w:cs="Arial"/>
                <w:color w:val="000000"/>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color w:val="000000"/>
                <w:sz w:val="20"/>
                <w:szCs w:val="20"/>
              </w:rPr>
            </w:pPr>
            <w:r w:rsidRPr="00A5796B">
              <w:rPr>
                <w:rFonts w:ascii="Arial" w:hAnsi="Arial" w:cs="Arial"/>
                <w:color w:val="000000"/>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color w:val="000000"/>
                <w:sz w:val="20"/>
                <w:szCs w:val="20"/>
              </w:rPr>
            </w:pPr>
            <w:r w:rsidRPr="00A5796B">
              <w:rPr>
                <w:rFonts w:ascii="Arial" w:hAnsi="Arial" w:cs="Arial"/>
                <w:color w:val="000000"/>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color w:val="000000"/>
                <w:sz w:val="20"/>
                <w:szCs w:val="20"/>
              </w:rPr>
            </w:pPr>
            <w:r w:rsidRPr="00A5796B">
              <w:rPr>
                <w:rFonts w:ascii="Arial" w:hAnsi="Arial" w:cs="Arial"/>
                <w:color w:val="000000"/>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59"/>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Consolidated</w:t>
            </w:r>
          </w:p>
        </w:tc>
        <w:tc>
          <w:tcPr>
            <w:tcW w:w="1283"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11.14 </w:t>
            </w:r>
          </w:p>
        </w:tc>
        <w:tc>
          <w:tcPr>
            <w:tcW w:w="272"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10.68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4.3%</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(0.06)</w:t>
            </w:r>
          </w:p>
        </w:tc>
        <w:tc>
          <w:tcPr>
            <w:tcW w:w="272"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11.08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3.7%</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15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59"/>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Revenue:</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7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U.S. Domestic Package</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$ 31,018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28,928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7.2%</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31,018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7.2%</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7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International Package</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10,613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9,621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10.3%</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(239)</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10,374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7.8%</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7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Supply Chain &amp; Freight</w:t>
            </w:r>
          </w:p>
        </w:tc>
        <w:tc>
          <w:tcPr>
            <w:tcW w:w="1283"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10,382 </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9,061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14.6%</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(63)</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10,319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13.9%</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7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Total revenue</w:t>
            </w:r>
          </w:p>
        </w:tc>
        <w:tc>
          <w:tcPr>
            <w:tcW w:w="1283"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$ 52,013 </w:t>
            </w:r>
          </w:p>
        </w:tc>
        <w:tc>
          <w:tcPr>
            <w:tcW w:w="272"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47,610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9.2%</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(302)</w:t>
            </w:r>
          </w:p>
        </w:tc>
        <w:tc>
          <w:tcPr>
            <w:tcW w:w="272"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51,711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8.6%</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59"/>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59"/>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2018 As-</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1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Adjusted</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55"/>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2018 As-</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2017 As-</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Currency</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59"/>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Adjusted</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Adjusted</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Change</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095" w:type="dxa"/>
            <w:tcBorders>
              <w:top w:val="nil"/>
              <w:left w:val="nil"/>
              <w:bottom w:val="nil"/>
              <w:right w:val="nil"/>
            </w:tcBorders>
            <w:shd w:val="clear" w:color="000000" w:fill="FFFFFF"/>
            <w:noWrap/>
            <w:vAlign w:val="bottom"/>
          </w:tcPr>
          <w:p w:rsidR="00133257" w:rsidRPr="00A5796B" w:rsidRDefault="00133257" w:rsidP="00133257">
            <w:pPr>
              <w:jc w:val="center"/>
              <w:rPr>
                <w:rFonts w:ascii="Arial" w:hAnsi="Arial" w:cs="Arial"/>
                <w:b/>
                <w:bCs/>
                <w:sz w:val="20"/>
                <w:szCs w:val="20"/>
              </w:rPr>
            </w:pP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8" w:type="dxa"/>
            <w:tcBorders>
              <w:top w:val="nil"/>
              <w:left w:val="nil"/>
              <w:bottom w:val="nil"/>
              <w:right w:val="nil"/>
            </w:tcBorders>
            <w:shd w:val="clear" w:color="000000" w:fill="FFFFFF"/>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Neutral</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Change</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r>
      <w:tr w:rsidR="00133257" w:rsidRPr="00A5796B" w:rsidTr="00133257">
        <w:trPr>
          <w:gridBefore w:val="1"/>
          <w:wBefore w:w="210" w:type="dxa"/>
          <w:trHeight w:val="259"/>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xml:space="preserve"> (non-GAAP)</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83"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xml:space="preserve"> (non-GAAP)</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(non-GAAP)</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095"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Pr>
                <w:rFonts w:ascii="Arial" w:hAnsi="Arial" w:cs="Arial"/>
                <w:b/>
                <w:bCs/>
                <w:sz w:val="20"/>
                <w:szCs w:val="20"/>
              </w:rPr>
              <w:t xml:space="preserve">Currency </w:t>
            </w:r>
            <w:r w:rsidRPr="00A5796B">
              <w:rPr>
                <w:rFonts w:ascii="Arial" w:hAnsi="Arial" w:cs="Arial"/>
                <w:b/>
                <w:bCs/>
                <w:sz w:val="20"/>
                <w:szCs w:val="20"/>
              </w:rPr>
              <w:t>Impact</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8"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(non-GAAP)</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(non-GAAP)</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59"/>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As-Adjusted Operating Profit:</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7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U.S. Domestic Package</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2,879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3,216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-10.5%</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2,879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-10.5%</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7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International Package</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1,824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1,694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7.7%</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(16)</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1,808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6.7%</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7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Supply Chain &amp; Freight</w:t>
            </w:r>
          </w:p>
        </w:tc>
        <w:tc>
          <w:tcPr>
            <w:tcW w:w="1283"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677 </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556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21.8%</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5 </w:t>
            </w:r>
          </w:p>
        </w:tc>
        <w:tc>
          <w:tcPr>
            <w:tcW w:w="2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682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22.7%</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27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Total operating profit</w:t>
            </w:r>
          </w:p>
        </w:tc>
        <w:tc>
          <w:tcPr>
            <w:tcW w:w="1283"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5,380 </w:t>
            </w:r>
          </w:p>
        </w:tc>
        <w:tc>
          <w:tcPr>
            <w:tcW w:w="272"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5,466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-1.6%</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(11)</w:t>
            </w:r>
          </w:p>
        </w:tc>
        <w:tc>
          <w:tcPr>
            <w:tcW w:w="272"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      5,369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-1.8%</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gridBefore w:val="1"/>
          <w:wBefore w:w="210" w:type="dxa"/>
          <w:trHeight w:val="150"/>
        </w:trPr>
        <w:tc>
          <w:tcPr>
            <w:tcW w:w="276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83"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95"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226"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bl>
    <w:p w:rsidR="00133257" w:rsidRDefault="00133257" w:rsidP="00133257">
      <w:pPr>
        <w:jc w:val="center"/>
        <w:rPr>
          <w:rFonts w:ascii="Arial" w:hAnsi="Arial" w:cs="Arial"/>
          <w:b/>
        </w:rPr>
      </w:pPr>
    </w:p>
    <w:p w:rsidR="00133257" w:rsidRDefault="00133257" w:rsidP="00133257">
      <w:pPr>
        <w:jc w:val="center"/>
        <w:rPr>
          <w:rFonts w:ascii="Arial" w:hAnsi="Arial" w:cs="Arial"/>
          <w:b/>
        </w:rPr>
      </w:pPr>
    </w:p>
    <w:p w:rsidR="00133257" w:rsidRDefault="00133257" w:rsidP="00133257">
      <w:pPr>
        <w:jc w:val="center"/>
        <w:rPr>
          <w:rFonts w:ascii="Arial" w:hAnsi="Arial" w:cs="Arial"/>
          <w:b/>
        </w:rPr>
      </w:pPr>
    </w:p>
    <w:p w:rsidR="00133257" w:rsidRDefault="00133257" w:rsidP="00133257">
      <w:pPr>
        <w:jc w:val="center"/>
        <w:rPr>
          <w:rFonts w:ascii="Arial" w:hAnsi="Arial" w:cs="Arial"/>
          <w:b/>
        </w:rPr>
      </w:pPr>
    </w:p>
    <w:p w:rsidR="00133257" w:rsidRDefault="00133257" w:rsidP="00133257">
      <w:pPr>
        <w:jc w:val="center"/>
        <w:rPr>
          <w:rFonts w:ascii="Arial" w:hAnsi="Arial" w:cs="Arial"/>
          <w:b/>
        </w:rPr>
      </w:pPr>
    </w:p>
    <w:p w:rsidR="00133257" w:rsidRDefault="00133257" w:rsidP="00133257">
      <w:pPr>
        <w:rPr>
          <w:rFonts w:ascii="Arial" w:hAnsi="Arial" w:cs="Arial"/>
          <w:b/>
        </w:rPr>
      </w:pPr>
      <w:r>
        <w:rPr>
          <w:rFonts w:ascii="Arial" w:hAnsi="Arial" w:cs="Arial"/>
          <w:b/>
        </w:rPr>
        <w:br w:type="page"/>
      </w:r>
    </w:p>
    <w:p w:rsidR="00133257" w:rsidRDefault="00133257" w:rsidP="00133257">
      <w:pPr>
        <w:jc w:val="center"/>
        <w:rPr>
          <w:rFonts w:ascii="Arial" w:hAnsi="Arial" w:cs="Arial"/>
          <w:b/>
        </w:rPr>
      </w:pPr>
      <w:r w:rsidRPr="00A5796B">
        <w:rPr>
          <w:rFonts w:ascii="Arial" w:hAnsi="Arial" w:cs="Arial"/>
          <w:b/>
        </w:rPr>
        <w:lastRenderedPageBreak/>
        <w:t>Reconciliation of non-GAAP Liquidity Measures</w:t>
      </w:r>
    </w:p>
    <w:p w:rsidR="00133257" w:rsidRDefault="00133257" w:rsidP="00133257">
      <w:pPr>
        <w:jc w:val="center"/>
        <w:rPr>
          <w:rFonts w:ascii="Arial" w:hAnsi="Arial" w:cs="Arial"/>
          <w:b/>
        </w:rPr>
      </w:pPr>
      <w:r w:rsidRPr="00A5796B">
        <w:rPr>
          <w:rFonts w:ascii="Arial" w:hAnsi="Arial" w:cs="Arial"/>
          <w:b/>
        </w:rPr>
        <w:t>(in millions):</w:t>
      </w:r>
    </w:p>
    <w:p w:rsidR="00133257" w:rsidRDefault="00133257" w:rsidP="00133257">
      <w:pPr>
        <w:jc w:val="center"/>
        <w:rPr>
          <w:rFonts w:ascii="Arial" w:hAnsi="Arial" w:cs="Arial"/>
          <w:b/>
        </w:rPr>
      </w:pPr>
    </w:p>
    <w:p w:rsidR="00133257" w:rsidRPr="00A5796B" w:rsidRDefault="00133257" w:rsidP="00133257">
      <w:pPr>
        <w:jc w:val="center"/>
        <w:rPr>
          <w:rFonts w:ascii="Arial" w:hAnsi="Arial" w:cs="Arial"/>
          <w:b/>
        </w:rPr>
      </w:pPr>
    </w:p>
    <w:tbl>
      <w:tblPr>
        <w:tblW w:w="8060" w:type="dxa"/>
        <w:tblLook w:val="04A0" w:firstRow="1" w:lastRow="0" w:firstColumn="1" w:lastColumn="0" w:noHBand="0" w:noVBand="1"/>
      </w:tblPr>
      <w:tblGrid>
        <w:gridCol w:w="6068"/>
        <w:gridCol w:w="272"/>
        <w:gridCol w:w="328"/>
        <w:gridCol w:w="1612"/>
        <w:gridCol w:w="272"/>
      </w:tblGrid>
      <w:tr w:rsidR="00133257" w:rsidRPr="00A5796B" w:rsidTr="00133257">
        <w:trPr>
          <w:trHeight w:val="315"/>
        </w:trPr>
        <w:tc>
          <w:tcPr>
            <w:tcW w:w="8060" w:type="dxa"/>
            <w:gridSpan w:val="5"/>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Nine Months Ended September 30</w:t>
            </w:r>
          </w:p>
        </w:tc>
      </w:tr>
      <w:tr w:rsidR="00133257" w:rsidRPr="00A5796B" w:rsidTr="00133257">
        <w:trPr>
          <w:trHeight w:val="150"/>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61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59"/>
        </w:trPr>
        <w:tc>
          <w:tcPr>
            <w:tcW w:w="7956" w:type="dxa"/>
            <w:gridSpan w:val="4"/>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Net Increase (Decrease) in Cash, Cash Equivalents and Restricted Cash</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r>
      <w:tr w:rsidR="00133257" w:rsidRPr="00A5796B" w:rsidTr="00133257">
        <w:trPr>
          <w:trHeight w:val="150"/>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61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59"/>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784" w:type="dxa"/>
            <w:gridSpan w:val="2"/>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Preliminary</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r>
      <w:tr w:rsidR="00133257" w:rsidRPr="00A5796B" w:rsidTr="00133257">
        <w:trPr>
          <w:trHeight w:val="259"/>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784" w:type="dxa"/>
            <w:gridSpan w:val="2"/>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2018</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 </w:t>
            </w:r>
          </w:p>
        </w:tc>
      </w:tr>
      <w:tr w:rsidR="00133257" w:rsidRPr="00A5796B" w:rsidTr="00133257">
        <w:trPr>
          <w:trHeight w:val="259"/>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Cash flows from operating activities</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w:t>
            </w:r>
          </w:p>
        </w:tc>
        <w:tc>
          <w:tcPr>
            <w:tcW w:w="1612"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 xml:space="preserve">             9,422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70"/>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Cash flows used in investing activities</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612"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 xml:space="preserve">            (4,499)</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70"/>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Cash flows used in financing activities</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612"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 xml:space="preserve">            (4,260)</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499"/>
        </w:trPr>
        <w:tc>
          <w:tcPr>
            <w:tcW w:w="6068" w:type="dxa"/>
            <w:tcBorders>
              <w:top w:val="nil"/>
              <w:left w:val="nil"/>
              <w:bottom w:val="nil"/>
              <w:right w:val="nil"/>
            </w:tcBorders>
            <w:shd w:val="clear" w:color="000000" w:fill="FFFFFF"/>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Effect of exchange rate changes on cash, cash equivalents and restricted cash</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72" w:type="dxa"/>
            <w:tcBorders>
              <w:top w:val="nil"/>
              <w:left w:val="nil"/>
              <w:bottom w:val="single" w:sz="4"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612" w:type="dxa"/>
            <w:tcBorders>
              <w:top w:val="nil"/>
              <w:left w:val="nil"/>
              <w:bottom w:val="single" w:sz="4" w:space="0" w:color="auto"/>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 xml:space="preserve">                (57)</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59"/>
        </w:trPr>
        <w:tc>
          <w:tcPr>
            <w:tcW w:w="6068" w:type="dxa"/>
            <w:tcBorders>
              <w:top w:val="nil"/>
              <w:left w:val="nil"/>
              <w:bottom w:val="nil"/>
              <w:right w:val="nil"/>
            </w:tcBorders>
            <w:shd w:val="clear" w:color="000000" w:fill="FFFFFF"/>
            <w:vAlign w:val="bottom"/>
            <w:hideMark/>
          </w:tcPr>
          <w:p w:rsidR="00133257" w:rsidRPr="00A5796B" w:rsidRDefault="00133257" w:rsidP="00133257">
            <w:pPr>
              <w:rPr>
                <w:rFonts w:ascii="Arial" w:hAnsi="Arial" w:cs="Arial"/>
                <w:sz w:val="20"/>
                <w:szCs w:val="20"/>
              </w:rPr>
            </w:pPr>
            <w:r>
              <w:rPr>
                <w:rFonts w:ascii="Arial" w:hAnsi="Arial" w:cs="Arial"/>
                <w:sz w:val="20"/>
                <w:szCs w:val="20"/>
              </w:rPr>
              <w:t xml:space="preserve">     </w:t>
            </w:r>
            <w:r w:rsidRPr="00A5796B">
              <w:rPr>
                <w:rFonts w:ascii="Arial" w:hAnsi="Arial" w:cs="Arial"/>
                <w:sz w:val="20"/>
                <w:szCs w:val="20"/>
              </w:rPr>
              <w:t>Net increase in cash, cash equivalents and restricted cash</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72" w:type="dxa"/>
            <w:tcBorders>
              <w:top w:val="nil"/>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w:t>
            </w:r>
          </w:p>
        </w:tc>
        <w:tc>
          <w:tcPr>
            <w:tcW w:w="1612" w:type="dxa"/>
            <w:tcBorders>
              <w:top w:val="nil"/>
              <w:left w:val="nil"/>
              <w:bottom w:val="double" w:sz="6" w:space="0" w:color="auto"/>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sidRPr="00A5796B">
              <w:rPr>
                <w:rFonts w:ascii="Arial" w:hAnsi="Arial" w:cs="Arial"/>
                <w:sz w:val="20"/>
                <w:szCs w:val="20"/>
              </w:rPr>
              <w:t xml:space="preserve">                606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150"/>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61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52"/>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61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59"/>
        </w:trPr>
        <w:tc>
          <w:tcPr>
            <w:tcW w:w="7956" w:type="dxa"/>
            <w:gridSpan w:val="4"/>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Reconciliation of Free Cash Flow (non-GAAP)</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150"/>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61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59"/>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784" w:type="dxa"/>
            <w:gridSpan w:val="2"/>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Preliminary</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59"/>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jc w:val="center"/>
              <w:rPr>
                <w:rFonts w:ascii="Arial" w:hAnsi="Arial" w:cs="Arial"/>
                <w:sz w:val="20"/>
                <w:szCs w:val="20"/>
              </w:rPr>
            </w:pPr>
            <w:r w:rsidRPr="00A5796B">
              <w:rPr>
                <w:rFonts w:ascii="Arial" w:hAnsi="Arial" w:cs="Arial"/>
                <w:sz w:val="20"/>
                <w:szCs w:val="20"/>
              </w:rPr>
              <w:t> </w:t>
            </w:r>
          </w:p>
        </w:tc>
        <w:tc>
          <w:tcPr>
            <w:tcW w:w="1784" w:type="dxa"/>
            <w:gridSpan w:val="2"/>
            <w:tcBorders>
              <w:top w:val="nil"/>
              <w:left w:val="nil"/>
              <w:bottom w:val="single" w:sz="4" w:space="0" w:color="auto"/>
              <w:right w:val="nil"/>
            </w:tcBorders>
            <w:shd w:val="clear" w:color="000000" w:fill="FFFFFF"/>
            <w:noWrap/>
            <w:vAlign w:val="bottom"/>
            <w:hideMark/>
          </w:tcPr>
          <w:p w:rsidR="00133257" w:rsidRPr="00A5796B" w:rsidRDefault="00133257" w:rsidP="00133257">
            <w:pPr>
              <w:jc w:val="center"/>
              <w:rPr>
                <w:rFonts w:ascii="Arial" w:hAnsi="Arial" w:cs="Arial"/>
                <w:b/>
                <w:bCs/>
                <w:sz w:val="20"/>
                <w:szCs w:val="20"/>
              </w:rPr>
            </w:pPr>
            <w:r w:rsidRPr="00A5796B">
              <w:rPr>
                <w:rFonts w:ascii="Arial" w:hAnsi="Arial" w:cs="Arial"/>
                <w:b/>
                <w:bCs/>
                <w:sz w:val="20"/>
                <w:szCs w:val="20"/>
              </w:rPr>
              <w:t>2018</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59"/>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Cash flows from operating activities (GAAP)</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w:t>
            </w:r>
          </w:p>
        </w:tc>
        <w:tc>
          <w:tcPr>
            <w:tcW w:w="1612" w:type="dxa"/>
            <w:tcBorders>
              <w:top w:val="nil"/>
              <w:left w:val="nil"/>
              <w:bottom w:val="nil"/>
              <w:right w:val="nil"/>
            </w:tcBorders>
            <w:shd w:val="clear" w:color="000000" w:fill="FFFFFF"/>
            <w:noWrap/>
            <w:vAlign w:val="bottom"/>
            <w:hideMark/>
          </w:tcPr>
          <w:p w:rsidR="00133257" w:rsidRPr="00A5796B" w:rsidRDefault="00133257" w:rsidP="00133257">
            <w:pPr>
              <w:jc w:val="right"/>
              <w:rPr>
                <w:rFonts w:ascii="Arial" w:hAnsi="Arial" w:cs="Arial"/>
                <w:sz w:val="20"/>
                <w:szCs w:val="20"/>
              </w:rPr>
            </w:pPr>
            <w:r>
              <w:rPr>
                <w:rFonts w:ascii="Arial" w:hAnsi="Arial" w:cs="Arial"/>
                <w:sz w:val="20"/>
                <w:szCs w:val="20"/>
              </w:rPr>
              <w:t xml:space="preserve">     </w:t>
            </w:r>
            <w:r w:rsidRPr="00A5796B">
              <w:rPr>
                <w:rFonts w:ascii="Arial" w:hAnsi="Arial" w:cs="Arial"/>
                <w:sz w:val="20"/>
                <w:szCs w:val="20"/>
              </w:rPr>
              <w:t xml:space="preserve">9,422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52"/>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Capital expenditures</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61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w:t>
            </w:r>
            <w:r>
              <w:rPr>
                <w:rFonts w:ascii="Arial" w:hAnsi="Arial" w:cs="Arial"/>
                <w:sz w:val="20"/>
                <w:szCs w:val="20"/>
              </w:rPr>
              <w:t xml:space="preserve"> </w:t>
            </w:r>
            <w:r w:rsidRPr="00A5796B">
              <w:rPr>
                <w:rFonts w:ascii="Arial" w:hAnsi="Arial" w:cs="Arial"/>
                <w:sz w:val="20"/>
                <w:szCs w:val="20"/>
              </w:rPr>
              <w:t xml:space="preserve">  (4,490)</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59"/>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Proceeds from disposals of PP&amp;E</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b/>
                <w:bCs/>
                <w:sz w:val="20"/>
                <w:szCs w:val="20"/>
              </w:rPr>
            </w:pPr>
            <w:r w:rsidRPr="00A5796B">
              <w:rPr>
                <w:rFonts w:ascii="Arial" w:hAnsi="Arial" w:cs="Arial"/>
                <w:b/>
                <w:bCs/>
                <w:sz w:val="20"/>
                <w:szCs w:val="20"/>
              </w:rPr>
              <w:t> </w:t>
            </w:r>
          </w:p>
        </w:tc>
        <w:tc>
          <w:tcPr>
            <w:tcW w:w="161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w:t>
            </w:r>
            <w:r>
              <w:rPr>
                <w:rFonts w:ascii="Arial" w:hAnsi="Arial" w:cs="Arial"/>
                <w:sz w:val="20"/>
                <w:szCs w:val="20"/>
              </w:rPr>
              <w:t xml:space="preserve">          </w:t>
            </w:r>
            <w:r w:rsidRPr="00A5796B">
              <w:rPr>
                <w:rFonts w:ascii="Arial" w:hAnsi="Arial" w:cs="Arial"/>
                <w:sz w:val="20"/>
                <w:szCs w:val="20"/>
              </w:rPr>
              <w:t xml:space="preserve"> 45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52"/>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Net change in finance receivables</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61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w:t>
            </w:r>
            <w:r>
              <w:rPr>
                <w:rFonts w:ascii="Arial" w:hAnsi="Arial" w:cs="Arial"/>
                <w:sz w:val="20"/>
                <w:szCs w:val="20"/>
              </w:rPr>
              <w:t xml:space="preserve">  </w:t>
            </w:r>
            <w:r w:rsidRPr="00A5796B">
              <w:rPr>
                <w:rFonts w:ascii="Arial" w:hAnsi="Arial" w:cs="Arial"/>
                <w:sz w:val="20"/>
                <w:szCs w:val="20"/>
              </w:rPr>
              <w:t xml:space="preserve">   (7)</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52"/>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Other investing activities</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7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612"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w:t>
            </w:r>
            <w:r>
              <w:rPr>
                <w:rFonts w:ascii="Arial" w:hAnsi="Arial" w:cs="Arial"/>
                <w:sz w:val="20"/>
                <w:szCs w:val="20"/>
              </w:rPr>
              <w:t xml:space="preserve">  </w:t>
            </w:r>
            <w:r w:rsidRPr="00A5796B">
              <w:rPr>
                <w:rFonts w:ascii="Arial" w:hAnsi="Arial" w:cs="Arial"/>
                <w:sz w:val="20"/>
                <w:szCs w:val="20"/>
              </w:rPr>
              <w:t xml:space="preserve"> (23)</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r w:rsidR="00133257" w:rsidRPr="00A5796B" w:rsidTr="00133257">
        <w:trPr>
          <w:trHeight w:val="259"/>
        </w:trPr>
        <w:tc>
          <w:tcPr>
            <w:tcW w:w="6068"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Free cash flow (non-GAAP)</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c>
          <w:tcPr>
            <w:tcW w:w="172" w:type="dxa"/>
            <w:tcBorders>
              <w:top w:val="single" w:sz="4" w:space="0" w:color="auto"/>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w:t>
            </w:r>
          </w:p>
        </w:tc>
        <w:tc>
          <w:tcPr>
            <w:tcW w:w="1612" w:type="dxa"/>
            <w:tcBorders>
              <w:top w:val="single" w:sz="4" w:space="0" w:color="auto"/>
              <w:left w:val="nil"/>
              <w:bottom w:val="double" w:sz="6" w:space="0" w:color="auto"/>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xml:space="preserve">           </w:t>
            </w:r>
            <w:r>
              <w:rPr>
                <w:rFonts w:ascii="Arial" w:hAnsi="Arial" w:cs="Arial"/>
                <w:sz w:val="20"/>
                <w:szCs w:val="20"/>
              </w:rPr>
              <w:t xml:space="preserve">  </w:t>
            </w:r>
            <w:r w:rsidRPr="00A5796B">
              <w:rPr>
                <w:rFonts w:ascii="Arial" w:hAnsi="Arial" w:cs="Arial"/>
                <w:sz w:val="20"/>
                <w:szCs w:val="20"/>
              </w:rPr>
              <w:t xml:space="preserve">  4,947 </w:t>
            </w:r>
          </w:p>
        </w:tc>
        <w:tc>
          <w:tcPr>
            <w:tcW w:w="104" w:type="dxa"/>
            <w:tcBorders>
              <w:top w:val="nil"/>
              <w:left w:val="nil"/>
              <w:bottom w:val="nil"/>
              <w:right w:val="nil"/>
            </w:tcBorders>
            <w:shd w:val="clear" w:color="000000" w:fill="FFFFFF"/>
            <w:noWrap/>
            <w:vAlign w:val="bottom"/>
            <w:hideMark/>
          </w:tcPr>
          <w:p w:rsidR="00133257" w:rsidRPr="00A5796B" w:rsidRDefault="00133257" w:rsidP="00133257">
            <w:pPr>
              <w:rPr>
                <w:rFonts w:ascii="Arial" w:hAnsi="Arial" w:cs="Arial"/>
                <w:sz w:val="20"/>
                <w:szCs w:val="20"/>
              </w:rPr>
            </w:pPr>
            <w:r w:rsidRPr="00A5796B">
              <w:rPr>
                <w:rFonts w:ascii="Arial" w:hAnsi="Arial" w:cs="Arial"/>
                <w:sz w:val="20"/>
                <w:szCs w:val="20"/>
              </w:rPr>
              <w:t> </w:t>
            </w:r>
          </w:p>
        </w:tc>
      </w:tr>
    </w:tbl>
    <w:p w:rsidR="00133257" w:rsidRDefault="00133257" w:rsidP="00133257">
      <w:pPr>
        <w:tabs>
          <w:tab w:val="left" w:pos="720"/>
        </w:tabs>
        <w:ind w:right="720"/>
        <w:rPr>
          <w:rFonts w:ascii="Arial" w:hAnsi="Arial" w:cs="Arial"/>
          <w:b/>
          <w:sz w:val="22"/>
        </w:rPr>
      </w:pPr>
    </w:p>
    <w:p w:rsidR="001B00F3" w:rsidRDefault="001B00F3" w:rsidP="00133257">
      <w:pPr>
        <w:rPr>
          <w:rFonts w:ascii="Arial" w:hAnsi="Arial" w:cs="Arial"/>
          <w:b/>
          <w:sz w:val="22"/>
        </w:rPr>
      </w:pPr>
    </w:p>
    <w:sectPr w:rsidR="001B00F3" w:rsidSect="000346B8">
      <w:headerReference w:type="default" r:id="rId14"/>
      <w:footerReference w:type="default" r:id="rId15"/>
      <w:headerReference w:type="first" r:id="rId16"/>
      <w:footerReference w:type="first" r:id="rId1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8D7" w:rsidRDefault="001308D7">
      <w:r>
        <w:separator/>
      </w:r>
    </w:p>
  </w:endnote>
  <w:endnote w:type="continuationSeparator" w:id="0">
    <w:p w:rsidR="001308D7" w:rsidRDefault="001308D7">
      <w:r>
        <w:continuationSeparator/>
      </w:r>
    </w:p>
  </w:endnote>
  <w:endnote w:type="continuationNotice" w:id="1">
    <w:p w:rsidR="001308D7" w:rsidRDefault="00130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62" w:rsidRPr="00034414" w:rsidRDefault="00FD6262" w:rsidP="00034414">
    <w:pPr>
      <w:pStyle w:val="Footer"/>
      <w:rPr>
        <w:rFonts w:ascii="Arial" w:hAnsi="Arial" w:cs="Arial"/>
      </w:rPr>
    </w:pPr>
    <w:r>
      <w:rPr>
        <w:rFonts w:ascii="Arial" w:hAnsi="Arial" w:cs="Arial"/>
      </w:rPr>
      <w:tab/>
    </w:r>
    <w:r>
      <w:rPr>
        <w:rFonts w:ascii="Arial" w:hAnsi="Arial" w:cs="Arial"/>
      </w:rPr>
      <w:tab/>
    </w:r>
  </w:p>
  <w:p w:rsidR="00FD6262" w:rsidRDefault="00FD6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62" w:rsidRPr="00034414" w:rsidRDefault="00FD6262" w:rsidP="00034414">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8D7" w:rsidRDefault="001308D7">
      <w:r>
        <w:separator/>
      </w:r>
    </w:p>
  </w:footnote>
  <w:footnote w:type="continuationSeparator" w:id="0">
    <w:p w:rsidR="001308D7" w:rsidRDefault="001308D7">
      <w:r>
        <w:continuationSeparator/>
      </w:r>
    </w:p>
  </w:footnote>
  <w:footnote w:type="continuationNotice" w:id="1">
    <w:p w:rsidR="001308D7" w:rsidRDefault="00130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62" w:rsidRPr="000346B8" w:rsidRDefault="00FD6262" w:rsidP="000346B8">
    <w:pPr>
      <w:pStyle w:val="Header"/>
      <w:tabs>
        <w:tab w:val="clear" w:pos="4320"/>
        <w:tab w:val="center" w:pos="0"/>
        <w:tab w:val="left" w:pos="4665"/>
      </w:tabs>
      <w:ind w:left="3240" w:hanging="3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62" w:rsidRPr="004B2151" w:rsidRDefault="00FD6262" w:rsidP="00454C84">
    <w:pPr>
      <w:pStyle w:val="Header"/>
      <w:tabs>
        <w:tab w:val="clear" w:pos="4320"/>
        <w:tab w:val="center" w:pos="0"/>
        <w:tab w:val="left" w:pos="3171"/>
        <w:tab w:val="left" w:pos="4665"/>
      </w:tabs>
      <w:ind w:left="3240" w:hanging="3420"/>
      <w:rPr>
        <w:rFonts w:ascii="Arial" w:hAnsi="Arial" w:cs="Arial"/>
        <w:b/>
        <w:color w:val="FF0000"/>
        <w:sz w:val="18"/>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246F"/>
    <w:multiLevelType w:val="hybridMultilevel"/>
    <w:tmpl w:val="E936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E1277"/>
    <w:multiLevelType w:val="hybridMultilevel"/>
    <w:tmpl w:val="010A3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092F89"/>
    <w:multiLevelType w:val="hybridMultilevel"/>
    <w:tmpl w:val="A57C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D5CD5"/>
    <w:multiLevelType w:val="hybridMultilevel"/>
    <w:tmpl w:val="2482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12482"/>
    <w:multiLevelType w:val="hybridMultilevel"/>
    <w:tmpl w:val="6DF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95787"/>
    <w:multiLevelType w:val="hybridMultilevel"/>
    <w:tmpl w:val="330E2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971B6"/>
    <w:multiLevelType w:val="hybridMultilevel"/>
    <w:tmpl w:val="2E8C32FA"/>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114725"/>
    <w:multiLevelType w:val="hybridMultilevel"/>
    <w:tmpl w:val="35D21A20"/>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ED5084"/>
    <w:multiLevelType w:val="hybridMultilevel"/>
    <w:tmpl w:val="E2126FE0"/>
    <w:lvl w:ilvl="0" w:tplc="03064C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2024C60"/>
    <w:multiLevelType w:val="hybridMultilevel"/>
    <w:tmpl w:val="81040D1A"/>
    <w:lvl w:ilvl="0" w:tplc="CE8205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6306A"/>
    <w:multiLevelType w:val="hybridMultilevel"/>
    <w:tmpl w:val="64A6B5D8"/>
    <w:lvl w:ilvl="0" w:tplc="A48C0C84">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43793D"/>
    <w:multiLevelType w:val="hybridMultilevel"/>
    <w:tmpl w:val="46860498"/>
    <w:lvl w:ilvl="0" w:tplc="A454CC3A">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C7720"/>
    <w:multiLevelType w:val="hybridMultilevel"/>
    <w:tmpl w:val="079E9038"/>
    <w:lvl w:ilvl="0" w:tplc="40AC6FAE">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01910"/>
    <w:multiLevelType w:val="hybridMultilevel"/>
    <w:tmpl w:val="29420FCE"/>
    <w:lvl w:ilvl="0" w:tplc="F0D241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328DD"/>
    <w:multiLevelType w:val="hybridMultilevel"/>
    <w:tmpl w:val="0C0687CA"/>
    <w:lvl w:ilvl="0" w:tplc="9F52A5A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1278F1"/>
    <w:multiLevelType w:val="hybridMultilevel"/>
    <w:tmpl w:val="FABC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7F5E"/>
    <w:multiLevelType w:val="hybridMultilevel"/>
    <w:tmpl w:val="987427E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8" w15:restartNumberingAfterBreak="0">
    <w:nsid w:val="3DA65CB6"/>
    <w:multiLevelType w:val="hybridMultilevel"/>
    <w:tmpl w:val="15DAD0EA"/>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EA6B16"/>
    <w:multiLevelType w:val="hybridMultilevel"/>
    <w:tmpl w:val="A07C3FE6"/>
    <w:lvl w:ilvl="0" w:tplc="FD041E52">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B3614"/>
    <w:multiLevelType w:val="hybridMultilevel"/>
    <w:tmpl w:val="ACD2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C270F"/>
    <w:multiLevelType w:val="hybridMultilevel"/>
    <w:tmpl w:val="C2F6F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1446E8"/>
    <w:multiLevelType w:val="hybridMultilevel"/>
    <w:tmpl w:val="C87A7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660BE7"/>
    <w:multiLevelType w:val="hybridMultilevel"/>
    <w:tmpl w:val="9EA4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25" w15:restartNumberingAfterBreak="0">
    <w:nsid w:val="4D114AC9"/>
    <w:multiLevelType w:val="hybridMultilevel"/>
    <w:tmpl w:val="ABD46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3367AF"/>
    <w:multiLevelType w:val="hybridMultilevel"/>
    <w:tmpl w:val="2DDA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D4FCD"/>
    <w:multiLevelType w:val="hybridMultilevel"/>
    <w:tmpl w:val="8368D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3A53A4"/>
    <w:multiLevelType w:val="hybridMultilevel"/>
    <w:tmpl w:val="0B6C9C8E"/>
    <w:lvl w:ilvl="0" w:tplc="05B8A838">
      <w:numFmt w:val="bullet"/>
      <w:lvlText w:val=""/>
      <w:lvlJc w:val="left"/>
      <w:pPr>
        <w:tabs>
          <w:tab w:val="num" w:pos="1875"/>
        </w:tabs>
        <w:ind w:left="1875" w:hanging="1155"/>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D422CA"/>
    <w:multiLevelType w:val="hybridMultilevel"/>
    <w:tmpl w:val="D2DCD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2D4DC5"/>
    <w:multiLevelType w:val="hybridMultilevel"/>
    <w:tmpl w:val="9EDA9F5A"/>
    <w:lvl w:ilvl="0" w:tplc="50BA42AE">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7416D"/>
    <w:multiLevelType w:val="hybridMultilevel"/>
    <w:tmpl w:val="7406A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B62ABC"/>
    <w:multiLevelType w:val="hybridMultilevel"/>
    <w:tmpl w:val="9D52D9DC"/>
    <w:lvl w:ilvl="0" w:tplc="2CCCE3C6">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D1B9B"/>
    <w:multiLevelType w:val="hybridMultilevel"/>
    <w:tmpl w:val="4C026E5E"/>
    <w:lvl w:ilvl="0" w:tplc="A3A46A52">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C4735"/>
    <w:multiLevelType w:val="hybridMultilevel"/>
    <w:tmpl w:val="0BE8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DB7C5A"/>
    <w:multiLevelType w:val="hybridMultilevel"/>
    <w:tmpl w:val="7898D7FA"/>
    <w:lvl w:ilvl="0" w:tplc="7F8C7F62">
      <w:start w:val="21"/>
      <w:numFmt w:val="bullet"/>
      <w:lvlText w:val=""/>
      <w:lvlJc w:val="left"/>
      <w:pPr>
        <w:tabs>
          <w:tab w:val="num" w:pos="1665"/>
        </w:tabs>
        <w:ind w:left="1665" w:hanging="945"/>
      </w:pPr>
      <w:rPr>
        <w:rFonts w:ascii="Wingdings" w:eastAsia="Times New Roman" w:hAnsi="Wingdings" w:hint="default"/>
      </w:rPr>
    </w:lvl>
    <w:lvl w:ilvl="1" w:tplc="2206BADA">
      <w:start w:val="40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BA6D2D"/>
    <w:multiLevelType w:val="hybridMultilevel"/>
    <w:tmpl w:val="BDFA9068"/>
    <w:lvl w:ilvl="0" w:tplc="B49EAF54">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333CD"/>
    <w:multiLevelType w:val="hybridMultilevel"/>
    <w:tmpl w:val="EE165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6BE758BF"/>
    <w:multiLevelType w:val="hybridMultilevel"/>
    <w:tmpl w:val="B8CAB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3F21FD"/>
    <w:multiLevelType w:val="hybridMultilevel"/>
    <w:tmpl w:val="422AAA66"/>
    <w:lvl w:ilvl="0" w:tplc="7F8C7F62">
      <w:start w:val="21"/>
      <w:numFmt w:val="bullet"/>
      <w:lvlText w:val=""/>
      <w:lvlJc w:val="left"/>
      <w:pPr>
        <w:tabs>
          <w:tab w:val="num" w:pos="1665"/>
        </w:tabs>
        <w:ind w:left="1665" w:hanging="94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957849"/>
    <w:multiLevelType w:val="hybridMultilevel"/>
    <w:tmpl w:val="B538CE96"/>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06228DE"/>
    <w:multiLevelType w:val="hybridMultilevel"/>
    <w:tmpl w:val="32009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D73542"/>
    <w:multiLevelType w:val="hybridMultilevel"/>
    <w:tmpl w:val="B84E1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97B4866"/>
    <w:multiLevelType w:val="hybridMultilevel"/>
    <w:tmpl w:val="67DCBAF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4" w15:restartNumberingAfterBreak="0">
    <w:nsid w:val="7B5B1C2B"/>
    <w:multiLevelType w:val="hybridMultilevel"/>
    <w:tmpl w:val="C98CB2A4"/>
    <w:lvl w:ilvl="0" w:tplc="F20E87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C953657"/>
    <w:multiLevelType w:val="hybridMultilevel"/>
    <w:tmpl w:val="9CE0ADC2"/>
    <w:lvl w:ilvl="0" w:tplc="B0D0CC8C">
      <w:start w:val="2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42"/>
  </w:num>
  <w:num w:numId="3">
    <w:abstractNumId w:val="28"/>
  </w:num>
  <w:num w:numId="4">
    <w:abstractNumId w:val="21"/>
  </w:num>
  <w:num w:numId="5">
    <w:abstractNumId w:val="18"/>
  </w:num>
  <w:num w:numId="6">
    <w:abstractNumId w:val="7"/>
  </w:num>
  <w:num w:numId="7">
    <w:abstractNumId w:val="10"/>
  </w:num>
  <w:num w:numId="8">
    <w:abstractNumId w:val="39"/>
  </w:num>
  <w:num w:numId="9">
    <w:abstractNumId w:val="35"/>
  </w:num>
  <w:num w:numId="10">
    <w:abstractNumId w:val="34"/>
  </w:num>
  <w:num w:numId="11">
    <w:abstractNumId w:val="31"/>
  </w:num>
  <w:num w:numId="12">
    <w:abstractNumId w:val="44"/>
  </w:num>
  <w:num w:numId="13">
    <w:abstractNumId w:val="40"/>
  </w:num>
  <w:num w:numId="14">
    <w:abstractNumId w:val="6"/>
  </w:num>
  <w:num w:numId="15">
    <w:abstractNumId w:val="25"/>
  </w:num>
  <w:num w:numId="16">
    <w:abstractNumId w:val="0"/>
  </w:num>
  <w:num w:numId="17">
    <w:abstractNumId w:val="16"/>
  </w:num>
  <w:num w:numId="18">
    <w:abstractNumId w:val="20"/>
  </w:num>
  <w:num w:numId="19">
    <w:abstractNumId w:val="13"/>
  </w:num>
  <w:num w:numId="20">
    <w:abstractNumId w:val="26"/>
  </w:num>
  <w:num w:numId="21">
    <w:abstractNumId w:val="2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43"/>
  </w:num>
  <w:num w:numId="32">
    <w:abstractNumId w:val="41"/>
  </w:num>
  <w:num w:numId="33">
    <w:abstractNumId w:val="45"/>
  </w:num>
  <w:num w:numId="34">
    <w:abstractNumId w:val="19"/>
  </w:num>
  <w:num w:numId="35">
    <w:abstractNumId w:val="14"/>
  </w:num>
  <w:num w:numId="36">
    <w:abstractNumId w:val="17"/>
  </w:num>
  <w:num w:numId="37">
    <w:abstractNumId w:val="37"/>
  </w:num>
  <w:num w:numId="38">
    <w:abstractNumId w:val="3"/>
  </w:num>
  <w:num w:numId="39">
    <w:abstractNumId w:val="12"/>
  </w:num>
  <w:num w:numId="40">
    <w:abstractNumId w:val="32"/>
  </w:num>
  <w:num w:numId="41">
    <w:abstractNumId w:val="30"/>
  </w:num>
  <w:num w:numId="42">
    <w:abstractNumId w:val="11"/>
  </w:num>
  <w:num w:numId="43">
    <w:abstractNumId w:val="36"/>
  </w:num>
  <w:num w:numId="44">
    <w:abstractNumId w:val="5"/>
  </w:num>
  <w:num w:numId="45">
    <w:abstractNumId w:val="4"/>
  </w:num>
  <w:num w:numId="46">
    <w:abstractNumId w:val="27"/>
  </w:num>
  <w:num w:numId="47">
    <w:abstractNumId w:val="33"/>
  </w:num>
  <w:num w:numId="48">
    <w:abstractNumId w:val="2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E9"/>
    <w:rsid w:val="000001AA"/>
    <w:rsid w:val="000009CE"/>
    <w:rsid w:val="00000BEC"/>
    <w:rsid w:val="00000C78"/>
    <w:rsid w:val="00000CF0"/>
    <w:rsid w:val="00000D48"/>
    <w:rsid w:val="00001817"/>
    <w:rsid w:val="00001EF4"/>
    <w:rsid w:val="00002310"/>
    <w:rsid w:val="0000265D"/>
    <w:rsid w:val="000029E9"/>
    <w:rsid w:val="000036E3"/>
    <w:rsid w:val="00003D72"/>
    <w:rsid w:val="000046CC"/>
    <w:rsid w:val="00004702"/>
    <w:rsid w:val="000047B3"/>
    <w:rsid w:val="000048BC"/>
    <w:rsid w:val="000050AA"/>
    <w:rsid w:val="000057C1"/>
    <w:rsid w:val="0000599F"/>
    <w:rsid w:val="00006B7B"/>
    <w:rsid w:val="00007181"/>
    <w:rsid w:val="0001037D"/>
    <w:rsid w:val="00010EF6"/>
    <w:rsid w:val="00010EFA"/>
    <w:rsid w:val="0001150F"/>
    <w:rsid w:val="0001185A"/>
    <w:rsid w:val="00011AEF"/>
    <w:rsid w:val="00012B1F"/>
    <w:rsid w:val="0001368F"/>
    <w:rsid w:val="000138EB"/>
    <w:rsid w:val="000139B5"/>
    <w:rsid w:val="00013BB0"/>
    <w:rsid w:val="00013EA6"/>
    <w:rsid w:val="00014512"/>
    <w:rsid w:val="000152E7"/>
    <w:rsid w:val="00015BC1"/>
    <w:rsid w:val="00016177"/>
    <w:rsid w:val="00016298"/>
    <w:rsid w:val="00016696"/>
    <w:rsid w:val="00016926"/>
    <w:rsid w:val="00016A51"/>
    <w:rsid w:val="00017619"/>
    <w:rsid w:val="00017624"/>
    <w:rsid w:val="000209FE"/>
    <w:rsid w:val="00020C36"/>
    <w:rsid w:val="00020EE2"/>
    <w:rsid w:val="00021289"/>
    <w:rsid w:val="0002227F"/>
    <w:rsid w:val="000223B2"/>
    <w:rsid w:val="00023555"/>
    <w:rsid w:val="000238FA"/>
    <w:rsid w:val="00024A62"/>
    <w:rsid w:val="00024AC7"/>
    <w:rsid w:val="00025957"/>
    <w:rsid w:val="00025ECA"/>
    <w:rsid w:val="000270C6"/>
    <w:rsid w:val="00030419"/>
    <w:rsid w:val="0003069C"/>
    <w:rsid w:val="00030EE2"/>
    <w:rsid w:val="000314AD"/>
    <w:rsid w:val="000314D4"/>
    <w:rsid w:val="00031BA6"/>
    <w:rsid w:val="00032756"/>
    <w:rsid w:val="0003277E"/>
    <w:rsid w:val="00032B7A"/>
    <w:rsid w:val="00032F33"/>
    <w:rsid w:val="00033409"/>
    <w:rsid w:val="00033412"/>
    <w:rsid w:val="00033574"/>
    <w:rsid w:val="00034084"/>
    <w:rsid w:val="00034414"/>
    <w:rsid w:val="000346B8"/>
    <w:rsid w:val="00034F95"/>
    <w:rsid w:val="00035AB9"/>
    <w:rsid w:val="000366A1"/>
    <w:rsid w:val="00036A2B"/>
    <w:rsid w:val="00036D8B"/>
    <w:rsid w:val="000370F6"/>
    <w:rsid w:val="000378FA"/>
    <w:rsid w:val="00037CBD"/>
    <w:rsid w:val="0004026C"/>
    <w:rsid w:val="000403BB"/>
    <w:rsid w:val="00041C86"/>
    <w:rsid w:val="0004240D"/>
    <w:rsid w:val="000430CB"/>
    <w:rsid w:val="00044659"/>
    <w:rsid w:val="00044773"/>
    <w:rsid w:val="00044B0F"/>
    <w:rsid w:val="00044D21"/>
    <w:rsid w:val="00044E4A"/>
    <w:rsid w:val="00044E7A"/>
    <w:rsid w:val="00044EE9"/>
    <w:rsid w:val="0004507D"/>
    <w:rsid w:val="00046D73"/>
    <w:rsid w:val="00047024"/>
    <w:rsid w:val="00050B3D"/>
    <w:rsid w:val="00050EEC"/>
    <w:rsid w:val="00051155"/>
    <w:rsid w:val="000519C8"/>
    <w:rsid w:val="00052042"/>
    <w:rsid w:val="00052501"/>
    <w:rsid w:val="00053814"/>
    <w:rsid w:val="0005470C"/>
    <w:rsid w:val="000555D7"/>
    <w:rsid w:val="00055ABC"/>
    <w:rsid w:val="00055C69"/>
    <w:rsid w:val="00055EAA"/>
    <w:rsid w:val="00056BB6"/>
    <w:rsid w:val="00057025"/>
    <w:rsid w:val="00057381"/>
    <w:rsid w:val="000574CB"/>
    <w:rsid w:val="0005777D"/>
    <w:rsid w:val="00057816"/>
    <w:rsid w:val="000601AD"/>
    <w:rsid w:val="000605FD"/>
    <w:rsid w:val="00060E93"/>
    <w:rsid w:val="00061559"/>
    <w:rsid w:val="0006242B"/>
    <w:rsid w:val="000625E9"/>
    <w:rsid w:val="00062C26"/>
    <w:rsid w:val="00062CEA"/>
    <w:rsid w:val="00063266"/>
    <w:rsid w:val="00063957"/>
    <w:rsid w:val="00063A5B"/>
    <w:rsid w:val="000640A6"/>
    <w:rsid w:val="00064925"/>
    <w:rsid w:val="00065863"/>
    <w:rsid w:val="00065DAD"/>
    <w:rsid w:val="00065E6A"/>
    <w:rsid w:val="00066105"/>
    <w:rsid w:val="00066B00"/>
    <w:rsid w:val="00066E53"/>
    <w:rsid w:val="00066EC9"/>
    <w:rsid w:val="0006734E"/>
    <w:rsid w:val="00070311"/>
    <w:rsid w:val="00070680"/>
    <w:rsid w:val="00070906"/>
    <w:rsid w:val="00071848"/>
    <w:rsid w:val="00071CA3"/>
    <w:rsid w:val="00072B36"/>
    <w:rsid w:val="00072E8E"/>
    <w:rsid w:val="000731C1"/>
    <w:rsid w:val="0007321E"/>
    <w:rsid w:val="00073733"/>
    <w:rsid w:val="000737F6"/>
    <w:rsid w:val="00075C3F"/>
    <w:rsid w:val="000766C5"/>
    <w:rsid w:val="00076B83"/>
    <w:rsid w:val="000775B1"/>
    <w:rsid w:val="00080389"/>
    <w:rsid w:val="000812AA"/>
    <w:rsid w:val="00081E6A"/>
    <w:rsid w:val="000822DE"/>
    <w:rsid w:val="00082D8C"/>
    <w:rsid w:val="00082F78"/>
    <w:rsid w:val="00083090"/>
    <w:rsid w:val="000832F9"/>
    <w:rsid w:val="00084353"/>
    <w:rsid w:val="00084379"/>
    <w:rsid w:val="0008447A"/>
    <w:rsid w:val="0008498E"/>
    <w:rsid w:val="00084CBC"/>
    <w:rsid w:val="00085354"/>
    <w:rsid w:val="00085810"/>
    <w:rsid w:val="000866E0"/>
    <w:rsid w:val="00086F86"/>
    <w:rsid w:val="000903AC"/>
    <w:rsid w:val="00090BCB"/>
    <w:rsid w:val="00090C7C"/>
    <w:rsid w:val="00090CFB"/>
    <w:rsid w:val="0009111F"/>
    <w:rsid w:val="00091121"/>
    <w:rsid w:val="000913F0"/>
    <w:rsid w:val="00091577"/>
    <w:rsid w:val="00091710"/>
    <w:rsid w:val="00092E79"/>
    <w:rsid w:val="00093487"/>
    <w:rsid w:val="00094F32"/>
    <w:rsid w:val="0009544A"/>
    <w:rsid w:val="000954C0"/>
    <w:rsid w:val="000959E5"/>
    <w:rsid w:val="00095A24"/>
    <w:rsid w:val="00097F41"/>
    <w:rsid w:val="00097FCE"/>
    <w:rsid w:val="000A0456"/>
    <w:rsid w:val="000A0B78"/>
    <w:rsid w:val="000A1A16"/>
    <w:rsid w:val="000A1D88"/>
    <w:rsid w:val="000A2085"/>
    <w:rsid w:val="000A2356"/>
    <w:rsid w:val="000A2671"/>
    <w:rsid w:val="000A381B"/>
    <w:rsid w:val="000A3AE6"/>
    <w:rsid w:val="000A505A"/>
    <w:rsid w:val="000A5590"/>
    <w:rsid w:val="000A67E7"/>
    <w:rsid w:val="000A68CB"/>
    <w:rsid w:val="000A6918"/>
    <w:rsid w:val="000A6B8C"/>
    <w:rsid w:val="000A77DA"/>
    <w:rsid w:val="000B0B29"/>
    <w:rsid w:val="000B20CF"/>
    <w:rsid w:val="000B2AE2"/>
    <w:rsid w:val="000B3497"/>
    <w:rsid w:val="000B3C08"/>
    <w:rsid w:val="000B3C30"/>
    <w:rsid w:val="000B442C"/>
    <w:rsid w:val="000B4CC5"/>
    <w:rsid w:val="000B5CF8"/>
    <w:rsid w:val="000B7D22"/>
    <w:rsid w:val="000C06F5"/>
    <w:rsid w:val="000C0B9E"/>
    <w:rsid w:val="000C0DDC"/>
    <w:rsid w:val="000C1699"/>
    <w:rsid w:val="000C1966"/>
    <w:rsid w:val="000C1AC5"/>
    <w:rsid w:val="000C1E48"/>
    <w:rsid w:val="000C2F8C"/>
    <w:rsid w:val="000C36E1"/>
    <w:rsid w:val="000C3A24"/>
    <w:rsid w:val="000C3C38"/>
    <w:rsid w:val="000C3CD2"/>
    <w:rsid w:val="000C41DE"/>
    <w:rsid w:val="000C46BA"/>
    <w:rsid w:val="000C627C"/>
    <w:rsid w:val="000C63BC"/>
    <w:rsid w:val="000C6BEC"/>
    <w:rsid w:val="000C7151"/>
    <w:rsid w:val="000C744F"/>
    <w:rsid w:val="000C75C2"/>
    <w:rsid w:val="000C772F"/>
    <w:rsid w:val="000D0E02"/>
    <w:rsid w:val="000D19DD"/>
    <w:rsid w:val="000D1DDA"/>
    <w:rsid w:val="000D2521"/>
    <w:rsid w:val="000D4493"/>
    <w:rsid w:val="000D4587"/>
    <w:rsid w:val="000D584D"/>
    <w:rsid w:val="000D66BE"/>
    <w:rsid w:val="000D6778"/>
    <w:rsid w:val="000D6DF8"/>
    <w:rsid w:val="000D7811"/>
    <w:rsid w:val="000D78F7"/>
    <w:rsid w:val="000D7D48"/>
    <w:rsid w:val="000E02CF"/>
    <w:rsid w:val="000E0603"/>
    <w:rsid w:val="000E066F"/>
    <w:rsid w:val="000E0F0A"/>
    <w:rsid w:val="000E10CD"/>
    <w:rsid w:val="000E16F8"/>
    <w:rsid w:val="000E1AE0"/>
    <w:rsid w:val="000E26D5"/>
    <w:rsid w:val="000E2A63"/>
    <w:rsid w:val="000E2CAE"/>
    <w:rsid w:val="000E3F10"/>
    <w:rsid w:val="000E4053"/>
    <w:rsid w:val="000E40E0"/>
    <w:rsid w:val="000E4408"/>
    <w:rsid w:val="000E5379"/>
    <w:rsid w:val="000E6019"/>
    <w:rsid w:val="000E624D"/>
    <w:rsid w:val="000E6D0D"/>
    <w:rsid w:val="000E7712"/>
    <w:rsid w:val="000F03F7"/>
    <w:rsid w:val="000F1CE4"/>
    <w:rsid w:val="000F1D36"/>
    <w:rsid w:val="000F1F16"/>
    <w:rsid w:val="000F2042"/>
    <w:rsid w:val="000F2273"/>
    <w:rsid w:val="000F2933"/>
    <w:rsid w:val="000F2B05"/>
    <w:rsid w:val="000F2FEA"/>
    <w:rsid w:val="000F383E"/>
    <w:rsid w:val="000F41A5"/>
    <w:rsid w:val="000F4369"/>
    <w:rsid w:val="000F479D"/>
    <w:rsid w:val="000F52FC"/>
    <w:rsid w:val="000F5B11"/>
    <w:rsid w:val="000F5B30"/>
    <w:rsid w:val="000F5C47"/>
    <w:rsid w:val="000F6837"/>
    <w:rsid w:val="000F68C4"/>
    <w:rsid w:val="00100269"/>
    <w:rsid w:val="00100F59"/>
    <w:rsid w:val="00101242"/>
    <w:rsid w:val="00101274"/>
    <w:rsid w:val="00101735"/>
    <w:rsid w:val="001022AC"/>
    <w:rsid w:val="0010236F"/>
    <w:rsid w:val="0010313A"/>
    <w:rsid w:val="001031FE"/>
    <w:rsid w:val="0010360F"/>
    <w:rsid w:val="00103DEB"/>
    <w:rsid w:val="001049FC"/>
    <w:rsid w:val="00104AC9"/>
    <w:rsid w:val="001051B4"/>
    <w:rsid w:val="00105EB9"/>
    <w:rsid w:val="00106029"/>
    <w:rsid w:val="00107994"/>
    <w:rsid w:val="00107CA6"/>
    <w:rsid w:val="00110702"/>
    <w:rsid w:val="00110FB5"/>
    <w:rsid w:val="0011100D"/>
    <w:rsid w:val="001113E3"/>
    <w:rsid w:val="00111BC6"/>
    <w:rsid w:val="00112141"/>
    <w:rsid w:val="00112783"/>
    <w:rsid w:val="00112808"/>
    <w:rsid w:val="00112C0B"/>
    <w:rsid w:val="00113F78"/>
    <w:rsid w:val="0011448C"/>
    <w:rsid w:val="00114FED"/>
    <w:rsid w:val="00115A17"/>
    <w:rsid w:val="00115FD4"/>
    <w:rsid w:val="0011639D"/>
    <w:rsid w:val="001170A5"/>
    <w:rsid w:val="001179E3"/>
    <w:rsid w:val="0012056F"/>
    <w:rsid w:val="0012084A"/>
    <w:rsid w:val="00120BAB"/>
    <w:rsid w:val="00120EF6"/>
    <w:rsid w:val="00121323"/>
    <w:rsid w:val="001214B2"/>
    <w:rsid w:val="00121A07"/>
    <w:rsid w:val="001228D4"/>
    <w:rsid w:val="00123815"/>
    <w:rsid w:val="001239F6"/>
    <w:rsid w:val="00123A5B"/>
    <w:rsid w:val="00124D39"/>
    <w:rsid w:val="00125916"/>
    <w:rsid w:val="00126151"/>
    <w:rsid w:val="001262B3"/>
    <w:rsid w:val="0012670D"/>
    <w:rsid w:val="00126BB6"/>
    <w:rsid w:val="00126DED"/>
    <w:rsid w:val="00127993"/>
    <w:rsid w:val="00127D26"/>
    <w:rsid w:val="001303EA"/>
    <w:rsid w:val="001308D7"/>
    <w:rsid w:val="00130B44"/>
    <w:rsid w:val="00131B97"/>
    <w:rsid w:val="00131BA1"/>
    <w:rsid w:val="00132068"/>
    <w:rsid w:val="00132DF4"/>
    <w:rsid w:val="00133257"/>
    <w:rsid w:val="00133D62"/>
    <w:rsid w:val="0013469F"/>
    <w:rsid w:val="001375F9"/>
    <w:rsid w:val="00137C83"/>
    <w:rsid w:val="00137E23"/>
    <w:rsid w:val="0014005D"/>
    <w:rsid w:val="001410EB"/>
    <w:rsid w:val="00141755"/>
    <w:rsid w:val="001423E9"/>
    <w:rsid w:val="00142542"/>
    <w:rsid w:val="001427D7"/>
    <w:rsid w:val="00142850"/>
    <w:rsid w:val="001436B0"/>
    <w:rsid w:val="00143EEF"/>
    <w:rsid w:val="0014456D"/>
    <w:rsid w:val="00144BC1"/>
    <w:rsid w:val="00144E1A"/>
    <w:rsid w:val="0014511D"/>
    <w:rsid w:val="001457EA"/>
    <w:rsid w:val="00145A21"/>
    <w:rsid w:val="00147835"/>
    <w:rsid w:val="001478CF"/>
    <w:rsid w:val="00150193"/>
    <w:rsid w:val="00150D05"/>
    <w:rsid w:val="00151563"/>
    <w:rsid w:val="00151D74"/>
    <w:rsid w:val="001521FA"/>
    <w:rsid w:val="0015257B"/>
    <w:rsid w:val="00152718"/>
    <w:rsid w:val="001532F3"/>
    <w:rsid w:val="00153395"/>
    <w:rsid w:val="0015414E"/>
    <w:rsid w:val="001542F1"/>
    <w:rsid w:val="00154BB1"/>
    <w:rsid w:val="00155EBB"/>
    <w:rsid w:val="00156195"/>
    <w:rsid w:val="00156DF2"/>
    <w:rsid w:val="00156F5B"/>
    <w:rsid w:val="00157767"/>
    <w:rsid w:val="00157A97"/>
    <w:rsid w:val="00160340"/>
    <w:rsid w:val="00160D2D"/>
    <w:rsid w:val="00160D86"/>
    <w:rsid w:val="0016119F"/>
    <w:rsid w:val="001616A3"/>
    <w:rsid w:val="00161CF1"/>
    <w:rsid w:val="001622AC"/>
    <w:rsid w:val="00162389"/>
    <w:rsid w:val="00162471"/>
    <w:rsid w:val="001627B6"/>
    <w:rsid w:val="00162B54"/>
    <w:rsid w:val="00163342"/>
    <w:rsid w:val="001633A4"/>
    <w:rsid w:val="001635E1"/>
    <w:rsid w:val="001637BF"/>
    <w:rsid w:val="001640E5"/>
    <w:rsid w:val="001644E8"/>
    <w:rsid w:val="00164773"/>
    <w:rsid w:val="001647CC"/>
    <w:rsid w:val="00164B4D"/>
    <w:rsid w:val="00165140"/>
    <w:rsid w:val="00165792"/>
    <w:rsid w:val="00167165"/>
    <w:rsid w:val="00167BCD"/>
    <w:rsid w:val="00170347"/>
    <w:rsid w:val="001705B2"/>
    <w:rsid w:val="00170B7B"/>
    <w:rsid w:val="00171A15"/>
    <w:rsid w:val="00171A92"/>
    <w:rsid w:val="001729EB"/>
    <w:rsid w:val="00172CC5"/>
    <w:rsid w:val="0017330D"/>
    <w:rsid w:val="001737D8"/>
    <w:rsid w:val="00174DB0"/>
    <w:rsid w:val="00175428"/>
    <w:rsid w:val="00175464"/>
    <w:rsid w:val="00175A11"/>
    <w:rsid w:val="00176343"/>
    <w:rsid w:val="00176DD7"/>
    <w:rsid w:val="0017738D"/>
    <w:rsid w:val="0017790C"/>
    <w:rsid w:val="00177AA7"/>
    <w:rsid w:val="00177F98"/>
    <w:rsid w:val="00180F0F"/>
    <w:rsid w:val="00180FDB"/>
    <w:rsid w:val="001818ED"/>
    <w:rsid w:val="0018193E"/>
    <w:rsid w:val="00181C5A"/>
    <w:rsid w:val="00183B0F"/>
    <w:rsid w:val="001840E8"/>
    <w:rsid w:val="00184748"/>
    <w:rsid w:val="001847DD"/>
    <w:rsid w:val="00184CC5"/>
    <w:rsid w:val="00185C6D"/>
    <w:rsid w:val="00185F6B"/>
    <w:rsid w:val="00187E21"/>
    <w:rsid w:val="00190155"/>
    <w:rsid w:val="0019052C"/>
    <w:rsid w:val="00190B42"/>
    <w:rsid w:val="00191809"/>
    <w:rsid w:val="00192397"/>
    <w:rsid w:val="0019315A"/>
    <w:rsid w:val="001931AA"/>
    <w:rsid w:val="001949D1"/>
    <w:rsid w:val="00195500"/>
    <w:rsid w:val="00195D3E"/>
    <w:rsid w:val="00195F7B"/>
    <w:rsid w:val="0019618E"/>
    <w:rsid w:val="00196424"/>
    <w:rsid w:val="001968AC"/>
    <w:rsid w:val="00196F12"/>
    <w:rsid w:val="001A03CC"/>
    <w:rsid w:val="001A09A1"/>
    <w:rsid w:val="001A0CB0"/>
    <w:rsid w:val="001A10DB"/>
    <w:rsid w:val="001A145F"/>
    <w:rsid w:val="001A1AEF"/>
    <w:rsid w:val="001A2156"/>
    <w:rsid w:val="001A2423"/>
    <w:rsid w:val="001A2767"/>
    <w:rsid w:val="001A29A7"/>
    <w:rsid w:val="001A31C6"/>
    <w:rsid w:val="001A398E"/>
    <w:rsid w:val="001A4088"/>
    <w:rsid w:val="001A4568"/>
    <w:rsid w:val="001A46F5"/>
    <w:rsid w:val="001A490E"/>
    <w:rsid w:val="001A58DF"/>
    <w:rsid w:val="001A5BBC"/>
    <w:rsid w:val="001A6711"/>
    <w:rsid w:val="001A6C91"/>
    <w:rsid w:val="001A6E6B"/>
    <w:rsid w:val="001A751B"/>
    <w:rsid w:val="001A7B26"/>
    <w:rsid w:val="001A7DE2"/>
    <w:rsid w:val="001B00F3"/>
    <w:rsid w:val="001B0391"/>
    <w:rsid w:val="001B091F"/>
    <w:rsid w:val="001B0DE0"/>
    <w:rsid w:val="001B1513"/>
    <w:rsid w:val="001B1AD3"/>
    <w:rsid w:val="001B2B30"/>
    <w:rsid w:val="001B2EE4"/>
    <w:rsid w:val="001B2EED"/>
    <w:rsid w:val="001B2F0A"/>
    <w:rsid w:val="001B360A"/>
    <w:rsid w:val="001B400D"/>
    <w:rsid w:val="001B4031"/>
    <w:rsid w:val="001B516E"/>
    <w:rsid w:val="001B5736"/>
    <w:rsid w:val="001B5FF8"/>
    <w:rsid w:val="001B6575"/>
    <w:rsid w:val="001B6FA5"/>
    <w:rsid w:val="001B7B24"/>
    <w:rsid w:val="001C04E5"/>
    <w:rsid w:val="001C076A"/>
    <w:rsid w:val="001C0C20"/>
    <w:rsid w:val="001C0E47"/>
    <w:rsid w:val="001C10FD"/>
    <w:rsid w:val="001C186B"/>
    <w:rsid w:val="001C21A9"/>
    <w:rsid w:val="001C267F"/>
    <w:rsid w:val="001C37C9"/>
    <w:rsid w:val="001C437D"/>
    <w:rsid w:val="001C458D"/>
    <w:rsid w:val="001C45FA"/>
    <w:rsid w:val="001C4A87"/>
    <w:rsid w:val="001C525A"/>
    <w:rsid w:val="001C5786"/>
    <w:rsid w:val="001C5BE1"/>
    <w:rsid w:val="001C5DFB"/>
    <w:rsid w:val="001C6304"/>
    <w:rsid w:val="001C6BD2"/>
    <w:rsid w:val="001C6BFF"/>
    <w:rsid w:val="001C7B5B"/>
    <w:rsid w:val="001C7F78"/>
    <w:rsid w:val="001D0226"/>
    <w:rsid w:val="001D0C17"/>
    <w:rsid w:val="001D1361"/>
    <w:rsid w:val="001D1E65"/>
    <w:rsid w:val="001D1F3F"/>
    <w:rsid w:val="001D269F"/>
    <w:rsid w:val="001D3A35"/>
    <w:rsid w:val="001D3EDE"/>
    <w:rsid w:val="001D3F51"/>
    <w:rsid w:val="001D40C7"/>
    <w:rsid w:val="001D43D7"/>
    <w:rsid w:val="001D476F"/>
    <w:rsid w:val="001D5829"/>
    <w:rsid w:val="001D5B15"/>
    <w:rsid w:val="001E01BC"/>
    <w:rsid w:val="001E0219"/>
    <w:rsid w:val="001E0A10"/>
    <w:rsid w:val="001E0D30"/>
    <w:rsid w:val="001E11B3"/>
    <w:rsid w:val="001E13A3"/>
    <w:rsid w:val="001E1944"/>
    <w:rsid w:val="001E1A7B"/>
    <w:rsid w:val="001E1EB6"/>
    <w:rsid w:val="001E2211"/>
    <w:rsid w:val="001E2751"/>
    <w:rsid w:val="001E2B01"/>
    <w:rsid w:val="001E2BC9"/>
    <w:rsid w:val="001E32CA"/>
    <w:rsid w:val="001E46E2"/>
    <w:rsid w:val="001E4D69"/>
    <w:rsid w:val="001E5239"/>
    <w:rsid w:val="001E5309"/>
    <w:rsid w:val="001E58A8"/>
    <w:rsid w:val="001E6577"/>
    <w:rsid w:val="001E6A24"/>
    <w:rsid w:val="001E70C7"/>
    <w:rsid w:val="001E7684"/>
    <w:rsid w:val="001E77B6"/>
    <w:rsid w:val="001F07B4"/>
    <w:rsid w:val="001F0829"/>
    <w:rsid w:val="001F0E82"/>
    <w:rsid w:val="001F1EB0"/>
    <w:rsid w:val="001F2391"/>
    <w:rsid w:val="001F242B"/>
    <w:rsid w:val="001F27E5"/>
    <w:rsid w:val="001F35A2"/>
    <w:rsid w:val="001F3AEF"/>
    <w:rsid w:val="001F405F"/>
    <w:rsid w:val="001F4335"/>
    <w:rsid w:val="001F4769"/>
    <w:rsid w:val="001F4E0D"/>
    <w:rsid w:val="001F58E5"/>
    <w:rsid w:val="001F59B4"/>
    <w:rsid w:val="001F60BC"/>
    <w:rsid w:val="001F6890"/>
    <w:rsid w:val="001F68BC"/>
    <w:rsid w:val="001F6AC8"/>
    <w:rsid w:val="001F7B56"/>
    <w:rsid w:val="001F7F3A"/>
    <w:rsid w:val="0020000E"/>
    <w:rsid w:val="00200C09"/>
    <w:rsid w:val="0020125F"/>
    <w:rsid w:val="00201DAE"/>
    <w:rsid w:val="00202114"/>
    <w:rsid w:val="002028E4"/>
    <w:rsid w:val="00202BFE"/>
    <w:rsid w:val="002034C2"/>
    <w:rsid w:val="00203524"/>
    <w:rsid w:val="00203B9A"/>
    <w:rsid w:val="00203E6F"/>
    <w:rsid w:val="002052A1"/>
    <w:rsid w:val="00205E56"/>
    <w:rsid w:val="002063EE"/>
    <w:rsid w:val="0020682B"/>
    <w:rsid w:val="0020692C"/>
    <w:rsid w:val="00207482"/>
    <w:rsid w:val="002078DF"/>
    <w:rsid w:val="00207CF3"/>
    <w:rsid w:val="00210463"/>
    <w:rsid w:val="00210B1C"/>
    <w:rsid w:val="00210D12"/>
    <w:rsid w:val="0021147F"/>
    <w:rsid w:val="0021267B"/>
    <w:rsid w:val="00212D58"/>
    <w:rsid w:val="002131A4"/>
    <w:rsid w:val="0021341B"/>
    <w:rsid w:val="00213A3B"/>
    <w:rsid w:val="00213A8A"/>
    <w:rsid w:val="00214CFB"/>
    <w:rsid w:val="00214F9F"/>
    <w:rsid w:val="00215286"/>
    <w:rsid w:val="002159CE"/>
    <w:rsid w:val="002164FF"/>
    <w:rsid w:val="00216AD0"/>
    <w:rsid w:val="00216AFF"/>
    <w:rsid w:val="00216D83"/>
    <w:rsid w:val="002176E7"/>
    <w:rsid w:val="002215A6"/>
    <w:rsid w:val="00221A2E"/>
    <w:rsid w:val="00221AC5"/>
    <w:rsid w:val="00222B1F"/>
    <w:rsid w:val="00223729"/>
    <w:rsid w:val="00223BE5"/>
    <w:rsid w:val="00224F54"/>
    <w:rsid w:val="00224FF8"/>
    <w:rsid w:val="00225428"/>
    <w:rsid w:val="00225C35"/>
    <w:rsid w:val="0022617E"/>
    <w:rsid w:val="00226F3D"/>
    <w:rsid w:val="00227241"/>
    <w:rsid w:val="0022776C"/>
    <w:rsid w:val="00230093"/>
    <w:rsid w:val="0023012C"/>
    <w:rsid w:val="00230357"/>
    <w:rsid w:val="002308E0"/>
    <w:rsid w:val="00232A0D"/>
    <w:rsid w:val="00232D2F"/>
    <w:rsid w:val="00233258"/>
    <w:rsid w:val="00233303"/>
    <w:rsid w:val="0023345C"/>
    <w:rsid w:val="00233513"/>
    <w:rsid w:val="0023358A"/>
    <w:rsid w:val="00233C34"/>
    <w:rsid w:val="0023486D"/>
    <w:rsid w:val="0023562B"/>
    <w:rsid w:val="002358FF"/>
    <w:rsid w:val="002367C5"/>
    <w:rsid w:val="00236E6A"/>
    <w:rsid w:val="002371CB"/>
    <w:rsid w:val="00237EDE"/>
    <w:rsid w:val="00240F9D"/>
    <w:rsid w:val="00241228"/>
    <w:rsid w:val="00241657"/>
    <w:rsid w:val="0024184D"/>
    <w:rsid w:val="00241D35"/>
    <w:rsid w:val="00242034"/>
    <w:rsid w:val="002421D3"/>
    <w:rsid w:val="002422D7"/>
    <w:rsid w:val="002441DE"/>
    <w:rsid w:val="002445FB"/>
    <w:rsid w:val="002449A5"/>
    <w:rsid w:val="0024537A"/>
    <w:rsid w:val="00245538"/>
    <w:rsid w:val="00245DCF"/>
    <w:rsid w:val="00246AB8"/>
    <w:rsid w:val="00247F36"/>
    <w:rsid w:val="002509AF"/>
    <w:rsid w:val="00250B77"/>
    <w:rsid w:val="00250CA1"/>
    <w:rsid w:val="00250D5B"/>
    <w:rsid w:val="0025113B"/>
    <w:rsid w:val="00251176"/>
    <w:rsid w:val="00251597"/>
    <w:rsid w:val="00251650"/>
    <w:rsid w:val="00252201"/>
    <w:rsid w:val="00252AB5"/>
    <w:rsid w:val="00252AF9"/>
    <w:rsid w:val="00252D76"/>
    <w:rsid w:val="00252F9C"/>
    <w:rsid w:val="002532E5"/>
    <w:rsid w:val="002543DD"/>
    <w:rsid w:val="0025556C"/>
    <w:rsid w:val="00255667"/>
    <w:rsid w:val="00255A34"/>
    <w:rsid w:val="00256D69"/>
    <w:rsid w:val="00257056"/>
    <w:rsid w:val="00257193"/>
    <w:rsid w:val="00257FBE"/>
    <w:rsid w:val="002602F0"/>
    <w:rsid w:val="00260BC3"/>
    <w:rsid w:val="0026130C"/>
    <w:rsid w:val="00262E16"/>
    <w:rsid w:val="00263095"/>
    <w:rsid w:val="00263CC4"/>
    <w:rsid w:val="002645E7"/>
    <w:rsid w:val="00264711"/>
    <w:rsid w:val="002660F8"/>
    <w:rsid w:val="00266BBB"/>
    <w:rsid w:val="00266C36"/>
    <w:rsid w:val="0026708F"/>
    <w:rsid w:val="002670A9"/>
    <w:rsid w:val="00267997"/>
    <w:rsid w:val="00271904"/>
    <w:rsid w:val="0027286F"/>
    <w:rsid w:val="0027295C"/>
    <w:rsid w:val="0027337C"/>
    <w:rsid w:val="00273EF1"/>
    <w:rsid w:val="002740F5"/>
    <w:rsid w:val="00274794"/>
    <w:rsid w:val="002748B5"/>
    <w:rsid w:val="00275B6F"/>
    <w:rsid w:val="002760EE"/>
    <w:rsid w:val="00276347"/>
    <w:rsid w:val="0027664C"/>
    <w:rsid w:val="0027702C"/>
    <w:rsid w:val="00277285"/>
    <w:rsid w:val="00277397"/>
    <w:rsid w:val="00280494"/>
    <w:rsid w:val="0028053D"/>
    <w:rsid w:val="00280BE3"/>
    <w:rsid w:val="002812FA"/>
    <w:rsid w:val="00281492"/>
    <w:rsid w:val="00282A71"/>
    <w:rsid w:val="00282E42"/>
    <w:rsid w:val="00283D40"/>
    <w:rsid w:val="00284120"/>
    <w:rsid w:val="00284372"/>
    <w:rsid w:val="0028470C"/>
    <w:rsid w:val="00284887"/>
    <w:rsid w:val="00285167"/>
    <w:rsid w:val="0028609B"/>
    <w:rsid w:val="00286555"/>
    <w:rsid w:val="00287C0A"/>
    <w:rsid w:val="00290263"/>
    <w:rsid w:val="002903C9"/>
    <w:rsid w:val="00290535"/>
    <w:rsid w:val="0029094C"/>
    <w:rsid w:val="00290C1E"/>
    <w:rsid w:val="00290F5C"/>
    <w:rsid w:val="002910F2"/>
    <w:rsid w:val="00291786"/>
    <w:rsid w:val="00291DB1"/>
    <w:rsid w:val="00291FDA"/>
    <w:rsid w:val="0029234C"/>
    <w:rsid w:val="00292462"/>
    <w:rsid w:val="002924E7"/>
    <w:rsid w:val="0029295E"/>
    <w:rsid w:val="0029301C"/>
    <w:rsid w:val="002936E3"/>
    <w:rsid w:val="002937B7"/>
    <w:rsid w:val="00294857"/>
    <w:rsid w:val="00295586"/>
    <w:rsid w:val="00296337"/>
    <w:rsid w:val="0029677C"/>
    <w:rsid w:val="00296A00"/>
    <w:rsid w:val="00296D70"/>
    <w:rsid w:val="00296E9C"/>
    <w:rsid w:val="00297045"/>
    <w:rsid w:val="00297048"/>
    <w:rsid w:val="0029751B"/>
    <w:rsid w:val="00297BF7"/>
    <w:rsid w:val="002A0116"/>
    <w:rsid w:val="002A0B48"/>
    <w:rsid w:val="002A0FBC"/>
    <w:rsid w:val="002A0FDD"/>
    <w:rsid w:val="002A2042"/>
    <w:rsid w:val="002A2323"/>
    <w:rsid w:val="002A27F4"/>
    <w:rsid w:val="002A515E"/>
    <w:rsid w:val="002A5271"/>
    <w:rsid w:val="002A572E"/>
    <w:rsid w:val="002A57D6"/>
    <w:rsid w:val="002A6649"/>
    <w:rsid w:val="002A7F95"/>
    <w:rsid w:val="002B04DE"/>
    <w:rsid w:val="002B0864"/>
    <w:rsid w:val="002B0A1D"/>
    <w:rsid w:val="002B0D25"/>
    <w:rsid w:val="002B1882"/>
    <w:rsid w:val="002B1E09"/>
    <w:rsid w:val="002B1E47"/>
    <w:rsid w:val="002B2779"/>
    <w:rsid w:val="002B2931"/>
    <w:rsid w:val="002B368D"/>
    <w:rsid w:val="002B3736"/>
    <w:rsid w:val="002B3B76"/>
    <w:rsid w:val="002B3B98"/>
    <w:rsid w:val="002B3FA3"/>
    <w:rsid w:val="002B4324"/>
    <w:rsid w:val="002B435A"/>
    <w:rsid w:val="002B4570"/>
    <w:rsid w:val="002B4663"/>
    <w:rsid w:val="002B482C"/>
    <w:rsid w:val="002B5013"/>
    <w:rsid w:val="002B6068"/>
    <w:rsid w:val="002B60BC"/>
    <w:rsid w:val="002B6C9F"/>
    <w:rsid w:val="002B6D69"/>
    <w:rsid w:val="002B6FC1"/>
    <w:rsid w:val="002B76E5"/>
    <w:rsid w:val="002B7D6A"/>
    <w:rsid w:val="002C0AD0"/>
    <w:rsid w:val="002C0B11"/>
    <w:rsid w:val="002C0D11"/>
    <w:rsid w:val="002C10A9"/>
    <w:rsid w:val="002C1C46"/>
    <w:rsid w:val="002C2BC0"/>
    <w:rsid w:val="002C3A21"/>
    <w:rsid w:val="002C3A7E"/>
    <w:rsid w:val="002C3C90"/>
    <w:rsid w:val="002C3E0A"/>
    <w:rsid w:val="002C49CF"/>
    <w:rsid w:val="002C4A3E"/>
    <w:rsid w:val="002C6F3C"/>
    <w:rsid w:val="002C79D9"/>
    <w:rsid w:val="002C7BAF"/>
    <w:rsid w:val="002C7BF5"/>
    <w:rsid w:val="002C7FEB"/>
    <w:rsid w:val="002D0446"/>
    <w:rsid w:val="002D24F9"/>
    <w:rsid w:val="002D25D2"/>
    <w:rsid w:val="002D304B"/>
    <w:rsid w:val="002D462D"/>
    <w:rsid w:val="002D4C5E"/>
    <w:rsid w:val="002D5A13"/>
    <w:rsid w:val="002D764C"/>
    <w:rsid w:val="002D7AE2"/>
    <w:rsid w:val="002E0FD1"/>
    <w:rsid w:val="002E1477"/>
    <w:rsid w:val="002E177A"/>
    <w:rsid w:val="002E1A21"/>
    <w:rsid w:val="002E1A8F"/>
    <w:rsid w:val="002E1ED9"/>
    <w:rsid w:val="002E28FC"/>
    <w:rsid w:val="002E2EB6"/>
    <w:rsid w:val="002E308D"/>
    <w:rsid w:val="002E39FA"/>
    <w:rsid w:val="002E4052"/>
    <w:rsid w:val="002E46BE"/>
    <w:rsid w:val="002E4926"/>
    <w:rsid w:val="002E59AD"/>
    <w:rsid w:val="002E5CA4"/>
    <w:rsid w:val="002E5D3B"/>
    <w:rsid w:val="002E6F31"/>
    <w:rsid w:val="002E7150"/>
    <w:rsid w:val="002E7388"/>
    <w:rsid w:val="002F06BD"/>
    <w:rsid w:val="002F0707"/>
    <w:rsid w:val="002F0726"/>
    <w:rsid w:val="002F08DC"/>
    <w:rsid w:val="002F0E55"/>
    <w:rsid w:val="002F131C"/>
    <w:rsid w:val="002F13BB"/>
    <w:rsid w:val="002F1507"/>
    <w:rsid w:val="002F1572"/>
    <w:rsid w:val="002F1F0E"/>
    <w:rsid w:val="002F2333"/>
    <w:rsid w:val="002F24A8"/>
    <w:rsid w:val="002F36FD"/>
    <w:rsid w:val="002F3919"/>
    <w:rsid w:val="002F3B34"/>
    <w:rsid w:val="002F3D64"/>
    <w:rsid w:val="002F4199"/>
    <w:rsid w:val="002F6477"/>
    <w:rsid w:val="002F6B1D"/>
    <w:rsid w:val="002F6ED9"/>
    <w:rsid w:val="002F7190"/>
    <w:rsid w:val="002F757F"/>
    <w:rsid w:val="002F7C66"/>
    <w:rsid w:val="00300007"/>
    <w:rsid w:val="003014DB"/>
    <w:rsid w:val="0030157A"/>
    <w:rsid w:val="003022D3"/>
    <w:rsid w:val="003035F7"/>
    <w:rsid w:val="00303884"/>
    <w:rsid w:val="003038EA"/>
    <w:rsid w:val="00304417"/>
    <w:rsid w:val="00304941"/>
    <w:rsid w:val="003049ED"/>
    <w:rsid w:val="0030549D"/>
    <w:rsid w:val="00305D78"/>
    <w:rsid w:val="00305F6B"/>
    <w:rsid w:val="00305F81"/>
    <w:rsid w:val="003064C6"/>
    <w:rsid w:val="00306FF6"/>
    <w:rsid w:val="0030747A"/>
    <w:rsid w:val="003074E3"/>
    <w:rsid w:val="00310D34"/>
    <w:rsid w:val="00310DCF"/>
    <w:rsid w:val="003124EC"/>
    <w:rsid w:val="00312912"/>
    <w:rsid w:val="00312CCC"/>
    <w:rsid w:val="003139BF"/>
    <w:rsid w:val="00314276"/>
    <w:rsid w:val="00315FBD"/>
    <w:rsid w:val="00316A2C"/>
    <w:rsid w:val="00317653"/>
    <w:rsid w:val="00317D0B"/>
    <w:rsid w:val="00317DE0"/>
    <w:rsid w:val="00320495"/>
    <w:rsid w:val="00320D64"/>
    <w:rsid w:val="00321242"/>
    <w:rsid w:val="0032196C"/>
    <w:rsid w:val="003224C6"/>
    <w:rsid w:val="003239D1"/>
    <w:rsid w:val="00323C3C"/>
    <w:rsid w:val="00323CB0"/>
    <w:rsid w:val="003243FD"/>
    <w:rsid w:val="00324D15"/>
    <w:rsid w:val="00326231"/>
    <w:rsid w:val="00326687"/>
    <w:rsid w:val="00327104"/>
    <w:rsid w:val="0032753C"/>
    <w:rsid w:val="00327DB0"/>
    <w:rsid w:val="003300A5"/>
    <w:rsid w:val="00330FB1"/>
    <w:rsid w:val="00331983"/>
    <w:rsid w:val="003319EB"/>
    <w:rsid w:val="00331C20"/>
    <w:rsid w:val="003320A1"/>
    <w:rsid w:val="003321D6"/>
    <w:rsid w:val="0033266A"/>
    <w:rsid w:val="00332AB7"/>
    <w:rsid w:val="00332B30"/>
    <w:rsid w:val="003333AB"/>
    <w:rsid w:val="003333AF"/>
    <w:rsid w:val="0033359B"/>
    <w:rsid w:val="00333B22"/>
    <w:rsid w:val="00334978"/>
    <w:rsid w:val="00334C0F"/>
    <w:rsid w:val="00334E24"/>
    <w:rsid w:val="00334F29"/>
    <w:rsid w:val="00334FAD"/>
    <w:rsid w:val="003352D3"/>
    <w:rsid w:val="0033532C"/>
    <w:rsid w:val="00335590"/>
    <w:rsid w:val="00335F62"/>
    <w:rsid w:val="003360A5"/>
    <w:rsid w:val="00336C2C"/>
    <w:rsid w:val="00336D32"/>
    <w:rsid w:val="00337139"/>
    <w:rsid w:val="003377F9"/>
    <w:rsid w:val="00341118"/>
    <w:rsid w:val="0034129F"/>
    <w:rsid w:val="003420C7"/>
    <w:rsid w:val="00342EEA"/>
    <w:rsid w:val="003436E8"/>
    <w:rsid w:val="003448DF"/>
    <w:rsid w:val="003455D8"/>
    <w:rsid w:val="00345833"/>
    <w:rsid w:val="00345BD2"/>
    <w:rsid w:val="00346BEE"/>
    <w:rsid w:val="00347610"/>
    <w:rsid w:val="00347A40"/>
    <w:rsid w:val="00347E20"/>
    <w:rsid w:val="00347F13"/>
    <w:rsid w:val="00350267"/>
    <w:rsid w:val="00350D66"/>
    <w:rsid w:val="00350F88"/>
    <w:rsid w:val="00351062"/>
    <w:rsid w:val="0035169C"/>
    <w:rsid w:val="00351A7E"/>
    <w:rsid w:val="00351AF2"/>
    <w:rsid w:val="00351E15"/>
    <w:rsid w:val="003523FB"/>
    <w:rsid w:val="003535C6"/>
    <w:rsid w:val="0035394A"/>
    <w:rsid w:val="0035428A"/>
    <w:rsid w:val="003546F4"/>
    <w:rsid w:val="00354DEA"/>
    <w:rsid w:val="0035535D"/>
    <w:rsid w:val="00356447"/>
    <w:rsid w:val="0035754F"/>
    <w:rsid w:val="003576A7"/>
    <w:rsid w:val="00360288"/>
    <w:rsid w:val="00360A57"/>
    <w:rsid w:val="00361A91"/>
    <w:rsid w:val="00362756"/>
    <w:rsid w:val="00362ACC"/>
    <w:rsid w:val="003642C3"/>
    <w:rsid w:val="003644EA"/>
    <w:rsid w:val="0036461C"/>
    <w:rsid w:val="00364B8F"/>
    <w:rsid w:val="00365000"/>
    <w:rsid w:val="00365AC4"/>
    <w:rsid w:val="0036726F"/>
    <w:rsid w:val="00367A93"/>
    <w:rsid w:val="00370A24"/>
    <w:rsid w:val="00370B43"/>
    <w:rsid w:val="00371983"/>
    <w:rsid w:val="003728D0"/>
    <w:rsid w:val="003739B9"/>
    <w:rsid w:val="00373E6B"/>
    <w:rsid w:val="00374619"/>
    <w:rsid w:val="00374A01"/>
    <w:rsid w:val="00375A12"/>
    <w:rsid w:val="00375C98"/>
    <w:rsid w:val="00376F1A"/>
    <w:rsid w:val="00376FCB"/>
    <w:rsid w:val="0037705D"/>
    <w:rsid w:val="003778E4"/>
    <w:rsid w:val="00377D3D"/>
    <w:rsid w:val="0038030D"/>
    <w:rsid w:val="0038077D"/>
    <w:rsid w:val="00381158"/>
    <w:rsid w:val="0038187A"/>
    <w:rsid w:val="00381A5B"/>
    <w:rsid w:val="0038206B"/>
    <w:rsid w:val="00382798"/>
    <w:rsid w:val="00382FEB"/>
    <w:rsid w:val="00383269"/>
    <w:rsid w:val="00383741"/>
    <w:rsid w:val="00383E0B"/>
    <w:rsid w:val="00384599"/>
    <w:rsid w:val="00385BF7"/>
    <w:rsid w:val="00385D23"/>
    <w:rsid w:val="00385E26"/>
    <w:rsid w:val="003862E2"/>
    <w:rsid w:val="003864EA"/>
    <w:rsid w:val="00387E9F"/>
    <w:rsid w:val="003904EC"/>
    <w:rsid w:val="00390744"/>
    <w:rsid w:val="003910AD"/>
    <w:rsid w:val="0039167B"/>
    <w:rsid w:val="003916CC"/>
    <w:rsid w:val="003919AC"/>
    <w:rsid w:val="00391A97"/>
    <w:rsid w:val="00391E3B"/>
    <w:rsid w:val="00392A12"/>
    <w:rsid w:val="003932B4"/>
    <w:rsid w:val="00393C5B"/>
    <w:rsid w:val="0039403B"/>
    <w:rsid w:val="00394997"/>
    <w:rsid w:val="003959CE"/>
    <w:rsid w:val="00395B9E"/>
    <w:rsid w:val="00395E3A"/>
    <w:rsid w:val="003967E0"/>
    <w:rsid w:val="003968EE"/>
    <w:rsid w:val="00397836"/>
    <w:rsid w:val="003A010D"/>
    <w:rsid w:val="003A088A"/>
    <w:rsid w:val="003A0A82"/>
    <w:rsid w:val="003A0FBE"/>
    <w:rsid w:val="003A1A61"/>
    <w:rsid w:val="003A2B6E"/>
    <w:rsid w:val="003A308D"/>
    <w:rsid w:val="003A3151"/>
    <w:rsid w:val="003A3E50"/>
    <w:rsid w:val="003A4807"/>
    <w:rsid w:val="003A4903"/>
    <w:rsid w:val="003A49ED"/>
    <w:rsid w:val="003A4A4E"/>
    <w:rsid w:val="003A5543"/>
    <w:rsid w:val="003A557E"/>
    <w:rsid w:val="003A67FF"/>
    <w:rsid w:val="003A7154"/>
    <w:rsid w:val="003A768B"/>
    <w:rsid w:val="003A7BD4"/>
    <w:rsid w:val="003B0194"/>
    <w:rsid w:val="003B0DF0"/>
    <w:rsid w:val="003B0EAC"/>
    <w:rsid w:val="003B113D"/>
    <w:rsid w:val="003B117B"/>
    <w:rsid w:val="003B1C05"/>
    <w:rsid w:val="003B26AB"/>
    <w:rsid w:val="003B28AD"/>
    <w:rsid w:val="003B30B4"/>
    <w:rsid w:val="003B365C"/>
    <w:rsid w:val="003B3E75"/>
    <w:rsid w:val="003B3F01"/>
    <w:rsid w:val="003B42A2"/>
    <w:rsid w:val="003B4545"/>
    <w:rsid w:val="003B48B6"/>
    <w:rsid w:val="003B4F20"/>
    <w:rsid w:val="003B5DD4"/>
    <w:rsid w:val="003B686F"/>
    <w:rsid w:val="003B6974"/>
    <w:rsid w:val="003B6D07"/>
    <w:rsid w:val="003B6D23"/>
    <w:rsid w:val="003B76D7"/>
    <w:rsid w:val="003C0061"/>
    <w:rsid w:val="003C04B5"/>
    <w:rsid w:val="003C0B68"/>
    <w:rsid w:val="003C1009"/>
    <w:rsid w:val="003C230F"/>
    <w:rsid w:val="003C2AFF"/>
    <w:rsid w:val="003C4003"/>
    <w:rsid w:val="003C4861"/>
    <w:rsid w:val="003C51E7"/>
    <w:rsid w:val="003C53BE"/>
    <w:rsid w:val="003C6BFB"/>
    <w:rsid w:val="003C728E"/>
    <w:rsid w:val="003C77B5"/>
    <w:rsid w:val="003C7809"/>
    <w:rsid w:val="003D0898"/>
    <w:rsid w:val="003D0A86"/>
    <w:rsid w:val="003D0CF0"/>
    <w:rsid w:val="003D13D6"/>
    <w:rsid w:val="003D1430"/>
    <w:rsid w:val="003D1530"/>
    <w:rsid w:val="003D1745"/>
    <w:rsid w:val="003D1774"/>
    <w:rsid w:val="003D1905"/>
    <w:rsid w:val="003D1C68"/>
    <w:rsid w:val="003D344A"/>
    <w:rsid w:val="003D44AB"/>
    <w:rsid w:val="003D49CF"/>
    <w:rsid w:val="003D53A3"/>
    <w:rsid w:val="003D6BD1"/>
    <w:rsid w:val="003D7EDB"/>
    <w:rsid w:val="003E0627"/>
    <w:rsid w:val="003E08A7"/>
    <w:rsid w:val="003E0D67"/>
    <w:rsid w:val="003E199F"/>
    <w:rsid w:val="003E3D42"/>
    <w:rsid w:val="003E447F"/>
    <w:rsid w:val="003E4E31"/>
    <w:rsid w:val="003E55E6"/>
    <w:rsid w:val="003E6E66"/>
    <w:rsid w:val="003E7116"/>
    <w:rsid w:val="003E7E12"/>
    <w:rsid w:val="003F02CC"/>
    <w:rsid w:val="003F0361"/>
    <w:rsid w:val="003F0A0C"/>
    <w:rsid w:val="003F0D56"/>
    <w:rsid w:val="003F1617"/>
    <w:rsid w:val="003F1672"/>
    <w:rsid w:val="003F1AFC"/>
    <w:rsid w:val="003F1BC5"/>
    <w:rsid w:val="003F20D3"/>
    <w:rsid w:val="003F3821"/>
    <w:rsid w:val="003F4945"/>
    <w:rsid w:val="003F4A21"/>
    <w:rsid w:val="003F4D95"/>
    <w:rsid w:val="003F5055"/>
    <w:rsid w:val="003F5126"/>
    <w:rsid w:val="003F52DB"/>
    <w:rsid w:val="003F5322"/>
    <w:rsid w:val="003F6191"/>
    <w:rsid w:val="003F693D"/>
    <w:rsid w:val="003F7B7C"/>
    <w:rsid w:val="0040016C"/>
    <w:rsid w:val="00400311"/>
    <w:rsid w:val="00400C12"/>
    <w:rsid w:val="00401285"/>
    <w:rsid w:val="00402E49"/>
    <w:rsid w:val="004033E4"/>
    <w:rsid w:val="0040346E"/>
    <w:rsid w:val="00403F0E"/>
    <w:rsid w:val="0040408A"/>
    <w:rsid w:val="00404AFC"/>
    <w:rsid w:val="00404C6B"/>
    <w:rsid w:val="00404D37"/>
    <w:rsid w:val="004068B0"/>
    <w:rsid w:val="00407024"/>
    <w:rsid w:val="00410051"/>
    <w:rsid w:val="004109FD"/>
    <w:rsid w:val="00410B71"/>
    <w:rsid w:val="00411C2E"/>
    <w:rsid w:val="00411D2F"/>
    <w:rsid w:val="00412480"/>
    <w:rsid w:val="00412B8D"/>
    <w:rsid w:val="00412C61"/>
    <w:rsid w:val="00413860"/>
    <w:rsid w:val="00413A90"/>
    <w:rsid w:val="00413D56"/>
    <w:rsid w:val="00414514"/>
    <w:rsid w:val="00414E86"/>
    <w:rsid w:val="0041506D"/>
    <w:rsid w:val="0041512A"/>
    <w:rsid w:val="004152E9"/>
    <w:rsid w:val="004156FC"/>
    <w:rsid w:val="00415952"/>
    <w:rsid w:val="00415BFE"/>
    <w:rsid w:val="00416389"/>
    <w:rsid w:val="00416812"/>
    <w:rsid w:val="00416EFD"/>
    <w:rsid w:val="004174AA"/>
    <w:rsid w:val="004179D5"/>
    <w:rsid w:val="00417AFE"/>
    <w:rsid w:val="004206B6"/>
    <w:rsid w:val="00420A55"/>
    <w:rsid w:val="00421757"/>
    <w:rsid w:val="0042187B"/>
    <w:rsid w:val="004226CA"/>
    <w:rsid w:val="00422A2F"/>
    <w:rsid w:val="00423266"/>
    <w:rsid w:val="00423BEC"/>
    <w:rsid w:val="00423DA6"/>
    <w:rsid w:val="00424BBA"/>
    <w:rsid w:val="004250D7"/>
    <w:rsid w:val="00425824"/>
    <w:rsid w:val="00426006"/>
    <w:rsid w:val="00426303"/>
    <w:rsid w:val="00426804"/>
    <w:rsid w:val="00426CAB"/>
    <w:rsid w:val="00427ECF"/>
    <w:rsid w:val="004309E0"/>
    <w:rsid w:val="00430C3A"/>
    <w:rsid w:val="00430D60"/>
    <w:rsid w:val="00430F86"/>
    <w:rsid w:val="004320DC"/>
    <w:rsid w:val="00432854"/>
    <w:rsid w:val="00432C40"/>
    <w:rsid w:val="00433270"/>
    <w:rsid w:val="004335E5"/>
    <w:rsid w:val="00433995"/>
    <w:rsid w:val="00433D18"/>
    <w:rsid w:val="004348F4"/>
    <w:rsid w:val="00435880"/>
    <w:rsid w:val="004359E0"/>
    <w:rsid w:val="00435A3A"/>
    <w:rsid w:val="00435ECF"/>
    <w:rsid w:val="00436410"/>
    <w:rsid w:val="00436936"/>
    <w:rsid w:val="00436B1F"/>
    <w:rsid w:val="0043712D"/>
    <w:rsid w:val="00437ABF"/>
    <w:rsid w:val="00440C3E"/>
    <w:rsid w:val="00440D51"/>
    <w:rsid w:val="00441A0B"/>
    <w:rsid w:val="0044304B"/>
    <w:rsid w:val="00443136"/>
    <w:rsid w:val="00443251"/>
    <w:rsid w:val="00443631"/>
    <w:rsid w:val="00443ED4"/>
    <w:rsid w:val="00444E44"/>
    <w:rsid w:val="004469AC"/>
    <w:rsid w:val="00446ADF"/>
    <w:rsid w:val="00446EC6"/>
    <w:rsid w:val="004476F1"/>
    <w:rsid w:val="00447B63"/>
    <w:rsid w:val="00447C76"/>
    <w:rsid w:val="004501E1"/>
    <w:rsid w:val="004503E4"/>
    <w:rsid w:val="00450F14"/>
    <w:rsid w:val="00451F11"/>
    <w:rsid w:val="004520D5"/>
    <w:rsid w:val="004528BA"/>
    <w:rsid w:val="00452F5A"/>
    <w:rsid w:val="00453183"/>
    <w:rsid w:val="00453378"/>
    <w:rsid w:val="00453D67"/>
    <w:rsid w:val="00453DAD"/>
    <w:rsid w:val="00454C84"/>
    <w:rsid w:val="00455024"/>
    <w:rsid w:val="00456224"/>
    <w:rsid w:val="004562DC"/>
    <w:rsid w:val="00456544"/>
    <w:rsid w:val="00456796"/>
    <w:rsid w:val="00457A87"/>
    <w:rsid w:val="00457C69"/>
    <w:rsid w:val="00457D59"/>
    <w:rsid w:val="0046121D"/>
    <w:rsid w:val="0046290C"/>
    <w:rsid w:val="00463149"/>
    <w:rsid w:val="00463359"/>
    <w:rsid w:val="00463403"/>
    <w:rsid w:val="004634FB"/>
    <w:rsid w:val="00463640"/>
    <w:rsid w:val="00464DA7"/>
    <w:rsid w:val="00465270"/>
    <w:rsid w:val="00465761"/>
    <w:rsid w:val="00465AEA"/>
    <w:rsid w:val="00466139"/>
    <w:rsid w:val="0046702B"/>
    <w:rsid w:val="0047084C"/>
    <w:rsid w:val="00470870"/>
    <w:rsid w:val="00470A45"/>
    <w:rsid w:val="004711BF"/>
    <w:rsid w:val="00471350"/>
    <w:rsid w:val="00471AB2"/>
    <w:rsid w:val="00472B12"/>
    <w:rsid w:val="00472BED"/>
    <w:rsid w:val="00473572"/>
    <w:rsid w:val="00473BC7"/>
    <w:rsid w:val="00474C71"/>
    <w:rsid w:val="00475AFD"/>
    <w:rsid w:val="00475E84"/>
    <w:rsid w:val="00476135"/>
    <w:rsid w:val="0047639A"/>
    <w:rsid w:val="00476D63"/>
    <w:rsid w:val="004802A3"/>
    <w:rsid w:val="00480509"/>
    <w:rsid w:val="00480633"/>
    <w:rsid w:val="004806F6"/>
    <w:rsid w:val="004807FE"/>
    <w:rsid w:val="00480E3F"/>
    <w:rsid w:val="00481DE5"/>
    <w:rsid w:val="004822D0"/>
    <w:rsid w:val="00482A89"/>
    <w:rsid w:val="00482D96"/>
    <w:rsid w:val="00482EF8"/>
    <w:rsid w:val="004837C0"/>
    <w:rsid w:val="00483908"/>
    <w:rsid w:val="0048454C"/>
    <w:rsid w:val="00484C92"/>
    <w:rsid w:val="00485163"/>
    <w:rsid w:val="004858F3"/>
    <w:rsid w:val="004858F7"/>
    <w:rsid w:val="00485D9A"/>
    <w:rsid w:val="004872C4"/>
    <w:rsid w:val="00490DF2"/>
    <w:rsid w:val="00491269"/>
    <w:rsid w:val="004914AA"/>
    <w:rsid w:val="004917E0"/>
    <w:rsid w:val="00491C47"/>
    <w:rsid w:val="00492BF7"/>
    <w:rsid w:val="00494034"/>
    <w:rsid w:val="004940A3"/>
    <w:rsid w:val="00494292"/>
    <w:rsid w:val="00494295"/>
    <w:rsid w:val="00494452"/>
    <w:rsid w:val="00494F43"/>
    <w:rsid w:val="00494F87"/>
    <w:rsid w:val="004955CE"/>
    <w:rsid w:val="00495C19"/>
    <w:rsid w:val="00496520"/>
    <w:rsid w:val="00496E59"/>
    <w:rsid w:val="00497573"/>
    <w:rsid w:val="00497C58"/>
    <w:rsid w:val="004A00C9"/>
    <w:rsid w:val="004A030D"/>
    <w:rsid w:val="004A031D"/>
    <w:rsid w:val="004A087D"/>
    <w:rsid w:val="004A08A3"/>
    <w:rsid w:val="004A0D82"/>
    <w:rsid w:val="004A1F71"/>
    <w:rsid w:val="004A235E"/>
    <w:rsid w:val="004A4319"/>
    <w:rsid w:val="004A559B"/>
    <w:rsid w:val="004A601A"/>
    <w:rsid w:val="004A6B01"/>
    <w:rsid w:val="004A6B0F"/>
    <w:rsid w:val="004A735C"/>
    <w:rsid w:val="004A75E8"/>
    <w:rsid w:val="004A7D94"/>
    <w:rsid w:val="004B0F42"/>
    <w:rsid w:val="004B1B99"/>
    <w:rsid w:val="004B2151"/>
    <w:rsid w:val="004B2AB9"/>
    <w:rsid w:val="004B2EC7"/>
    <w:rsid w:val="004B35CC"/>
    <w:rsid w:val="004B45A3"/>
    <w:rsid w:val="004B488D"/>
    <w:rsid w:val="004B62BA"/>
    <w:rsid w:val="004B63AD"/>
    <w:rsid w:val="004B63D7"/>
    <w:rsid w:val="004B6D59"/>
    <w:rsid w:val="004B7FD8"/>
    <w:rsid w:val="004C0123"/>
    <w:rsid w:val="004C118D"/>
    <w:rsid w:val="004C186E"/>
    <w:rsid w:val="004C221A"/>
    <w:rsid w:val="004C2CC6"/>
    <w:rsid w:val="004C3002"/>
    <w:rsid w:val="004C3185"/>
    <w:rsid w:val="004C4C9D"/>
    <w:rsid w:val="004C4D90"/>
    <w:rsid w:val="004C5432"/>
    <w:rsid w:val="004C54C6"/>
    <w:rsid w:val="004C5C11"/>
    <w:rsid w:val="004C5DDE"/>
    <w:rsid w:val="004C5DEC"/>
    <w:rsid w:val="004C5F94"/>
    <w:rsid w:val="004C7606"/>
    <w:rsid w:val="004C78CC"/>
    <w:rsid w:val="004C7BB8"/>
    <w:rsid w:val="004C7BEC"/>
    <w:rsid w:val="004D0704"/>
    <w:rsid w:val="004D11A1"/>
    <w:rsid w:val="004D127F"/>
    <w:rsid w:val="004D1B0F"/>
    <w:rsid w:val="004D1DFE"/>
    <w:rsid w:val="004D28E4"/>
    <w:rsid w:val="004D2D33"/>
    <w:rsid w:val="004D3353"/>
    <w:rsid w:val="004D4EF9"/>
    <w:rsid w:val="004D5AB8"/>
    <w:rsid w:val="004D5C56"/>
    <w:rsid w:val="004D5CD1"/>
    <w:rsid w:val="004D5D65"/>
    <w:rsid w:val="004D666E"/>
    <w:rsid w:val="004D6A86"/>
    <w:rsid w:val="004D6B37"/>
    <w:rsid w:val="004D6F8E"/>
    <w:rsid w:val="004D7BB1"/>
    <w:rsid w:val="004D7DF2"/>
    <w:rsid w:val="004E1433"/>
    <w:rsid w:val="004E1D2C"/>
    <w:rsid w:val="004E22EA"/>
    <w:rsid w:val="004E29EC"/>
    <w:rsid w:val="004E2D9B"/>
    <w:rsid w:val="004E2F2D"/>
    <w:rsid w:val="004E2FFD"/>
    <w:rsid w:val="004E4046"/>
    <w:rsid w:val="004E4E9E"/>
    <w:rsid w:val="004E4EB7"/>
    <w:rsid w:val="004E54BF"/>
    <w:rsid w:val="004E57D3"/>
    <w:rsid w:val="004E5AE0"/>
    <w:rsid w:val="004E5C97"/>
    <w:rsid w:val="004E6A1E"/>
    <w:rsid w:val="004E7682"/>
    <w:rsid w:val="004E76EC"/>
    <w:rsid w:val="004E79DA"/>
    <w:rsid w:val="004F01D4"/>
    <w:rsid w:val="004F0A9C"/>
    <w:rsid w:val="004F149B"/>
    <w:rsid w:val="004F188B"/>
    <w:rsid w:val="004F19C4"/>
    <w:rsid w:val="004F1A8D"/>
    <w:rsid w:val="004F2585"/>
    <w:rsid w:val="004F2DB0"/>
    <w:rsid w:val="004F41BD"/>
    <w:rsid w:val="004F4E4D"/>
    <w:rsid w:val="004F4FA0"/>
    <w:rsid w:val="004F564B"/>
    <w:rsid w:val="004F570B"/>
    <w:rsid w:val="004F58B8"/>
    <w:rsid w:val="004F5BFF"/>
    <w:rsid w:val="004F5D05"/>
    <w:rsid w:val="004F5D76"/>
    <w:rsid w:val="004F5DA4"/>
    <w:rsid w:val="004F63F5"/>
    <w:rsid w:val="004F66FF"/>
    <w:rsid w:val="004F68BA"/>
    <w:rsid w:val="004F7544"/>
    <w:rsid w:val="004F7BE1"/>
    <w:rsid w:val="00501B5C"/>
    <w:rsid w:val="00503AB6"/>
    <w:rsid w:val="00503F57"/>
    <w:rsid w:val="00503F67"/>
    <w:rsid w:val="00504241"/>
    <w:rsid w:val="0050471E"/>
    <w:rsid w:val="00505202"/>
    <w:rsid w:val="00505B9D"/>
    <w:rsid w:val="00505BAE"/>
    <w:rsid w:val="00505C1D"/>
    <w:rsid w:val="0050616F"/>
    <w:rsid w:val="00506254"/>
    <w:rsid w:val="00506661"/>
    <w:rsid w:val="005066CA"/>
    <w:rsid w:val="00506831"/>
    <w:rsid w:val="00506E13"/>
    <w:rsid w:val="00506E85"/>
    <w:rsid w:val="0050714C"/>
    <w:rsid w:val="00507229"/>
    <w:rsid w:val="0050729C"/>
    <w:rsid w:val="005100EB"/>
    <w:rsid w:val="00510B61"/>
    <w:rsid w:val="00511B17"/>
    <w:rsid w:val="00511CBA"/>
    <w:rsid w:val="00511E86"/>
    <w:rsid w:val="00512620"/>
    <w:rsid w:val="00512699"/>
    <w:rsid w:val="00512D19"/>
    <w:rsid w:val="00512E39"/>
    <w:rsid w:val="005136D9"/>
    <w:rsid w:val="00513898"/>
    <w:rsid w:val="005144E2"/>
    <w:rsid w:val="005147E8"/>
    <w:rsid w:val="00514BC7"/>
    <w:rsid w:val="00514FC2"/>
    <w:rsid w:val="005150D3"/>
    <w:rsid w:val="00515543"/>
    <w:rsid w:val="00515B4E"/>
    <w:rsid w:val="00516C64"/>
    <w:rsid w:val="00516C9E"/>
    <w:rsid w:val="00516FA6"/>
    <w:rsid w:val="005173E7"/>
    <w:rsid w:val="00517AC1"/>
    <w:rsid w:val="00520112"/>
    <w:rsid w:val="0052060B"/>
    <w:rsid w:val="00520807"/>
    <w:rsid w:val="00520AAB"/>
    <w:rsid w:val="00522046"/>
    <w:rsid w:val="00522425"/>
    <w:rsid w:val="005224AB"/>
    <w:rsid w:val="00522708"/>
    <w:rsid w:val="0052299E"/>
    <w:rsid w:val="00522C6A"/>
    <w:rsid w:val="0052346A"/>
    <w:rsid w:val="0052364F"/>
    <w:rsid w:val="00523B11"/>
    <w:rsid w:val="00523F35"/>
    <w:rsid w:val="0052417E"/>
    <w:rsid w:val="00524BA3"/>
    <w:rsid w:val="005257D2"/>
    <w:rsid w:val="00526752"/>
    <w:rsid w:val="00526F93"/>
    <w:rsid w:val="00527523"/>
    <w:rsid w:val="0052761B"/>
    <w:rsid w:val="00527BC7"/>
    <w:rsid w:val="005308E6"/>
    <w:rsid w:val="00531124"/>
    <w:rsid w:val="005313A2"/>
    <w:rsid w:val="005314E3"/>
    <w:rsid w:val="00531A13"/>
    <w:rsid w:val="005326E6"/>
    <w:rsid w:val="0053284E"/>
    <w:rsid w:val="0053294F"/>
    <w:rsid w:val="005329AE"/>
    <w:rsid w:val="00532D27"/>
    <w:rsid w:val="00534786"/>
    <w:rsid w:val="00534F31"/>
    <w:rsid w:val="00535CA2"/>
    <w:rsid w:val="00535D0E"/>
    <w:rsid w:val="00535F99"/>
    <w:rsid w:val="00535FBC"/>
    <w:rsid w:val="005372CD"/>
    <w:rsid w:val="00537344"/>
    <w:rsid w:val="0054067A"/>
    <w:rsid w:val="00540AE2"/>
    <w:rsid w:val="00540C50"/>
    <w:rsid w:val="00540EDF"/>
    <w:rsid w:val="005414C3"/>
    <w:rsid w:val="0054150F"/>
    <w:rsid w:val="00541F81"/>
    <w:rsid w:val="00542271"/>
    <w:rsid w:val="005435A8"/>
    <w:rsid w:val="0054369F"/>
    <w:rsid w:val="005436F7"/>
    <w:rsid w:val="00543B13"/>
    <w:rsid w:val="00544423"/>
    <w:rsid w:val="005453FF"/>
    <w:rsid w:val="005460F4"/>
    <w:rsid w:val="005468F6"/>
    <w:rsid w:val="00547011"/>
    <w:rsid w:val="005475BF"/>
    <w:rsid w:val="0054760B"/>
    <w:rsid w:val="00547E57"/>
    <w:rsid w:val="005502B4"/>
    <w:rsid w:val="0055084F"/>
    <w:rsid w:val="00550969"/>
    <w:rsid w:val="005519E9"/>
    <w:rsid w:val="00551B62"/>
    <w:rsid w:val="00551F9F"/>
    <w:rsid w:val="005525C8"/>
    <w:rsid w:val="00552830"/>
    <w:rsid w:val="00552993"/>
    <w:rsid w:val="00552F2C"/>
    <w:rsid w:val="005533ED"/>
    <w:rsid w:val="005542B0"/>
    <w:rsid w:val="00554C5D"/>
    <w:rsid w:val="00554EC5"/>
    <w:rsid w:val="005555D8"/>
    <w:rsid w:val="00555AFB"/>
    <w:rsid w:val="00556A78"/>
    <w:rsid w:val="00556EC5"/>
    <w:rsid w:val="005576FD"/>
    <w:rsid w:val="00557941"/>
    <w:rsid w:val="005579D4"/>
    <w:rsid w:val="00560592"/>
    <w:rsid w:val="00561212"/>
    <w:rsid w:val="00561798"/>
    <w:rsid w:val="00561D5C"/>
    <w:rsid w:val="0056222E"/>
    <w:rsid w:val="00562E49"/>
    <w:rsid w:val="005630C3"/>
    <w:rsid w:val="0056318B"/>
    <w:rsid w:val="00563AE2"/>
    <w:rsid w:val="00563C57"/>
    <w:rsid w:val="00563C58"/>
    <w:rsid w:val="0056459A"/>
    <w:rsid w:val="005645FE"/>
    <w:rsid w:val="00564ADC"/>
    <w:rsid w:val="00564AFF"/>
    <w:rsid w:val="005655CB"/>
    <w:rsid w:val="00565ED7"/>
    <w:rsid w:val="00566353"/>
    <w:rsid w:val="0056667B"/>
    <w:rsid w:val="005667D7"/>
    <w:rsid w:val="00566DC1"/>
    <w:rsid w:val="00566F1A"/>
    <w:rsid w:val="00567547"/>
    <w:rsid w:val="00567612"/>
    <w:rsid w:val="0056764C"/>
    <w:rsid w:val="00567A92"/>
    <w:rsid w:val="00570B2F"/>
    <w:rsid w:val="00570E13"/>
    <w:rsid w:val="00570FDF"/>
    <w:rsid w:val="00571312"/>
    <w:rsid w:val="00571798"/>
    <w:rsid w:val="00571CA8"/>
    <w:rsid w:val="005722B8"/>
    <w:rsid w:val="00572527"/>
    <w:rsid w:val="00572679"/>
    <w:rsid w:val="00572906"/>
    <w:rsid w:val="00572913"/>
    <w:rsid w:val="0057304D"/>
    <w:rsid w:val="00573B50"/>
    <w:rsid w:val="00573DA7"/>
    <w:rsid w:val="00574702"/>
    <w:rsid w:val="00575334"/>
    <w:rsid w:val="005761EA"/>
    <w:rsid w:val="00576472"/>
    <w:rsid w:val="00576749"/>
    <w:rsid w:val="00576866"/>
    <w:rsid w:val="00581821"/>
    <w:rsid w:val="00581C75"/>
    <w:rsid w:val="005825B0"/>
    <w:rsid w:val="005833DB"/>
    <w:rsid w:val="005836EA"/>
    <w:rsid w:val="00583A78"/>
    <w:rsid w:val="005848E0"/>
    <w:rsid w:val="00584CD5"/>
    <w:rsid w:val="00585163"/>
    <w:rsid w:val="005855A9"/>
    <w:rsid w:val="005856EE"/>
    <w:rsid w:val="005866B4"/>
    <w:rsid w:val="0058701F"/>
    <w:rsid w:val="00587364"/>
    <w:rsid w:val="0058770A"/>
    <w:rsid w:val="005903B4"/>
    <w:rsid w:val="005903C3"/>
    <w:rsid w:val="00591F9E"/>
    <w:rsid w:val="005922C4"/>
    <w:rsid w:val="00592718"/>
    <w:rsid w:val="00592836"/>
    <w:rsid w:val="00592E41"/>
    <w:rsid w:val="0059328F"/>
    <w:rsid w:val="005932A3"/>
    <w:rsid w:val="0059344E"/>
    <w:rsid w:val="0059374E"/>
    <w:rsid w:val="005944C5"/>
    <w:rsid w:val="005949CC"/>
    <w:rsid w:val="00594B24"/>
    <w:rsid w:val="00594D25"/>
    <w:rsid w:val="00594D96"/>
    <w:rsid w:val="00594DE5"/>
    <w:rsid w:val="00595339"/>
    <w:rsid w:val="00595C44"/>
    <w:rsid w:val="005971B7"/>
    <w:rsid w:val="00597EF1"/>
    <w:rsid w:val="005A034C"/>
    <w:rsid w:val="005A04FD"/>
    <w:rsid w:val="005A0928"/>
    <w:rsid w:val="005A22E1"/>
    <w:rsid w:val="005A2749"/>
    <w:rsid w:val="005A2878"/>
    <w:rsid w:val="005A2CE0"/>
    <w:rsid w:val="005A3B36"/>
    <w:rsid w:val="005A3BE4"/>
    <w:rsid w:val="005A3D45"/>
    <w:rsid w:val="005A4ADF"/>
    <w:rsid w:val="005A5A79"/>
    <w:rsid w:val="005A5BC6"/>
    <w:rsid w:val="005A5CA8"/>
    <w:rsid w:val="005A693E"/>
    <w:rsid w:val="005A7296"/>
    <w:rsid w:val="005B0150"/>
    <w:rsid w:val="005B01EE"/>
    <w:rsid w:val="005B02BE"/>
    <w:rsid w:val="005B02F3"/>
    <w:rsid w:val="005B2079"/>
    <w:rsid w:val="005B2E38"/>
    <w:rsid w:val="005B3713"/>
    <w:rsid w:val="005B4779"/>
    <w:rsid w:val="005B5735"/>
    <w:rsid w:val="005B5E46"/>
    <w:rsid w:val="005B6138"/>
    <w:rsid w:val="005B6541"/>
    <w:rsid w:val="005B67E6"/>
    <w:rsid w:val="005B78BB"/>
    <w:rsid w:val="005C005F"/>
    <w:rsid w:val="005C0918"/>
    <w:rsid w:val="005C093E"/>
    <w:rsid w:val="005C0A25"/>
    <w:rsid w:val="005C1491"/>
    <w:rsid w:val="005C221D"/>
    <w:rsid w:val="005C266A"/>
    <w:rsid w:val="005C2808"/>
    <w:rsid w:val="005C2957"/>
    <w:rsid w:val="005C2B56"/>
    <w:rsid w:val="005C3679"/>
    <w:rsid w:val="005C3695"/>
    <w:rsid w:val="005C42B5"/>
    <w:rsid w:val="005C4454"/>
    <w:rsid w:val="005C4897"/>
    <w:rsid w:val="005C4AF6"/>
    <w:rsid w:val="005C5309"/>
    <w:rsid w:val="005C55F1"/>
    <w:rsid w:val="005C56AB"/>
    <w:rsid w:val="005C6632"/>
    <w:rsid w:val="005C6BE4"/>
    <w:rsid w:val="005C6CB6"/>
    <w:rsid w:val="005C6D5D"/>
    <w:rsid w:val="005C6FE0"/>
    <w:rsid w:val="005C70FB"/>
    <w:rsid w:val="005C72E4"/>
    <w:rsid w:val="005C730A"/>
    <w:rsid w:val="005C73A4"/>
    <w:rsid w:val="005C7CBA"/>
    <w:rsid w:val="005D0301"/>
    <w:rsid w:val="005D09EB"/>
    <w:rsid w:val="005D0D69"/>
    <w:rsid w:val="005D0DF8"/>
    <w:rsid w:val="005D1240"/>
    <w:rsid w:val="005D162B"/>
    <w:rsid w:val="005D1CBB"/>
    <w:rsid w:val="005D1D0A"/>
    <w:rsid w:val="005D2391"/>
    <w:rsid w:val="005D385D"/>
    <w:rsid w:val="005D3B25"/>
    <w:rsid w:val="005D4337"/>
    <w:rsid w:val="005D5304"/>
    <w:rsid w:val="005D5902"/>
    <w:rsid w:val="005D5A41"/>
    <w:rsid w:val="005D7342"/>
    <w:rsid w:val="005D7529"/>
    <w:rsid w:val="005D77DE"/>
    <w:rsid w:val="005D7836"/>
    <w:rsid w:val="005D7C5C"/>
    <w:rsid w:val="005E03C5"/>
    <w:rsid w:val="005E0688"/>
    <w:rsid w:val="005E0B51"/>
    <w:rsid w:val="005E168E"/>
    <w:rsid w:val="005E23A8"/>
    <w:rsid w:val="005E2E01"/>
    <w:rsid w:val="005E364C"/>
    <w:rsid w:val="005E38BD"/>
    <w:rsid w:val="005E3C86"/>
    <w:rsid w:val="005E3FC5"/>
    <w:rsid w:val="005E43B9"/>
    <w:rsid w:val="005E4608"/>
    <w:rsid w:val="005E4770"/>
    <w:rsid w:val="005E4E94"/>
    <w:rsid w:val="005E5238"/>
    <w:rsid w:val="005E57D8"/>
    <w:rsid w:val="005E5BC4"/>
    <w:rsid w:val="005E5D13"/>
    <w:rsid w:val="005E5E84"/>
    <w:rsid w:val="005E5F7D"/>
    <w:rsid w:val="005E5FAA"/>
    <w:rsid w:val="005E615D"/>
    <w:rsid w:val="005E6AAF"/>
    <w:rsid w:val="005E6CC1"/>
    <w:rsid w:val="005E6EB8"/>
    <w:rsid w:val="005E7028"/>
    <w:rsid w:val="005E7049"/>
    <w:rsid w:val="005E72B0"/>
    <w:rsid w:val="005E784C"/>
    <w:rsid w:val="005E78B4"/>
    <w:rsid w:val="005F1292"/>
    <w:rsid w:val="005F129D"/>
    <w:rsid w:val="005F1ACE"/>
    <w:rsid w:val="005F1C79"/>
    <w:rsid w:val="005F1D44"/>
    <w:rsid w:val="005F2BB9"/>
    <w:rsid w:val="005F3487"/>
    <w:rsid w:val="005F3585"/>
    <w:rsid w:val="005F3777"/>
    <w:rsid w:val="005F45E8"/>
    <w:rsid w:val="005F4C25"/>
    <w:rsid w:val="005F4FAA"/>
    <w:rsid w:val="005F514B"/>
    <w:rsid w:val="005F55DA"/>
    <w:rsid w:val="005F6AE2"/>
    <w:rsid w:val="005F6CBD"/>
    <w:rsid w:val="00600621"/>
    <w:rsid w:val="006010F4"/>
    <w:rsid w:val="006013E6"/>
    <w:rsid w:val="0060142A"/>
    <w:rsid w:val="00601583"/>
    <w:rsid w:val="006015E8"/>
    <w:rsid w:val="006028CB"/>
    <w:rsid w:val="00603824"/>
    <w:rsid w:val="00605857"/>
    <w:rsid w:val="00605D2F"/>
    <w:rsid w:val="00605F73"/>
    <w:rsid w:val="00606769"/>
    <w:rsid w:val="00606ADB"/>
    <w:rsid w:val="00606C84"/>
    <w:rsid w:val="00606D4B"/>
    <w:rsid w:val="006078B4"/>
    <w:rsid w:val="00607C59"/>
    <w:rsid w:val="00607D89"/>
    <w:rsid w:val="00607F19"/>
    <w:rsid w:val="00607FA2"/>
    <w:rsid w:val="00610124"/>
    <w:rsid w:val="0061073C"/>
    <w:rsid w:val="00610DB7"/>
    <w:rsid w:val="00610E27"/>
    <w:rsid w:val="00611334"/>
    <w:rsid w:val="006113E1"/>
    <w:rsid w:val="00611EF4"/>
    <w:rsid w:val="00612401"/>
    <w:rsid w:val="00613473"/>
    <w:rsid w:val="00613828"/>
    <w:rsid w:val="0061452D"/>
    <w:rsid w:val="006148E3"/>
    <w:rsid w:val="00614A9D"/>
    <w:rsid w:val="006156ED"/>
    <w:rsid w:val="00616171"/>
    <w:rsid w:val="00616561"/>
    <w:rsid w:val="0061785B"/>
    <w:rsid w:val="00617EB2"/>
    <w:rsid w:val="00617FD9"/>
    <w:rsid w:val="00620D69"/>
    <w:rsid w:val="00620F13"/>
    <w:rsid w:val="006210D4"/>
    <w:rsid w:val="00621180"/>
    <w:rsid w:val="0062150D"/>
    <w:rsid w:val="006215AB"/>
    <w:rsid w:val="00621A24"/>
    <w:rsid w:val="00621F72"/>
    <w:rsid w:val="00622061"/>
    <w:rsid w:val="00622CB3"/>
    <w:rsid w:val="00622DAF"/>
    <w:rsid w:val="00622E60"/>
    <w:rsid w:val="00623030"/>
    <w:rsid w:val="00623335"/>
    <w:rsid w:val="006238C0"/>
    <w:rsid w:val="0062392B"/>
    <w:rsid w:val="006255B4"/>
    <w:rsid w:val="006256E7"/>
    <w:rsid w:val="00625945"/>
    <w:rsid w:val="00626F7F"/>
    <w:rsid w:val="00630170"/>
    <w:rsid w:val="006305F8"/>
    <w:rsid w:val="00630717"/>
    <w:rsid w:val="00630E22"/>
    <w:rsid w:val="00631159"/>
    <w:rsid w:val="006316A1"/>
    <w:rsid w:val="0063196F"/>
    <w:rsid w:val="00632336"/>
    <w:rsid w:val="006325CA"/>
    <w:rsid w:val="006337CE"/>
    <w:rsid w:val="00633827"/>
    <w:rsid w:val="00635123"/>
    <w:rsid w:val="00635A36"/>
    <w:rsid w:val="00636013"/>
    <w:rsid w:val="00636FC8"/>
    <w:rsid w:val="006376D6"/>
    <w:rsid w:val="00637754"/>
    <w:rsid w:val="00637C81"/>
    <w:rsid w:val="00637EC2"/>
    <w:rsid w:val="00640799"/>
    <w:rsid w:val="00640B90"/>
    <w:rsid w:val="00641C40"/>
    <w:rsid w:val="00641D2E"/>
    <w:rsid w:val="0064305E"/>
    <w:rsid w:val="00643419"/>
    <w:rsid w:val="006449A0"/>
    <w:rsid w:val="00645689"/>
    <w:rsid w:val="00645D68"/>
    <w:rsid w:val="00645FC4"/>
    <w:rsid w:val="0064713A"/>
    <w:rsid w:val="00647ABF"/>
    <w:rsid w:val="00647C6B"/>
    <w:rsid w:val="00651369"/>
    <w:rsid w:val="00651508"/>
    <w:rsid w:val="00651673"/>
    <w:rsid w:val="00651A66"/>
    <w:rsid w:val="00652537"/>
    <w:rsid w:val="006528B8"/>
    <w:rsid w:val="00653198"/>
    <w:rsid w:val="00653414"/>
    <w:rsid w:val="006542A3"/>
    <w:rsid w:val="006545BC"/>
    <w:rsid w:val="006547F1"/>
    <w:rsid w:val="006556A5"/>
    <w:rsid w:val="00655727"/>
    <w:rsid w:val="006566C8"/>
    <w:rsid w:val="00656F6C"/>
    <w:rsid w:val="00657285"/>
    <w:rsid w:val="006608D2"/>
    <w:rsid w:val="00661A5B"/>
    <w:rsid w:val="00662048"/>
    <w:rsid w:val="0066267C"/>
    <w:rsid w:val="00662767"/>
    <w:rsid w:val="006628AF"/>
    <w:rsid w:val="006628EB"/>
    <w:rsid w:val="00662CEB"/>
    <w:rsid w:val="0066300D"/>
    <w:rsid w:val="0066303D"/>
    <w:rsid w:val="00663DAD"/>
    <w:rsid w:val="006641A4"/>
    <w:rsid w:val="006641F2"/>
    <w:rsid w:val="006644F8"/>
    <w:rsid w:val="00664B26"/>
    <w:rsid w:val="006657DF"/>
    <w:rsid w:val="00666830"/>
    <w:rsid w:val="006669EF"/>
    <w:rsid w:val="00666CFA"/>
    <w:rsid w:val="00667D9F"/>
    <w:rsid w:val="00670CAA"/>
    <w:rsid w:val="00672E99"/>
    <w:rsid w:val="0067308B"/>
    <w:rsid w:val="00673113"/>
    <w:rsid w:val="00673847"/>
    <w:rsid w:val="00673DB9"/>
    <w:rsid w:val="0067570D"/>
    <w:rsid w:val="00676A92"/>
    <w:rsid w:val="0067744C"/>
    <w:rsid w:val="0067751B"/>
    <w:rsid w:val="0067780F"/>
    <w:rsid w:val="00677A1B"/>
    <w:rsid w:val="00677E29"/>
    <w:rsid w:val="0068023F"/>
    <w:rsid w:val="006805D9"/>
    <w:rsid w:val="00680FBC"/>
    <w:rsid w:val="00681246"/>
    <w:rsid w:val="006816E0"/>
    <w:rsid w:val="00681B58"/>
    <w:rsid w:val="00681CA8"/>
    <w:rsid w:val="0068311A"/>
    <w:rsid w:val="006832EC"/>
    <w:rsid w:val="0068386D"/>
    <w:rsid w:val="00683EA1"/>
    <w:rsid w:val="00683F7A"/>
    <w:rsid w:val="006843E8"/>
    <w:rsid w:val="0068453C"/>
    <w:rsid w:val="00684C18"/>
    <w:rsid w:val="006857F3"/>
    <w:rsid w:val="006865DF"/>
    <w:rsid w:val="006879E7"/>
    <w:rsid w:val="00687A67"/>
    <w:rsid w:val="00687E3A"/>
    <w:rsid w:val="00690801"/>
    <w:rsid w:val="00690C3B"/>
    <w:rsid w:val="00690C4E"/>
    <w:rsid w:val="00690DE3"/>
    <w:rsid w:val="00690E84"/>
    <w:rsid w:val="00690EE4"/>
    <w:rsid w:val="0069108A"/>
    <w:rsid w:val="00691187"/>
    <w:rsid w:val="00692124"/>
    <w:rsid w:val="006922B7"/>
    <w:rsid w:val="006924A0"/>
    <w:rsid w:val="00692D42"/>
    <w:rsid w:val="00692FED"/>
    <w:rsid w:val="00693337"/>
    <w:rsid w:val="0069339F"/>
    <w:rsid w:val="006934F0"/>
    <w:rsid w:val="006935C5"/>
    <w:rsid w:val="00693646"/>
    <w:rsid w:val="00693B52"/>
    <w:rsid w:val="00694030"/>
    <w:rsid w:val="00694085"/>
    <w:rsid w:val="00694264"/>
    <w:rsid w:val="00694996"/>
    <w:rsid w:val="0069522D"/>
    <w:rsid w:val="0069573D"/>
    <w:rsid w:val="006965E9"/>
    <w:rsid w:val="006967CA"/>
    <w:rsid w:val="00697331"/>
    <w:rsid w:val="00697D1F"/>
    <w:rsid w:val="006A05AD"/>
    <w:rsid w:val="006A0834"/>
    <w:rsid w:val="006A0C4F"/>
    <w:rsid w:val="006A0C85"/>
    <w:rsid w:val="006A1C92"/>
    <w:rsid w:val="006A1F5C"/>
    <w:rsid w:val="006A24A5"/>
    <w:rsid w:val="006A2BE2"/>
    <w:rsid w:val="006A2D0E"/>
    <w:rsid w:val="006A2DD7"/>
    <w:rsid w:val="006A310D"/>
    <w:rsid w:val="006A32D1"/>
    <w:rsid w:val="006A32FB"/>
    <w:rsid w:val="006A3468"/>
    <w:rsid w:val="006A3691"/>
    <w:rsid w:val="006A3C43"/>
    <w:rsid w:val="006A3DD0"/>
    <w:rsid w:val="006A3E33"/>
    <w:rsid w:val="006A3E99"/>
    <w:rsid w:val="006A4970"/>
    <w:rsid w:val="006A56E7"/>
    <w:rsid w:val="006A570B"/>
    <w:rsid w:val="006A58CA"/>
    <w:rsid w:val="006A6141"/>
    <w:rsid w:val="006A62E7"/>
    <w:rsid w:val="006A64FA"/>
    <w:rsid w:val="006A7037"/>
    <w:rsid w:val="006A71C1"/>
    <w:rsid w:val="006A7302"/>
    <w:rsid w:val="006A735C"/>
    <w:rsid w:val="006A744C"/>
    <w:rsid w:val="006A7B24"/>
    <w:rsid w:val="006B0109"/>
    <w:rsid w:val="006B0A83"/>
    <w:rsid w:val="006B1016"/>
    <w:rsid w:val="006B12D8"/>
    <w:rsid w:val="006B2780"/>
    <w:rsid w:val="006B2BC6"/>
    <w:rsid w:val="006B339E"/>
    <w:rsid w:val="006B4233"/>
    <w:rsid w:val="006B4AC3"/>
    <w:rsid w:val="006B4BD1"/>
    <w:rsid w:val="006B4EA8"/>
    <w:rsid w:val="006B4F7E"/>
    <w:rsid w:val="006B50E8"/>
    <w:rsid w:val="006B52CC"/>
    <w:rsid w:val="006B62D6"/>
    <w:rsid w:val="006B7007"/>
    <w:rsid w:val="006B706B"/>
    <w:rsid w:val="006B75BB"/>
    <w:rsid w:val="006C01C1"/>
    <w:rsid w:val="006C097A"/>
    <w:rsid w:val="006C1F54"/>
    <w:rsid w:val="006C2872"/>
    <w:rsid w:val="006C29D3"/>
    <w:rsid w:val="006C29DC"/>
    <w:rsid w:val="006C2BBD"/>
    <w:rsid w:val="006C356E"/>
    <w:rsid w:val="006C378F"/>
    <w:rsid w:val="006C3A93"/>
    <w:rsid w:val="006C3ADE"/>
    <w:rsid w:val="006C4EC9"/>
    <w:rsid w:val="006C5096"/>
    <w:rsid w:val="006C5142"/>
    <w:rsid w:val="006C53CF"/>
    <w:rsid w:val="006C5790"/>
    <w:rsid w:val="006C5C35"/>
    <w:rsid w:val="006C5F1C"/>
    <w:rsid w:val="006C6383"/>
    <w:rsid w:val="006C656F"/>
    <w:rsid w:val="006C6D01"/>
    <w:rsid w:val="006C7CB1"/>
    <w:rsid w:val="006D03C6"/>
    <w:rsid w:val="006D0CE6"/>
    <w:rsid w:val="006D0D6E"/>
    <w:rsid w:val="006D2429"/>
    <w:rsid w:val="006D296C"/>
    <w:rsid w:val="006D31C3"/>
    <w:rsid w:val="006D3682"/>
    <w:rsid w:val="006D3ADE"/>
    <w:rsid w:val="006D3C8D"/>
    <w:rsid w:val="006D4562"/>
    <w:rsid w:val="006D4DE7"/>
    <w:rsid w:val="006D4FA4"/>
    <w:rsid w:val="006D599C"/>
    <w:rsid w:val="006D5F5C"/>
    <w:rsid w:val="006D6829"/>
    <w:rsid w:val="006D6ABF"/>
    <w:rsid w:val="006D739A"/>
    <w:rsid w:val="006D7A56"/>
    <w:rsid w:val="006E02CF"/>
    <w:rsid w:val="006E0623"/>
    <w:rsid w:val="006E1183"/>
    <w:rsid w:val="006E18F7"/>
    <w:rsid w:val="006E1AB4"/>
    <w:rsid w:val="006E1C2A"/>
    <w:rsid w:val="006E1F8F"/>
    <w:rsid w:val="006E26D0"/>
    <w:rsid w:val="006E28E3"/>
    <w:rsid w:val="006E33B3"/>
    <w:rsid w:val="006E4467"/>
    <w:rsid w:val="006E4971"/>
    <w:rsid w:val="006E4BA1"/>
    <w:rsid w:val="006E550E"/>
    <w:rsid w:val="006E5D34"/>
    <w:rsid w:val="006E5DCC"/>
    <w:rsid w:val="006E6181"/>
    <w:rsid w:val="006E70C4"/>
    <w:rsid w:val="006E74F6"/>
    <w:rsid w:val="006F05D3"/>
    <w:rsid w:val="006F09D2"/>
    <w:rsid w:val="006F0D0A"/>
    <w:rsid w:val="006F1F10"/>
    <w:rsid w:val="006F2F69"/>
    <w:rsid w:val="006F2FBF"/>
    <w:rsid w:val="006F36E4"/>
    <w:rsid w:val="006F3D0B"/>
    <w:rsid w:val="006F4227"/>
    <w:rsid w:val="006F46F1"/>
    <w:rsid w:val="006F481D"/>
    <w:rsid w:val="006F49F2"/>
    <w:rsid w:val="006F5319"/>
    <w:rsid w:val="006F62C4"/>
    <w:rsid w:val="006F7955"/>
    <w:rsid w:val="006F7D22"/>
    <w:rsid w:val="006F7F7C"/>
    <w:rsid w:val="007014D5"/>
    <w:rsid w:val="00701F63"/>
    <w:rsid w:val="00702E0D"/>
    <w:rsid w:val="00703401"/>
    <w:rsid w:val="007035DD"/>
    <w:rsid w:val="00703F61"/>
    <w:rsid w:val="0070445A"/>
    <w:rsid w:val="007045FC"/>
    <w:rsid w:val="00705451"/>
    <w:rsid w:val="007059C4"/>
    <w:rsid w:val="00705B1E"/>
    <w:rsid w:val="007060D9"/>
    <w:rsid w:val="007061DF"/>
    <w:rsid w:val="0070624D"/>
    <w:rsid w:val="007067D2"/>
    <w:rsid w:val="0070738F"/>
    <w:rsid w:val="007074F6"/>
    <w:rsid w:val="0070791D"/>
    <w:rsid w:val="00707A94"/>
    <w:rsid w:val="00707C1E"/>
    <w:rsid w:val="00710D8A"/>
    <w:rsid w:val="00710ECE"/>
    <w:rsid w:val="00710F79"/>
    <w:rsid w:val="00710FAB"/>
    <w:rsid w:val="00711173"/>
    <w:rsid w:val="007118CF"/>
    <w:rsid w:val="00712826"/>
    <w:rsid w:val="00713C07"/>
    <w:rsid w:val="00714357"/>
    <w:rsid w:val="007144B9"/>
    <w:rsid w:val="0071456F"/>
    <w:rsid w:val="00714A4B"/>
    <w:rsid w:val="00715AF3"/>
    <w:rsid w:val="00716530"/>
    <w:rsid w:val="007168ED"/>
    <w:rsid w:val="00716A08"/>
    <w:rsid w:val="00716C8C"/>
    <w:rsid w:val="0071785D"/>
    <w:rsid w:val="00717C43"/>
    <w:rsid w:val="00720537"/>
    <w:rsid w:val="00720B05"/>
    <w:rsid w:val="00720B11"/>
    <w:rsid w:val="00721DC1"/>
    <w:rsid w:val="00721F83"/>
    <w:rsid w:val="007220B2"/>
    <w:rsid w:val="00722D24"/>
    <w:rsid w:val="0072320E"/>
    <w:rsid w:val="00724149"/>
    <w:rsid w:val="007241CD"/>
    <w:rsid w:val="00725069"/>
    <w:rsid w:val="007250D9"/>
    <w:rsid w:val="00725F95"/>
    <w:rsid w:val="007260C2"/>
    <w:rsid w:val="00726583"/>
    <w:rsid w:val="00726DB1"/>
    <w:rsid w:val="00727C98"/>
    <w:rsid w:val="00730FFA"/>
    <w:rsid w:val="00732FCE"/>
    <w:rsid w:val="0073314A"/>
    <w:rsid w:val="007338CE"/>
    <w:rsid w:val="00733AC3"/>
    <w:rsid w:val="00734501"/>
    <w:rsid w:val="0073474E"/>
    <w:rsid w:val="00734953"/>
    <w:rsid w:val="00735346"/>
    <w:rsid w:val="007357D9"/>
    <w:rsid w:val="00735A3C"/>
    <w:rsid w:val="007366A1"/>
    <w:rsid w:val="0073678C"/>
    <w:rsid w:val="00736BD5"/>
    <w:rsid w:val="00736C1B"/>
    <w:rsid w:val="00740302"/>
    <w:rsid w:val="00740C41"/>
    <w:rsid w:val="00741BDE"/>
    <w:rsid w:val="00742479"/>
    <w:rsid w:val="007433FF"/>
    <w:rsid w:val="00743673"/>
    <w:rsid w:val="007436B6"/>
    <w:rsid w:val="007436CE"/>
    <w:rsid w:val="00743742"/>
    <w:rsid w:val="0074397A"/>
    <w:rsid w:val="00743D43"/>
    <w:rsid w:val="007444B6"/>
    <w:rsid w:val="00744658"/>
    <w:rsid w:val="00744C36"/>
    <w:rsid w:val="00745F32"/>
    <w:rsid w:val="00746CB8"/>
    <w:rsid w:val="00747008"/>
    <w:rsid w:val="007470DE"/>
    <w:rsid w:val="00747682"/>
    <w:rsid w:val="00747D68"/>
    <w:rsid w:val="00750424"/>
    <w:rsid w:val="00750542"/>
    <w:rsid w:val="00750BF7"/>
    <w:rsid w:val="00750DA4"/>
    <w:rsid w:val="00751000"/>
    <w:rsid w:val="007515E0"/>
    <w:rsid w:val="00751948"/>
    <w:rsid w:val="0075229F"/>
    <w:rsid w:val="00752589"/>
    <w:rsid w:val="0075336D"/>
    <w:rsid w:val="00753AB2"/>
    <w:rsid w:val="00754C98"/>
    <w:rsid w:val="0075603B"/>
    <w:rsid w:val="00756139"/>
    <w:rsid w:val="0075654B"/>
    <w:rsid w:val="0076073F"/>
    <w:rsid w:val="00760937"/>
    <w:rsid w:val="0076096B"/>
    <w:rsid w:val="00760A3D"/>
    <w:rsid w:val="007617B4"/>
    <w:rsid w:val="007628DC"/>
    <w:rsid w:val="007630C1"/>
    <w:rsid w:val="0076377D"/>
    <w:rsid w:val="00763DE7"/>
    <w:rsid w:val="00763F69"/>
    <w:rsid w:val="007643B4"/>
    <w:rsid w:val="00765295"/>
    <w:rsid w:val="00765F93"/>
    <w:rsid w:val="00765FA9"/>
    <w:rsid w:val="007667DB"/>
    <w:rsid w:val="0076690D"/>
    <w:rsid w:val="00766C91"/>
    <w:rsid w:val="0076734B"/>
    <w:rsid w:val="0076761C"/>
    <w:rsid w:val="00770616"/>
    <w:rsid w:val="00770C08"/>
    <w:rsid w:val="007710B6"/>
    <w:rsid w:val="00771488"/>
    <w:rsid w:val="007717D0"/>
    <w:rsid w:val="0077218A"/>
    <w:rsid w:val="00772551"/>
    <w:rsid w:val="007728F2"/>
    <w:rsid w:val="0077335C"/>
    <w:rsid w:val="007733D5"/>
    <w:rsid w:val="00773A72"/>
    <w:rsid w:val="00774984"/>
    <w:rsid w:val="00774A2D"/>
    <w:rsid w:val="00775806"/>
    <w:rsid w:val="00775D61"/>
    <w:rsid w:val="00776478"/>
    <w:rsid w:val="00776E96"/>
    <w:rsid w:val="00776F27"/>
    <w:rsid w:val="00777B27"/>
    <w:rsid w:val="00777B94"/>
    <w:rsid w:val="00777F21"/>
    <w:rsid w:val="007822DB"/>
    <w:rsid w:val="0078236D"/>
    <w:rsid w:val="007827B0"/>
    <w:rsid w:val="00782B36"/>
    <w:rsid w:val="00783FB0"/>
    <w:rsid w:val="007846A2"/>
    <w:rsid w:val="007854D7"/>
    <w:rsid w:val="00785524"/>
    <w:rsid w:val="00785765"/>
    <w:rsid w:val="007862D6"/>
    <w:rsid w:val="0078630C"/>
    <w:rsid w:val="00786312"/>
    <w:rsid w:val="007870C4"/>
    <w:rsid w:val="007876BA"/>
    <w:rsid w:val="00787C9D"/>
    <w:rsid w:val="00787DD3"/>
    <w:rsid w:val="007901A4"/>
    <w:rsid w:val="007901EB"/>
    <w:rsid w:val="007904E7"/>
    <w:rsid w:val="007905D2"/>
    <w:rsid w:val="0079098A"/>
    <w:rsid w:val="0079376C"/>
    <w:rsid w:val="00793A8B"/>
    <w:rsid w:val="00793C28"/>
    <w:rsid w:val="007940DA"/>
    <w:rsid w:val="00794F3B"/>
    <w:rsid w:val="0079516C"/>
    <w:rsid w:val="007951D3"/>
    <w:rsid w:val="00796A5C"/>
    <w:rsid w:val="00796CD2"/>
    <w:rsid w:val="00797DFF"/>
    <w:rsid w:val="00797EC9"/>
    <w:rsid w:val="007A19CD"/>
    <w:rsid w:val="007A23CC"/>
    <w:rsid w:val="007A2E5C"/>
    <w:rsid w:val="007A533B"/>
    <w:rsid w:val="007A55B5"/>
    <w:rsid w:val="007A59E2"/>
    <w:rsid w:val="007A5A58"/>
    <w:rsid w:val="007A5BD8"/>
    <w:rsid w:val="007A62C4"/>
    <w:rsid w:val="007A6A25"/>
    <w:rsid w:val="007A77C9"/>
    <w:rsid w:val="007A79A6"/>
    <w:rsid w:val="007A7FD3"/>
    <w:rsid w:val="007B0C53"/>
    <w:rsid w:val="007B1F33"/>
    <w:rsid w:val="007B26BF"/>
    <w:rsid w:val="007B2983"/>
    <w:rsid w:val="007B2E3F"/>
    <w:rsid w:val="007B318F"/>
    <w:rsid w:val="007B357E"/>
    <w:rsid w:val="007B38A7"/>
    <w:rsid w:val="007B3A64"/>
    <w:rsid w:val="007B3B00"/>
    <w:rsid w:val="007B3BA0"/>
    <w:rsid w:val="007B3BAD"/>
    <w:rsid w:val="007B3FAB"/>
    <w:rsid w:val="007B4037"/>
    <w:rsid w:val="007B4392"/>
    <w:rsid w:val="007B4409"/>
    <w:rsid w:val="007B450A"/>
    <w:rsid w:val="007B4B60"/>
    <w:rsid w:val="007B58E0"/>
    <w:rsid w:val="007B5B67"/>
    <w:rsid w:val="007B74B0"/>
    <w:rsid w:val="007C09CD"/>
    <w:rsid w:val="007C338C"/>
    <w:rsid w:val="007C37EA"/>
    <w:rsid w:val="007C465B"/>
    <w:rsid w:val="007C4BBF"/>
    <w:rsid w:val="007C4D9A"/>
    <w:rsid w:val="007C589B"/>
    <w:rsid w:val="007C6789"/>
    <w:rsid w:val="007C70B5"/>
    <w:rsid w:val="007C70E1"/>
    <w:rsid w:val="007C73B2"/>
    <w:rsid w:val="007C7BF2"/>
    <w:rsid w:val="007C7DEE"/>
    <w:rsid w:val="007D0774"/>
    <w:rsid w:val="007D0A9F"/>
    <w:rsid w:val="007D0BBC"/>
    <w:rsid w:val="007D0FBA"/>
    <w:rsid w:val="007D16B9"/>
    <w:rsid w:val="007D3C11"/>
    <w:rsid w:val="007D4ACD"/>
    <w:rsid w:val="007D4D2A"/>
    <w:rsid w:val="007D5F63"/>
    <w:rsid w:val="007D61EA"/>
    <w:rsid w:val="007D65E4"/>
    <w:rsid w:val="007D7855"/>
    <w:rsid w:val="007D7949"/>
    <w:rsid w:val="007D7987"/>
    <w:rsid w:val="007D7B04"/>
    <w:rsid w:val="007D7D02"/>
    <w:rsid w:val="007E0B9B"/>
    <w:rsid w:val="007E0CA6"/>
    <w:rsid w:val="007E0CAB"/>
    <w:rsid w:val="007E0E73"/>
    <w:rsid w:val="007E2A0B"/>
    <w:rsid w:val="007E2B1A"/>
    <w:rsid w:val="007E3277"/>
    <w:rsid w:val="007E35B2"/>
    <w:rsid w:val="007E36AC"/>
    <w:rsid w:val="007E412A"/>
    <w:rsid w:val="007E502F"/>
    <w:rsid w:val="007E53D3"/>
    <w:rsid w:val="007E5954"/>
    <w:rsid w:val="007E5D88"/>
    <w:rsid w:val="007E5F41"/>
    <w:rsid w:val="007E5F87"/>
    <w:rsid w:val="007E6DF7"/>
    <w:rsid w:val="007E6E49"/>
    <w:rsid w:val="007E733A"/>
    <w:rsid w:val="007F0036"/>
    <w:rsid w:val="007F1341"/>
    <w:rsid w:val="007F15D7"/>
    <w:rsid w:val="007F1A03"/>
    <w:rsid w:val="007F2DD4"/>
    <w:rsid w:val="007F35A6"/>
    <w:rsid w:val="007F3889"/>
    <w:rsid w:val="007F3DFA"/>
    <w:rsid w:val="007F3F5A"/>
    <w:rsid w:val="007F4495"/>
    <w:rsid w:val="007F4A58"/>
    <w:rsid w:val="007F4A7A"/>
    <w:rsid w:val="007F4DCD"/>
    <w:rsid w:val="007F516D"/>
    <w:rsid w:val="007F53CA"/>
    <w:rsid w:val="007F553D"/>
    <w:rsid w:val="007F59C2"/>
    <w:rsid w:val="007F68DB"/>
    <w:rsid w:val="007F6AC4"/>
    <w:rsid w:val="007F6CB5"/>
    <w:rsid w:val="008003D4"/>
    <w:rsid w:val="008011D7"/>
    <w:rsid w:val="008019F4"/>
    <w:rsid w:val="00801EED"/>
    <w:rsid w:val="00801F1D"/>
    <w:rsid w:val="00802178"/>
    <w:rsid w:val="0080233A"/>
    <w:rsid w:val="00802517"/>
    <w:rsid w:val="0080274A"/>
    <w:rsid w:val="00803770"/>
    <w:rsid w:val="00805EF1"/>
    <w:rsid w:val="00807497"/>
    <w:rsid w:val="0081004B"/>
    <w:rsid w:val="008101D3"/>
    <w:rsid w:val="008101EC"/>
    <w:rsid w:val="00810F3E"/>
    <w:rsid w:val="00811D29"/>
    <w:rsid w:val="00811F89"/>
    <w:rsid w:val="008125A0"/>
    <w:rsid w:val="00813372"/>
    <w:rsid w:val="00814946"/>
    <w:rsid w:val="00815345"/>
    <w:rsid w:val="008169A2"/>
    <w:rsid w:val="00816BAD"/>
    <w:rsid w:val="0081777B"/>
    <w:rsid w:val="0081791F"/>
    <w:rsid w:val="008179B5"/>
    <w:rsid w:val="00820693"/>
    <w:rsid w:val="00821927"/>
    <w:rsid w:val="00821BD4"/>
    <w:rsid w:val="00822684"/>
    <w:rsid w:val="00822843"/>
    <w:rsid w:val="008244D3"/>
    <w:rsid w:val="00824AD9"/>
    <w:rsid w:val="00825A62"/>
    <w:rsid w:val="0082684B"/>
    <w:rsid w:val="00826BE1"/>
    <w:rsid w:val="008271EE"/>
    <w:rsid w:val="00827D31"/>
    <w:rsid w:val="00827EFA"/>
    <w:rsid w:val="00830145"/>
    <w:rsid w:val="0083138F"/>
    <w:rsid w:val="00832233"/>
    <w:rsid w:val="00832759"/>
    <w:rsid w:val="00832CB9"/>
    <w:rsid w:val="00832F1A"/>
    <w:rsid w:val="008333BA"/>
    <w:rsid w:val="00835682"/>
    <w:rsid w:val="00835AC6"/>
    <w:rsid w:val="00836A9E"/>
    <w:rsid w:val="00836C5C"/>
    <w:rsid w:val="00840123"/>
    <w:rsid w:val="00840CCA"/>
    <w:rsid w:val="00841142"/>
    <w:rsid w:val="00841B13"/>
    <w:rsid w:val="00842BC0"/>
    <w:rsid w:val="00843713"/>
    <w:rsid w:val="00843C62"/>
    <w:rsid w:val="0084458B"/>
    <w:rsid w:val="00844779"/>
    <w:rsid w:val="008461E4"/>
    <w:rsid w:val="0084675F"/>
    <w:rsid w:val="0084706C"/>
    <w:rsid w:val="00847218"/>
    <w:rsid w:val="008474E9"/>
    <w:rsid w:val="008479A2"/>
    <w:rsid w:val="008479DC"/>
    <w:rsid w:val="008503B4"/>
    <w:rsid w:val="00850604"/>
    <w:rsid w:val="00850EB9"/>
    <w:rsid w:val="00851085"/>
    <w:rsid w:val="00851447"/>
    <w:rsid w:val="00851D61"/>
    <w:rsid w:val="00851F17"/>
    <w:rsid w:val="0085208A"/>
    <w:rsid w:val="00852337"/>
    <w:rsid w:val="00852D66"/>
    <w:rsid w:val="00852FEC"/>
    <w:rsid w:val="008532FA"/>
    <w:rsid w:val="00853BCA"/>
    <w:rsid w:val="00853D9A"/>
    <w:rsid w:val="00853DE5"/>
    <w:rsid w:val="00854198"/>
    <w:rsid w:val="00854399"/>
    <w:rsid w:val="00855B64"/>
    <w:rsid w:val="00856346"/>
    <w:rsid w:val="00856401"/>
    <w:rsid w:val="00857F2F"/>
    <w:rsid w:val="00860139"/>
    <w:rsid w:val="00860266"/>
    <w:rsid w:val="00860723"/>
    <w:rsid w:val="00861461"/>
    <w:rsid w:val="00861BEC"/>
    <w:rsid w:val="00862640"/>
    <w:rsid w:val="008632C2"/>
    <w:rsid w:val="00863344"/>
    <w:rsid w:val="00863491"/>
    <w:rsid w:val="00863593"/>
    <w:rsid w:val="008642CF"/>
    <w:rsid w:val="00864E03"/>
    <w:rsid w:val="00865E87"/>
    <w:rsid w:val="008673BD"/>
    <w:rsid w:val="00871F5B"/>
    <w:rsid w:val="00872530"/>
    <w:rsid w:val="008726AD"/>
    <w:rsid w:val="00872BC4"/>
    <w:rsid w:val="00872CA1"/>
    <w:rsid w:val="008734B9"/>
    <w:rsid w:val="0087364A"/>
    <w:rsid w:val="00873C71"/>
    <w:rsid w:val="00873D35"/>
    <w:rsid w:val="00874706"/>
    <w:rsid w:val="00874B17"/>
    <w:rsid w:val="00875F9E"/>
    <w:rsid w:val="0087616E"/>
    <w:rsid w:val="00876FFB"/>
    <w:rsid w:val="00877091"/>
    <w:rsid w:val="00877242"/>
    <w:rsid w:val="00877587"/>
    <w:rsid w:val="00880BD0"/>
    <w:rsid w:val="00881B8E"/>
    <w:rsid w:val="008825E9"/>
    <w:rsid w:val="008829DC"/>
    <w:rsid w:val="008838E0"/>
    <w:rsid w:val="00883BC7"/>
    <w:rsid w:val="008845B3"/>
    <w:rsid w:val="00884F61"/>
    <w:rsid w:val="00885779"/>
    <w:rsid w:val="00885B88"/>
    <w:rsid w:val="008866EE"/>
    <w:rsid w:val="0088716B"/>
    <w:rsid w:val="00887F51"/>
    <w:rsid w:val="00891746"/>
    <w:rsid w:val="00891CF6"/>
    <w:rsid w:val="00891FFE"/>
    <w:rsid w:val="008921E3"/>
    <w:rsid w:val="008922D9"/>
    <w:rsid w:val="00893DD6"/>
    <w:rsid w:val="00894915"/>
    <w:rsid w:val="0089611A"/>
    <w:rsid w:val="00896396"/>
    <w:rsid w:val="00896881"/>
    <w:rsid w:val="008A0771"/>
    <w:rsid w:val="008A0E14"/>
    <w:rsid w:val="008A1355"/>
    <w:rsid w:val="008A1D38"/>
    <w:rsid w:val="008A1F7F"/>
    <w:rsid w:val="008A2393"/>
    <w:rsid w:val="008A29E7"/>
    <w:rsid w:val="008A2A70"/>
    <w:rsid w:val="008A2BAD"/>
    <w:rsid w:val="008A2FD0"/>
    <w:rsid w:val="008A383E"/>
    <w:rsid w:val="008A397B"/>
    <w:rsid w:val="008A3E32"/>
    <w:rsid w:val="008A3E52"/>
    <w:rsid w:val="008A41F0"/>
    <w:rsid w:val="008A4A62"/>
    <w:rsid w:val="008A4B60"/>
    <w:rsid w:val="008A52AB"/>
    <w:rsid w:val="008A59BF"/>
    <w:rsid w:val="008A5AA9"/>
    <w:rsid w:val="008A61BF"/>
    <w:rsid w:val="008A714D"/>
    <w:rsid w:val="008A7C24"/>
    <w:rsid w:val="008A7C3C"/>
    <w:rsid w:val="008A7D8D"/>
    <w:rsid w:val="008A7FBC"/>
    <w:rsid w:val="008B005F"/>
    <w:rsid w:val="008B02E6"/>
    <w:rsid w:val="008B09C8"/>
    <w:rsid w:val="008B0B3C"/>
    <w:rsid w:val="008B1265"/>
    <w:rsid w:val="008B135B"/>
    <w:rsid w:val="008B16FD"/>
    <w:rsid w:val="008B174E"/>
    <w:rsid w:val="008B2E14"/>
    <w:rsid w:val="008B3F7E"/>
    <w:rsid w:val="008B447F"/>
    <w:rsid w:val="008B4D10"/>
    <w:rsid w:val="008B53DC"/>
    <w:rsid w:val="008B611E"/>
    <w:rsid w:val="008B61BA"/>
    <w:rsid w:val="008B6B8F"/>
    <w:rsid w:val="008B737A"/>
    <w:rsid w:val="008B7BB3"/>
    <w:rsid w:val="008C0F29"/>
    <w:rsid w:val="008C1315"/>
    <w:rsid w:val="008C1955"/>
    <w:rsid w:val="008C2071"/>
    <w:rsid w:val="008C30D5"/>
    <w:rsid w:val="008C36DE"/>
    <w:rsid w:val="008C53D4"/>
    <w:rsid w:val="008C5D48"/>
    <w:rsid w:val="008C5DEC"/>
    <w:rsid w:val="008C695E"/>
    <w:rsid w:val="008C6DC2"/>
    <w:rsid w:val="008C71E2"/>
    <w:rsid w:val="008C759B"/>
    <w:rsid w:val="008D0088"/>
    <w:rsid w:val="008D143C"/>
    <w:rsid w:val="008D2088"/>
    <w:rsid w:val="008D2269"/>
    <w:rsid w:val="008D2415"/>
    <w:rsid w:val="008D408E"/>
    <w:rsid w:val="008D4937"/>
    <w:rsid w:val="008D4DBF"/>
    <w:rsid w:val="008D52CF"/>
    <w:rsid w:val="008D53E1"/>
    <w:rsid w:val="008D5E88"/>
    <w:rsid w:val="008D62FD"/>
    <w:rsid w:val="008D73BF"/>
    <w:rsid w:val="008D7BA8"/>
    <w:rsid w:val="008D7E0D"/>
    <w:rsid w:val="008E1877"/>
    <w:rsid w:val="008E1DBA"/>
    <w:rsid w:val="008E221B"/>
    <w:rsid w:val="008E2FE4"/>
    <w:rsid w:val="008E31DD"/>
    <w:rsid w:val="008E438F"/>
    <w:rsid w:val="008E4408"/>
    <w:rsid w:val="008E4B15"/>
    <w:rsid w:val="008E510F"/>
    <w:rsid w:val="008E56E4"/>
    <w:rsid w:val="008E5C31"/>
    <w:rsid w:val="008E6258"/>
    <w:rsid w:val="008E66DC"/>
    <w:rsid w:val="008E73DF"/>
    <w:rsid w:val="008E7730"/>
    <w:rsid w:val="008F02D2"/>
    <w:rsid w:val="008F19DD"/>
    <w:rsid w:val="008F1CDB"/>
    <w:rsid w:val="008F210E"/>
    <w:rsid w:val="008F217C"/>
    <w:rsid w:val="008F282D"/>
    <w:rsid w:val="008F2DE0"/>
    <w:rsid w:val="008F415C"/>
    <w:rsid w:val="008F4E90"/>
    <w:rsid w:val="008F4EE9"/>
    <w:rsid w:val="008F53EF"/>
    <w:rsid w:val="008F5F66"/>
    <w:rsid w:val="008F6EBA"/>
    <w:rsid w:val="008F7AAB"/>
    <w:rsid w:val="00900E91"/>
    <w:rsid w:val="00901059"/>
    <w:rsid w:val="00901D1D"/>
    <w:rsid w:val="0090288A"/>
    <w:rsid w:val="00902B38"/>
    <w:rsid w:val="009036A3"/>
    <w:rsid w:val="00903AEE"/>
    <w:rsid w:val="00904379"/>
    <w:rsid w:val="00904396"/>
    <w:rsid w:val="00906DE5"/>
    <w:rsid w:val="00910158"/>
    <w:rsid w:val="009101E9"/>
    <w:rsid w:val="009104B2"/>
    <w:rsid w:val="00911004"/>
    <w:rsid w:val="009115D5"/>
    <w:rsid w:val="009120DD"/>
    <w:rsid w:val="00912A35"/>
    <w:rsid w:val="009130E8"/>
    <w:rsid w:val="00913255"/>
    <w:rsid w:val="00913834"/>
    <w:rsid w:val="00913983"/>
    <w:rsid w:val="00914127"/>
    <w:rsid w:val="00914C73"/>
    <w:rsid w:val="009156B7"/>
    <w:rsid w:val="009159B7"/>
    <w:rsid w:val="00915B38"/>
    <w:rsid w:val="00915CD8"/>
    <w:rsid w:val="0091746C"/>
    <w:rsid w:val="0091751C"/>
    <w:rsid w:val="00917701"/>
    <w:rsid w:val="00921255"/>
    <w:rsid w:val="009214A9"/>
    <w:rsid w:val="00921A62"/>
    <w:rsid w:val="00921B4D"/>
    <w:rsid w:val="00922434"/>
    <w:rsid w:val="009227CE"/>
    <w:rsid w:val="009227E1"/>
    <w:rsid w:val="00922C78"/>
    <w:rsid w:val="00923358"/>
    <w:rsid w:val="009234F5"/>
    <w:rsid w:val="00923671"/>
    <w:rsid w:val="009238AC"/>
    <w:rsid w:val="0092416D"/>
    <w:rsid w:val="00924807"/>
    <w:rsid w:val="009252DB"/>
    <w:rsid w:val="00925791"/>
    <w:rsid w:val="009258ED"/>
    <w:rsid w:val="0092613D"/>
    <w:rsid w:val="00926B0B"/>
    <w:rsid w:val="00926B76"/>
    <w:rsid w:val="0092709D"/>
    <w:rsid w:val="00927B36"/>
    <w:rsid w:val="00927E0D"/>
    <w:rsid w:val="00930286"/>
    <w:rsid w:val="009303CC"/>
    <w:rsid w:val="00930597"/>
    <w:rsid w:val="00930D58"/>
    <w:rsid w:val="00930F1A"/>
    <w:rsid w:val="00931013"/>
    <w:rsid w:val="00931214"/>
    <w:rsid w:val="009318E1"/>
    <w:rsid w:val="00933116"/>
    <w:rsid w:val="009332B9"/>
    <w:rsid w:val="00933519"/>
    <w:rsid w:val="00933CBE"/>
    <w:rsid w:val="00933E7F"/>
    <w:rsid w:val="00933FEB"/>
    <w:rsid w:val="009342C2"/>
    <w:rsid w:val="00934587"/>
    <w:rsid w:val="00934CD5"/>
    <w:rsid w:val="00935495"/>
    <w:rsid w:val="009356E8"/>
    <w:rsid w:val="00935C31"/>
    <w:rsid w:val="00935EC3"/>
    <w:rsid w:val="00936461"/>
    <w:rsid w:val="0093659E"/>
    <w:rsid w:val="00937234"/>
    <w:rsid w:val="0093787F"/>
    <w:rsid w:val="00937EC1"/>
    <w:rsid w:val="00940241"/>
    <w:rsid w:val="009403C9"/>
    <w:rsid w:val="00940590"/>
    <w:rsid w:val="00940A78"/>
    <w:rsid w:val="00940C84"/>
    <w:rsid w:val="00940D74"/>
    <w:rsid w:val="00941031"/>
    <w:rsid w:val="00941BD6"/>
    <w:rsid w:val="00941FD4"/>
    <w:rsid w:val="0094301B"/>
    <w:rsid w:val="009441B7"/>
    <w:rsid w:val="009447A9"/>
    <w:rsid w:val="00944B3E"/>
    <w:rsid w:val="00944C3C"/>
    <w:rsid w:val="00945779"/>
    <w:rsid w:val="00945ECF"/>
    <w:rsid w:val="00945FB4"/>
    <w:rsid w:val="009462FD"/>
    <w:rsid w:val="009470FC"/>
    <w:rsid w:val="00947889"/>
    <w:rsid w:val="00947AF3"/>
    <w:rsid w:val="00947C81"/>
    <w:rsid w:val="0095048E"/>
    <w:rsid w:val="00950D38"/>
    <w:rsid w:val="009514EF"/>
    <w:rsid w:val="009516F2"/>
    <w:rsid w:val="009518EB"/>
    <w:rsid w:val="009527CC"/>
    <w:rsid w:val="00952F29"/>
    <w:rsid w:val="00953033"/>
    <w:rsid w:val="00953C0E"/>
    <w:rsid w:val="00953EE3"/>
    <w:rsid w:val="009545BC"/>
    <w:rsid w:val="00954823"/>
    <w:rsid w:val="009549D4"/>
    <w:rsid w:val="00954DFC"/>
    <w:rsid w:val="00955561"/>
    <w:rsid w:val="009557C5"/>
    <w:rsid w:val="00955C2B"/>
    <w:rsid w:val="00956BA1"/>
    <w:rsid w:val="00956BC9"/>
    <w:rsid w:val="00956CC9"/>
    <w:rsid w:val="00956E2E"/>
    <w:rsid w:val="009573F5"/>
    <w:rsid w:val="0095747E"/>
    <w:rsid w:val="00957E9D"/>
    <w:rsid w:val="0096036C"/>
    <w:rsid w:val="00961D12"/>
    <w:rsid w:val="00962008"/>
    <w:rsid w:val="00962096"/>
    <w:rsid w:val="009626CB"/>
    <w:rsid w:val="009627F7"/>
    <w:rsid w:val="00962D37"/>
    <w:rsid w:val="00963BB7"/>
    <w:rsid w:val="00963D6A"/>
    <w:rsid w:val="00963FDF"/>
    <w:rsid w:val="00964346"/>
    <w:rsid w:val="00964C69"/>
    <w:rsid w:val="00964DF4"/>
    <w:rsid w:val="00964E31"/>
    <w:rsid w:val="00964E52"/>
    <w:rsid w:val="0096556F"/>
    <w:rsid w:val="00965758"/>
    <w:rsid w:val="0096675B"/>
    <w:rsid w:val="00966E75"/>
    <w:rsid w:val="009670D3"/>
    <w:rsid w:val="00970832"/>
    <w:rsid w:val="00970A20"/>
    <w:rsid w:val="00971197"/>
    <w:rsid w:val="009712B6"/>
    <w:rsid w:val="009718F8"/>
    <w:rsid w:val="009720B9"/>
    <w:rsid w:val="00973D16"/>
    <w:rsid w:val="00974024"/>
    <w:rsid w:val="0097482B"/>
    <w:rsid w:val="00974B25"/>
    <w:rsid w:val="00974FCF"/>
    <w:rsid w:val="009755D0"/>
    <w:rsid w:val="00975676"/>
    <w:rsid w:val="0097588E"/>
    <w:rsid w:val="0097774E"/>
    <w:rsid w:val="009801BB"/>
    <w:rsid w:val="009803C3"/>
    <w:rsid w:val="009803FC"/>
    <w:rsid w:val="00980554"/>
    <w:rsid w:val="00980CB6"/>
    <w:rsid w:val="00981904"/>
    <w:rsid w:val="00981A83"/>
    <w:rsid w:val="00981F1B"/>
    <w:rsid w:val="00982752"/>
    <w:rsid w:val="00982843"/>
    <w:rsid w:val="009829C2"/>
    <w:rsid w:val="00983FD9"/>
    <w:rsid w:val="00984F8F"/>
    <w:rsid w:val="00984FF4"/>
    <w:rsid w:val="00985236"/>
    <w:rsid w:val="0098553D"/>
    <w:rsid w:val="00985CDF"/>
    <w:rsid w:val="009868E3"/>
    <w:rsid w:val="00990203"/>
    <w:rsid w:val="0099081E"/>
    <w:rsid w:val="009909F4"/>
    <w:rsid w:val="009916CF"/>
    <w:rsid w:val="00991BC7"/>
    <w:rsid w:val="00991ED5"/>
    <w:rsid w:val="009921AA"/>
    <w:rsid w:val="009925A5"/>
    <w:rsid w:val="00992E10"/>
    <w:rsid w:val="0099387D"/>
    <w:rsid w:val="009938A8"/>
    <w:rsid w:val="00993D55"/>
    <w:rsid w:val="00994576"/>
    <w:rsid w:val="009945CE"/>
    <w:rsid w:val="00994718"/>
    <w:rsid w:val="009950D1"/>
    <w:rsid w:val="00995265"/>
    <w:rsid w:val="00995478"/>
    <w:rsid w:val="00996E0A"/>
    <w:rsid w:val="009974BC"/>
    <w:rsid w:val="00997EA1"/>
    <w:rsid w:val="009A0386"/>
    <w:rsid w:val="009A1427"/>
    <w:rsid w:val="009A2046"/>
    <w:rsid w:val="009A24C7"/>
    <w:rsid w:val="009A2BEE"/>
    <w:rsid w:val="009A329F"/>
    <w:rsid w:val="009A4E6F"/>
    <w:rsid w:val="009A4F50"/>
    <w:rsid w:val="009A5A96"/>
    <w:rsid w:val="009A7264"/>
    <w:rsid w:val="009A79E1"/>
    <w:rsid w:val="009A7DFA"/>
    <w:rsid w:val="009B0276"/>
    <w:rsid w:val="009B0B70"/>
    <w:rsid w:val="009B0E8A"/>
    <w:rsid w:val="009B1060"/>
    <w:rsid w:val="009B28E7"/>
    <w:rsid w:val="009B31B2"/>
    <w:rsid w:val="009B369C"/>
    <w:rsid w:val="009B3FEA"/>
    <w:rsid w:val="009B474B"/>
    <w:rsid w:val="009B4C07"/>
    <w:rsid w:val="009B541B"/>
    <w:rsid w:val="009B63DE"/>
    <w:rsid w:val="009B732D"/>
    <w:rsid w:val="009C11E3"/>
    <w:rsid w:val="009C2375"/>
    <w:rsid w:val="009C243A"/>
    <w:rsid w:val="009C2BEB"/>
    <w:rsid w:val="009C2C76"/>
    <w:rsid w:val="009C548B"/>
    <w:rsid w:val="009C5536"/>
    <w:rsid w:val="009C5CB6"/>
    <w:rsid w:val="009C60A0"/>
    <w:rsid w:val="009C66BA"/>
    <w:rsid w:val="009C6A36"/>
    <w:rsid w:val="009C75D0"/>
    <w:rsid w:val="009D0481"/>
    <w:rsid w:val="009D0C8C"/>
    <w:rsid w:val="009D0E69"/>
    <w:rsid w:val="009D0F6B"/>
    <w:rsid w:val="009D1E1F"/>
    <w:rsid w:val="009D21DD"/>
    <w:rsid w:val="009D2476"/>
    <w:rsid w:val="009D311B"/>
    <w:rsid w:val="009D3E47"/>
    <w:rsid w:val="009D3F11"/>
    <w:rsid w:val="009D452D"/>
    <w:rsid w:val="009D4AD6"/>
    <w:rsid w:val="009D516D"/>
    <w:rsid w:val="009D5377"/>
    <w:rsid w:val="009D70A8"/>
    <w:rsid w:val="009D72E9"/>
    <w:rsid w:val="009D756C"/>
    <w:rsid w:val="009D78B3"/>
    <w:rsid w:val="009D7FBB"/>
    <w:rsid w:val="009E0720"/>
    <w:rsid w:val="009E0924"/>
    <w:rsid w:val="009E0F45"/>
    <w:rsid w:val="009E0F68"/>
    <w:rsid w:val="009E1005"/>
    <w:rsid w:val="009E1065"/>
    <w:rsid w:val="009E1419"/>
    <w:rsid w:val="009E14F9"/>
    <w:rsid w:val="009E1639"/>
    <w:rsid w:val="009E16A7"/>
    <w:rsid w:val="009E1B4C"/>
    <w:rsid w:val="009E2CE0"/>
    <w:rsid w:val="009E2EAC"/>
    <w:rsid w:val="009E35C7"/>
    <w:rsid w:val="009E3C60"/>
    <w:rsid w:val="009E3FDD"/>
    <w:rsid w:val="009E460C"/>
    <w:rsid w:val="009E4A65"/>
    <w:rsid w:val="009E4B9D"/>
    <w:rsid w:val="009E549A"/>
    <w:rsid w:val="009E58BB"/>
    <w:rsid w:val="009E620E"/>
    <w:rsid w:val="009E712D"/>
    <w:rsid w:val="009E75C2"/>
    <w:rsid w:val="009E7821"/>
    <w:rsid w:val="009E7DA3"/>
    <w:rsid w:val="009E7EED"/>
    <w:rsid w:val="009F04B2"/>
    <w:rsid w:val="009F04FB"/>
    <w:rsid w:val="009F10E6"/>
    <w:rsid w:val="009F118B"/>
    <w:rsid w:val="009F121F"/>
    <w:rsid w:val="009F1551"/>
    <w:rsid w:val="009F192E"/>
    <w:rsid w:val="009F1D1B"/>
    <w:rsid w:val="009F29DC"/>
    <w:rsid w:val="009F33FC"/>
    <w:rsid w:val="009F4637"/>
    <w:rsid w:val="009F5286"/>
    <w:rsid w:val="009F59A0"/>
    <w:rsid w:val="009F5DB1"/>
    <w:rsid w:val="009F5F69"/>
    <w:rsid w:val="009F66E7"/>
    <w:rsid w:val="009F76D6"/>
    <w:rsid w:val="009F77A9"/>
    <w:rsid w:val="009F7DD6"/>
    <w:rsid w:val="00A00066"/>
    <w:rsid w:val="00A00BBA"/>
    <w:rsid w:val="00A00CA3"/>
    <w:rsid w:val="00A01903"/>
    <w:rsid w:val="00A01B74"/>
    <w:rsid w:val="00A021EE"/>
    <w:rsid w:val="00A02499"/>
    <w:rsid w:val="00A024D8"/>
    <w:rsid w:val="00A0283F"/>
    <w:rsid w:val="00A0296C"/>
    <w:rsid w:val="00A03DC3"/>
    <w:rsid w:val="00A04177"/>
    <w:rsid w:val="00A04642"/>
    <w:rsid w:val="00A04C1C"/>
    <w:rsid w:val="00A04C5E"/>
    <w:rsid w:val="00A05440"/>
    <w:rsid w:val="00A063EE"/>
    <w:rsid w:val="00A066F8"/>
    <w:rsid w:val="00A06D28"/>
    <w:rsid w:val="00A06D5D"/>
    <w:rsid w:val="00A07295"/>
    <w:rsid w:val="00A073CF"/>
    <w:rsid w:val="00A104CC"/>
    <w:rsid w:val="00A105EE"/>
    <w:rsid w:val="00A1065C"/>
    <w:rsid w:val="00A10AB9"/>
    <w:rsid w:val="00A10AD6"/>
    <w:rsid w:val="00A113BF"/>
    <w:rsid w:val="00A113CC"/>
    <w:rsid w:val="00A12784"/>
    <w:rsid w:val="00A12E42"/>
    <w:rsid w:val="00A130E3"/>
    <w:rsid w:val="00A13404"/>
    <w:rsid w:val="00A140F0"/>
    <w:rsid w:val="00A14364"/>
    <w:rsid w:val="00A14EF6"/>
    <w:rsid w:val="00A1543B"/>
    <w:rsid w:val="00A157EE"/>
    <w:rsid w:val="00A15832"/>
    <w:rsid w:val="00A16209"/>
    <w:rsid w:val="00A16456"/>
    <w:rsid w:val="00A165C6"/>
    <w:rsid w:val="00A16C85"/>
    <w:rsid w:val="00A16DE0"/>
    <w:rsid w:val="00A17202"/>
    <w:rsid w:val="00A1726E"/>
    <w:rsid w:val="00A17696"/>
    <w:rsid w:val="00A17CF0"/>
    <w:rsid w:val="00A200DB"/>
    <w:rsid w:val="00A20181"/>
    <w:rsid w:val="00A201EE"/>
    <w:rsid w:val="00A20E87"/>
    <w:rsid w:val="00A22732"/>
    <w:rsid w:val="00A23484"/>
    <w:rsid w:val="00A23497"/>
    <w:rsid w:val="00A24D43"/>
    <w:rsid w:val="00A25571"/>
    <w:rsid w:val="00A267C3"/>
    <w:rsid w:val="00A26BF6"/>
    <w:rsid w:val="00A27335"/>
    <w:rsid w:val="00A30941"/>
    <w:rsid w:val="00A30A5D"/>
    <w:rsid w:val="00A3136F"/>
    <w:rsid w:val="00A31472"/>
    <w:rsid w:val="00A3155A"/>
    <w:rsid w:val="00A315B7"/>
    <w:rsid w:val="00A32534"/>
    <w:rsid w:val="00A32590"/>
    <w:rsid w:val="00A325CC"/>
    <w:rsid w:val="00A329BF"/>
    <w:rsid w:val="00A32F52"/>
    <w:rsid w:val="00A33161"/>
    <w:rsid w:val="00A342C9"/>
    <w:rsid w:val="00A34339"/>
    <w:rsid w:val="00A358DF"/>
    <w:rsid w:val="00A366FC"/>
    <w:rsid w:val="00A36AA7"/>
    <w:rsid w:val="00A3733A"/>
    <w:rsid w:val="00A37C93"/>
    <w:rsid w:val="00A37FB6"/>
    <w:rsid w:val="00A40297"/>
    <w:rsid w:val="00A40640"/>
    <w:rsid w:val="00A4095E"/>
    <w:rsid w:val="00A41388"/>
    <w:rsid w:val="00A41583"/>
    <w:rsid w:val="00A41751"/>
    <w:rsid w:val="00A41E54"/>
    <w:rsid w:val="00A42057"/>
    <w:rsid w:val="00A43389"/>
    <w:rsid w:val="00A43DDB"/>
    <w:rsid w:val="00A43F10"/>
    <w:rsid w:val="00A440BE"/>
    <w:rsid w:val="00A4431B"/>
    <w:rsid w:val="00A4453A"/>
    <w:rsid w:val="00A44560"/>
    <w:rsid w:val="00A4464E"/>
    <w:rsid w:val="00A44671"/>
    <w:rsid w:val="00A4496C"/>
    <w:rsid w:val="00A44E3B"/>
    <w:rsid w:val="00A4567E"/>
    <w:rsid w:val="00A46B7B"/>
    <w:rsid w:val="00A50CF1"/>
    <w:rsid w:val="00A50DDD"/>
    <w:rsid w:val="00A51245"/>
    <w:rsid w:val="00A52656"/>
    <w:rsid w:val="00A52D01"/>
    <w:rsid w:val="00A52D69"/>
    <w:rsid w:val="00A52E74"/>
    <w:rsid w:val="00A532B0"/>
    <w:rsid w:val="00A539F6"/>
    <w:rsid w:val="00A53EF4"/>
    <w:rsid w:val="00A543A9"/>
    <w:rsid w:val="00A54EBB"/>
    <w:rsid w:val="00A55009"/>
    <w:rsid w:val="00A55AF4"/>
    <w:rsid w:val="00A560A5"/>
    <w:rsid w:val="00A5627D"/>
    <w:rsid w:val="00A566A0"/>
    <w:rsid w:val="00A57BF6"/>
    <w:rsid w:val="00A57C78"/>
    <w:rsid w:val="00A60067"/>
    <w:rsid w:val="00A603F1"/>
    <w:rsid w:val="00A61C61"/>
    <w:rsid w:val="00A62458"/>
    <w:rsid w:val="00A63566"/>
    <w:rsid w:val="00A637D3"/>
    <w:rsid w:val="00A64A0C"/>
    <w:rsid w:val="00A64C55"/>
    <w:rsid w:val="00A662B8"/>
    <w:rsid w:val="00A6688E"/>
    <w:rsid w:val="00A70C44"/>
    <w:rsid w:val="00A70DAD"/>
    <w:rsid w:val="00A7132A"/>
    <w:rsid w:val="00A71457"/>
    <w:rsid w:val="00A718C9"/>
    <w:rsid w:val="00A71921"/>
    <w:rsid w:val="00A7210D"/>
    <w:rsid w:val="00A725AE"/>
    <w:rsid w:val="00A7263A"/>
    <w:rsid w:val="00A726E5"/>
    <w:rsid w:val="00A72B86"/>
    <w:rsid w:val="00A73401"/>
    <w:rsid w:val="00A738B7"/>
    <w:rsid w:val="00A73FBF"/>
    <w:rsid w:val="00A7465C"/>
    <w:rsid w:val="00A75041"/>
    <w:rsid w:val="00A760B4"/>
    <w:rsid w:val="00A766A8"/>
    <w:rsid w:val="00A76EB4"/>
    <w:rsid w:val="00A77082"/>
    <w:rsid w:val="00A777B2"/>
    <w:rsid w:val="00A77A43"/>
    <w:rsid w:val="00A77C50"/>
    <w:rsid w:val="00A77D3C"/>
    <w:rsid w:val="00A77D70"/>
    <w:rsid w:val="00A804CB"/>
    <w:rsid w:val="00A817CA"/>
    <w:rsid w:val="00A81DE3"/>
    <w:rsid w:val="00A821AA"/>
    <w:rsid w:val="00A822FB"/>
    <w:rsid w:val="00A83B61"/>
    <w:rsid w:val="00A83BFD"/>
    <w:rsid w:val="00A84212"/>
    <w:rsid w:val="00A85056"/>
    <w:rsid w:val="00A879AA"/>
    <w:rsid w:val="00A9119C"/>
    <w:rsid w:val="00A92922"/>
    <w:rsid w:val="00A9346A"/>
    <w:rsid w:val="00A941AE"/>
    <w:rsid w:val="00A9420F"/>
    <w:rsid w:val="00A94F2F"/>
    <w:rsid w:val="00A953A1"/>
    <w:rsid w:val="00A95DA6"/>
    <w:rsid w:val="00A96497"/>
    <w:rsid w:val="00A967CB"/>
    <w:rsid w:val="00A96924"/>
    <w:rsid w:val="00A96ACD"/>
    <w:rsid w:val="00A96D0B"/>
    <w:rsid w:val="00A9703B"/>
    <w:rsid w:val="00AA176F"/>
    <w:rsid w:val="00AA1841"/>
    <w:rsid w:val="00AA2931"/>
    <w:rsid w:val="00AA3B9B"/>
    <w:rsid w:val="00AA4403"/>
    <w:rsid w:val="00AA445C"/>
    <w:rsid w:val="00AA464F"/>
    <w:rsid w:val="00AA49CE"/>
    <w:rsid w:val="00AA6E7D"/>
    <w:rsid w:val="00AA7203"/>
    <w:rsid w:val="00AA7853"/>
    <w:rsid w:val="00AB044C"/>
    <w:rsid w:val="00AB06AB"/>
    <w:rsid w:val="00AB11F6"/>
    <w:rsid w:val="00AB1EED"/>
    <w:rsid w:val="00AB267F"/>
    <w:rsid w:val="00AB391D"/>
    <w:rsid w:val="00AB4312"/>
    <w:rsid w:val="00AB438B"/>
    <w:rsid w:val="00AB43B3"/>
    <w:rsid w:val="00AB5208"/>
    <w:rsid w:val="00AB5238"/>
    <w:rsid w:val="00AB5772"/>
    <w:rsid w:val="00AB69FD"/>
    <w:rsid w:val="00AB6B92"/>
    <w:rsid w:val="00AB6DC0"/>
    <w:rsid w:val="00AB7664"/>
    <w:rsid w:val="00AB775F"/>
    <w:rsid w:val="00AB787E"/>
    <w:rsid w:val="00AB7A6D"/>
    <w:rsid w:val="00AB7E89"/>
    <w:rsid w:val="00AC0A2D"/>
    <w:rsid w:val="00AC1DC0"/>
    <w:rsid w:val="00AC1F74"/>
    <w:rsid w:val="00AC206E"/>
    <w:rsid w:val="00AC29A5"/>
    <w:rsid w:val="00AC367E"/>
    <w:rsid w:val="00AC394D"/>
    <w:rsid w:val="00AC3ABC"/>
    <w:rsid w:val="00AC4396"/>
    <w:rsid w:val="00AC57F9"/>
    <w:rsid w:val="00AC6324"/>
    <w:rsid w:val="00AC647D"/>
    <w:rsid w:val="00AC65C1"/>
    <w:rsid w:val="00AC6632"/>
    <w:rsid w:val="00AC7142"/>
    <w:rsid w:val="00AD0646"/>
    <w:rsid w:val="00AD070F"/>
    <w:rsid w:val="00AD1854"/>
    <w:rsid w:val="00AD1969"/>
    <w:rsid w:val="00AD279C"/>
    <w:rsid w:val="00AD2A30"/>
    <w:rsid w:val="00AD3589"/>
    <w:rsid w:val="00AD3A86"/>
    <w:rsid w:val="00AD4024"/>
    <w:rsid w:val="00AD407D"/>
    <w:rsid w:val="00AD46A1"/>
    <w:rsid w:val="00AD476E"/>
    <w:rsid w:val="00AD5CC7"/>
    <w:rsid w:val="00AD5D6E"/>
    <w:rsid w:val="00AD6699"/>
    <w:rsid w:val="00AD69B7"/>
    <w:rsid w:val="00AD73BF"/>
    <w:rsid w:val="00AD741C"/>
    <w:rsid w:val="00AD7520"/>
    <w:rsid w:val="00AD7D7F"/>
    <w:rsid w:val="00AD7F51"/>
    <w:rsid w:val="00AE04CF"/>
    <w:rsid w:val="00AE09CA"/>
    <w:rsid w:val="00AE0AD8"/>
    <w:rsid w:val="00AE11C1"/>
    <w:rsid w:val="00AE1353"/>
    <w:rsid w:val="00AE1424"/>
    <w:rsid w:val="00AE1A2A"/>
    <w:rsid w:val="00AE1BB4"/>
    <w:rsid w:val="00AE1BB6"/>
    <w:rsid w:val="00AE1EC2"/>
    <w:rsid w:val="00AE2300"/>
    <w:rsid w:val="00AE299B"/>
    <w:rsid w:val="00AE3D3F"/>
    <w:rsid w:val="00AE4990"/>
    <w:rsid w:val="00AE4C23"/>
    <w:rsid w:val="00AE4E6F"/>
    <w:rsid w:val="00AE556B"/>
    <w:rsid w:val="00AE59A0"/>
    <w:rsid w:val="00AE5CDF"/>
    <w:rsid w:val="00AE5ED4"/>
    <w:rsid w:val="00AE5F32"/>
    <w:rsid w:val="00AE7014"/>
    <w:rsid w:val="00AE7403"/>
    <w:rsid w:val="00AE779E"/>
    <w:rsid w:val="00AE7B9A"/>
    <w:rsid w:val="00AE7E86"/>
    <w:rsid w:val="00AF057D"/>
    <w:rsid w:val="00AF198D"/>
    <w:rsid w:val="00AF2B82"/>
    <w:rsid w:val="00AF348F"/>
    <w:rsid w:val="00AF3934"/>
    <w:rsid w:val="00AF4DBC"/>
    <w:rsid w:val="00AF50A1"/>
    <w:rsid w:val="00AF63FA"/>
    <w:rsid w:val="00AF6B78"/>
    <w:rsid w:val="00AF6BBC"/>
    <w:rsid w:val="00AF7423"/>
    <w:rsid w:val="00AF76E2"/>
    <w:rsid w:val="00B00138"/>
    <w:rsid w:val="00B01125"/>
    <w:rsid w:val="00B0128F"/>
    <w:rsid w:val="00B01445"/>
    <w:rsid w:val="00B01D06"/>
    <w:rsid w:val="00B01D37"/>
    <w:rsid w:val="00B01E2D"/>
    <w:rsid w:val="00B01FEA"/>
    <w:rsid w:val="00B02815"/>
    <w:rsid w:val="00B02B03"/>
    <w:rsid w:val="00B035FB"/>
    <w:rsid w:val="00B0367B"/>
    <w:rsid w:val="00B03E0A"/>
    <w:rsid w:val="00B04319"/>
    <w:rsid w:val="00B048C3"/>
    <w:rsid w:val="00B05385"/>
    <w:rsid w:val="00B05B06"/>
    <w:rsid w:val="00B06280"/>
    <w:rsid w:val="00B07242"/>
    <w:rsid w:val="00B07B96"/>
    <w:rsid w:val="00B07C96"/>
    <w:rsid w:val="00B10064"/>
    <w:rsid w:val="00B10D3D"/>
    <w:rsid w:val="00B10FA2"/>
    <w:rsid w:val="00B11915"/>
    <w:rsid w:val="00B122E9"/>
    <w:rsid w:val="00B1275C"/>
    <w:rsid w:val="00B12A9C"/>
    <w:rsid w:val="00B12F3D"/>
    <w:rsid w:val="00B130BE"/>
    <w:rsid w:val="00B131BB"/>
    <w:rsid w:val="00B132DB"/>
    <w:rsid w:val="00B137A1"/>
    <w:rsid w:val="00B13BA6"/>
    <w:rsid w:val="00B146B1"/>
    <w:rsid w:val="00B14C69"/>
    <w:rsid w:val="00B151F7"/>
    <w:rsid w:val="00B15991"/>
    <w:rsid w:val="00B15F10"/>
    <w:rsid w:val="00B1604B"/>
    <w:rsid w:val="00B176F3"/>
    <w:rsid w:val="00B17AD2"/>
    <w:rsid w:val="00B17C6C"/>
    <w:rsid w:val="00B204CF"/>
    <w:rsid w:val="00B20EE5"/>
    <w:rsid w:val="00B21F9C"/>
    <w:rsid w:val="00B22566"/>
    <w:rsid w:val="00B225E2"/>
    <w:rsid w:val="00B2286E"/>
    <w:rsid w:val="00B22FF4"/>
    <w:rsid w:val="00B23E25"/>
    <w:rsid w:val="00B24889"/>
    <w:rsid w:val="00B24EAB"/>
    <w:rsid w:val="00B24F67"/>
    <w:rsid w:val="00B25510"/>
    <w:rsid w:val="00B25933"/>
    <w:rsid w:val="00B264B0"/>
    <w:rsid w:val="00B26C42"/>
    <w:rsid w:val="00B27662"/>
    <w:rsid w:val="00B30670"/>
    <w:rsid w:val="00B31530"/>
    <w:rsid w:val="00B3160D"/>
    <w:rsid w:val="00B316DA"/>
    <w:rsid w:val="00B31E3F"/>
    <w:rsid w:val="00B32686"/>
    <w:rsid w:val="00B33945"/>
    <w:rsid w:val="00B341C8"/>
    <w:rsid w:val="00B3435A"/>
    <w:rsid w:val="00B351D7"/>
    <w:rsid w:val="00B366C7"/>
    <w:rsid w:val="00B376B7"/>
    <w:rsid w:val="00B37D27"/>
    <w:rsid w:val="00B37FF7"/>
    <w:rsid w:val="00B407F4"/>
    <w:rsid w:val="00B415B0"/>
    <w:rsid w:val="00B41C54"/>
    <w:rsid w:val="00B41DF2"/>
    <w:rsid w:val="00B4382C"/>
    <w:rsid w:val="00B43D37"/>
    <w:rsid w:val="00B44878"/>
    <w:rsid w:val="00B4583E"/>
    <w:rsid w:val="00B45C5D"/>
    <w:rsid w:val="00B45CED"/>
    <w:rsid w:val="00B46836"/>
    <w:rsid w:val="00B46E02"/>
    <w:rsid w:val="00B47330"/>
    <w:rsid w:val="00B47CCC"/>
    <w:rsid w:val="00B47F01"/>
    <w:rsid w:val="00B500A0"/>
    <w:rsid w:val="00B5024E"/>
    <w:rsid w:val="00B50478"/>
    <w:rsid w:val="00B51654"/>
    <w:rsid w:val="00B518E7"/>
    <w:rsid w:val="00B51E24"/>
    <w:rsid w:val="00B51F1E"/>
    <w:rsid w:val="00B521AC"/>
    <w:rsid w:val="00B52EAC"/>
    <w:rsid w:val="00B534DA"/>
    <w:rsid w:val="00B53C36"/>
    <w:rsid w:val="00B53F13"/>
    <w:rsid w:val="00B54057"/>
    <w:rsid w:val="00B541BB"/>
    <w:rsid w:val="00B54509"/>
    <w:rsid w:val="00B55419"/>
    <w:rsid w:val="00B55718"/>
    <w:rsid w:val="00B55A71"/>
    <w:rsid w:val="00B55DA4"/>
    <w:rsid w:val="00B56152"/>
    <w:rsid w:val="00B5666E"/>
    <w:rsid w:val="00B57761"/>
    <w:rsid w:val="00B57D76"/>
    <w:rsid w:val="00B57E40"/>
    <w:rsid w:val="00B61810"/>
    <w:rsid w:val="00B61F7C"/>
    <w:rsid w:val="00B6322E"/>
    <w:rsid w:val="00B63678"/>
    <w:rsid w:val="00B64B2B"/>
    <w:rsid w:val="00B64F36"/>
    <w:rsid w:val="00B67356"/>
    <w:rsid w:val="00B67465"/>
    <w:rsid w:val="00B674AC"/>
    <w:rsid w:val="00B708AB"/>
    <w:rsid w:val="00B708F6"/>
    <w:rsid w:val="00B7094B"/>
    <w:rsid w:val="00B70BA5"/>
    <w:rsid w:val="00B71814"/>
    <w:rsid w:val="00B71B34"/>
    <w:rsid w:val="00B71BD1"/>
    <w:rsid w:val="00B720B0"/>
    <w:rsid w:val="00B73442"/>
    <w:rsid w:val="00B73783"/>
    <w:rsid w:val="00B75E09"/>
    <w:rsid w:val="00B75F16"/>
    <w:rsid w:val="00B7649F"/>
    <w:rsid w:val="00B7675D"/>
    <w:rsid w:val="00B76E37"/>
    <w:rsid w:val="00B76FF1"/>
    <w:rsid w:val="00B771B0"/>
    <w:rsid w:val="00B77423"/>
    <w:rsid w:val="00B775B3"/>
    <w:rsid w:val="00B779CE"/>
    <w:rsid w:val="00B81CB9"/>
    <w:rsid w:val="00B81D30"/>
    <w:rsid w:val="00B8229C"/>
    <w:rsid w:val="00B845C4"/>
    <w:rsid w:val="00B85CCD"/>
    <w:rsid w:val="00B86C7E"/>
    <w:rsid w:val="00B87B14"/>
    <w:rsid w:val="00B87D0B"/>
    <w:rsid w:val="00B91167"/>
    <w:rsid w:val="00B92228"/>
    <w:rsid w:val="00B932F8"/>
    <w:rsid w:val="00B93D37"/>
    <w:rsid w:val="00B93F32"/>
    <w:rsid w:val="00B94943"/>
    <w:rsid w:val="00B94CAF"/>
    <w:rsid w:val="00B95034"/>
    <w:rsid w:val="00B95C5D"/>
    <w:rsid w:val="00B96583"/>
    <w:rsid w:val="00B96AD7"/>
    <w:rsid w:val="00BA12D8"/>
    <w:rsid w:val="00BA170D"/>
    <w:rsid w:val="00BA18F5"/>
    <w:rsid w:val="00BA1C19"/>
    <w:rsid w:val="00BA2280"/>
    <w:rsid w:val="00BA38A4"/>
    <w:rsid w:val="00BA38AF"/>
    <w:rsid w:val="00BA3F05"/>
    <w:rsid w:val="00BA4900"/>
    <w:rsid w:val="00BA5F92"/>
    <w:rsid w:val="00BA5FE0"/>
    <w:rsid w:val="00BA63E9"/>
    <w:rsid w:val="00BA689F"/>
    <w:rsid w:val="00BA6C65"/>
    <w:rsid w:val="00BB025D"/>
    <w:rsid w:val="00BB0902"/>
    <w:rsid w:val="00BB0ED4"/>
    <w:rsid w:val="00BB1444"/>
    <w:rsid w:val="00BB1AB9"/>
    <w:rsid w:val="00BB29EE"/>
    <w:rsid w:val="00BB2A80"/>
    <w:rsid w:val="00BB3101"/>
    <w:rsid w:val="00BB3168"/>
    <w:rsid w:val="00BB393B"/>
    <w:rsid w:val="00BB46C1"/>
    <w:rsid w:val="00BB4C5C"/>
    <w:rsid w:val="00BB4C9E"/>
    <w:rsid w:val="00BB50E4"/>
    <w:rsid w:val="00BB53C5"/>
    <w:rsid w:val="00BB5970"/>
    <w:rsid w:val="00BB62D1"/>
    <w:rsid w:val="00BB6FFE"/>
    <w:rsid w:val="00BB7B54"/>
    <w:rsid w:val="00BC0583"/>
    <w:rsid w:val="00BC22F4"/>
    <w:rsid w:val="00BC25A7"/>
    <w:rsid w:val="00BC2708"/>
    <w:rsid w:val="00BC29D0"/>
    <w:rsid w:val="00BC2A7C"/>
    <w:rsid w:val="00BC2D3A"/>
    <w:rsid w:val="00BC2EC4"/>
    <w:rsid w:val="00BC38EC"/>
    <w:rsid w:val="00BC3B8B"/>
    <w:rsid w:val="00BC3E9F"/>
    <w:rsid w:val="00BC45BE"/>
    <w:rsid w:val="00BC5CF7"/>
    <w:rsid w:val="00BC6106"/>
    <w:rsid w:val="00BC6367"/>
    <w:rsid w:val="00BC7049"/>
    <w:rsid w:val="00BC7D50"/>
    <w:rsid w:val="00BD0611"/>
    <w:rsid w:val="00BD1519"/>
    <w:rsid w:val="00BD1F2A"/>
    <w:rsid w:val="00BD41CC"/>
    <w:rsid w:val="00BD42C6"/>
    <w:rsid w:val="00BD436C"/>
    <w:rsid w:val="00BD4763"/>
    <w:rsid w:val="00BD4DB8"/>
    <w:rsid w:val="00BD564B"/>
    <w:rsid w:val="00BD5A74"/>
    <w:rsid w:val="00BD6427"/>
    <w:rsid w:val="00BD65EE"/>
    <w:rsid w:val="00BD6760"/>
    <w:rsid w:val="00BE06FB"/>
    <w:rsid w:val="00BE0830"/>
    <w:rsid w:val="00BE0D54"/>
    <w:rsid w:val="00BE0DAF"/>
    <w:rsid w:val="00BE0F9A"/>
    <w:rsid w:val="00BE293B"/>
    <w:rsid w:val="00BE2B43"/>
    <w:rsid w:val="00BE2C4D"/>
    <w:rsid w:val="00BE3322"/>
    <w:rsid w:val="00BE3635"/>
    <w:rsid w:val="00BE48D5"/>
    <w:rsid w:val="00BE4CA7"/>
    <w:rsid w:val="00BE74C8"/>
    <w:rsid w:val="00BE76CC"/>
    <w:rsid w:val="00BF26E5"/>
    <w:rsid w:val="00BF3CAA"/>
    <w:rsid w:val="00BF3E79"/>
    <w:rsid w:val="00BF4BFB"/>
    <w:rsid w:val="00BF5A66"/>
    <w:rsid w:val="00BF6102"/>
    <w:rsid w:val="00BF65C0"/>
    <w:rsid w:val="00BF6754"/>
    <w:rsid w:val="00BF688D"/>
    <w:rsid w:val="00BF6D0F"/>
    <w:rsid w:val="00BF73A7"/>
    <w:rsid w:val="00BF77CE"/>
    <w:rsid w:val="00C000BC"/>
    <w:rsid w:val="00C0026F"/>
    <w:rsid w:val="00C00566"/>
    <w:rsid w:val="00C016FC"/>
    <w:rsid w:val="00C01A20"/>
    <w:rsid w:val="00C01DCC"/>
    <w:rsid w:val="00C02A7A"/>
    <w:rsid w:val="00C0333D"/>
    <w:rsid w:val="00C0385C"/>
    <w:rsid w:val="00C03955"/>
    <w:rsid w:val="00C03F51"/>
    <w:rsid w:val="00C04063"/>
    <w:rsid w:val="00C047FE"/>
    <w:rsid w:val="00C04EB3"/>
    <w:rsid w:val="00C05F18"/>
    <w:rsid w:val="00C05FD6"/>
    <w:rsid w:val="00C075BA"/>
    <w:rsid w:val="00C07BB3"/>
    <w:rsid w:val="00C100C1"/>
    <w:rsid w:val="00C10536"/>
    <w:rsid w:val="00C10A32"/>
    <w:rsid w:val="00C112EE"/>
    <w:rsid w:val="00C11978"/>
    <w:rsid w:val="00C11D14"/>
    <w:rsid w:val="00C12580"/>
    <w:rsid w:val="00C1289C"/>
    <w:rsid w:val="00C12FDA"/>
    <w:rsid w:val="00C1336A"/>
    <w:rsid w:val="00C14B2F"/>
    <w:rsid w:val="00C1570C"/>
    <w:rsid w:val="00C1593B"/>
    <w:rsid w:val="00C15EF9"/>
    <w:rsid w:val="00C163AB"/>
    <w:rsid w:val="00C165A2"/>
    <w:rsid w:val="00C17582"/>
    <w:rsid w:val="00C17E30"/>
    <w:rsid w:val="00C17E42"/>
    <w:rsid w:val="00C17E6E"/>
    <w:rsid w:val="00C2069E"/>
    <w:rsid w:val="00C20FFF"/>
    <w:rsid w:val="00C210E8"/>
    <w:rsid w:val="00C22275"/>
    <w:rsid w:val="00C22D61"/>
    <w:rsid w:val="00C23509"/>
    <w:rsid w:val="00C23CD1"/>
    <w:rsid w:val="00C242FD"/>
    <w:rsid w:val="00C244C5"/>
    <w:rsid w:val="00C24D53"/>
    <w:rsid w:val="00C254A4"/>
    <w:rsid w:val="00C258CB"/>
    <w:rsid w:val="00C259E6"/>
    <w:rsid w:val="00C261F3"/>
    <w:rsid w:val="00C262B0"/>
    <w:rsid w:val="00C2688D"/>
    <w:rsid w:val="00C2742D"/>
    <w:rsid w:val="00C27ECC"/>
    <w:rsid w:val="00C303B9"/>
    <w:rsid w:val="00C30A56"/>
    <w:rsid w:val="00C31199"/>
    <w:rsid w:val="00C313D5"/>
    <w:rsid w:val="00C31C95"/>
    <w:rsid w:val="00C323BA"/>
    <w:rsid w:val="00C32749"/>
    <w:rsid w:val="00C32CDB"/>
    <w:rsid w:val="00C332EE"/>
    <w:rsid w:val="00C35882"/>
    <w:rsid w:val="00C35A5F"/>
    <w:rsid w:val="00C35AC6"/>
    <w:rsid w:val="00C35E33"/>
    <w:rsid w:val="00C36109"/>
    <w:rsid w:val="00C36185"/>
    <w:rsid w:val="00C366F2"/>
    <w:rsid w:val="00C36CA7"/>
    <w:rsid w:val="00C3724C"/>
    <w:rsid w:val="00C40079"/>
    <w:rsid w:val="00C406DE"/>
    <w:rsid w:val="00C41503"/>
    <w:rsid w:val="00C42657"/>
    <w:rsid w:val="00C426DC"/>
    <w:rsid w:val="00C43017"/>
    <w:rsid w:val="00C43B27"/>
    <w:rsid w:val="00C44F7A"/>
    <w:rsid w:val="00C4548E"/>
    <w:rsid w:val="00C462E2"/>
    <w:rsid w:val="00C4685B"/>
    <w:rsid w:val="00C46A33"/>
    <w:rsid w:val="00C477BC"/>
    <w:rsid w:val="00C47985"/>
    <w:rsid w:val="00C47B80"/>
    <w:rsid w:val="00C503E5"/>
    <w:rsid w:val="00C50E31"/>
    <w:rsid w:val="00C5142D"/>
    <w:rsid w:val="00C51936"/>
    <w:rsid w:val="00C519CA"/>
    <w:rsid w:val="00C528A6"/>
    <w:rsid w:val="00C52A01"/>
    <w:rsid w:val="00C53B27"/>
    <w:rsid w:val="00C53B86"/>
    <w:rsid w:val="00C54396"/>
    <w:rsid w:val="00C54686"/>
    <w:rsid w:val="00C54D88"/>
    <w:rsid w:val="00C553F1"/>
    <w:rsid w:val="00C55C88"/>
    <w:rsid w:val="00C55F74"/>
    <w:rsid w:val="00C567FD"/>
    <w:rsid w:val="00C56F55"/>
    <w:rsid w:val="00C60839"/>
    <w:rsid w:val="00C61338"/>
    <w:rsid w:val="00C61F23"/>
    <w:rsid w:val="00C62E47"/>
    <w:rsid w:val="00C62F4A"/>
    <w:rsid w:val="00C63849"/>
    <w:rsid w:val="00C64612"/>
    <w:rsid w:val="00C65099"/>
    <w:rsid w:val="00C6537E"/>
    <w:rsid w:val="00C66BAA"/>
    <w:rsid w:val="00C67589"/>
    <w:rsid w:val="00C70520"/>
    <w:rsid w:val="00C71594"/>
    <w:rsid w:val="00C71BA0"/>
    <w:rsid w:val="00C71CE1"/>
    <w:rsid w:val="00C71D36"/>
    <w:rsid w:val="00C72268"/>
    <w:rsid w:val="00C734E5"/>
    <w:rsid w:val="00C73674"/>
    <w:rsid w:val="00C74040"/>
    <w:rsid w:val="00C740F8"/>
    <w:rsid w:val="00C745D6"/>
    <w:rsid w:val="00C750FA"/>
    <w:rsid w:val="00C7581B"/>
    <w:rsid w:val="00C75E98"/>
    <w:rsid w:val="00C7685F"/>
    <w:rsid w:val="00C76EE5"/>
    <w:rsid w:val="00C80B8D"/>
    <w:rsid w:val="00C80C13"/>
    <w:rsid w:val="00C80E3A"/>
    <w:rsid w:val="00C81655"/>
    <w:rsid w:val="00C8166E"/>
    <w:rsid w:val="00C8186C"/>
    <w:rsid w:val="00C81C12"/>
    <w:rsid w:val="00C82288"/>
    <w:rsid w:val="00C828B9"/>
    <w:rsid w:val="00C829E4"/>
    <w:rsid w:val="00C82D71"/>
    <w:rsid w:val="00C82EFA"/>
    <w:rsid w:val="00C83190"/>
    <w:rsid w:val="00C8332F"/>
    <w:rsid w:val="00C83C5C"/>
    <w:rsid w:val="00C844C9"/>
    <w:rsid w:val="00C84519"/>
    <w:rsid w:val="00C85A8D"/>
    <w:rsid w:val="00C867D9"/>
    <w:rsid w:val="00C87C3E"/>
    <w:rsid w:val="00C87EAE"/>
    <w:rsid w:val="00C9198E"/>
    <w:rsid w:val="00C92633"/>
    <w:rsid w:val="00C927FE"/>
    <w:rsid w:val="00C9296B"/>
    <w:rsid w:val="00C92AED"/>
    <w:rsid w:val="00C92F22"/>
    <w:rsid w:val="00C932C6"/>
    <w:rsid w:val="00C93ABE"/>
    <w:rsid w:val="00C944E2"/>
    <w:rsid w:val="00C945DC"/>
    <w:rsid w:val="00C94B39"/>
    <w:rsid w:val="00C951E7"/>
    <w:rsid w:val="00C95306"/>
    <w:rsid w:val="00C9554F"/>
    <w:rsid w:val="00C95F5A"/>
    <w:rsid w:val="00C96645"/>
    <w:rsid w:val="00C96D38"/>
    <w:rsid w:val="00C96DDC"/>
    <w:rsid w:val="00C96F54"/>
    <w:rsid w:val="00C972DE"/>
    <w:rsid w:val="00C9777E"/>
    <w:rsid w:val="00C97AE6"/>
    <w:rsid w:val="00CA06BD"/>
    <w:rsid w:val="00CA0B61"/>
    <w:rsid w:val="00CA0D7D"/>
    <w:rsid w:val="00CA1E39"/>
    <w:rsid w:val="00CA1E58"/>
    <w:rsid w:val="00CA27DA"/>
    <w:rsid w:val="00CA3158"/>
    <w:rsid w:val="00CA32C0"/>
    <w:rsid w:val="00CA33EE"/>
    <w:rsid w:val="00CA3849"/>
    <w:rsid w:val="00CA47DE"/>
    <w:rsid w:val="00CA4942"/>
    <w:rsid w:val="00CA4A25"/>
    <w:rsid w:val="00CA4B23"/>
    <w:rsid w:val="00CA4E0C"/>
    <w:rsid w:val="00CA60C5"/>
    <w:rsid w:val="00CA6ED4"/>
    <w:rsid w:val="00CA7B06"/>
    <w:rsid w:val="00CB040A"/>
    <w:rsid w:val="00CB07C1"/>
    <w:rsid w:val="00CB0D07"/>
    <w:rsid w:val="00CB15DB"/>
    <w:rsid w:val="00CB22C0"/>
    <w:rsid w:val="00CB37F1"/>
    <w:rsid w:val="00CB4083"/>
    <w:rsid w:val="00CB426C"/>
    <w:rsid w:val="00CB5096"/>
    <w:rsid w:val="00CB5755"/>
    <w:rsid w:val="00CB5F96"/>
    <w:rsid w:val="00CB6140"/>
    <w:rsid w:val="00CB6E25"/>
    <w:rsid w:val="00CB7049"/>
    <w:rsid w:val="00CB71D1"/>
    <w:rsid w:val="00CB7B06"/>
    <w:rsid w:val="00CC0900"/>
    <w:rsid w:val="00CC1CA8"/>
    <w:rsid w:val="00CC1D7A"/>
    <w:rsid w:val="00CC1F7A"/>
    <w:rsid w:val="00CC2252"/>
    <w:rsid w:val="00CC424D"/>
    <w:rsid w:val="00CC4689"/>
    <w:rsid w:val="00CC4947"/>
    <w:rsid w:val="00CC4A10"/>
    <w:rsid w:val="00CC4F42"/>
    <w:rsid w:val="00CC5D20"/>
    <w:rsid w:val="00CC699C"/>
    <w:rsid w:val="00CC6BD2"/>
    <w:rsid w:val="00CC6CB3"/>
    <w:rsid w:val="00CC6D2D"/>
    <w:rsid w:val="00CC6E59"/>
    <w:rsid w:val="00CC6EE5"/>
    <w:rsid w:val="00CD049D"/>
    <w:rsid w:val="00CD0872"/>
    <w:rsid w:val="00CD08A5"/>
    <w:rsid w:val="00CD0938"/>
    <w:rsid w:val="00CD0B96"/>
    <w:rsid w:val="00CD0E57"/>
    <w:rsid w:val="00CD1107"/>
    <w:rsid w:val="00CD1485"/>
    <w:rsid w:val="00CD161F"/>
    <w:rsid w:val="00CD1AE7"/>
    <w:rsid w:val="00CD21E2"/>
    <w:rsid w:val="00CD2A7B"/>
    <w:rsid w:val="00CD422E"/>
    <w:rsid w:val="00CD471B"/>
    <w:rsid w:val="00CD4B34"/>
    <w:rsid w:val="00CD4C36"/>
    <w:rsid w:val="00CD538B"/>
    <w:rsid w:val="00CD5D4E"/>
    <w:rsid w:val="00CD653B"/>
    <w:rsid w:val="00CD6B4B"/>
    <w:rsid w:val="00CD6C42"/>
    <w:rsid w:val="00CD7F12"/>
    <w:rsid w:val="00CD7F56"/>
    <w:rsid w:val="00CE13F5"/>
    <w:rsid w:val="00CE14C2"/>
    <w:rsid w:val="00CE1A62"/>
    <w:rsid w:val="00CE1E9D"/>
    <w:rsid w:val="00CE254C"/>
    <w:rsid w:val="00CE29BB"/>
    <w:rsid w:val="00CE2F5C"/>
    <w:rsid w:val="00CE34C7"/>
    <w:rsid w:val="00CE39FA"/>
    <w:rsid w:val="00CE4DE1"/>
    <w:rsid w:val="00CE538D"/>
    <w:rsid w:val="00CE56B1"/>
    <w:rsid w:val="00CE5899"/>
    <w:rsid w:val="00CE5D07"/>
    <w:rsid w:val="00CE64FD"/>
    <w:rsid w:val="00CE6661"/>
    <w:rsid w:val="00CE6E02"/>
    <w:rsid w:val="00CE70F5"/>
    <w:rsid w:val="00CE7261"/>
    <w:rsid w:val="00CF05BE"/>
    <w:rsid w:val="00CF0C2A"/>
    <w:rsid w:val="00CF10B7"/>
    <w:rsid w:val="00CF1D4B"/>
    <w:rsid w:val="00CF233A"/>
    <w:rsid w:val="00CF2B2F"/>
    <w:rsid w:val="00CF31F5"/>
    <w:rsid w:val="00CF39AC"/>
    <w:rsid w:val="00CF3E71"/>
    <w:rsid w:val="00CF5000"/>
    <w:rsid w:val="00CF51E7"/>
    <w:rsid w:val="00CF5A5A"/>
    <w:rsid w:val="00CF5EB1"/>
    <w:rsid w:val="00CF69FC"/>
    <w:rsid w:val="00CF6BC6"/>
    <w:rsid w:val="00CF7657"/>
    <w:rsid w:val="00CF79C0"/>
    <w:rsid w:val="00D02362"/>
    <w:rsid w:val="00D03012"/>
    <w:rsid w:val="00D03884"/>
    <w:rsid w:val="00D039CD"/>
    <w:rsid w:val="00D057A2"/>
    <w:rsid w:val="00D05840"/>
    <w:rsid w:val="00D05AA9"/>
    <w:rsid w:val="00D06164"/>
    <w:rsid w:val="00D069E4"/>
    <w:rsid w:val="00D076A4"/>
    <w:rsid w:val="00D07A0E"/>
    <w:rsid w:val="00D10351"/>
    <w:rsid w:val="00D10893"/>
    <w:rsid w:val="00D10D58"/>
    <w:rsid w:val="00D10FEF"/>
    <w:rsid w:val="00D118DE"/>
    <w:rsid w:val="00D12477"/>
    <w:rsid w:val="00D12A12"/>
    <w:rsid w:val="00D12D8C"/>
    <w:rsid w:val="00D130C8"/>
    <w:rsid w:val="00D144E2"/>
    <w:rsid w:val="00D1532A"/>
    <w:rsid w:val="00D15C3F"/>
    <w:rsid w:val="00D1707C"/>
    <w:rsid w:val="00D17629"/>
    <w:rsid w:val="00D177BE"/>
    <w:rsid w:val="00D17F0E"/>
    <w:rsid w:val="00D205D7"/>
    <w:rsid w:val="00D20C15"/>
    <w:rsid w:val="00D20E37"/>
    <w:rsid w:val="00D214DD"/>
    <w:rsid w:val="00D21607"/>
    <w:rsid w:val="00D21932"/>
    <w:rsid w:val="00D22355"/>
    <w:rsid w:val="00D23A03"/>
    <w:rsid w:val="00D25661"/>
    <w:rsid w:val="00D2568E"/>
    <w:rsid w:val="00D264B0"/>
    <w:rsid w:val="00D266F8"/>
    <w:rsid w:val="00D26D91"/>
    <w:rsid w:val="00D27AC5"/>
    <w:rsid w:val="00D30195"/>
    <w:rsid w:val="00D30DFB"/>
    <w:rsid w:val="00D31243"/>
    <w:rsid w:val="00D31426"/>
    <w:rsid w:val="00D31BF4"/>
    <w:rsid w:val="00D3230F"/>
    <w:rsid w:val="00D3265B"/>
    <w:rsid w:val="00D32C2D"/>
    <w:rsid w:val="00D33CF0"/>
    <w:rsid w:val="00D34681"/>
    <w:rsid w:val="00D34882"/>
    <w:rsid w:val="00D3488E"/>
    <w:rsid w:val="00D348F1"/>
    <w:rsid w:val="00D34C22"/>
    <w:rsid w:val="00D34E4E"/>
    <w:rsid w:val="00D34F68"/>
    <w:rsid w:val="00D352E2"/>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2096"/>
    <w:rsid w:val="00D428F5"/>
    <w:rsid w:val="00D44441"/>
    <w:rsid w:val="00D44D8F"/>
    <w:rsid w:val="00D4535B"/>
    <w:rsid w:val="00D458C2"/>
    <w:rsid w:val="00D458FC"/>
    <w:rsid w:val="00D45B60"/>
    <w:rsid w:val="00D46400"/>
    <w:rsid w:val="00D47B89"/>
    <w:rsid w:val="00D50D45"/>
    <w:rsid w:val="00D51412"/>
    <w:rsid w:val="00D52350"/>
    <w:rsid w:val="00D52A7A"/>
    <w:rsid w:val="00D52FBE"/>
    <w:rsid w:val="00D532CA"/>
    <w:rsid w:val="00D546D8"/>
    <w:rsid w:val="00D54A19"/>
    <w:rsid w:val="00D54D52"/>
    <w:rsid w:val="00D54ED3"/>
    <w:rsid w:val="00D550C9"/>
    <w:rsid w:val="00D56676"/>
    <w:rsid w:val="00D56B52"/>
    <w:rsid w:val="00D56C78"/>
    <w:rsid w:val="00D56F3B"/>
    <w:rsid w:val="00D576F8"/>
    <w:rsid w:val="00D57777"/>
    <w:rsid w:val="00D579A1"/>
    <w:rsid w:val="00D57D92"/>
    <w:rsid w:val="00D60108"/>
    <w:rsid w:val="00D60D92"/>
    <w:rsid w:val="00D612AF"/>
    <w:rsid w:val="00D61BCF"/>
    <w:rsid w:val="00D61C85"/>
    <w:rsid w:val="00D62147"/>
    <w:rsid w:val="00D6222A"/>
    <w:rsid w:val="00D62B35"/>
    <w:rsid w:val="00D62CC8"/>
    <w:rsid w:val="00D62CF8"/>
    <w:rsid w:val="00D62D9D"/>
    <w:rsid w:val="00D62DFC"/>
    <w:rsid w:val="00D63B3E"/>
    <w:rsid w:val="00D63DFD"/>
    <w:rsid w:val="00D651D7"/>
    <w:rsid w:val="00D65509"/>
    <w:rsid w:val="00D657C9"/>
    <w:rsid w:val="00D6619E"/>
    <w:rsid w:val="00D66288"/>
    <w:rsid w:val="00D67B72"/>
    <w:rsid w:val="00D67BF7"/>
    <w:rsid w:val="00D70D07"/>
    <w:rsid w:val="00D70F3F"/>
    <w:rsid w:val="00D71305"/>
    <w:rsid w:val="00D715D9"/>
    <w:rsid w:val="00D725F7"/>
    <w:rsid w:val="00D72F36"/>
    <w:rsid w:val="00D72FEC"/>
    <w:rsid w:val="00D7305A"/>
    <w:rsid w:val="00D739FD"/>
    <w:rsid w:val="00D744B2"/>
    <w:rsid w:val="00D74548"/>
    <w:rsid w:val="00D75CE1"/>
    <w:rsid w:val="00D7629E"/>
    <w:rsid w:val="00D763D0"/>
    <w:rsid w:val="00D76673"/>
    <w:rsid w:val="00D7683C"/>
    <w:rsid w:val="00D77FAA"/>
    <w:rsid w:val="00D8122D"/>
    <w:rsid w:val="00D81563"/>
    <w:rsid w:val="00D824B5"/>
    <w:rsid w:val="00D833FA"/>
    <w:rsid w:val="00D8397A"/>
    <w:rsid w:val="00D841BE"/>
    <w:rsid w:val="00D84E10"/>
    <w:rsid w:val="00D84EA9"/>
    <w:rsid w:val="00D8561E"/>
    <w:rsid w:val="00D8587D"/>
    <w:rsid w:val="00D86289"/>
    <w:rsid w:val="00D86775"/>
    <w:rsid w:val="00D867C7"/>
    <w:rsid w:val="00D86F8A"/>
    <w:rsid w:val="00D90F2E"/>
    <w:rsid w:val="00D91499"/>
    <w:rsid w:val="00D922EC"/>
    <w:rsid w:val="00D926C6"/>
    <w:rsid w:val="00D9270E"/>
    <w:rsid w:val="00D929CE"/>
    <w:rsid w:val="00D92A4A"/>
    <w:rsid w:val="00D9515B"/>
    <w:rsid w:val="00D97F6A"/>
    <w:rsid w:val="00DA0739"/>
    <w:rsid w:val="00DA084F"/>
    <w:rsid w:val="00DA1249"/>
    <w:rsid w:val="00DA1BB4"/>
    <w:rsid w:val="00DA1C6F"/>
    <w:rsid w:val="00DA1DD9"/>
    <w:rsid w:val="00DA3377"/>
    <w:rsid w:val="00DA3735"/>
    <w:rsid w:val="00DA37FC"/>
    <w:rsid w:val="00DA43F0"/>
    <w:rsid w:val="00DA4586"/>
    <w:rsid w:val="00DA5007"/>
    <w:rsid w:val="00DA71F3"/>
    <w:rsid w:val="00DA798B"/>
    <w:rsid w:val="00DA7B83"/>
    <w:rsid w:val="00DA7CFB"/>
    <w:rsid w:val="00DA7F66"/>
    <w:rsid w:val="00DB0229"/>
    <w:rsid w:val="00DB02EC"/>
    <w:rsid w:val="00DB0610"/>
    <w:rsid w:val="00DB0670"/>
    <w:rsid w:val="00DB09BF"/>
    <w:rsid w:val="00DB1213"/>
    <w:rsid w:val="00DB2F31"/>
    <w:rsid w:val="00DB3865"/>
    <w:rsid w:val="00DB39FF"/>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47E"/>
    <w:rsid w:val="00DC16E7"/>
    <w:rsid w:val="00DC1F58"/>
    <w:rsid w:val="00DC211B"/>
    <w:rsid w:val="00DC244E"/>
    <w:rsid w:val="00DC24DD"/>
    <w:rsid w:val="00DC25E3"/>
    <w:rsid w:val="00DC30AC"/>
    <w:rsid w:val="00DC3894"/>
    <w:rsid w:val="00DC3E87"/>
    <w:rsid w:val="00DC3FAD"/>
    <w:rsid w:val="00DC4011"/>
    <w:rsid w:val="00DC47CA"/>
    <w:rsid w:val="00DC55C0"/>
    <w:rsid w:val="00DC574C"/>
    <w:rsid w:val="00DC598C"/>
    <w:rsid w:val="00DC642B"/>
    <w:rsid w:val="00DC670C"/>
    <w:rsid w:val="00DC6FE5"/>
    <w:rsid w:val="00DC775A"/>
    <w:rsid w:val="00DD07D4"/>
    <w:rsid w:val="00DD09D6"/>
    <w:rsid w:val="00DD0A86"/>
    <w:rsid w:val="00DD18F0"/>
    <w:rsid w:val="00DD1A0F"/>
    <w:rsid w:val="00DD1B26"/>
    <w:rsid w:val="00DD1BB9"/>
    <w:rsid w:val="00DD27FF"/>
    <w:rsid w:val="00DD2E7C"/>
    <w:rsid w:val="00DD33A0"/>
    <w:rsid w:val="00DD386B"/>
    <w:rsid w:val="00DD3B66"/>
    <w:rsid w:val="00DD3BCC"/>
    <w:rsid w:val="00DD472A"/>
    <w:rsid w:val="00DD5192"/>
    <w:rsid w:val="00DD5370"/>
    <w:rsid w:val="00DD5610"/>
    <w:rsid w:val="00DD5A1E"/>
    <w:rsid w:val="00DD5C40"/>
    <w:rsid w:val="00DD702F"/>
    <w:rsid w:val="00DD7244"/>
    <w:rsid w:val="00DE0363"/>
    <w:rsid w:val="00DE1100"/>
    <w:rsid w:val="00DE13C6"/>
    <w:rsid w:val="00DE1672"/>
    <w:rsid w:val="00DE18FB"/>
    <w:rsid w:val="00DE22C4"/>
    <w:rsid w:val="00DE22E5"/>
    <w:rsid w:val="00DE26B9"/>
    <w:rsid w:val="00DE2D0E"/>
    <w:rsid w:val="00DE31F7"/>
    <w:rsid w:val="00DE4B55"/>
    <w:rsid w:val="00DE4D27"/>
    <w:rsid w:val="00DE4FFF"/>
    <w:rsid w:val="00DE5449"/>
    <w:rsid w:val="00DE5AD5"/>
    <w:rsid w:val="00DE6725"/>
    <w:rsid w:val="00DE68B7"/>
    <w:rsid w:val="00DE69F2"/>
    <w:rsid w:val="00DE75C0"/>
    <w:rsid w:val="00DF05DB"/>
    <w:rsid w:val="00DF1B4B"/>
    <w:rsid w:val="00DF32FA"/>
    <w:rsid w:val="00DF35C0"/>
    <w:rsid w:val="00DF38DC"/>
    <w:rsid w:val="00DF3AD8"/>
    <w:rsid w:val="00DF4B67"/>
    <w:rsid w:val="00DF4CC7"/>
    <w:rsid w:val="00DF60EA"/>
    <w:rsid w:val="00DF641D"/>
    <w:rsid w:val="00DF66B9"/>
    <w:rsid w:val="00DF6878"/>
    <w:rsid w:val="00DF6F68"/>
    <w:rsid w:val="00DF7166"/>
    <w:rsid w:val="00DF72D6"/>
    <w:rsid w:val="00DF7392"/>
    <w:rsid w:val="00DF758D"/>
    <w:rsid w:val="00DF77EB"/>
    <w:rsid w:val="00DF7902"/>
    <w:rsid w:val="00DF7C84"/>
    <w:rsid w:val="00E0083A"/>
    <w:rsid w:val="00E00EDC"/>
    <w:rsid w:val="00E011E7"/>
    <w:rsid w:val="00E016BE"/>
    <w:rsid w:val="00E0249C"/>
    <w:rsid w:val="00E0261C"/>
    <w:rsid w:val="00E02D12"/>
    <w:rsid w:val="00E02D38"/>
    <w:rsid w:val="00E037D2"/>
    <w:rsid w:val="00E03B2C"/>
    <w:rsid w:val="00E03C04"/>
    <w:rsid w:val="00E03D9C"/>
    <w:rsid w:val="00E03DD0"/>
    <w:rsid w:val="00E045EE"/>
    <w:rsid w:val="00E04BFE"/>
    <w:rsid w:val="00E04FAE"/>
    <w:rsid w:val="00E051DB"/>
    <w:rsid w:val="00E057C3"/>
    <w:rsid w:val="00E10001"/>
    <w:rsid w:val="00E1008F"/>
    <w:rsid w:val="00E1052E"/>
    <w:rsid w:val="00E10BC1"/>
    <w:rsid w:val="00E10C20"/>
    <w:rsid w:val="00E10FC6"/>
    <w:rsid w:val="00E11B41"/>
    <w:rsid w:val="00E11DA2"/>
    <w:rsid w:val="00E11F4C"/>
    <w:rsid w:val="00E120F1"/>
    <w:rsid w:val="00E133CA"/>
    <w:rsid w:val="00E1343F"/>
    <w:rsid w:val="00E136D0"/>
    <w:rsid w:val="00E13923"/>
    <w:rsid w:val="00E13975"/>
    <w:rsid w:val="00E14616"/>
    <w:rsid w:val="00E151DD"/>
    <w:rsid w:val="00E15ADB"/>
    <w:rsid w:val="00E15F84"/>
    <w:rsid w:val="00E16469"/>
    <w:rsid w:val="00E16905"/>
    <w:rsid w:val="00E174D0"/>
    <w:rsid w:val="00E17C0F"/>
    <w:rsid w:val="00E20282"/>
    <w:rsid w:val="00E21A5C"/>
    <w:rsid w:val="00E21BC8"/>
    <w:rsid w:val="00E21F5A"/>
    <w:rsid w:val="00E22001"/>
    <w:rsid w:val="00E224FC"/>
    <w:rsid w:val="00E23592"/>
    <w:rsid w:val="00E2369C"/>
    <w:rsid w:val="00E24006"/>
    <w:rsid w:val="00E24706"/>
    <w:rsid w:val="00E250D7"/>
    <w:rsid w:val="00E252FF"/>
    <w:rsid w:val="00E25916"/>
    <w:rsid w:val="00E2620B"/>
    <w:rsid w:val="00E26477"/>
    <w:rsid w:val="00E2681B"/>
    <w:rsid w:val="00E30387"/>
    <w:rsid w:val="00E30897"/>
    <w:rsid w:val="00E30903"/>
    <w:rsid w:val="00E311BC"/>
    <w:rsid w:val="00E329D5"/>
    <w:rsid w:val="00E334AB"/>
    <w:rsid w:val="00E340C6"/>
    <w:rsid w:val="00E34422"/>
    <w:rsid w:val="00E34908"/>
    <w:rsid w:val="00E34F53"/>
    <w:rsid w:val="00E35A87"/>
    <w:rsid w:val="00E35BCA"/>
    <w:rsid w:val="00E35D21"/>
    <w:rsid w:val="00E369F1"/>
    <w:rsid w:val="00E36FDC"/>
    <w:rsid w:val="00E37162"/>
    <w:rsid w:val="00E37475"/>
    <w:rsid w:val="00E37DD2"/>
    <w:rsid w:val="00E4007D"/>
    <w:rsid w:val="00E40131"/>
    <w:rsid w:val="00E40569"/>
    <w:rsid w:val="00E40AC6"/>
    <w:rsid w:val="00E40F22"/>
    <w:rsid w:val="00E413D5"/>
    <w:rsid w:val="00E41770"/>
    <w:rsid w:val="00E44691"/>
    <w:rsid w:val="00E44A70"/>
    <w:rsid w:val="00E45618"/>
    <w:rsid w:val="00E4625D"/>
    <w:rsid w:val="00E465B3"/>
    <w:rsid w:val="00E466EA"/>
    <w:rsid w:val="00E46E99"/>
    <w:rsid w:val="00E4792A"/>
    <w:rsid w:val="00E47C8B"/>
    <w:rsid w:val="00E504D5"/>
    <w:rsid w:val="00E50C82"/>
    <w:rsid w:val="00E523D9"/>
    <w:rsid w:val="00E524E4"/>
    <w:rsid w:val="00E52928"/>
    <w:rsid w:val="00E549DD"/>
    <w:rsid w:val="00E54D73"/>
    <w:rsid w:val="00E55255"/>
    <w:rsid w:val="00E55AC7"/>
    <w:rsid w:val="00E56FE0"/>
    <w:rsid w:val="00E57561"/>
    <w:rsid w:val="00E576A6"/>
    <w:rsid w:val="00E57851"/>
    <w:rsid w:val="00E6004D"/>
    <w:rsid w:val="00E60232"/>
    <w:rsid w:val="00E612B1"/>
    <w:rsid w:val="00E61699"/>
    <w:rsid w:val="00E61E56"/>
    <w:rsid w:val="00E62F1D"/>
    <w:rsid w:val="00E6412E"/>
    <w:rsid w:val="00E642C3"/>
    <w:rsid w:val="00E6473F"/>
    <w:rsid w:val="00E64FBF"/>
    <w:rsid w:val="00E654CE"/>
    <w:rsid w:val="00E6557C"/>
    <w:rsid w:val="00E65980"/>
    <w:rsid w:val="00E65C5A"/>
    <w:rsid w:val="00E65FB9"/>
    <w:rsid w:val="00E664EA"/>
    <w:rsid w:val="00E66DD6"/>
    <w:rsid w:val="00E6700B"/>
    <w:rsid w:val="00E67137"/>
    <w:rsid w:val="00E679CA"/>
    <w:rsid w:val="00E70233"/>
    <w:rsid w:val="00E7085F"/>
    <w:rsid w:val="00E7120C"/>
    <w:rsid w:val="00E714E2"/>
    <w:rsid w:val="00E72387"/>
    <w:rsid w:val="00E733D5"/>
    <w:rsid w:val="00E73C49"/>
    <w:rsid w:val="00E74002"/>
    <w:rsid w:val="00E7437D"/>
    <w:rsid w:val="00E74574"/>
    <w:rsid w:val="00E747DD"/>
    <w:rsid w:val="00E74BF4"/>
    <w:rsid w:val="00E751EF"/>
    <w:rsid w:val="00E75454"/>
    <w:rsid w:val="00E75F85"/>
    <w:rsid w:val="00E77079"/>
    <w:rsid w:val="00E77F3A"/>
    <w:rsid w:val="00E8079C"/>
    <w:rsid w:val="00E80845"/>
    <w:rsid w:val="00E810FA"/>
    <w:rsid w:val="00E815E3"/>
    <w:rsid w:val="00E81732"/>
    <w:rsid w:val="00E81D5D"/>
    <w:rsid w:val="00E81E52"/>
    <w:rsid w:val="00E82D07"/>
    <w:rsid w:val="00E84074"/>
    <w:rsid w:val="00E84F4E"/>
    <w:rsid w:val="00E858D9"/>
    <w:rsid w:val="00E86212"/>
    <w:rsid w:val="00E86231"/>
    <w:rsid w:val="00E86369"/>
    <w:rsid w:val="00E86A52"/>
    <w:rsid w:val="00E86B94"/>
    <w:rsid w:val="00E876CA"/>
    <w:rsid w:val="00E877D2"/>
    <w:rsid w:val="00E8795E"/>
    <w:rsid w:val="00E90849"/>
    <w:rsid w:val="00E90B30"/>
    <w:rsid w:val="00E90C45"/>
    <w:rsid w:val="00E91AEF"/>
    <w:rsid w:val="00E91D7C"/>
    <w:rsid w:val="00E921C3"/>
    <w:rsid w:val="00E930A5"/>
    <w:rsid w:val="00E93C1B"/>
    <w:rsid w:val="00E93F92"/>
    <w:rsid w:val="00E94439"/>
    <w:rsid w:val="00E9489E"/>
    <w:rsid w:val="00E95588"/>
    <w:rsid w:val="00E95D3A"/>
    <w:rsid w:val="00E971BE"/>
    <w:rsid w:val="00EA004C"/>
    <w:rsid w:val="00EA01DB"/>
    <w:rsid w:val="00EA0759"/>
    <w:rsid w:val="00EA0B78"/>
    <w:rsid w:val="00EA0C8A"/>
    <w:rsid w:val="00EA14C1"/>
    <w:rsid w:val="00EA1DC5"/>
    <w:rsid w:val="00EA1F7D"/>
    <w:rsid w:val="00EA33E3"/>
    <w:rsid w:val="00EA34E8"/>
    <w:rsid w:val="00EA4361"/>
    <w:rsid w:val="00EA4750"/>
    <w:rsid w:val="00EA4F0E"/>
    <w:rsid w:val="00EA5AAA"/>
    <w:rsid w:val="00EA5CB8"/>
    <w:rsid w:val="00EA5D2A"/>
    <w:rsid w:val="00EA5D2C"/>
    <w:rsid w:val="00EA60BC"/>
    <w:rsid w:val="00EA657A"/>
    <w:rsid w:val="00EA7AB1"/>
    <w:rsid w:val="00EB01EF"/>
    <w:rsid w:val="00EB0341"/>
    <w:rsid w:val="00EB0380"/>
    <w:rsid w:val="00EB0AC0"/>
    <w:rsid w:val="00EB0C13"/>
    <w:rsid w:val="00EB176F"/>
    <w:rsid w:val="00EB1B39"/>
    <w:rsid w:val="00EB21CE"/>
    <w:rsid w:val="00EB2B80"/>
    <w:rsid w:val="00EB2D76"/>
    <w:rsid w:val="00EB304B"/>
    <w:rsid w:val="00EB45BC"/>
    <w:rsid w:val="00EB46E0"/>
    <w:rsid w:val="00EB5A2A"/>
    <w:rsid w:val="00EB5C95"/>
    <w:rsid w:val="00EB5D89"/>
    <w:rsid w:val="00EB5E50"/>
    <w:rsid w:val="00EB64C3"/>
    <w:rsid w:val="00EB6A26"/>
    <w:rsid w:val="00EB6A50"/>
    <w:rsid w:val="00EB7075"/>
    <w:rsid w:val="00EB739D"/>
    <w:rsid w:val="00EB73F1"/>
    <w:rsid w:val="00EB7E9F"/>
    <w:rsid w:val="00EC1089"/>
    <w:rsid w:val="00EC14D7"/>
    <w:rsid w:val="00EC14E9"/>
    <w:rsid w:val="00EC154E"/>
    <w:rsid w:val="00EC16FA"/>
    <w:rsid w:val="00EC181D"/>
    <w:rsid w:val="00EC31CC"/>
    <w:rsid w:val="00EC3B42"/>
    <w:rsid w:val="00EC3D80"/>
    <w:rsid w:val="00EC4386"/>
    <w:rsid w:val="00EC4616"/>
    <w:rsid w:val="00EC4D10"/>
    <w:rsid w:val="00EC5E00"/>
    <w:rsid w:val="00EC5F2B"/>
    <w:rsid w:val="00EC6408"/>
    <w:rsid w:val="00EC65EE"/>
    <w:rsid w:val="00EC6E97"/>
    <w:rsid w:val="00EC6FA4"/>
    <w:rsid w:val="00EC7398"/>
    <w:rsid w:val="00EC798B"/>
    <w:rsid w:val="00ED0994"/>
    <w:rsid w:val="00ED0998"/>
    <w:rsid w:val="00ED1792"/>
    <w:rsid w:val="00ED1A6D"/>
    <w:rsid w:val="00ED1BE7"/>
    <w:rsid w:val="00ED1C11"/>
    <w:rsid w:val="00ED2E18"/>
    <w:rsid w:val="00ED2EE0"/>
    <w:rsid w:val="00ED2F76"/>
    <w:rsid w:val="00ED3429"/>
    <w:rsid w:val="00ED3DA3"/>
    <w:rsid w:val="00ED434E"/>
    <w:rsid w:val="00ED53A1"/>
    <w:rsid w:val="00ED5C94"/>
    <w:rsid w:val="00ED5E39"/>
    <w:rsid w:val="00ED5ECF"/>
    <w:rsid w:val="00ED669A"/>
    <w:rsid w:val="00ED6A75"/>
    <w:rsid w:val="00ED6AAA"/>
    <w:rsid w:val="00ED7CBE"/>
    <w:rsid w:val="00EE02CE"/>
    <w:rsid w:val="00EE0E20"/>
    <w:rsid w:val="00EE210E"/>
    <w:rsid w:val="00EE2AA0"/>
    <w:rsid w:val="00EE2E88"/>
    <w:rsid w:val="00EE2F89"/>
    <w:rsid w:val="00EE30B8"/>
    <w:rsid w:val="00EE328B"/>
    <w:rsid w:val="00EE39F5"/>
    <w:rsid w:val="00EE4828"/>
    <w:rsid w:val="00EE4FAE"/>
    <w:rsid w:val="00EE5019"/>
    <w:rsid w:val="00EE50AA"/>
    <w:rsid w:val="00EE5F7B"/>
    <w:rsid w:val="00EE6834"/>
    <w:rsid w:val="00EE6CF1"/>
    <w:rsid w:val="00EE72BE"/>
    <w:rsid w:val="00EE7503"/>
    <w:rsid w:val="00EE76F3"/>
    <w:rsid w:val="00EE7A56"/>
    <w:rsid w:val="00EF0343"/>
    <w:rsid w:val="00EF0688"/>
    <w:rsid w:val="00EF185B"/>
    <w:rsid w:val="00EF26E3"/>
    <w:rsid w:val="00EF35D3"/>
    <w:rsid w:val="00EF448E"/>
    <w:rsid w:val="00EF45FA"/>
    <w:rsid w:val="00EF4A6C"/>
    <w:rsid w:val="00EF53D7"/>
    <w:rsid w:val="00EF56F5"/>
    <w:rsid w:val="00EF5AB4"/>
    <w:rsid w:val="00EF6405"/>
    <w:rsid w:val="00EF6F7B"/>
    <w:rsid w:val="00EF71E7"/>
    <w:rsid w:val="00EF7421"/>
    <w:rsid w:val="00EF78CD"/>
    <w:rsid w:val="00EF7C14"/>
    <w:rsid w:val="00F00506"/>
    <w:rsid w:val="00F007CC"/>
    <w:rsid w:val="00F007E5"/>
    <w:rsid w:val="00F027A1"/>
    <w:rsid w:val="00F02963"/>
    <w:rsid w:val="00F02A59"/>
    <w:rsid w:val="00F03792"/>
    <w:rsid w:val="00F04038"/>
    <w:rsid w:val="00F0450B"/>
    <w:rsid w:val="00F047EC"/>
    <w:rsid w:val="00F052BA"/>
    <w:rsid w:val="00F05303"/>
    <w:rsid w:val="00F05609"/>
    <w:rsid w:val="00F061AB"/>
    <w:rsid w:val="00F0734D"/>
    <w:rsid w:val="00F07957"/>
    <w:rsid w:val="00F106EC"/>
    <w:rsid w:val="00F1116E"/>
    <w:rsid w:val="00F1206E"/>
    <w:rsid w:val="00F127FD"/>
    <w:rsid w:val="00F1291B"/>
    <w:rsid w:val="00F129AF"/>
    <w:rsid w:val="00F13DC3"/>
    <w:rsid w:val="00F1412C"/>
    <w:rsid w:val="00F14E96"/>
    <w:rsid w:val="00F14F44"/>
    <w:rsid w:val="00F15649"/>
    <w:rsid w:val="00F1655C"/>
    <w:rsid w:val="00F16AFB"/>
    <w:rsid w:val="00F170E7"/>
    <w:rsid w:val="00F173C9"/>
    <w:rsid w:val="00F17B10"/>
    <w:rsid w:val="00F17F05"/>
    <w:rsid w:val="00F17F7D"/>
    <w:rsid w:val="00F17FB6"/>
    <w:rsid w:val="00F200C9"/>
    <w:rsid w:val="00F200D0"/>
    <w:rsid w:val="00F20AC9"/>
    <w:rsid w:val="00F213F3"/>
    <w:rsid w:val="00F21B81"/>
    <w:rsid w:val="00F221F8"/>
    <w:rsid w:val="00F22C8E"/>
    <w:rsid w:val="00F23345"/>
    <w:rsid w:val="00F236A9"/>
    <w:rsid w:val="00F23D89"/>
    <w:rsid w:val="00F23E1D"/>
    <w:rsid w:val="00F23F4A"/>
    <w:rsid w:val="00F243D0"/>
    <w:rsid w:val="00F24A44"/>
    <w:rsid w:val="00F2512B"/>
    <w:rsid w:val="00F25A3B"/>
    <w:rsid w:val="00F25BBE"/>
    <w:rsid w:val="00F2630F"/>
    <w:rsid w:val="00F26AE3"/>
    <w:rsid w:val="00F26D23"/>
    <w:rsid w:val="00F26F69"/>
    <w:rsid w:val="00F27931"/>
    <w:rsid w:val="00F306B8"/>
    <w:rsid w:val="00F310C3"/>
    <w:rsid w:val="00F31F1A"/>
    <w:rsid w:val="00F320A3"/>
    <w:rsid w:val="00F32883"/>
    <w:rsid w:val="00F349B4"/>
    <w:rsid w:val="00F34B80"/>
    <w:rsid w:val="00F3665D"/>
    <w:rsid w:val="00F36923"/>
    <w:rsid w:val="00F36D5B"/>
    <w:rsid w:val="00F406CC"/>
    <w:rsid w:val="00F40C5A"/>
    <w:rsid w:val="00F40D47"/>
    <w:rsid w:val="00F41413"/>
    <w:rsid w:val="00F41846"/>
    <w:rsid w:val="00F419BE"/>
    <w:rsid w:val="00F41A85"/>
    <w:rsid w:val="00F423C4"/>
    <w:rsid w:val="00F43453"/>
    <w:rsid w:val="00F43F4D"/>
    <w:rsid w:val="00F4419C"/>
    <w:rsid w:val="00F44373"/>
    <w:rsid w:val="00F4460D"/>
    <w:rsid w:val="00F45BCE"/>
    <w:rsid w:val="00F45D94"/>
    <w:rsid w:val="00F45EE3"/>
    <w:rsid w:val="00F45F7D"/>
    <w:rsid w:val="00F474A7"/>
    <w:rsid w:val="00F47723"/>
    <w:rsid w:val="00F47BC9"/>
    <w:rsid w:val="00F47EAA"/>
    <w:rsid w:val="00F504D2"/>
    <w:rsid w:val="00F50615"/>
    <w:rsid w:val="00F50D5C"/>
    <w:rsid w:val="00F519D3"/>
    <w:rsid w:val="00F52C51"/>
    <w:rsid w:val="00F53463"/>
    <w:rsid w:val="00F5406A"/>
    <w:rsid w:val="00F54184"/>
    <w:rsid w:val="00F545E3"/>
    <w:rsid w:val="00F54FC0"/>
    <w:rsid w:val="00F5619F"/>
    <w:rsid w:val="00F5642D"/>
    <w:rsid w:val="00F56510"/>
    <w:rsid w:val="00F5680A"/>
    <w:rsid w:val="00F56B64"/>
    <w:rsid w:val="00F57935"/>
    <w:rsid w:val="00F57D06"/>
    <w:rsid w:val="00F60996"/>
    <w:rsid w:val="00F60A88"/>
    <w:rsid w:val="00F60DDB"/>
    <w:rsid w:val="00F61520"/>
    <w:rsid w:val="00F61884"/>
    <w:rsid w:val="00F629EF"/>
    <w:rsid w:val="00F63100"/>
    <w:rsid w:val="00F6332A"/>
    <w:rsid w:val="00F63D54"/>
    <w:rsid w:val="00F65D37"/>
    <w:rsid w:val="00F661D0"/>
    <w:rsid w:val="00F66E50"/>
    <w:rsid w:val="00F6710E"/>
    <w:rsid w:val="00F67FCD"/>
    <w:rsid w:val="00F700D3"/>
    <w:rsid w:val="00F70342"/>
    <w:rsid w:val="00F709BD"/>
    <w:rsid w:val="00F71174"/>
    <w:rsid w:val="00F711FF"/>
    <w:rsid w:val="00F719D4"/>
    <w:rsid w:val="00F72BF7"/>
    <w:rsid w:val="00F72DE1"/>
    <w:rsid w:val="00F744B4"/>
    <w:rsid w:val="00F74A08"/>
    <w:rsid w:val="00F74A33"/>
    <w:rsid w:val="00F74BCF"/>
    <w:rsid w:val="00F75204"/>
    <w:rsid w:val="00F7598E"/>
    <w:rsid w:val="00F75B78"/>
    <w:rsid w:val="00F75BD2"/>
    <w:rsid w:val="00F7653C"/>
    <w:rsid w:val="00F765BA"/>
    <w:rsid w:val="00F767EC"/>
    <w:rsid w:val="00F76CA8"/>
    <w:rsid w:val="00F8001F"/>
    <w:rsid w:val="00F80C6E"/>
    <w:rsid w:val="00F81127"/>
    <w:rsid w:val="00F81AAF"/>
    <w:rsid w:val="00F81E59"/>
    <w:rsid w:val="00F81EA1"/>
    <w:rsid w:val="00F825F0"/>
    <w:rsid w:val="00F82687"/>
    <w:rsid w:val="00F841D9"/>
    <w:rsid w:val="00F849DD"/>
    <w:rsid w:val="00F84BDD"/>
    <w:rsid w:val="00F84F68"/>
    <w:rsid w:val="00F864B0"/>
    <w:rsid w:val="00F867D0"/>
    <w:rsid w:val="00F8741F"/>
    <w:rsid w:val="00F874AA"/>
    <w:rsid w:val="00F875F4"/>
    <w:rsid w:val="00F878A9"/>
    <w:rsid w:val="00F87E74"/>
    <w:rsid w:val="00F9024E"/>
    <w:rsid w:val="00F9088C"/>
    <w:rsid w:val="00F911FB"/>
    <w:rsid w:val="00F92598"/>
    <w:rsid w:val="00F93D6E"/>
    <w:rsid w:val="00F94709"/>
    <w:rsid w:val="00F97E6F"/>
    <w:rsid w:val="00FA017D"/>
    <w:rsid w:val="00FA01F0"/>
    <w:rsid w:val="00FA0951"/>
    <w:rsid w:val="00FA18C6"/>
    <w:rsid w:val="00FA1B31"/>
    <w:rsid w:val="00FA202E"/>
    <w:rsid w:val="00FA24FA"/>
    <w:rsid w:val="00FA56D1"/>
    <w:rsid w:val="00FA64A0"/>
    <w:rsid w:val="00FA661E"/>
    <w:rsid w:val="00FA6E64"/>
    <w:rsid w:val="00FA770C"/>
    <w:rsid w:val="00FA7A64"/>
    <w:rsid w:val="00FA7CB6"/>
    <w:rsid w:val="00FB040E"/>
    <w:rsid w:val="00FB0B7F"/>
    <w:rsid w:val="00FB0E54"/>
    <w:rsid w:val="00FB129E"/>
    <w:rsid w:val="00FB1E7B"/>
    <w:rsid w:val="00FB24D0"/>
    <w:rsid w:val="00FB28DA"/>
    <w:rsid w:val="00FB2B5A"/>
    <w:rsid w:val="00FB2E74"/>
    <w:rsid w:val="00FB33C0"/>
    <w:rsid w:val="00FB34D2"/>
    <w:rsid w:val="00FB3FA2"/>
    <w:rsid w:val="00FB43C6"/>
    <w:rsid w:val="00FB4FFD"/>
    <w:rsid w:val="00FB5ECF"/>
    <w:rsid w:val="00FB5FF2"/>
    <w:rsid w:val="00FB644C"/>
    <w:rsid w:val="00FB668E"/>
    <w:rsid w:val="00FB6B8F"/>
    <w:rsid w:val="00FB6C4F"/>
    <w:rsid w:val="00FB6F92"/>
    <w:rsid w:val="00FB74FC"/>
    <w:rsid w:val="00FB79E6"/>
    <w:rsid w:val="00FC00AF"/>
    <w:rsid w:val="00FC0127"/>
    <w:rsid w:val="00FC1040"/>
    <w:rsid w:val="00FC11C1"/>
    <w:rsid w:val="00FC121A"/>
    <w:rsid w:val="00FC1818"/>
    <w:rsid w:val="00FC18B0"/>
    <w:rsid w:val="00FC22C1"/>
    <w:rsid w:val="00FC2C65"/>
    <w:rsid w:val="00FC2DA8"/>
    <w:rsid w:val="00FC35BE"/>
    <w:rsid w:val="00FC3A09"/>
    <w:rsid w:val="00FC488C"/>
    <w:rsid w:val="00FC511E"/>
    <w:rsid w:val="00FC5156"/>
    <w:rsid w:val="00FC5455"/>
    <w:rsid w:val="00FC640E"/>
    <w:rsid w:val="00FC677C"/>
    <w:rsid w:val="00FC6A39"/>
    <w:rsid w:val="00FC6F41"/>
    <w:rsid w:val="00FC7A3D"/>
    <w:rsid w:val="00FC7E98"/>
    <w:rsid w:val="00FD013A"/>
    <w:rsid w:val="00FD0169"/>
    <w:rsid w:val="00FD144E"/>
    <w:rsid w:val="00FD1700"/>
    <w:rsid w:val="00FD2160"/>
    <w:rsid w:val="00FD22D2"/>
    <w:rsid w:val="00FD2DE9"/>
    <w:rsid w:val="00FD30F7"/>
    <w:rsid w:val="00FD3868"/>
    <w:rsid w:val="00FD3F74"/>
    <w:rsid w:val="00FD4B43"/>
    <w:rsid w:val="00FD5384"/>
    <w:rsid w:val="00FD5622"/>
    <w:rsid w:val="00FD5963"/>
    <w:rsid w:val="00FD6262"/>
    <w:rsid w:val="00FD7411"/>
    <w:rsid w:val="00FD7795"/>
    <w:rsid w:val="00FD77D0"/>
    <w:rsid w:val="00FD7B3B"/>
    <w:rsid w:val="00FE1A45"/>
    <w:rsid w:val="00FE279E"/>
    <w:rsid w:val="00FE2DF2"/>
    <w:rsid w:val="00FE3879"/>
    <w:rsid w:val="00FE3B8B"/>
    <w:rsid w:val="00FE3C0A"/>
    <w:rsid w:val="00FE41A4"/>
    <w:rsid w:val="00FE4534"/>
    <w:rsid w:val="00FE4559"/>
    <w:rsid w:val="00FE5BB6"/>
    <w:rsid w:val="00FE6606"/>
    <w:rsid w:val="00FE6A00"/>
    <w:rsid w:val="00FE79CB"/>
    <w:rsid w:val="00FF09EE"/>
    <w:rsid w:val="00FF0B90"/>
    <w:rsid w:val="00FF0C18"/>
    <w:rsid w:val="00FF14A7"/>
    <w:rsid w:val="00FF1519"/>
    <w:rsid w:val="00FF2045"/>
    <w:rsid w:val="00FF2C86"/>
    <w:rsid w:val="00FF2FB8"/>
    <w:rsid w:val="00FF2FF5"/>
    <w:rsid w:val="00FF3680"/>
    <w:rsid w:val="00FF3744"/>
    <w:rsid w:val="00FF4A80"/>
    <w:rsid w:val="00FF4E00"/>
    <w:rsid w:val="00FF5149"/>
    <w:rsid w:val="00FF59B9"/>
    <w:rsid w:val="00FF5EBD"/>
    <w:rsid w:val="00FF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42F260C-0462-4091-8A99-7197B301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EB6"/>
    <w:rPr>
      <w:sz w:val="24"/>
      <w:szCs w:val="24"/>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41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41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41C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41CD"/>
    <w:rPr>
      <w:rFonts w:ascii="Calibri" w:hAnsi="Calibri" w:cs="Times New Roman"/>
      <w:b/>
      <w:bCs/>
      <w:i/>
      <w:iCs/>
      <w:sz w:val="26"/>
      <w:szCs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semiHidden/>
    <w:locked/>
    <w:rsid w:val="007241CD"/>
    <w:rPr>
      <w:rFonts w:cs="Times New Roman"/>
      <w:sz w:val="24"/>
      <w:szCs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locked/>
    <w:rsid w:val="007241CD"/>
    <w:rPr>
      <w:rFonts w:cs="Times New Roman"/>
      <w:sz w:val="24"/>
      <w:szCs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rFonts w:cs="Times New Roman"/>
      <w:sz w:val="24"/>
      <w:szCs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rFonts w:cs="Times New Roman"/>
      <w:sz w:val="24"/>
      <w:szCs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rFonts w:cs="Times New Roman"/>
      <w:sz w:val="16"/>
      <w:szCs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rFonts w:cs="Times New Roman"/>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rFonts w:cs="Times New Roman"/>
      <w:sz w:val="24"/>
      <w:szCs w:val="24"/>
    </w:rPr>
  </w:style>
  <w:style w:type="character" w:styleId="Emphasis">
    <w:name w:val="Emphasis"/>
    <w:basedOn w:val="DefaultParagraphFont"/>
    <w:uiPriority w:val="99"/>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rFonts w:cs="Times New Roman"/>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rFonts w:cs="Times New Roman"/>
      <w:sz w:val="20"/>
      <w:szCs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rFonts w:cs="Times New Roman"/>
      <w:b/>
      <w:bCs/>
      <w:sz w:val="20"/>
      <w:szCs w:val="20"/>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rFonts w:cs="Times New Roman"/>
      <w:sz w:val="24"/>
      <w:szCs w:val="24"/>
    </w:rPr>
  </w:style>
  <w:style w:type="paragraph" w:styleId="Revision">
    <w:name w:val="Revision"/>
    <w:hidden/>
    <w:uiPriority w:val="99"/>
    <w:semiHidden/>
    <w:rsid w:val="009627F7"/>
    <w:rPr>
      <w:sz w:val="24"/>
      <w:szCs w:val="24"/>
    </w:rPr>
  </w:style>
  <w:style w:type="paragraph" w:styleId="ListParagraph">
    <w:name w:val="List Paragraph"/>
    <w:basedOn w:val="Normal"/>
    <w:uiPriority w:val="34"/>
    <w:qFormat/>
    <w:rsid w:val="001E2211"/>
    <w:pPr>
      <w:ind w:left="720"/>
      <w:contextualSpacing/>
    </w:pPr>
  </w:style>
  <w:style w:type="table" w:styleId="TableGrid">
    <w:name w:val="Table Grid"/>
    <w:basedOn w:val="TableNormal"/>
    <w:locked/>
    <w:rsid w:val="006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DD386B"/>
    <w:rPr>
      <w:rFonts w:ascii="Times New Roman" w:hAnsi="Times New Roman" w:cs="Times New Roman"/>
      <w:b w:val="0"/>
      <w:i w:val="0"/>
      <w:caps w:val="0"/>
      <w:vanish w:val="0"/>
      <w:color w:val="000000"/>
      <w:sz w:val="16"/>
      <w:szCs w:val="20"/>
      <w:u w:val="none"/>
    </w:rPr>
  </w:style>
  <w:style w:type="character" w:styleId="PlaceholderText">
    <w:name w:val="Placeholder Text"/>
    <w:basedOn w:val="DefaultParagraphFont"/>
    <w:uiPriority w:val="99"/>
    <w:semiHidden/>
    <w:rsid w:val="00DD386B"/>
    <w:rPr>
      <w:color w:val="808080"/>
    </w:rPr>
  </w:style>
  <w:style w:type="paragraph" w:styleId="FootnoteText">
    <w:name w:val="footnote text"/>
    <w:basedOn w:val="Normal"/>
    <w:link w:val="FootnoteTextChar"/>
    <w:uiPriority w:val="99"/>
    <w:semiHidden/>
    <w:unhideWhenUsed/>
    <w:rsid w:val="00DE18FB"/>
    <w:rPr>
      <w:sz w:val="20"/>
      <w:szCs w:val="20"/>
    </w:rPr>
  </w:style>
  <w:style w:type="character" w:customStyle="1" w:styleId="FootnoteTextChar">
    <w:name w:val="Footnote Text Char"/>
    <w:basedOn w:val="DefaultParagraphFont"/>
    <w:link w:val="FootnoteText"/>
    <w:uiPriority w:val="99"/>
    <w:semiHidden/>
    <w:rsid w:val="00DE18FB"/>
    <w:rPr>
      <w:sz w:val="20"/>
      <w:szCs w:val="20"/>
    </w:rPr>
  </w:style>
  <w:style w:type="character" w:styleId="FootnoteReference">
    <w:name w:val="footnote reference"/>
    <w:basedOn w:val="DefaultParagraphFont"/>
    <w:uiPriority w:val="99"/>
    <w:semiHidden/>
    <w:unhideWhenUsed/>
    <w:rsid w:val="00DE1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31803">
      <w:bodyDiv w:val="1"/>
      <w:marLeft w:val="0"/>
      <w:marRight w:val="0"/>
      <w:marTop w:val="0"/>
      <w:marBottom w:val="0"/>
      <w:divBdr>
        <w:top w:val="none" w:sz="0" w:space="0" w:color="auto"/>
        <w:left w:val="none" w:sz="0" w:space="0" w:color="auto"/>
        <w:bottom w:val="none" w:sz="0" w:space="0" w:color="auto"/>
        <w:right w:val="none" w:sz="0" w:space="0" w:color="auto"/>
      </w:divBdr>
    </w:div>
    <w:div w:id="1481195943">
      <w:bodyDiv w:val="1"/>
      <w:marLeft w:val="0"/>
      <w:marRight w:val="0"/>
      <w:marTop w:val="0"/>
      <w:marBottom w:val="0"/>
      <w:divBdr>
        <w:top w:val="none" w:sz="0" w:space="0" w:color="auto"/>
        <w:left w:val="none" w:sz="0" w:space="0" w:color="auto"/>
        <w:bottom w:val="none" w:sz="0" w:space="0" w:color="auto"/>
        <w:right w:val="none" w:sz="0" w:space="0" w:color="auto"/>
      </w:divBdr>
    </w:div>
    <w:div w:id="1579368207">
      <w:marLeft w:val="0"/>
      <w:marRight w:val="0"/>
      <w:marTop w:val="0"/>
      <w:marBottom w:val="0"/>
      <w:divBdr>
        <w:top w:val="none" w:sz="0" w:space="0" w:color="auto"/>
        <w:left w:val="none" w:sz="0" w:space="0" w:color="auto"/>
        <w:bottom w:val="none" w:sz="0" w:space="0" w:color="auto"/>
        <w:right w:val="none" w:sz="0" w:space="0" w:color="auto"/>
      </w:divBdr>
    </w:div>
    <w:div w:id="1579368208">
      <w:marLeft w:val="0"/>
      <w:marRight w:val="0"/>
      <w:marTop w:val="0"/>
      <w:marBottom w:val="0"/>
      <w:divBdr>
        <w:top w:val="none" w:sz="0" w:space="0" w:color="auto"/>
        <w:left w:val="none" w:sz="0" w:space="0" w:color="auto"/>
        <w:bottom w:val="none" w:sz="0" w:space="0" w:color="auto"/>
        <w:right w:val="none" w:sz="0" w:space="0" w:color="auto"/>
      </w:divBdr>
    </w:div>
    <w:div w:id="1579368209">
      <w:marLeft w:val="0"/>
      <w:marRight w:val="0"/>
      <w:marTop w:val="0"/>
      <w:marBottom w:val="0"/>
      <w:divBdr>
        <w:top w:val="none" w:sz="0" w:space="0" w:color="auto"/>
        <w:left w:val="none" w:sz="0" w:space="0" w:color="auto"/>
        <w:bottom w:val="none" w:sz="0" w:space="0" w:color="auto"/>
        <w:right w:val="none" w:sz="0" w:space="0" w:color="auto"/>
      </w:divBdr>
    </w:div>
    <w:div w:id="1579368210">
      <w:marLeft w:val="0"/>
      <w:marRight w:val="0"/>
      <w:marTop w:val="0"/>
      <w:marBottom w:val="0"/>
      <w:divBdr>
        <w:top w:val="none" w:sz="0" w:space="0" w:color="auto"/>
        <w:left w:val="none" w:sz="0" w:space="0" w:color="auto"/>
        <w:bottom w:val="none" w:sz="0" w:space="0" w:color="auto"/>
        <w:right w:val="none" w:sz="0" w:space="0" w:color="auto"/>
      </w:divBdr>
      <w:divsChild>
        <w:div w:id="1579368211">
          <w:marLeft w:val="0"/>
          <w:marRight w:val="0"/>
          <w:marTop w:val="45"/>
          <w:marBottom w:val="225"/>
          <w:divBdr>
            <w:top w:val="none" w:sz="0" w:space="0" w:color="auto"/>
            <w:left w:val="none" w:sz="0" w:space="0" w:color="auto"/>
            <w:bottom w:val="none" w:sz="0" w:space="0" w:color="auto"/>
            <w:right w:val="none" w:sz="0" w:space="0" w:color="auto"/>
          </w:divBdr>
          <w:divsChild>
            <w:div w:id="1579368212">
              <w:marLeft w:val="150"/>
              <w:marRight w:val="0"/>
              <w:marTop w:val="300"/>
              <w:marBottom w:val="0"/>
              <w:divBdr>
                <w:top w:val="none" w:sz="0" w:space="0" w:color="auto"/>
                <w:left w:val="none" w:sz="0" w:space="0" w:color="auto"/>
                <w:bottom w:val="none" w:sz="0" w:space="0" w:color="auto"/>
                <w:right w:val="none" w:sz="0" w:space="0" w:color="auto"/>
              </w:divBdr>
              <w:divsChild>
                <w:div w:id="15793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215">
      <w:marLeft w:val="0"/>
      <w:marRight w:val="0"/>
      <w:marTop w:val="0"/>
      <w:marBottom w:val="0"/>
      <w:divBdr>
        <w:top w:val="none" w:sz="0" w:space="0" w:color="auto"/>
        <w:left w:val="none" w:sz="0" w:space="0" w:color="auto"/>
        <w:bottom w:val="none" w:sz="0" w:space="0" w:color="auto"/>
        <w:right w:val="none" w:sz="0" w:space="0" w:color="auto"/>
      </w:divBdr>
      <w:divsChild>
        <w:div w:id="1579368213">
          <w:marLeft w:val="0"/>
          <w:marRight w:val="0"/>
          <w:marTop w:val="45"/>
          <w:marBottom w:val="225"/>
          <w:divBdr>
            <w:top w:val="none" w:sz="0" w:space="0" w:color="auto"/>
            <w:left w:val="none" w:sz="0" w:space="0" w:color="auto"/>
            <w:bottom w:val="none" w:sz="0" w:space="0" w:color="auto"/>
            <w:right w:val="none" w:sz="0" w:space="0" w:color="auto"/>
          </w:divBdr>
          <w:divsChild>
            <w:div w:id="1579368217">
              <w:marLeft w:val="150"/>
              <w:marRight w:val="0"/>
              <w:marTop w:val="300"/>
              <w:marBottom w:val="0"/>
              <w:divBdr>
                <w:top w:val="none" w:sz="0" w:space="0" w:color="auto"/>
                <w:left w:val="none" w:sz="0" w:space="0" w:color="auto"/>
                <w:bottom w:val="none" w:sz="0" w:space="0" w:color="auto"/>
                <w:right w:val="none" w:sz="0" w:space="0" w:color="auto"/>
              </w:divBdr>
              <w:divsChild>
                <w:div w:id="1579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218">
      <w:marLeft w:val="0"/>
      <w:marRight w:val="0"/>
      <w:marTop w:val="0"/>
      <w:marBottom w:val="0"/>
      <w:divBdr>
        <w:top w:val="none" w:sz="0" w:space="0" w:color="auto"/>
        <w:left w:val="none" w:sz="0" w:space="0" w:color="auto"/>
        <w:bottom w:val="none" w:sz="0" w:space="0" w:color="auto"/>
        <w:right w:val="none" w:sz="0" w:space="0" w:color="auto"/>
      </w:divBdr>
    </w:div>
    <w:div w:id="1579368219">
      <w:marLeft w:val="0"/>
      <w:marRight w:val="0"/>
      <w:marTop w:val="0"/>
      <w:marBottom w:val="0"/>
      <w:divBdr>
        <w:top w:val="none" w:sz="0" w:space="0" w:color="auto"/>
        <w:left w:val="none" w:sz="0" w:space="0" w:color="auto"/>
        <w:bottom w:val="none" w:sz="0" w:space="0" w:color="auto"/>
        <w:right w:val="none" w:sz="0" w:space="0" w:color="auto"/>
      </w:divBdr>
    </w:div>
    <w:div w:id="1727489492">
      <w:bodyDiv w:val="1"/>
      <w:marLeft w:val="0"/>
      <w:marRight w:val="0"/>
      <w:marTop w:val="0"/>
      <w:marBottom w:val="0"/>
      <w:divBdr>
        <w:top w:val="none" w:sz="0" w:space="0" w:color="auto"/>
        <w:left w:val="none" w:sz="0" w:space="0" w:color="auto"/>
        <w:bottom w:val="none" w:sz="0" w:space="0" w:color="auto"/>
        <w:right w:val="none" w:sz="0" w:space="0" w:color="auto"/>
      </w:divBdr>
    </w:div>
    <w:div w:id="19966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proofpoint.com/v2/url?u=https-3A__twitter.com_UPS-5FNews&amp;d=DwMFAg&amp;c=9wxE0DgWbPxd1HCzjwN8Eaww1--ViDajIU4RXCxgSXE&amp;r=8yyQ5c5Gm7Pfvy7YH9VpK9oDIu_gomBhBTY8gyomYPQ&amp;m=lKCjLDIAoA8WYHxtskCSNeehUtbHOwXcop2sHFV_3WA&amp;s=UWGx5WbKWjx5ZDrd5DUeK2iGXgkafKhoeTD9L1wiLCI&am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3A__longitudes.ups.com_&amp;d=DwMFAg&amp;c=9wxE0DgWbPxd1HCzjwN8Eaww1--ViDajIU4RXCxgSXE&amp;r=8yyQ5c5Gm7Pfvy7YH9VpK9oDIu_gomBhBTY8gyomYPQ&amp;m=lKCjLDIAoA8WYHxtskCSNeehUtbHOwXcop2sHFV_3WA&amp;s=D2IeETckvBRQc2z8G8CDcQ9DTIlCwoMYoUXHiDLgHHE&am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pressroom.ups.com_pressroom_Home.page&amp;d=DwMFAg&amp;c=9wxE0DgWbPxd1HCzjwN8Eaww1--ViDajIU4RXCxgSXE&amp;r=8yyQ5c5Gm7Pfvy7YH9VpK9oDIu_gomBhBTY8gyomYPQ&amp;m=lKCjLDIAoA8WYHxtskCSNeehUtbHOwXcop2sHFV_3WA&amp;s=rH9B97sJPWglTaofcdFDGotopPul-tkem1oFWXgEmNc&am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rldefense.proofpoint.com/v2/url?u=http-3A__www.ups.com_&amp;d=DwMFAg&amp;c=9wxE0DgWbPxd1HCzjwN8Eaww1--ViDajIU4RXCxgSXE&amp;r=8yyQ5c5Gm7Pfvy7YH9VpK9oDIu_gomBhBTY8gyomYPQ&amp;m=lKCjLDIAoA8WYHxtskCSNeehUtbHOwXcop2sHFV_3WA&amp;s=yUHZxk40K64eklaVY43akAPTAdqfRWWSjcCMONcSvs4&a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vestors.up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7417-72C6-4D26-9235-1E422007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2804</Words>
  <Characters>21735</Characters>
  <Application>Microsoft Office Word</Application>
  <DocSecurity>0</DocSecurity>
  <Lines>181</Lines>
  <Paragraphs>48</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24491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Keith A. (chi1kac)</dc:creator>
  <cp:keywords/>
  <dc:description/>
  <cp:lastModifiedBy>Michal Donath</cp:lastModifiedBy>
  <cp:revision>3</cp:revision>
  <cp:lastPrinted>2018-10-24T00:27:00Z</cp:lastPrinted>
  <dcterms:created xsi:type="dcterms:W3CDTF">2018-10-24T11:35:00Z</dcterms:created>
  <dcterms:modified xsi:type="dcterms:W3CDTF">2018-10-24T11:36:00Z</dcterms:modified>
</cp:coreProperties>
</file>