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0"/>
          <w:szCs w:val="20"/>
          <w:lang w:val="cs-CZ"/>
        </w:rPr>
      </w:pPr>
      <w:r>
        <w:rPr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-17145</wp:posOffset>
            </wp:positionV>
            <wp:extent cx="828675" cy="936625"/>
            <wp:effectExtent l="0" t="0" r="0" b="0"/>
            <wp:wrapTight wrapText="bothSides">
              <wp:wrapPolygon>
                <wp:start x="-50" y="0"/>
                <wp:lineTo x="-50" y="20876"/>
                <wp:lineTo x="20988" y="20876"/>
                <wp:lineTo x="20988" y="0"/>
                <wp:lineTo x="-50" y="0"/>
              </wp:wrapPolygon>
            </wp:wrapTight>
            <wp:docPr id="1" name="Picture 2" descr="1187734~UPS_Flat_Shield_2Color_RGB-1080.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1187734~UPS_Flat_Shield_2Color_RGB-1080.10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Kontakt: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Karla Krejčí, Donath Business &amp; Media </w:t>
      </w:r>
    </w:p>
    <w:p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+420 224 211 220</w:t>
      </w:r>
    </w:p>
    <w:p>
      <w:pPr>
        <w:ind w:left="1134" w:firstLine="306"/>
      </w:pPr>
      <w:r>
        <w:fldChar w:fldCharType="begin"/>
      </w:r>
      <w:r>
        <w:instrText xml:space="preserve"> HYPERLINK "mailto:karla.krejci@dbm.cz" \h </w:instrText>
      </w:r>
      <w:r>
        <w:fldChar w:fldCharType="separate"/>
      </w:r>
      <w:r>
        <w:rPr>
          <w:rStyle w:val="17"/>
          <w:rFonts w:ascii="Arial" w:hAnsi="Arial" w:cs="Arial"/>
          <w:sz w:val="20"/>
          <w:szCs w:val="20"/>
          <w:lang w:val="cs-CZ"/>
        </w:rPr>
        <w:t>karla.krejci@dbm.cz</w:t>
      </w:r>
      <w:r>
        <w:rPr>
          <w:rStyle w:val="17"/>
          <w:rFonts w:ascii="Arial" w:hAnsi="Arial" w:cs="Arial"/>
          <w:sz w:val="20"/>
          <w:szCs w:val="20"/>
          <w:lang w:val="cs-CZ"/>
        </w:rPr>
        <w:fldChar w:fldCharType="end"/>
      </w:r>
    </w:p>
    <w:p>
      <w:pPr>
        <w:spacing w:line="235" w:lineRule="auto"/>
        <w:jc w:val="center"/>
        <w:outlineLvl w:val="0"/>
        <w:rPr>
          <w:rFonts w:ascii="Arial" w:hAnsi="Arial" w:eastAsia="Arial" w:cs="Arial"/>
          <w:b/>
          <w:sz w:val="32"/>
          <w:lang w:val="cs-CZ"/>
        </w:rPr>
      </w:pPr>
    </w:p>
    <w:p>
      <w:pPr>
        <w:spacing w:line="235" w:lineRule="auto"/>
        <w:jc w:val="center"/>
        <w:outlineLvl w:val="0"/>
        <w:rPr>
          <w:rFonts w:ascii="Arial" w:hAnsi="Arial" w:eastAsia="Arial" w:cs="Arial"/>
          <w:b/>
          <w:sz w:val="32"/>
          <w:lang w:val="cs-CZ"/>
        </w:rPr>
      </w:pPr>
    </w:p>
    <w:p>
      <w:pPr>
        <w:spacing w:line="235" w:lineRule="auto"/>
        <w:jc w:val="center"/>
        <w:outlineLvl w:val="0"/>
        <w:rPr>
          <w:rFonts w:ascii="Arial" w:hAnsi="Arial" w:eastAsia="Arial" w:cs="Arial"/>
          <w:b/>
          <w:sz w:val="32"/>
          <w:lang w:val="cs-CZ"/>
        </w:rPr>
      </w:pPr>
    </w:p>
    <w:p>
      <w:pPr>
        <w:spacing w:line="235" w:lineRule="auto"/>
        <w:jc w:val="center"/>
        <w:outlineLvl w:val="0"/>
        <w:rPr>
          <w:rFonts w:ascii="Arial" w:hAnsi="Arial" w:eastAsia="Arial" w:cs="Arial"/>
          <w:b/>
          <w:sz w:val="32"/>
          <w:lang w:val="cs-CZ"/>
        </w:rPr>
      </w:pPr>
    </w:p>
    <w:p>
      <w:pPr>
        <w:tabs>
          <w:tab w:val="left" w:pos="1984"/>
          <w:tab w:val="left" w:pos="3118"/>
          <w:tab w:val="left" w:pos="4252"/>
        </w:tabs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 xml:space="preserve">UPS Healthcare otevře v Německu své první logistické centrum zaměřené na zdravotnictví </w:t>
      </w:r>
    </w:p>
    <w:p>
      <w:pPr>
        <w:tabs>
          <w:tab w:val="left" w:pos="1984"/>
          <w:tab w:val="left" w:pos="3118"/>
          <w:tab w:val="left" w:pos="4252"/>
        </w:tabs>
        <w:rPr>
          <w:rFonts w:ascii="Tahoma" w:hAnsi="Tahoma" w:cs="Tahoma"/>
          <w:sz w:val="24"/>
          <w:szCs w:val="24"/>
          <w:lang w:val="cs-CZ"/>
        </w:rPr>
      </w:pPr>
    </w:p>
    <w:p>
      <w:pPr>
        <w:rPr>
          <w:rFonts w:ascii="Tahoma" w:hAnsi="Tahoma" w:cs="Tahoma"/>
          <w:sz w:val="20"/>
          <w:szCs w:val="20"/>
          <w:highlight w:val="yellow"/>
          <w:lang w:val="cs-CZ"/>
        </w:rPr>
      </w:pPr>
    </w:p>
    <w:p>
      <w:pPr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 xml:space="preserve">Giessen, 9. února 2022 </w:t>
      </w:r>
      <w:r>
        <w:rPr>
          <w:rFonts w:ascii="Tahoma" w:hAnsi="Tahoma" w:cs="Tahoma"/>
          <w:sz w:val="20"/>
          <w:szCs w:val="20"/>
          <w:lang w:val="cs-CZ"/>
        </w:rPr>
        <w:t>– Společnost UPS Healthcare oznámila, že otevře své první logistické centrum zaměřené na zdravotnictví v německém Giessenu v souladu s pokračující expanzivní strategií cílenou na rozšiřování své globální působnosti. Centrum má zahájit provoz počátkem roku 2023 a bude odpovídat potřebám rostoucího a inovačního trhu s nároky na pokročilou logistiku s řízenou teplotou.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Nabídne větší flexibilitu a nové možnosti růstu na tradičních i nových trzích a posílí firemní síť ve střední Evropě, jejíž součástí je i nedávno otevřené logistické centrum UPS Helathcare v Ostravě. </w:t>
      </w:r>
    </w:p>
    <w:p>
      <w:pPr>
        <w:tabs>
          <w:tab w:val="left" w:pos="1984"/>
          <w:tab w:val="left" w:pos="3118"/>
          <w:tab w:val="left" w:pos="4252"/>
        </w:tabs>
        <w:spacing w:line="235" w:lineRule="atLeast"/>
        <w:rPr>
          <w:rFonts w:ascii="Tahoma" w:hAnsi="Tahoma" w:eastAsia="Times New Roman" w:cs="Tahoma"/>
          <w:color w:val="auto"/>
          <w:sz w:val="20"/>
          <w:szCs w:val="20"/>
          <w:lang w:val="cs-CZ"/>
        </w:rPr>
      </w:pPr>
    </w:p>
    <w:p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„Nové centrum bude sloužit některým z nejrychleji rostoucích zdravotnických trhů na světě,“ uvedl Wes Wheeler, prezident UPS Healthcare. „Otevřením našeho prvního zařízení v Německu investujeme do našich zákazníků, jejichž nejnovější farmaceutické, biotechnologické a zdravotnické výrobky vyžadují ucelenou nabídku kvalitních specializovaných skladovacích a manipulačních služeb.“</w:t>
      </w:r>
    </w:p>
    <w:p>
      <w:pPr>
        <w:rPr>
          <w:rFonts w:ascii="Tahoma" w:hAnsi="Tahoma" w:cs="Tahoma"/>
          <w:sz w:val="20"/>
          <w:szCs w:val="20"/>
          <w:lang w:val="cs-CZ"/>
        </w:rPr>
      </w:pPr>
    </w:p>
    <w:p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V roce 2021 UPS Healthcare realizovala investice do skladovacích a mrazicích kapacit chladicího řetězce o rozloze více než 36 000 m</w:t>
      </w:r>
      <w:r>
        <w:rPr>
          <w:rFonts w:ascii="Tahoma" w:hAnsi="Tahoma" w:cs="Tahoma"/>
          <w:sz w:val="20"/>
          <w:szCs w:val="20"/>
          <w:vertAlign w:val="superscript"/>
          <w:lang w:val="cs-CZ"/>
        </w:rPr>
        <w:t>2</w:t>
      </w:r>
      <w:r>
        <w:rPr>
          <w:rFonts w:ascii="Tahoma" w:hAnsi="Tahoma" w:cs="Tahoma"/>
          <w:sz w:val="20"/>
          <w:szCs w:val="20"/>
          <w:lang w:val="cs-CZ"/>
        </w:rPr>
        <w:t xml:space="preserve"> po celém světě, včetně nových a modernizovaných logistických center pro zdravotnictví v České republice, Nizozemsku</w:t>
      </w:r>
      <w:r>
        <w:rPr>
          <w:rFonts w:hint="default" w:ascii="Tahoma" w:hAnsi="Tahoma" w:cs="Tahoma"/>
          <w:sz w:val="20"/>
          <w:szCs w:val="20"/>
          <w:lang w:val="en-US"/>
        </w:rPr>
        <w:t xml:space="preserve">, </w:t>
      </w:r>
      <w:r>
        <w:rPr>
          <w:rFonts w:ascii="Tahoma" w:hAnsi="Tahoma" w:cs="Tahoma"/>
          <w:sz w:val="20"/>
          <w:szCs w:val="20"/>
          <w:lang w:val="cs-CZ"/>
        </w:rPr>
        <w:t xml:space="preserve">Polsku a Itálii. Tyto nové logistické areály posílí stávající zdravotnické sklady o ploše milion metrů čtverečních ve 134 strategicky rozmístěných centrech splňujících požadavky osvědčených distribučních i výrobních postupů (GDP/GMP) ve 30 zemích. </w:t>
      </w:r>
    </w:p>
    <w:p>
      <w:pPr>
        <w:rPr>
          <w:rFonts w:ascii="Tahoma" w:hAnsi="Tahoma" w:cs="Tahoma"/>
          <w:sz w:val="20"/>
          <w:szCs w:val="20"/>
          <w:lang w:val="cs-CZ"/>
        </w:rPr>
      </w:pPr>
    </w:p>
    <w:p>
      <w:pPr>
        <w:rPr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Na ploše 24 680 m</w:t>
      </w:r>
      <w:r>
        <w:rPr>
          <w:rFonts w:ascii="Tahoma" w:hAnsi="Tahoma" w:cs="Tahoma"/>
          <w:sz w:val="20"/>
          <w:szCs w:val="20"/>
          <w:vertAlign w:val="superscript"/>
          <w:lang w:val="cs-CZ"/>
        </w:rPr>
        <w:t>2</w:t>
      </w:r>
      <w:r>
        <w:rPr>
          <w:rFonts w:ascii="Tahoma" w:hAnsi="Tahoma" w:cs="Tahoma"/>
          <w:sz w:val="20"/>
          <w:szCs w:val="20"/>
          <w:lang w:val="cs-CZ"/>
        </w:rPr>
        <w:t xml:space="preserve"> s certifikací GMP a GDP bude možné skladovat více než 30 000 palet s nejrůznějšími zdravotnickými výrobky při teplotách od 2</w:t>
      </w:r>
      <w:r>
        <w:rPr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>do 8 °C, od 15 do 25 °C a až do minus 20 °C.</w:t>
      </w:r>
    </w:p>
    <w:p>
      <w:pPr>
        <w:rPr>
          <w:rFonts w:ascii="Tahoma" w:hAnsi="Tahoma" w:cs="Tahoma"/>
          <w:sz w:val="20"/>
          <w:szCs w:val="20"/>
          <w:lang w:val="cs-CZ"/>
        </w:rPr>
      </w:pPr>
    </w:p>
    <w:p>
      <w:pPr>
        <w:rPr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Nové centrum se nachází na strategickém místě v srdci střední Evropy. Nabízí přístup k rychle rostoucím západoevropským i východoevropským trhům se zdravotnickou péčí a podporuje výrobce léčiv, zdravotnických prostředků a biologických léčiv, kteří pro své výrobky ve stále větší míře poptávají logistiku s režimem zajišťujícím včasnost přepravy a kontrolu teploty. Celosvětový trh s biologickými léčebnými přípravky má do roku 2025 vzrůst na 421,8 mld. dolarů z 285,5 mld. dolarů v roce 2020.    </w:t>
      </w:r>
    </w:p>
    <w:p>
      <w:pPr>
        <w:rPr>
          <w:rFonts w:ascii="Tahoma" w:hAnsi="Tahoma" w:cs="Tahoma"/>
          <w:sz w:val="20"/>
          <w:szCs w:val="20"/>
          <w:lang w:val="cs-CZ"/>
        </w:rPr>
      </w:pPr>
    </w:p>
    <w:p>
      <w:pPr>
        <w:rPr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Blízkost evropského leteckého hubu UPS na letišti v Kolíně nad Rýnem/Bonnu a evropského hubu UPS Healthcare pro zdravotnické zásilky v nizozemském Roermondu zajistí zákazníkům kratší vnitrostátní a globální tranzitní časy, umožňuje prodloužení výrobních časů a garantuje doručení do 80 procent Evropy do druhého dne a 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cs-CZ"/>
        </w:rPr>
        <w:t xml:space="preserve">přístup k velkým přístavům včetně Rotterdamu, Antverp a Amsterdamu. Specializovaný logistický areál bude rovněž zajišťovat zásobování nemocnic a lékáren v celém Německu.  </w:t>
      </w:r>
    </w:p>
    <w:p>
      <w:pPr>
        <w:tabs>
          <w:tab w:val="left" w:pos="1984"/>
          <w:tab w:val="left" w:pos="3118"/>
          <w:tab w:val="left" w:pos="4252"/>
        </w:tabs>
        <w:spacing w:line="235" w:lineRule="atLeast"/>
        <w:rPr>
          <w:rFonts w:ascii="Tahoma" w:hAnsi="Tahoma" w:eastAsia="Times New Roman" w:cs="Tahoma"/>
          <w:color w:val="4472C4" w:themeColor="accent5"/>
          <w:sz w:val="20"/>
          <w:szCs w:val="20"/>
          <w:lang w:val="cs-CZ"/>
          <w14:textFill>
            <w14:solidFill>
              <w14:schemeClr w14:val="accent5"/>
            </w14:solidFill>
          </w14:textFill>
        </w:rPr>
      </w:pPr>
    </w:p>
    <w:p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Nové centrum zaměřené na logistiku zdravotnictví je součástí pokračujících investic společnosti UPS Healthcare v Německu, kde firma nedávno zavedla službu UPS Premier. Ta umožňuje přednostní přepravu a sledování kritických zdravotnických zásilek s přesností 3 metry kdekoli v globální síti UPS.</w:t>
      </w:r>
    </w:p>
    <w:p>
      <w:pPr>
        <w:tabs>
          <w:tab w:val="left" w:pos="1984"/>
          <w:tab w:val="left" w:pos="3118"/>
          <w:tab w:val="left" w:pos="4252"/>
        </w:tabs>
        <w:spacing w:line="235" w:lineRule="atLeast"/>
      </w:pPr>
      <w:r>
        <w:rPr>
          <w:rFonts w:ascii="Tahoma" w:hAnsi="Tahoma" w:eastAsia="Times New Roman" w:cs="Tahoma"/>
          <w:color w:val="4472C4" w:themeColor="accent5"/>
          <w:sz w:val="20"/>
          <w:szCs w:val="20"/>
          <w:lang w:val="cs-CZ"/>
          <w14:textFill>
            <w14:solidFill>
              <w14:schemeClr w14:val="accent5"/>
            </w14:solidFill>
          </w14:textFill>
        </w:rPr>
        <w:br w:type="textWrapping"/>
      </w:r>
    </w:p>
    <w:p>
      <w:pPr>
        <w:tabs>
          <w:tab w:val="left" w:pos="1984"/>
          <w:tab w:val="left" w:pos="3118"/>
          <w:tab w:val="left" w:pos="4252"/>
        </w:tabs>
      </w:pPr>
    </w:p>
    <w:sectPr>
      <w:pgSz w:w="12240" w:h="15840"/>
      <w:pgMar w:top="1440" w:right="1440" w:bottom="1440" w:left="1440" w:header="0" w:footer="0" w:gutter="0"/>
      <w:cols w:space="708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Liberation Sans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 Regular">
    <w:altName w:val="Noto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6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73"/>
    <w:rsid w:val="000B609F"/>
    <w:rsid w:val="004D5423"/>
    <w:rsid w:val="00911754"/>
    <w:rsid w:val="00BA73BC"/>
    <w:rsid w:val="00D002B2"/>
    <w:rsid w:val="00D3378F"/>
    <w:rsid w:val="00D35E08"/>
    <w:rsid w:val="00E40674"/>
    <w:rsid w:val="00FD0773"/>
    <w:rsid w:val="05637AA0"/>
    <w:rsid w:val="31C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Calibri" w:asciiTheme="minorHAnsi" w:hAnsiTheme="minorHAnsi" w:eastAsiaTheme="minorHAns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character" w:styleId="7">
    <w:name w:val="annotation reference"/>
    <w:basedOn w:val="2"/>
    <w:semiHidden/>
    <w:unhideWhenUsed/>
    <w:qFormat/>
    <w:uiPriority w:val="99"/>
    <w:rPr>
      <w:rFonts w:ascii="Verdana" w:hAnsi="Verdana"/>
      <w:color w:val="0000FF"/>
      <w:sz w:val="16"/>
      <w:szCs w:val="16"/>
      <w:u w:val="none"/>
    </w:rPr>
  </w:style>
  <w:style w:type="paragraph" w:styleId="8">
    <w:name w:val="annotation text"/>
    <w:basedOn w:val="1"/>
    <w:link w:val="18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19"/>
    <w:semiHidden/>
    <w:unhideWhenUsed/>
    <w:qFormat/>
    <w:uiPriority w:val="99"/>
    <w:rPr>
      <w:b/>
      <w:bCs/>
    </w:rPr>
  </w:style>
  <w:style w:type="character" w:styleId="10">
    <w:name w:val="FollowedHyperlink"/>
    <w:basedOn w:val="2"/>
    <w:semiHidden/>
    <w:unhideWhenUsed/>
    <w:qFormat/>
    <w:uiPriority w:val="99"/>
    <w:rPr>
      <w:rFonts w:ascii="Verdana" w:hAnsi="Verdana"/>
      <w:color w:val="800080"/>
      <w:u w:val="single"/>
    </w:rPr>
  </w:style>
  <w:style w:type="paragraph" w:styleId="11">
    <w:name w:val="footnote text"/>
    <w:basedOn w:val="1"/>
    <w:link w:val="14"/>
    <w:semiHidden/>
    <w:unhideWhenUsed/>
    <w:qFormat/>
    <w:uiPriority w:val="99"/>
    <w:rPr>
      <w:sz w:val="20"/>
      <w:szCs w:val="20"/>
    </w:rPr>
  </w:style>
  <w:style w:type="paragraph" w:styleId="12">
    <w:name w:val="List"/>
    <w:basedOn w:val="5"/>
    <w:qFormat/>
    <w:uiPriority w:val="0"/>
    <w:rPr>
      <w:rFonts w:ascii="Liberation Serif;Times New Roma" w:hAnsi="Liberation Serif;Times New Roma" w:cs="FreeSans"/>
    </w:rPr>
  </w:style>
  <w:style w:type="paragraph" w:styleId="13">
    <w:name w:val="Normal (Web)"/>
    <w:basedOn w:val="1"/>
    <w:semiHidden/>
    <w:unhideWhenUsed/>
    <w:qFormat/>
    <w:uiPriority w:val="99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Text pozn. pod čarou Char"/>
    <w:basedOn w:val="2"/>
    <w:link w:val="11"/>
    <w:semiHidden/>
    <w:qFormat/>
    <w:uiPriority w:val="99"/>
    <w:rPr>
      <w:rFonts w:ascii="Calibri" w:hAnsi="Calibri" w:cs="Calibri"/>
      <w:color w:val="0000FF"/>
      <w:sz w:val="20"/>
      <w:szCs w:val="20"/>
      <w:u w:val="none"/>
    </w:rPr>
  </w:style>
  <w:style w:type="character" w:customStyle="1" w:styleId="15">
    <w:name w:val="Ukotvení poznámky pod čarou"/>
    <w:qFormat/>
    <w:uiPriority w:val="0"/>
    <w:rPr>
      <w:rFonts w:ascii="Verdana" w:hAnsi="Verdana"/>
      <w:color w:val="0000FF"/>
      <w:u w:val="none"/>
      <w:vertAlign w:val="superscript"/>
    </w:rPr>
  </w:style>
  <w:style w:type="character" w:customStyle="1" w:styleId="16">
    <w:name w:val="Footnote Characters"/>
    <w:basedOn w:val="2"/>
    <w:semiHidden/>
    <w:unhideWhenUsed/>
    <w:qFormat/>
    <w:uiPriority w:val="99"/>
    <w:rPr>
      <w:rFonts w:ascii="Verdana" w:hAnsi="Verdana"/>
      <w:color w:val="0000FF"/>
      <w:u w:val="none"/>
      <w:vertAlign w:val="superscript"/>
    </w:rPr>
  </w:style>
  <w:style w:type="character" w:customStyle="1" w:styleId="17">
    <w:name w:val="Internetový odkaz"/>
    <w:basedOn w:val="2"/>
    <w:semiHidden/>
    <w:unhideWhenUsed/>
    <w:qFormat/>
    <w:uiPriority w:val="99"/>
    <w:rPr>
      <w:color w:val="0563C1"/>
      <w:u w:val="single"/>
    </w:rPr>
  </w:style>
  <w:style w:type="character" w:customStyle="1" w:styleId="18">
    <w:name w:val="Text komentáře Char"/>
    <w:basedOn w:val="2"/>
    <w:link w:val="8"/>
    <w:semiHidden/>
    <w:qFormat/>
    <w:uiPriority w:val="99"/>
    <w:rPr>
      <w:rFonts w:ascii="Calibri" w:hAnsi="Calibri" w:cs="Calibri"/>
      <w:color w:val="0000FF"/>
      <w:sz w:val="20"/>
      <w:szCs w:val="20"/>
      <w:u w:val="none"/>
    </w:rPr>
  </w:style>
  <w:style w:type="character" w:customStyle="1" w:styleId="19">
    <w:name w:val="Předmět komentáře Char"/>
    <w:basedOn w:val="18"/>
    <w:link w:val="9"/>
    <w:semiHidden/>
    <w:qFormat/>
    <w:uiPriority w:val="99"/>
    <w:rPr>
      <w:rFonts w:ascii="Calibri" w:hAnsi="Calibri" w:cs="Calibri"/>
      <w:b/>
      <w:bCs/>
      <w:color w:val="0000FF"/>
      <w:sz w:val="20"/>
      <w:szCs w:val="20"/>
      <w:u w:val="none"/>
    </w:rPr>
  </w:style>
  <w:style w:type="character" w:customStyle="1" w:styleId="20">
    <w:name w:val="Text bubliny Char"/>
    <w:basedOn w:val="2"/>
    <w:link w:val="4"/>
    <w:semiHidden/>
    <w:qFormat/>
    <w:uiPriority w:val="99"/>
    <w:rPr>
      <w:rFonts w:ascii="Segoe UI" w:hAnsi="Segoe UI" w:cs="Segoe UI"/>
      <w:color w:val="0000FF"/>
      <w:sz w:val="18"/>
      <w:szCs w:val="18"/>
      <w:u w:val="none"/>
    </w:rPr>
  </w:style>
  <w:style w:type="character" w:customStyle="1" w:styleId="21">
    <w:name w:val="Odstavec se seznamem Char"/>
    <w:basedOn w:val="2"/>
    <w:link w:val="22"/>
    <w:qFormat/>
    <w:locked/>
    <w:uiPriority w:val="34"/>
    <w:rPr>
      <w:rFonts w:ascii="Calibri" w:hAnsi="Calibri" w:cs="Calibri"/>
      <w:color w:val="0000FF"/>
      <w:u w:val="none"/>
    </w:rPr>
  </w:style>
  <w:style w:type="paragraph" w:styleId="22">
    <w:name w:val="List Paragraph"/>
    <w:basedOn w:val="1"/>
    <w:link w:val="21"/>
    <w:qFormat/>
    <w:uiPriority w:val="34"/>
    <w:pPr>
      <w:ind w:left="720"/>
      <w:contextualSpacing/>
    </w:pPr>
  </w:style>
  <w:style w:type="character" w:customStyle="1" w:styleId="23">
    <w:name w:val="Subtle Reference"/>
    <w:basedOn w:val="2"/>
    <w:qFormat/>
    <w:uiPriority w:val="31"/>
    <w:rPr>
      <w:rFonts w:ascii="Verdana" w:hAnsi="Verdana"/>
      <w:smallCaps/>
      <w:color w:val="0000FF"/>
      <w:u w:val="single"/>
      <w:lang w:val="cs-CZ"/>
    </w:rPr>
  </w:style>
  <w:style w:type="character" w:customStyle="1" w:styleId="24">
    <w:name w:val="ListLabel 1"/>
    <w:qFormat/>
    <w:uiPriority w:val="0"/>
    <w:rPr>
      <w:rFonts w:cs="Courier New"/>
    </w:rPr>
  </w:style>
  <w:style w:type="character" w:customStyle="1" w:styleId="25">
    <w:name w:val="ListLabel 2"/>
    <w:qFormat/>
    <w:uiPriority w:val="0"/>
    <w:rPr>
      <w:rFonts w:cs="Courier New"/>
    </w:rPr>
  </w:style>
  <w:style w:type="character" w:customStyle="1" w:styleId="26">
    <w:name w:val="ListLabel 3"/>
    <w:qFormat/>
    <w:uiPriority w:val="0"/>
    <w:rPr>
      <w:rFonts w:cs="Courier New"/>
    </w:rPr>
  </w:style>
  <w:style w:type="character" w:customStyle="1" w:styleId="27">
    <w:name w:val="ListLabel 4"/>
    <w:qFormat/>
    <w:uiPriority w:val="0"/>
    <w:rPr>
      <w:rFonts w:cs="Courier New"/>
    </w:rPr>
  </w:style>
  <w:style w:type="character" w:customStyle="1" w:styleId="28">
    <w:name w:val="ListLabel 5"/>
    <w:qFormat/>
    <w:uiPriority w:val="0"/>
    <w:rPr>
      <w:rFonts w:cs="Courier New"/>
    </w:rPr>
  </w:style>
  <w:style w:type="character" w:customStyle="1" w:styleId="29">
    <w:name w:val="ListLabel 6"/>
    <w:qFormat/>
    <w:uiPriority w:val="0"/>
    <w:rPr>
      <w:rFonts w:cs="Courier New"/>
    </w:rPr>
  </w:style>
  <w:style w:type="character" w:customStyle="1" w:styleId="30">
    <w:name w:val="ListLabel 7"/>
    <w:qFormat/>
    <w:uiPriority w:val="0"/>
    <w:rPr>
      <w:rFonts w:ascii="Arial" w:hAnsi="Arial" w:cs="Arial"/>
      <w:sz w:val="20"/>
      <w:szCs w:val="20"/>
      <w:lang w:val="cs-CZ"/>
    </w:rPr>
  </w:style>
  <w:style w:type="paragraph" w:customStyle="1" w:styleId="31">
    <w:name w:val="Nadpis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customStyle="1" w:styleId="32">
    <w:name w:val="Rejstřík"/>
    <w:basedOn w:val="1"/>
    <w:qFormat/>
    <w:uiPriority w:val="0"/>
    <w:pPr>
      <w:suppressLineNumbers/>
    </w:pPr>
    <w:rPr>
      <w:rFonts w:ascii="Liberation Serif;Times New Roma" w:hAnsi="Liberation Serif;Times New Roma" w:cs="FreeSans"/>
    </w:rPr>
  </w:style>
  <w:style w:type="paragraph" w:customStyle="1" w:styleId="33">
    <w:name w:val="gmail-msocommenttext"/>
    <w:basedOn w:val="1"/>
    <w:qFormat/>
    <w:uiPriority w:val="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72358-1FCE-4B7F-A88A-5BA7A304A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UPS Inc.</Company>
  <Pages>1</Pages>
  <Words>460</Words>
  <Characters>2720</Characters>
  <Lines>22</Lines>
  <Paragraphs>6</Paragraphs>
  <TotalTime>8</TotalTime>
  <ScaleCrop>false</ScaleCrop>
  <LinksUpToDate>false</LinksUpToDate>
  <CharactersWithSpaces>3174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2022-02-07T13:31:00Z</dcterms:created>
  <dc:creator>Saul Markcoons</dc:creator>
  <cp:lastModifiedBy>karla.krejci</cp:lastModifiedBy>
  <dcterms:modified xsi:type="dcterms:W3CDTF">2022-02-09T09:28:04Z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UPS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1033-11.2.0.10463</vt:lpwstr>
  </property>
  <property fmtid="{D5CDD505-2E9C-101B-9397-08002B2CF9AE}" pid="10" name="ICV">
    <vt:lpwstr>060409EB54AC48EDAA1468F69487AFAA</vt:lpwstr>
  </property>
</Properties>
</file>