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2D" w:rsidRDefault="00C41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572135" cy="68643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168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62D" w:rsidRDefault="00C414C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Kontakty:</w:t>
      </w:r>
      <w:r>
        <w:rPr>
          <w:rFonts w:ascii="Arial" w:hAnsi="Arial" w:cs="Arial"/>
          <w:sz w:val="16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Steve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Gaut</w:t>
      </w:r>
      <w:proofErr w:type="spellEnd"/>
      <w:r>
        <w:rPr>
          <w:rFonts w:ascii="Arial" w:hAnsi="Arial" w:cs="Arial"/>
          <w:sz w:val="20"/>
          <w:szCs w:val="20"/>
          <w:lang w:val="cs-CZ"/>
        </w:rPr>
        <w:t>, Public Relations</w:t>
      </w:r>
    </w:p>
    <w:p w:rsidR="0007362D" w:rsidRDefault="00C414C9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+1 404-828-8787</w:t>
      </w:r>
    </w:p>
    <w:p w:rsidR="0007362D" w:rsidRDefault="0007362D" w:rsidP="00E808ED">
      <w:pPr>
        <w:pStyle w:val="Heading4"/>
        <w:keepNext w:val="0"/>
        <w:spacing w:before="0" w:after="0"/>
        <w:ind w:left="720" w:firstLine="720"/>
        <w:rPr>
          <w:rFonts w:ascii="Arial" w:hAnsi="Arial" w:cs="Arial"/>
          <w:b w:val="0"/>
          <w:sz w:val="16"/>
          <w:szCs w:val="16"/>
        </w:rPr>
      </w:pPr>
    </w:p>
    <w:p w:rsidR="0007362D" w:rsidRDefault="00C414C9" w:rsidP="00E808ED">
      <w:pPr>
        <w:pStyle w:val="Heading4"/>
        <w:keepNext w:val="0"/>
        <w:spacing w:before="0" w:after="0"/>
        <w:ind w:left="720" w:firstLine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Scott Childress, Investor Relations</w:t>
      </w:r>
    </w:p>
    <w:p w:rsidR="0007362D" w:rsidRDefault="00C414C9" w:rsidP="00E808ED">
      <w:pPr>
        <w:pStyle w:val="msonospacing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+1 404-828-7957</w:t>
      </w:r>
    </w:p>
    <w:p w:rsidR="0007362D" w:rsidRDefault="0007362D">
      <w:pPr>
        <w:rPr>
          <w:rFonts w:ascii="Arial" w:hAnsi="Arial" w:cs="Arial"/>
          <w:sz w:val="20"/>
          <w:szCs w:val="20"/>
        </w:rPr>
      </w:pPr>
    </w:p>
    <w:p w:rsidR="0007362D" w:rsidRDefault="00C414C9">
      <w:pPr>
        <w:pStyle w:val="msonospacing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Karla </w:t>
      </w:r>
      <w:proofErr w:type="spellStart"/>
      <w:r>
        <w:rPr>
          <w:rFonts w:ascii="Arial" w:hAnsi="Arial" w:cs="Arial"/>
          <w:sz w:val="20"/>
          <w:szCs w:val="20"/>
        </w:rPr>
        <w:t>Krejčí</w:t>
      </w:r>
      <w:proofErr w:type="spellEnd"/>
      <w:r>
        <w:rPr>
          <w:rFonts w:ascii="Arial" w:hAnsi="Arial" w:cs="Arial"/>
          <w:sz w:val="20"/>
          <w:szCs w:val="20"/>
        </w:rPr>
        <w:t>, Donath Business &amp; Media</w:t>
      </w:r>
    </w:p>
    <w:p w:rsidR="0007362D" w:rsidRDefault="00C414C9" w:rsidP="00E808ED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07362D" w:rsidRDefault="00C54883">
      <w:pPr>
        <w:ind w:left="589" w:firstLine="851"/>
      </w:pPr>
      <w:hyperlink r:id="rId9">
        <w:r w:rsidR="00C414C9"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</w:p>
    <w:p w:rsidR="0007362D" w:rsidRPr="00A822B1" w:rsidRDefault="0007362D">
      <w:pPr>
        <w:rPr>
          <w:rFonts w:ascii="Arial" w:hAnsi="Arial" w:cs="Arial"/>
          <w:szCs w:val="20"/>
        </w:rPr>
      </w:pPr>
    </w:p>
    <w:p w:rsidR="0007362D" w:rsidRPr="00A822B1" w:rsidRDefault="0007362D">
      <w:pPr>
        <w:rPr>
          <w:rFonts w:ascii="Arial" w:hAnsi="Arial" w:cs="Arial"/>
          <w:sz w:val="20"/>
          <w:szCs w:val="20"/>
        </w:rPr>
      </w:pPr>
    </w:p>
    <w:p w:rsidR="0007362D" w:rsidRPr="00A822B1" w:rsidRDefault="0007362D">
      <w:pPr>
        <w:rPr>
          <w:rFonts w:ascii="Arial" w:hAnsi="Arial" w:cs="Arial"/>
          <w:sz w:val="18"/>
          <w:szCs w:val="22"/>
        </w:rPr>
      </w:pPr>
    </w:p>
    <w:p w:rsidR="0007362D" w:rsidRPr="00A822B1" w:rsidRDefault="00C414C9">
      <w:pPr>
        <w:ind w:left="180"/>
        <w:jc w:val="center"/>
      </w:pPr>
      <w:r w:rsidRPr="00A822B1">
        <w:rPr>
          <w:rFonts w:ascii="Arial" w:hAnsi="Arial"/>
          <w:b/>
          <w:sz w:val="28"/>
          <w:lang w:val="cs-CZ" w:bidi="hi-IN"/>
        </w:rPr>
        <w:t>UPS ZAZNAMENALA V PRVNÍM ČTVRTLETÍ NÁRŮST PŘÍJM</w:t>
      </w:r>
      <w:r w:rsidR="00BB6B67">
        <w:rPr>
          <w:rFonts w:ascii="Arial" w:hAnsi="Arial"/>
          <w:b/>
          <w:sz w:val="28"/>
          <w:lang w:val="cs-CZ" w:bidi="hi-IN"/>
        </w:rPr>
        <w:t>Ů</w:t>
      </w:r>
      <w:r w:rsidRPr="00A822B1">
        <w:rPr>
          <w:rFonts w:ascii="Arial" w:hAnsi="Arial"/>
          <w:b/>
          <w:sz w:val="28"/>
          <w:lang w:val="cs-CZ" w:bidi="hi-IN"/>
        </w:rPr>
        <w:t xml:space="preserve"> VE VÝŠI 6,2 % A ZVÝŠILA ZISK NA AKCII NA 1,32 USD </w:t>
      </w:r>
    </w:p>
    <w:p w:rsidR="0007362D" w:rsidRPr="00A822B1" w:rsidRDefault="0007362D">
      <w:pPr>
        <w:ind w:left="180"/>
        <w:jc w:val="center"/>
        <w:rPr>
          <w:rFonts w:ascii="Arial" w:hAnsi="Arial"/>
          <w:b/>
          <w:sz w:val="28"/>
          <w:lang w:val="cs-CZ"/>
        </w:rPr>
      </w:pPr>
    </w:p>
    <w:p w:rsidR="00670F3E" w:rsidRDefault="00670F3E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Díky trvající poptávce v e-</w:t>
      </w:r>
      <w:proofErr w:type="spellStart"/>
      <w:r>
        <w:rPr>
          <w:rFonts w:ascii="Arial" w:hAnsi="Arial" w:cs="Arial"/>
          <w:b/>
          <w:i/>
          <w:lang w:val="cs-CZ"/>
        </w:rPr>
        <w:t>commerce</w:t>
      </w:r>
      <w:proofErr w:type="spellEnd"/>
      <w:r>
        <w:rPr>
          <w:rFonts w:ascii="Arial" w:hAnsi="Arial" w:cs="Arial"/>
          <w:b/>
          <w:i/>
          <w:lang w:val="cs-CZ"/>
        </w:rPr>
        <w:t xml:space="preserve"> došlo k nárůstu zisku na 1 balík, což vedlo k růstu příjmů na domácím trhu ve Spojených státech o 5 %</w:t>
      </w:r>
    </w:p>
    <w:p w:rsidR="0007362D" w:rsidRPr="00A822B1" w:rsidRDefault="00C15094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P</w:t>
      </w:r>
      <w:r w:rsidR="00C414C9" w:rsidRPr="00A822B1">
        <w:rPr>
          <w:rFonts w:ascii="Arial" w:hAnsi="Arial" w:cs="Arial"/>
          <w:b/>
          <w:i/>
          <w:lang w:val="cs-CZ"/>
        </w:rPr>
        <w:t>rovozní zisk</w:t>
      </w:r>
      <w:r w:rsidR="00670F3E">
        <w:rPr>
          <w:rFonts w:ascii="Arial" w:hAnsi="Arial" w:cs="Arial"/>
          <w:b/>
          <w:i/>
          <w:lang w:val="cs-CZ"/>
        </w:rPr>
        <w:t xml:space="preserve"> z mezinárodní přepravy</w:t>
      </w:r>
      <w:r>
        <w:rPr>
          <w:rFonts w:ascii="Arial" w:hAnsi="Arial" w:cs="Arial"/>
          <w:b/>
          <w:i/>
          <w:lang w:val="cs-CZ"/>
        </w:rPr>
        <w:t xml:space="preserve"> činil</w:t>
      </w:r>
      <w:r w:rsidR="00C414C9" w:rsidRPr="00A822B1">
        <w:rPr>
          <w:rFonts w:ascii="Arial" w:hAnsi="Arial" w:cs="Arial"/>
          <w:b/>
          <w:i/>
          <w:lang w:val="cs-CZ"/>
        </w:rPr>
        <w:t xml:space="preserve"> 529 mil. USD, respektive 648 mil. USD na měnově neutrální bázi </w:t>
      </w:r>
    </w:p>
    <w:p w:rsidR="0007362D" w:rsidRPr="00A822B1" w:rsidRDefault="00C414C9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A822B1">
        <w:rPr>
          <w:rFonts w:ascii="Arial" w:hAnsi="Arial" w:cs="Arial"/>
          <w:b/>
          <w:i/>
          <w:lang w:val="cs-CZ"/>
        </w:rPr>
        <w:t xml:space="preserve">Divize dodavatelských řetězců a </w:t>
      </w:r>
      <w:r w:rsidR="00EE5570">
        <w:rPr>
          <w:rFonts w:ascii="Arial" w:hAnsi="Arial" w:cs="Arial"/>
          <w:b/>
          <w:i/>
          <w:lang w:val="cs-CZ"/>
        </w:rPr>
        <w:t>nákladní přepravy</w:t>
      </w:r>
      <w:r w:rsidRPr="00A822B1">
        <w:rPr>
          <w:rFonts w:ascii="Arial" w:hAnsi="Arial" w:cs="Arial"/>
          <w:b/>
          <w:i/>
          <w:lang w:val="cs-CZ"/>
        </w:rPr>
        <w:t xml:space="preserve"> nabír</w:t>
      </w:r>
      <w:r w:rsidR="00670F3E">
        <w:rPr>
          <w:rFonts w:ascii="Arial" w:hAnsi="Arial" w:cs="Arial"/>
          <w:b/>
          <w:i/>
          <w:lang w:val="cs-CZ"/>
        </w:rPr>
        <w:t>ají</w:t>
      </w:r>
      <w:r w:rsidRPr="00A822B1">
        <w:rPr>
          <w:rFonts w:ascii="Arial" w:hAnsi="Arial" w:cs="Arial"/>
          <w:b/>
          <w:i/>
          <w:lang w:val="cs-CZ"/>
        </w:rPr>
        <w:t xml:space="preserve"> na síle, provozní </w:t>
      </w:r>
      <w:r w:rsidRPr="00783E77">
        <w:rPr>
          <w:rFonts w:ascii="Arial" w:hAnsi="Arial" w:cs="Arial"/>
          <w:b/>
          <w:i/>
          <w:lang w:val="cs-CZ"/>
        </w:rPr>
        <w:t xml:space="preserve">zisk </w:t>
      </w:r>
      <w:r w:rsidR="001B4496" w:rsidRPr="00783E77">
        <w:rPr>
          <w:rFonts w:ascii="Arial" w:hAnsi="Arial" w:cs="Arial"/>
          <w:b/>
          <w:i/>
          <w:lang w:val="cs-CZ"/>
        </w:rPr>
        <w:t xml:space="preserve">skokově </w:t>
      </w:r>
      <w:r w:rsidR="00C15094" w:rsidRPr="00783E77">
        <w:rPr>
          <w:rFonts w:ascii="Arial" w:hAnsi="Arial" w:cs="Arial"/>
          <w:b/>
          <w:i/>
          <w:lang w:val="cs-CZ"/>
        </w:rPr>
        <w:t xml:space="preserve">vzrostl </w:t>
      </w:r>
      <w:r w:rsidRPr="00783E77">
        <w:rPr>
          <w:rFonts w:ascii="Arial" w:hAnsi="Arial" w:cs="Arial"/>
          <w:b/>
          <w:i/>
          <w:lang w:val="cs-CZ"/>
        </w:rPr>
        <w:t>o 22 % při 13% nárůstu</w:t>
      </w:r>
      <w:r w:rsidRPr="00A822B1">
        <w:rPr>
          <w:rFonts w:ascii="Arial" w:hAnsi="Arial" w:cs="Arial"/>
          <w:b/>
          <w:i/>
          <w:lang w:val="cs-CZ"/>
        </w:rPr>
        <w:t xml:space="preserve"> příjm</w:t>
      </w:r>
      <w:r w:rsidR="003B4F5F">
        <w:rPr>
          <w:rFonts w:ascii="Arial" w:hAnsi="Arial" w:cs="Arial"/>
          <w:b/>
          <w:i/>
          <w:lang w:val="cs-CZ"/>
        </w:rPr>
        <w:t>ů</w:t>
      </w:r>
    </w:p>
    <w:p w:rsidR="0007362D" w:rsidRPr="00A822B1" w:rsidRDefault="00C414C9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A822B1">
        <w:rPr>
          <w:rFonts w:ascii="Arial" w:hAnsi="Arial" w:cs="Arial"/>
          <w:b/>
          <w:i/>
          <w:lang w:val="cs-CZ"/>
        </w:rPr>
        <w:t>Růst provozního zisku byl utlumen zpožděním úprav palivových příplatků</w:t>
      </w:r>
    </w:p>
    <w:p w:rsidR="0007362D" w:rsidRPr="00A822B1" w:rsidRDefault="00C414C9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A822B1">
        <w:rPr>
          <w:rFonts w:ascii="Arial" w:hAnsi="Arial" w:cs="Arial"/>
          <w:b/>
          <w:i/>
          <w:lang w:val="cs-CZ"/>
        </w:rPr>
        <w:t>Výsledky potvrzují výhled</w:t>
      </w:r>
      <w:r w:rsidR="003B4F5F">
        <w:rPr>
          <w:rFonts w:ascii="Arial" w:hAnsi="Arial" w:cs="Arial"/>
          <w:b/>
          <w:i/>
          <w:lang w:val="cs-CZ"/>
        </w:rPr>
        <w:t xml:space="preserve"> </w:t>
      </w:r>
      <w:r w:rsidR="003B4F5F" w:rsidRPr="00A822B1">
        <w:rPr>
          <w:rFonts w:ascii="Arial" w:hAnsi="Arial" w:cs="Arial"/>
          <w:b/>
          <w:i/>
          <w:lang w:val="cs-CZ"/>
        </w:rPr>
        <w:t>upraven</w:t>
      </w:r>
      <w:r w:rsidR="003B4F5F">
        <w:rPr>
          <w:rFonts w:ascii="Arial" w:hAnsi="Arial" w:cs="Arial"/>
          <w:b/>
          <w:i/>
          <w:lang w:val="cs-CZ"/>
        </w:rPr>
        <w:t>ého</w:t>
      </w:r>
      <w:r w:rsidRPr="00A822B1">
        <w:rPr>
          <w:rFonts w:ascii="Arial" w:hAnsi="Arial" w:cs="Arial"/>
          <w:b/>
          <w:i/>
          <w:lang w:val="cs-CZ"/>
        </w:rPr>
        <w:t xml:space="preserve"> celoročního zisku na akcii (EPS) pro rok 2017</w:t>
      </w:r>
    </w:p>
    <w:p w:rsidR="0007362D" w:rsidRPr="00A822B1" w:rsidRDefault="0007362D">
      <w:pPr>
        <w:rPr>
          <w:rFonts w:ascii="Arial" w:hAnsi="Arial" w:cs="Arial"/>
          <w:b/>
          <w:szCs w:val="20"/>
        </w:rPr>
      </w:pPr>
    </w:p>
    <w:p w:rsidR="0007362D" w:rsidRPr="00A822B1" w:rsidRDefault="00C414C9">
      <w:p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b/>
          <w:sz w:val="22"/>
          <w:szCs w:val="22"/>
          <w:lang w:val="cs-CZ" w:bidi="hi-IN"/>
        </w:rPr>
        <w:t xml:space="preserve">ATLANTA, 27. dubna 2017 – </w:t>
      </w:r>
      <w:r w:rsidRPr="00A822B1">
        <w:rPr>
          <w:rFonts w:ascii="Arial" w:hAnsi="Arial" w:cs="Arial"/>
          <w:sz w:val="22"/>
          <w:szCs w:val="22"/>
          <w:lang w:val="cs-CZ" w:bidi="hi-IN"/>
        </w:rPr>
        <w:t>Společnost UPS (</w:t>
      </w:r>
      <w:proofErr w:type="gramStart"/>
      <w:r w:rsidRPr="00A822B1">
        <w:rPr>
          <w:rFonts w:ascii="Arial" w:hAnsi="Arial" w:cs="Arial"/>
          <w:sz w:val="22"/>
          <w:szCs w:val="22"/>
          <w:lang w:val="cs-CZ" w:bidi="hi-IN"/>
        </w:rPr>
        <w:t>NYSE:UPS</w:t>
      </w:r>
      <w:proofErr w:type="gramEnd"/>
      <w:r w:rsidRPr="00A822B1">
        <w:rPr>
          <w:rFonts w:ascii="Arial" w:hAnsi="Arial" w:cs="Arial"/>
          <w:sz w:val="22"/>
          <w:szCs w:val="22"/>
          <w:lang w:val="cs-CZ" w:bidi="hi-IN"/>
        </w:rPr>
        <w:t>) dnes zveřejnila provozní výsledky za první kvartál roku 2017 se zdravým nárůstem příjmů ve všech segmentech. Firma zvýšila zisk na akcii oproti stejnému období loňského roku o 3,9 %. Zvýšení příjmů na akcii je důsledkem 22% nárůstu provozního zisku dodavatelských řetězců a nákladní přepravy, dobré výkonnosti divize mezinárodní přepravy a solidních výsledků na domácím trhu v USA, jakož i příznivého daňového dopadu nového standardu účtování akciových kompenzací (ASU 2016-9).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8208" w:type="dxa"/>
        <w:jc w:val="center"/>
        <w:tblLook w:val="00A0" w:firstRow="1" w:lastRow="0" w:firstColumn="1" w:lastColumn="0" w:noHBand="0" w:noVBand="0"/>
      </w:tblPr>
      <w:tblGrid>
        <w:gridCol w:w="4244"/>
        <w:gridCol w:w="1804"/>
        <w:gridCol w:w="2160"/>
      </w:tblGrid>
      <w:tr w:rsidR="00A822B1" w:rsidRPr="00A822B1">
        <w:trPr>
          <w:jc w:val="center"/>
        </w:trPr>
        <w:tc>
          <w:tcPr>
            <w:tcW w:w="424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Konsolidované výsledky</w:t>
            </w:r>
          </w:p>
        </w:tc>
        <w:tc>
          <w:tcPr>
            <w:tcW w:w="180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2016</w:t>
            </w:r>
          </w:p>
        </w:tc>
      </w:tr>
      <w:tr w:rsidR="00A822B1" w:rsidRPr="00A822B1">
        <w:trPr>
          <w:jc w:val="center"/>
        </w:trPr>
        <w:tc>
          <w:tcPr>
            <w:tcW w:w="424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0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15 315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14 418 mil. USD</w:t>
            </w:r>
          </w:p>
        </w:tc>
      </w:tr>
      <w:tr w:rsidR="00A822B1" w:rsidRPr="00A822B1">
        <w:trPr>
          <w:jc w:val="center"/>
        </w:trPr>
        <w:tc>
          <w:tcPr>
            <w:tcW w:w="424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0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1 784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1 823 mil. USD</w:t>
            </w:r>
          </w:p>
        </w:tc>
      </w:tr>
      <w:tr w:rsidR="00A822B1" w:rsidRPr="00A822B1">
        <w:trPr>
          <w:jc w:val="center"/>
        </w:trPr>
        <w:tc>
          <w:tcPr>
            <w:tcW w:w="424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 na měnově neutrální bázi*</w:t>
            </w:r>
          </w:p>
        </w:tc>
        <w:tc>
          <w:tcPr>
            <w:tcW w:w="180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1 904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07362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822B1" w:rsidRPr="00A822B1">
        <w:trPr>
          <w:jc w:val="center"/>
        </w:trPr>
        <w:tc>
          <w:tcPr>
            <w:tcW w:w="4244" w:type="dxa"/>
            <w:shd w:val="clear" w:color="auto" w:fill="auto"/>
          </w:tcPr>
          <w:p w:rsidR="0007362D" w:rsidRPr="00A822B1" w:rsidRDefault="0007362D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04" w:type="dxa"/>
            <w:shd w:val="clear" w:color="auto" w:fill="auto"/>
          </w:tcPr>
          <w:p w:rsidR="0007362D" w:rsidRPr="00A822B1" w:rsidRDefault="0007362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60" w:type="dxa"/>
            <w:shd w:val="clear" w:color="auto" w:fill="auto"/>
          </w:tcPr>
          <w:p w:rsidR="0007362D" w:rsidRPr="00A822B1" w:rsidRDefault="0007362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822B1" w:rsidRPr="00A822B1">
        <w:trPr>
          <w:jc w:val="center"/>
        </w:trPr>
        <w:tc>
          <w:tcPr>
            <w:tcW w:w="424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Upravený zisk na akcii</w:t>
            </w:r>
          </w:p>
        </w:tc>
        <w:tc>
          <w:tcPr>
            <w:tcW w:w="180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1,32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1,27 USD</w:t>
            </w:r>
          </w:p>
        </w:tc>
      </w:tr>
    </w:tbl>
    <w:p w:rsidR="0007362D" w:rsidRPr="00A822B1" w:rsidRDefault="00B250E8" w:rsidP="00B250E8">
      <w:pPr>
        <w:ind w:left="709"/>
        <w:rPr>
          <w:rFonts w:ascii="Arial" w:hAnsi="Arial" w:cs="Arial"/>
          <w:b/>
          <w:sz w:val="22"/>
          <w:vertAlign w:val="subscript"/>
          <w:lang w:val="cs-CZ"/>
        </w:rPr>
      </w:pPr>
      <w:r>
        <w:rPr>
          <w:rFonts w:ascii="Arial" w:hAnsi="Arial" w:cs="Arial"/>
          <w:b/>
          <w:sz w:val="22"/>
          <w:vertAlign w:val="subscript"/>
          <w:lang w:val="cs-CZ"/>
        </w:rPr>
        <w:t>*) V</w:t>
      </w:r>
      <w:r w:rsidR="00C414C9" w:rsidRPr="00A822B1">
        <w:rPr>
          <w:rFonts w:ascii="Arial" w:hAnsi="Arial" w:cs="Arial"/>
          <w:b/>
          <w:sz w:val="22"/>
          <w:vertAlign w:val="subscript"/>
          <w:lang w:val="cs-CZ"/>
        </w:rPr>
        <w:t>iz</w:t>
      </w:r>
      <w:r>
        <w:rPr>
          <w:rFonts w:ascii="Arial" w:hAnsi="Arial" w:cs="Arial"/>
          <w:b/>
          <w:sz w:val="22"/>
          <w:vertAlign w:val="subscript"/>
          <w:lang w:val="cs-CZ"/>
        </w:rPr>
        <w:t xml:space="preserve"> s</w:t>
      </w:r>
      <w:r w:rsidRPr="00A822B1">
        <w:rPr>
          <w:rFonts w:ascii="Arial" w:hAnsi="Arial" w:cs="Arial"/>
          <w:b/>
          <w:sz w:val="22"/>
          <w:vertAlign w:val="subscript"/>
          <w:lang w:val="cs-CZ"/>
        </w:rPr>
        <w:t>ladění provozního zisku na upravené bázi (neodpo</w:t>
      </w:r>
      <w:r>
        <w:rPr>
          <w:rFonts w:ascii="Arial" w:hAnsi="Arial" w:cs="Arial"/>
          <w:b/>
          <w:sz w:val="22"/>
          <w:vertAlign w:val="subscript"/>
          <w:lang w:val="cs-CZ"/>
        </w:rPr>
        <w:t>vídající účetním zásadám GAAP) uvedené v kompletní anglické verzi</w:t>
      </w:r>
      <w:r w:rsidR="00C414C9" w:rsidRPr="00A822B1">
        <w:rPr>
          <w:rFonts w:ascii="Arial" w:hAnsi="Arial" w:cs="Arial"/>
          <w:b/>
          <w:sz w:val="22"/>
          <w:vertAlign w:val="subscript"/>
          <w:lang w:val="cs-CZ"/>
        </w:rPr>
        <w:t xml:space="preserve"> zprávy </w:t>
      </w:r>
      <w:r>
        <w:rPr>
          <w:rFonts w:ascii="Arial" w:hAnsi="Arial" w:cs="Arial"/>
          <w:b/>
          <w:sz w:val="22"/>
          <w:vertAlign w:val="subscript"/>
          <w:lang w:val="cs-CZ"/>
        </w:rPr>
        <w:t>rozšířené o finanční data</w:t>
      </w:r>
      <w:r w:rsidR="00C414C9" w:rsidRPr="00A822B1">
        <w:rPr>
          <w:rFonts w:ascii="Arial" w:hAnsi="Arial" w:cs="Arial"/>
          <w:b/>
          <w:sz w:val="22"/>
          <w:vertAlign w:val="subscript"/>
          <w:lang w:val="cs-CZ"/>
        </w:rPr>
        <w:t xml:space="preserve">. 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/>
        </w:rPr>
      </w:pPr>
    </w:p>
    <w:p w:rsidR="0007362D" w:rsidRPr="00A822B1" w:rsidRDefault="00C414C9">
      <w:p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„V tomto kvartálu jsme zaznamenali velmi solidní příjmy, na nichž se podílely všechny segmenty,“ uvádí David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Abney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>, generální ředitel UPS. „Zvýšenými investicemi chceme vytvořit špičkovou chytrou celosvětovou logistickou síť, která rozšíří portfolio našich služeb. Klienti UPS mohou využívat zvýšenou kapacitu, rozšířenou nabídku služeb a kratší přepravní časy, zatímco nová technická řešení i nadále zajišťují úsporu nákladů.“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/>
        </w:rPr>
      </w:pPr>
    </w:p>
    <w:p w:rsidR="0007362D" w:rsidRPr="00A822B1" w:rsidRDefault="00C414C9">
      <w:p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V rámci celé společnosti v prvním kvartále 2017:</w:t>
      </w:r>
    </w:p>
    <w:p w:rsidR="0007362D" w:rsidRPr="00A822B1" w:rsidRDefault="00C414C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Celkové příjmy vzrostly o 6,2 %, respektive o 7,5 % na měnově neutrální bázi.</w:t>
      </w:r>
    </w:p>
    <w:p w:rsidR="0007362D" w:rsidRPr="00A822B1" w:rsidRDefault="00C414C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Příjmy rostly ve všech segmentech a ve všech kategoriích produktů díky vyvážené poptávce ve všech oblastech široké nabídky služeb UPS.</w:t>
      </w:r>
    </w:p>
    <w:p w:rsidR="0007362D" w:rsidRPr="00A822B1" w:rsidRDefault="00C414C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Celkové náklady na palivo vzrostly o 187 mil. </w:t>
      </w:r>
      <w:proofErr w:type="gramStart"/>
      <w:r w:rsidRPr="00A822B1">
        <w:rPr>
          <w:rFonts w:ascii="Arial" w:hAnsi="Arial" w:cs="Arial"/>
          <w:sz w:val="22"/>
          <w:szCs w:val="22"/>
          <w:lang w:val="cs-CZ" w:bidi="hi-IN"/>
        </w:rPr>
        <w:t>USD,</w:t>
      </w:r>
      <w:proofErr w:type="gram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neboli o 43 % oproti prvnímu kvartálu 2016. Příjem z palivových příplatků poněkud zaostával, nicméně úprava jejich výše v průběhu února 2017 zabránila případným podobným problémům v budoucím období.</w:t>
      </w:r>
    </w:p>
    <w:p w:rsidR="0007362D" w:rsidRPr="00783E77" w:rsidRDefault="00C414C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783E77">
        <w:rPr>
          <w:rFonts w:ascii="Arial" w:hAnsi="Arial" w:cs="Arial"/>
          <w:sz w:val="22"/>
          <w:szCs w:val="22"/>
          <w:lang w:val="cs-CZ" w:bidi="hi-IN"/>
        </w:rPr>
        <w:lastRenderedPageBreak/>
        <w:t xml:space="preserve">Kapitálové </w:t>
      </w:r>
      <w:r w:rsidR="00267EDD" w:rsidRPr="00783E77">
        <w:rPr>
          <w:rFonts w:ascii="Arial" w:hAnsi="Arial" w:cs="Arial"/>
          <w:sz w:val="22"/>
          <w:szCs w:val="22"/>
          <w:lang w:val="cs-CZ" w:bidi="hi-IN"/>
        </w:rPr>
        <w:t xml:space="preserve">výdaje </w:t>
      </w:r>
      <w:r w:rsidRPr="00783E77">
        <w:rPr>
          <w:rFonts w:ascii="Arial" w:hAnsi="Arial" w:cs="Arial"/>
          <w:sz w:val="22"/>
          <w:szCs w:val="22"/>
          <w:lang w:val="cs-CZ" w:bidi="hi-IN"/>
        </w:rPr>
        <w:t xml:space="preserve">na zkvalitnění sítě dosáhly během kvartálu výše 938 mil. USD, </w:t>
      </w:r>
      <w:r w:rsidR="00520791" w:rsidRPr="00783E77">
        <w:rPr>
          <w:rFonts w:ascii="Arial" w:hAnsi="Arial" w:cs="Arial"/>
          <w:sz w:val="22"/>
          <w:szCs w:val="22"/>
          <w:lang w:val="cs-CZ" w:bidi="hi-IN"/>
        </w:rPr>
        <w:t xml:space="preserve">což </w:t>
      </w:r>
      <w:r w:rsidR="00022438" w:rsidRPr="00783E77">
        <w:rPr>
          <w:rFonts w:ascii="Arial" w:hAnsi="Arial" w:cs="Arial"/>
          <w:sz w:val="22"/>
          <w:szCs w:val="22"/>
          <w:lang w:val="cs-CZ" w:bidi="hi-IN"/>
        </w:rPr>
        <w:t>po přepočtu na roční období odpovídá plánované úrovni.</w:t>
      </w:r>
    </w:p>
    <w:p w:rsidR="0007362D" w:rsidRPr="00A822B1" w:rsidRDefault="00C414C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Společnost UPS vyplatila dividendy ve výši 774 mil. USD, což je o 6,4 % na akcii více než v předchozím roce, a odměnila tak investory tradičně vysokým akciovým výnosem.</w:t>
      </w:r>
    </w:p>
    <w:p w:rsidR="0007362D" w:rsidRPr="00A822B1" w:rsidRDefault="00C414C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Firma odkoupila 4,2 milionu akcií za přibližně 450 mil. USD v souladu s firemní politikou alokace kapitálu.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/>
        </w:rPr>
      </w:pPr>
    </w:p>
    <w:p w:rsidR="0007362D" w:rsidRPr="00A822B1" w:rsidRDefault="0007362D">
      <w:pPr>
        <w:rPr>
          <w:rFonts w:ascii="Arial" w:hAnsi="Arial" w:cs="Arial"/>
          <w:sz w:val="22"/>
          <w:szCs w:val="22"/>
        </w:rPr>
      </w:pPr>
    </w:p>
    <w:p w:rsidR="0007362D" w:rsidRPr="00A822B1" w:rsidRDefault="00C414C9" w:rsidP="00A822B1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A822B1">
        <w:rPr>
          <w:rFonts w:ascii="Arial" w:hAnsi="Arial" w:cs="Arial"/>
          <w:b/>
          <w:sz w:val="22"/>
          <w:szCs w:val="22"/>
          <w:u w:val="single"/>
          <w:lang w:val="cs-CZ" w:bidi="hi-IN"/>
        </w:rPr>
        <w:t>Domácí trh v USA</w:t>
      </w:r>
    </w:p>
    <w:p w:rsidR="0007362D" w:rsidRPr="00A822B1" w:rsidRDefault="0007362D" w:rsidP="00A822B1">
      <w:pPr>
        <w:rPr>
          <w:rFonts w:ascii="Arial" w:hAnsi="Arial" w:cs="Arial"/>
          <w:sz w:val="22"/>
          <w:szCs w:val="22"/>
          <w:lang w:val="cs-CZ"/>
        </w:rPr>
      </w:pPr>
    </w:p>
    <w:p w:rsidR="0007362D" w:rsidRPr="00A822B1" w:rsidRDefault="00C414C9" w:rsidP="00A822B1">
      <w:p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Segment domácí přepravy profitoval ze silné poptávky po službách e-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commerce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>, příjem vzrostl oproti prvnímu kvartálu 2016 o 5 %. Američtí spotřebitelé stále více mění strukturu maloobchodu, zčásti díky jednoduchosti, pohodlí a spolehlivosti služeb nabízených UPS.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8135" w:type="dxa"/>
        <w:jc w:val="center"/>
        <w:tblLook w:val="00A0" w:firstRow="1" w:lastRow="0" w:firstColumn="1" w:lastColumn="0" w:noHBand="0" w:noVBand="0"/>
      </w:tblPr>
      <w:tblGrid>
        <w:gridCol w:w="4101"/>
        <w:gridCol w:w="1874"/>
        <w:gridCol w:w="2160"/>
      </w:tblGrid>
      <w:tr w:rsidR="00A822B1" w:rsidRPr="00A822B1">
        <w:trPr>
          <w:jc w:val="center"/>
        </w:trPr>
        <w:tc>
          <w:tcPr>
            <w:tcW w:w="4101" w:type="dxa"/>
            <w:shd w:val="clear" w:color="auto" w:fill="auto"/>
          </w:tcPr>
          <w:p w:rsidR="0007362D" w:rsidRPr="00A822B1" w:rsidRDefault="0007362D">
            <w:pPr>
              <w:ind w:left="-108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</w:rPr>
              <w:t>1Q 2017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</w:rPr>
              <w:t>1Q 2016</w:t>
            </w:r>
          </w:p>
        </w:tc>
      </w:tr>
      <w:tr w:rsidR="00A822B1" w:rsidRPr="00A822B1">
        <w:trPr>
          <w:jc w:val="center"/>
        </w:trPr>
        <w:tc>
          <w:tcPr>
            <w:tcW w:w="4101" w:type="dxa"/>
            <w:shd w:val="clear" w:color="auto" w:fill="auto"/>
          </w:tcPr>
          <w:p w:rsidR="0007362D" w:rsidRPr="00A822B1" w:rsidRDefault="00C414C9">
            <w:pPr>
              <w:ind w:left="-108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9 535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9 084 mil. USD</w:t>
            </w:r>
          </w:p>
        </w:tc>
      </w:tr>
      <w:tr w:rsidR="0007362D" w:rsidRPr="00A822B1">
        <w:trPr>
          <w:jc w:val="center"/>
        </w:trPr>
        <w:tc>
          <w:tcPr>
            <w:tcW w:w="4101" w:type="dxa"/>
            <w:shd w:val="clear" w:color="auto" w:fill="auto"/>
          </w:tcPr>
          <w:p w:rsidR="0007362D" w:rsidRPr="00A822B1" w:rsidRDefault="00C414C9">
            <w:pPr>
              <w:ind w:left="-108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87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1 076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1 102 mil. USD</w:t>
            </w:r>
          </w:p>
        </w:tc>
      </w:tr>
    </w:tbl>
    <w:p w:rsidR="0007362D" w:rsidRPr="00A822B1" w:rsidRDefault="0007362D">
      <w:pPr>
        <w:rPr>
          <w:rFonts w:ascii="Arial" w:hAnsi="Arial" w:cs="Arial"/>
          <w:sz w:val="22"/>
        </w:rPr>
      </w:pPr>
    </w:p>
    <w:p w:rsidR="0007362D" w:rsidRPr="00A822B1" w:rsidRDefault="00C414C9">
      <w:p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V rámci domácího trhu v USA v prvním kvartále 2017: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Příjmy vzrostly oproti prvnímu kvartálu 2016 o 451 mil. USD díky růstu dodávek koncovým zákazníkům (B2C).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Příjem na zásilku vzrostl u všech služeb, celkově o 2,4 %, </w:t>
      </w:r>
      <w:r w:rsidR="00161328">
        <w:rPr>
          <w:rFonts w:ascii="Arial" w:hAnsi="Arial" w:cs="Arial"/>
          <w:sz w:val="22"/>
          <w:szCs w:val="22"/>
          <w:lang w:val="cs-CZ" w:bidi="hi-IN"/>
        </w:rPr>
        <w:t>čehož</w:t>
      </w:r>
      <w:r w:rsidR="00161328"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společnost </w:t>
      </w:r>
      <w:r w:rsidR="00161328">
        <w:rPr>
          <w:rFonts w:ascii="Arial" w:hAnsi="Arial" w:cs="Arial"/>
          <w:sz w:val="22"/>
          <w:szCs w:val="22"/>
          <w:lang w:val="cs-CZ" w:bidi="hi-IN"/>
        </w:rPr>
        <w:t>dosáhla</w:t>
      </w:r>
      <w:r w:rsidR="00161328"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Pr="00A822B1">
        <w:rPr>
          <w:rFonts w:ascii="Arial" w:hAnsi="Arial" w:cs="Arial"/>
          <w:sz w:val="22"/>
          <w:szCs w:val="22"/>
          <w:lang w:val="cs-CZ" w:bidi="hi-IN"/>
        </w:rPr>
        <w:t>díky dříve nastaveným cenovým úpravám.</w:t>
      </w:r>
    </w:p>
    <w:p w:rsidR="0007362D" w:rsidRPr="00A822B1" w:rsidRDefault="00C414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Objem přepravy u služeb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Next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Day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Air a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Deferred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Air vzrostl o 3,9 %</w:t>
      </w:r>
      <w:r w:rsidR="007A2843">
        <w:rPr>
          <w:rFonts w:ascii="Arial" w:hAnsi="Arial" w:cs="Arial"/>
          <w:sz w:val="22"/>
          <w:szCs w:val="22"/>
          <w:lang w:val="cs-CZ" w:bidi="hi-IN"/>
        </w:rPr>
        <w:t xml:space="preserve"> a </w:t>
      </w:r>
      <w:proofErr w:type="gramStart"/>
      <w:r w:rsidRPr="00A822B1">
        <w:rPr>
          <w:rFonts w:ascii="Arial" w:hAnsi="Arial" w:cs="Arial"/>
          <w:sz w:val="22"/>
          <w:szCs w:val="22"/>
          <w:lang w:val="cs-CZ" w:bidi="hi-IN"/>
        </w:rPr>
        <w:t>4,1%</w:t>
      </w:r>
      <w:proofErr w:type="gramEnd"/>
      <w:r w:rsidRPr="00A822B1">
        <w:rPr>
          <w:rFonts w:ascii="Arial" w:hAnsi="Arial" w:cs="Arial"/>
          <w:sz w:val="22"/>
          <w:szCs w:val="22"/>
          <w:lang w:val="cs-CZ" w:bidi="hi-IN"/>
        </w:rPr>
        <w:t>, neboť spotřebitelé i nadále volili rychlá a pohodlná řešení UPS.</w:t>
      </w:r>
    </w:p>
    <w:p w:rsidR="0007362D" w:rsidRPr="00A822B1" w:rsidRDefault="00C414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V současnosti je ve výstavbě 17 významných přepravních center (o ploše přes 1,524 milionů čtverečních metrů) s cílem vytvořit kapacitu pro efektivní podporu dalšího růstu jak v oblasti B2B, tak B2C.</w:t>
      </w:r>
    </w:p>
    <w:p w:rsidR="0007362D" w:rsidRPr="00A822B1" w:rsidRDefault="00C414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Nabídka služeb UPS se v uplynulém čtvrtletí zvýšila díky iniciativě "nalož a dodej" v sobotní pozemní přepravě v 15 hlavních městských aglomeracích. Díky urychlenému rozšiřování bude do předvánoční sezóny 2017 dostupná ve více než 4700 městech.</w:t>
      </w:r>
    </w:p>
    <w:p w:rsidR="0007362D" w:rsidRPr="00A822B1" w:rsidRDefault="00C414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Provozní náklady na stavbu budov a sobotní iniciativu zvýšily provozní náklady v uplynulém kvartálu o zhruba 35 mil. USD.</w:t>
      </w:r>
    </w:p>
    <w:p w:rsidR="0007362D" w:rsidRPr="00A822B1" w:rsidRDefault="00C414C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Nepříznivý vliv opožděné úpravy palivových příplatků, nezvyklá nepřízeň počasí a požár objektu se v tomto kvartálu odrazily v jednorázových nákladech ve výši 50 mil. USD.</w:t>
      </w:r>
    </w:p>
    <w:p w:rsidR="0007362D" w:rsidRPr="00A822B1" w:rsidRDefault="0007362D">
      <w:pPr>
        <w:ind w:left="360" w:hanging="360"/>
        <w:rPr>
          <w:lang w:val="cs-CZ"/>
        </w:rPr>
      </w:pPr>
    </w:p>
    <w:p w:rsidR="0007362D" w:rsidRPr="00A822B1" w:rsidRDefault="0007362D">
      <w:pPr>
        <w:rPr>
          <w:rFonts w:ascii="Arial" w:hAnsi="Arial" w:cs="Arial"/>
          <w:b/>
          <w:sz w:val="22"/>
          <w:szCs w:val="22"/>
          <w:lang w:val="cs-CZ"/>
        </w:rPr>
      </w:pPr>
    </w:p>
    <w:p w:rsidR="0007362D" w:rsidRPr="00A822B1" w:rsidRDefault="00C414C9" w:rsidP="00A822B1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A822B1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Mezinárodní přeprava </w:t>
      </w:r>
    </w:p>
    <w:p w:rsidR="0007362D" w:rsidRPr="00A822B1" w:rsidRDefault="0007362D" w:rsidP="00A822B1">
      <w:pPr>
        <w:rPr>
          <w:rFonts w:ascii="Arial" w:hAnsi="Arial" w:cs="Arial"/>
          <w:b/>
          <w:sz w:val="22"/>
          <w:szCs w:val="22"/>
          <w:lang w:val="cs-CZ"/>
        </w:rPr>
      </w:pPr>
    </w:p>
    <w:p w:rsidR="0007362D" w:rsidRPr="00A822B1" w:rsidRDefault="00C414C9" w:rsidP="00A822B1">
      <w:p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/>
        </w:rPr>
        <w:t xml:space="preserve">„Segment mezinárodní přepravy i nadále vykazuje výborný provozní základ a stálá čtvrtletní zlepšení,“ navázal </w:t>
      </w:r>
      <w:proofErr w:type="spellStart"/>
      <w:r w:rsidRPr="00A822B1">
        <w:rPr>
          <w:rFonts w:ascii="Arial" w:hAnsi="Arial" w:cs="Arial"/>
          <w:sz w:val="22"/>
          <w:szCs w:val="22"/>
          <w:lang w:val="cs-CZ"/>
        </w:rPr>
        <w:t>Abney</w:t>
      </w:r>
      <w:proofErr w:type="spellEnd"/>
      <w:r w:rsidRPr="00A822B1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7362D" w:rsidRPr="00A822B1" w:rsidRDefault="0007362D">
      <w:pPr>
        <w:rPr>
          <w:rFonts w:ascii="Arial" w:hAnsi="Arial" w:cs="Arial"/>
          <w:sz w:val="20"/>
          <w:szCs w:val="20"/>
          <w:lang w:val="cs-CZ"/>
        </w:rPr>
      </w:pPr>
    </w:p>
    <w:p w:rsidR="0007362D" w:rsidRPr="00A822B1" w:rsidRDefault="00C414C9">
      <w:pPr>
        <w:rPr>
          <w:lang w:val="cs-CZ"/>
        </w:rPr>
      </w:pPr>
      <w:r w:rsidRPr="00A822B1">
        <w:rPr>
          <w:rFonts w:ascii="Arial" w:hAnsi="Arial" w:cs="Arial"/>
          <w:sz w:val="22"/>
          <w:szCs w:val="22"/>
          <w:lang w:val="cs-CZ"/>
        </w:rPr>
        <w:t xml:space="preserve">Mezinárodní přeprava vykázala silný růst hrubých příjmů s rostoucí poptávkou po přeshraniční přepravě zásilek. Růst exportních zásilek byl silný napříč všemi regiony UPS, zákazníci využívali rozšířené portfolio služeb a přední řešení na trhu zaměřená na zprostředkování celního odbavení. </w:t>
      </w:r>
    </w:p>
    <w:p w:rsidR="0007362D" w:rsidRPr="00A822B1" w:rsidRDefault="0007362D">
      <w:pPr>
        <w:rPr>
          <w:rFonts w:ascii="Arial" w:hAnsi="Arial" w:cs="Arial"/>
          <w:sz w:val="22"/>
          <w:szCs w:val="20"/>
        </w:rPr>
      </w:pPr>
    </w:p>
    <w:tbl>
      <w:tblPr>
        <w:tblW w:w="8208" w:type="dxa"/>
        <w:jc w:val="center"/>
        <w:tblLook w:val="00A0" w:firstRow="1" w:lastRow="0" w:firstColumn="1" w:lastColumn="0" w:noHBand="0" w:noVBand="0"/>
      </w:tblPr>
      <w:tblGrid>
        <w:gridCol w:w="4104"/>
        <w:gridCol w:w="2160"/>
        <w:gridCol w:w="1944"/>
      </w:tblGrid>
      <w:tr w:rsidR="00A822B1" w:rsidRPr="00A822B1">
        <w:trPr>
          <w:jc w:val="center"/>
        </w:trPr>
        <w:tc>
          <w:tcPr>
            <w:tcW w:w="4104" w:type="dxa"/>
            <w:shd w:val="clear" w:color="auto" w:fill="auto"/>
          </w:tcPr>
          <w:p w:rsidR="0007362D" w:rsidRPr="00A822B1" w:rsidRDefault="0007362D">
            <w:pPr>
              <w:ind w:left="432" w:firstLine="72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  <w:tc>
          <w:tcPr>
            <w:tcW w:w="194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2016</w:t>
            </w:r>
          </w:p>
        </w:tc>
      </w:tr>
      <w:tr w:rsidR="00A822B1" w:rsidRPr="00A822B1">
        <w:trPr>
          <w:jc w:val="center"/>
        </w:trPr>
        <w:tc>
          <w:tcPr>
            <w:tcW w:w="410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b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3,058 mil. USD</w:t>
            </w:r>
          </w:p>
        </w:tc>
        <w:tc>
          <w:tcPr>
            <w:tcW w:w="194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2,914 mil. USD</w:t>
            </w:r>
          </w:p>
        </w:tc>
      </w:tr>
      <w:tr w:rsidR="00A822B1" w:rsidRPr="00A822B1">
        <w:trPr>
          <w:jc w:val="center"/>
        </w:trPr>
        <w:tc>
          <w:tcPr>
            <w:tcW w:w="410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529 mil. USD</w:t>
            </w:r>
          </w:p>
        </w:tc>
        <w:tc>
          <w:tcPr>
            <w:tcW w:w="194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574 mil. USD</w:t>
            </w:r>
          </w:p>
        </w:tc>
      </w:tr>
      <w:tr w:rsidR="0007362D" w:rsidRPr="00A822B1">
        <w:trPr>
          <w:jc w:val="center"/>
        </w:trPr>
        <w:tc>
          <w:tcPr>
            <w:tcW w:w="4104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 na měnově neutrální bázi *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648 mil. USD</w:t>
            </w:r>
          </w:p>
        </w:tc>
        <w:tc>
          <w:tcPr>
            <w:tcW w:w="1944" w:type="dxa"/>
            <w:shd w:val="clear" w:color="auto" w:fill="auto"/>
          </w:tcPr>
          <w:p w:rsidR="0007362D" w:rsidRPr="00A822B1" w:rsidRDefault="0007362D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07362D" w:rsidRPr="00A822B1" w:rsidRDefault="0007362D">
      <w:pPr>
        <w:ind w:left="720" w:hanging="720"/>
        <w:rPr>
          <w:rFonts w:ascii="Arial" w:hAnsi="Arial" w:cs="Arial"/>
          <w:szCs w:val="22"/>
        </w:rPr>
      </w:pPr>
    </w:p>
    <w:p w:rsidR="0007362D" w:rsidRPr="00A822B1" w:rsidRDefault="00C414C9">
      <w:p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V rámci mezinárodního provozního segmentu v prvním kvartálu 2017: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Silná provozní marže dosáhla</w:t>
      </w:r>
      <w:r w:rsidR="00EE5570"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Pr="00A822B1">
        <w:rPr>
          <w:rFonts w:ascii="Arial" w:hAnsi="Arial" w:cs="Arial"/>
          <w:sz w:val="22"/>
          <w:szCs w:val="22"/>
          <w:lang w:val="cs-CZ" w:bidi="hi-IN"/>
        </w:rPr>
        <w:t>17,3 % navzdory nepříznivému vlivu</w:t>
      </w:r>
      <w:r w:rsidR="007A2843">
        <w:rPr>
          <w:rFonts w:ascii="Arial" w:hAnsi="Arial" w:cs="Arial"/>
          <w:sz w:val="22"/>
          <w:szCs w:val="22"/>
          <w:lang w:val="cs-CZ" w:bidi="hi-IN"/>
        </w:rPr>
        <w:t xml:space="preserve"> kurzu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 měn.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Měna byla v uplynulém čtvrtletí brzdou ve výši 119 milionů USD, celoroční dopad lze očekávat ve výši 400 milionů USD. 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Segment vykázal 4,9% růst příjmů oproti prvnímu čtvrtletí 2016, 11% nárůst na měnově neutrální bázi. </w:t>
      </w:r>
    </w:p>
    <w:p w:rsidR="0007362D" w:rsidRPr="00A822B1" w:rsidRDefault="00EE557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>
        <w:rPr>
          <w:rFonts w:ascii="Arial" w:hAnsi="Arial" w:cs="Arial"/>
          <w:sz w:val="22"/>
          <w:szCs w:val="22"/>
          <w:lang w:val="cs-CZ" w:bidi="hi-IN"/>
        </w:rPr>
        <w:t>D</w:t>
      </w:r>
      <w:r w:rsidR="00C414C9" w:rsidRPr="00A822B1">
        <w:rPr>
          <w:rFonts w:ascii="Arial" w:hAnsi="Arial" w:cs="Arial"/>
          <w:sz w:val="22"/>
          <w:szCs w:val="22"/>
          <w:lang w:val="cs-CZ" w:bidi="hi-IN"/>
        </w:rPr>
        <w:t>íky zlepšení sítě a času přepravy</w:t>
      </w:r>
      <w:r w:rsidRPr="00EE5570">
        <w:rPr>
          <w:rFonts w:ascii="Arial" w:hAnsi="Arial" w:cs="Arial"/>
          <w:sz w:val="22"/>
          <w:szCs w:val="22"/>
          <w:lang w:val="cs-CZ" w:bidi="hi-IN"/>
        </w:rPr>
        <w:t xml:space="preserve"> </w:t>
      </w:r>
      <w:r>
        <w:rPr>
          <w:rFonts w:ascii="Arial" w:hAnsi="Arial" w:cs="Arial"/>
          <w:sz w:val="22"/>
          <w:szCs w:val="22"/>
          <w:lang w:val="cs-CZ" w:bidi="hi-IN"/>
        </w:rPr>
        <w:t>z</w:t>
      </w:r>
      <w:r w:rsidRPr="00A822B1">
        <w:rPr>
          <w:rFonts w:ascii="Arial" w:hAnsi="Arial" w:cs="Arial"/>
          <w:sz w:val="22"/>
          <w:szCs w:val="22"/>
          <w:lang w:val="cs-CZ" w:bidi="hi-IN"/>
        </w:rPr>
        <w:t>ák</w:t>
      </w:r>
      <w:r>
        <w:rPr>
          <w:rFonts w:ascii="Arial" w:hAnsi="Arial" w:cs="Arial"/>
          <w:sz w:val="22"/>
          <w:szCs w:val="22"/>
          <w:lang w:val="cs-CZ" w:bidi="hi-IN"/>
        </w:rPr>
        <w:t>azníci stále častěji volili UPS. Zlepšení</w:t>
      </w:r>
      <w:r w:rsidR="00C414C9" w:rsidRPr="00A822B1">
        <w:rPr>
          <w:rFonts w:ascii="Arial" w:hAnsi="Arial" w:cs="Arial"/>
          <w:sz w:val="22"/>
          <w:szCs w:val="22"/>
          <w:lang w:val="cs-CZ" w:bidi="hi-IN"/>
        </w:rPr>
        <w:t xml:space="preserve"> generoval</w:t>
      </w:r>
      <w:r>
        <w:rPr>
          <w:rFonts w:ascii="Arial" w:hAnsi="Arial" w:cs="Arial"/>
          <w:sz w:val="22"/>
          <w:szCs w:val="22"/>
          <w:lang w:val="cs-CZ" w:bidi="hi-IN"/>
        </w:rPr>
        <w:t>a</w:t>
      </w:r>
      <w:r w:rsidR="00C414C9" w:rsidRPr="00A822B1">
        <w:rPr>
          <w:rFonts w:ascii="Arial" w:hAnsi="Arial" w:cs="Arial"/>
          <w:sz w:val="22"/>
          <w:szCs w:val="22"/>
          <w:lang w:val="cs-CZ" w:bidi="hi-IN"/>
        </w:rPr>
        <w:t xml:space="preserve"> masivní nárůst přepravy v řádu dvouciferných čísel u exportu (14 %) a služeb mimo USA (11 %).</w:t>
      </w:r>
    </w:p>
    <w:p w:rsidR="0007362D" w:rsidRPr="00A822B1" w:rsidRDefault="0007362D">
      <w:pPr>
        <w:ind w:left="720" w:hanging="720"/>
        <w:rPr>
          <w:rFonts w:ascii="Arial" w:hAnsi="Arial" w:cs="Arial"/>
          <w:sz w:val="22"/>
          <w:szCs w:val="22"/>
          <w:lang w:val="cs-CZ"/>
        </w:rPr>
      </w:pPr>
    </w:p>
    <w:p w:rsidR="00A822B1" w:rsidRPr="00A822B1" w:rsidRDefault="00A822B1">
      <w:pPr>
        <w:ind w:left="720" w:hanging="720"/>
        <w:rPr>
          <w:rFonts w:ascii="Arial" w:hAnsi="Arial" w:cs="Arial"/>
          <w:sz w:val="22"/>
          <w:szCs w:val="22"/>
          <w:lang w:val="cs-CZ"/>
        </w:rPr>
      </w:pPr>
    </w:p>
    <w:p w:rsidR="0007362D" w:rsidRPr="00A822B1" w:rsidRDefault="00C414C9">
      <w:pPr>
        <w:rPr>
          <w:rFonts w:ascii="Arial" w:hAnsi="Arial" w:cs="Arial"/>
          <w:b/>
          <w:sz w:val="22"/>
          <w:szCs w:val="22"/>
          <w:u w:val="single"/>
          <w:lang w:val="cs-CZ" w:bidi="hi-IN"/>
        </w:rPr>
      </w:pPr>
      <w:r w:rsidRPr="00A822B1">
        <w:rPr>
          <w:rFonts w:ascii="Arial" w:hAnsi="Arial" w:cs="Arial"/>
          <w:b/>
          <w:sz w:val="22"/>
          <w:szCs w:val="22"/>
          <w:u w:val="single"/>
          <w:lang w:val="cs-CZ" w:bidi="hi-IN"/>
        </w:rPr>
        <w:t xml:space="preserve">Dodavatelské řetězce </w:t>
      </w:r>
      <w:r w:rsidR="00152EB3">
        <w:rPr>
          <w:rFonts w:ascii="Arial" w:hAnsi="Arial" w:cs="Arial"/>
          <w:b/>
          <w:sz w:val="22"/>
          <w:szCs w:val="22"/>
          <w:u w:val="single"/>
          <w:lang w:val="cs-CZ" w:bidi="hi-IN"/>
        </w:rPr>
        <w:t>a</w:t>
      </w:r>
      <w:r w:rsidR="00152EB3" w:rsidRPr="00A822B1">
        <w:rPr>
          <w:rFonts w:ascii="Arial" w:hAnsi="Arial" w:cs="Arial"/>
          <w:b/>
          <w:sz w:val="22"/>
          <w:szCs w:val="22"/>
          <w:u w:val="single"/>
          <w:lang w:val="cs-CZ" w:bidi="hi-IN"/>
        </w:rPr>
        <w:t xml:space="preserve"> </w:t>
      </w:r>
      <w:r w:rsidRPr="00A822B1">
        <w:rPr>
          <w:rFonts w:ascii="Arial" w:hAnsi="Arial" w:cs="Arial"/>
          <w:b/>
          <w:sz w:val="22"/>
          <w:szCs w:val="22"/>
          <w:u w:val="single"/>
          <w:lang w:val="cs-CZ" w:bidi="hi-IN"/>
        </w:rPr>
        <w:t>nákladní přeprava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 w:bidi="hi-IN"/>
        </w:rPr>
      </w:pPr>
    </w:p>
    <w:p w:rsidR="0007362D" w:rsidRDefault="00C414C9">
      <w:p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„Jsme nesmírně potěšeni zlepšujícími se výkony u růstu a marže v segmentu dodavatelských řetězců a nákladní přepravy v uplynulém čtvrtletí,“ uvádí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Abney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>. „Náš tým se zaměřil na prorůstové iniciativy, programy na snižování nákladů a strategie zaměřen</w:t>
      </w:r>
      <w:r w:rsidR="00EE5570">
        <w:rPr>
          <w:rFonts w:ascii="Arial" w:hAnsi="Arial" w:cs="Arial"/>
          <w:sz w:val="22"/>
          <w:szCs w:val="22"/>
          <w:lang w:val="cs-CZ" w:bidi="hi-IN"/>
        </w:rPr>
        <w:t>é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 na portfolio obchodních jednotek, jejichž prostřednictvím reagujeme na </w:t>
      </w:r>
      <w:r w:rsidR="00152EB3">
        <w:rPr>
          <w:rFonts w:ascii="Arial" w:hAnsi="Arial" w:cs="Arial"/>
          <w:sz w:val="22"/>
          <w:szCs w:val="22"/>
          <w:lang w:val="cs-CZ" w:bidi="hi-IN"/>
        </w:rPr>
        <w:t>specifické</w:t>
      </w:r>
      <w:r w:rsidR="00152EB3"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tržní podmínky v několika posledních </w:t>
      </w:r>
      <w:r w:rsidRPr="00783E77">
        <w:rPr>
          <w:rFonts w:ascii="Arial" w:hAnsi="Arial" w:cs="Arial"/>
          <w:sz w:val="22"/>
          <w:szCs w:val="22"/>
          <w:lang w:val="cs-CZ" w:bidi="hi-IN"/>
        </w:rPr>
        <w:t xml:space="preserve">kvartálech. </w:t>
      </w:r>
      <w:r w:rsidR="00573663" w:rsidRPr="00783E77">
        <w:rPr>
          <w:rFonts w:ascii="Arial" w:hAnsi="Arial" w:cs="Arial"/>
          <w:sz w:val="22"/>
          <w:szCs w:val="22"/>
          <w:lang w:val="cs-CZ" w:bidi="hi-IN"/>
        </w:rPr>
        <w:t>Realizace těchto iniciativ</w:t>
      </w:r>
      <w:r w:rsidR="002241CD" w:rsidRPr="00783E77">
        <w:rPr>
          <w:rFonts w:ascii="Arial" w:hAnsi="Arial" w:cs="Arial"/>
          <w:sz w:val="22"/>
          <w:szCs w:val="22"/>
          <w:lang w:val="cs-CZ" w:bidi="hi-IN"/>
        </w:rPr>
        <w:t xml:space="preserve"> vykazuje vynikající výsledky</w:t>
      </w:r>
      <w:r w:rsidR="00C110ED" w:rsidRPr="00783E77">
        <w:rPr>
          <w:rFonts w:ascii="Arial" w:hAnsi="Arial" w:cs="Arial"/>
          <w:sz w:val="22"/>
          <w:szCs w:val="22"/>
          <w:lang w:val="cs-CZ" w:bidi="hi-IN"/>
        </w:rPr>
        <w:t>.</w:t>
      </w:r>
    </w:p>
    <w:p w:rsidR="00783E77" w:rsidRPr="00A822B1" w:rsidRDefault="00783E77">
      <w:pPr>
        <w:rPr>
          <w:rFonts w:ascii="Arial" w:hAnsi="Arial" w:cs="Arial"/>
          <w:sz w:val="22"/>
        </w:rPr>
      </w:pPr>
    </w:p>
    <w:tbl>
      <w:tblPr>
        <w:tblW w:w="8135" w:type="dxa"/>
        <w:jc w:val="center"/>
        <w:tblLook w:val="00A0" w:firstRow="1" w:lastRow="0" w:firstColumn="1" w:lastColumn="0" w:noHBand="0" w:noVBand="0"/>
      </w:tblPr>
      <w:tblGrid>
        <w:gridCol w:w="4101"/>
        <w:gridCol w:w="1874"/>
        <w:gridCol w:w="2160"/>
      </w:tblGrid>
      <w:tr w:rsidR="00A822B1" w:rsidRPr="00A822B1">
        <w:trPr>
          <w:jc w:val="center"/>
        </w:trPr>
        <w:tc>
          <w:tcPr>
            <w:tcW w:w="4101" w:type="dxa"/>
            <w:shd w:val="clear" w:color="auto" w:fill="auto"/>
          </w:tcPr>
          <w:p w:rsidR="0007362D" w:rsidRPr="00A822B1" w:rsidRDefault="0007362D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87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2017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A822B1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2016</w:t>
            </w:r>
          </w:p>
        </w:tc>
      </w:tr>
      <w:tr w:rsidR="00A822B1" w:rsidRPr="00A822B1">
        <w:trPr>
          <w:jc w:val="center"/>
        </w:trPr>
        <w:tc>
          <w:tcPr>
            <w:tcW w:w="4101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87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2 722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2 420 mil. USD</w:t>
            </w:r>
          </w:p>
        </w:tc>
      </w:tr>
      <w:tr w:rsidR="00A822B1" w:rsidRPr="00A822B1">
        <w:trPr>
          <w:jc w:val="center"/>
        </w:trPr>
        <w:tc>
          <w:tcPr>
            <w:tcW w:w="4101" w:type="dxa"/>
            <w:shd w:val="clear" w:color="auto" w:fill="auto"/>
          </w:tcPr>
          <w:p w:rsidR="0007362D" w:rsidRPr="00A822B1" w:rsidRDefault="00C414C9">
            <w:pPr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874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179 mil. USD</w:t>
            </w:r>
          </w:p>
        </w:tc>
        <w:tc>
          <w:tcPr>
            <w:tcW w:w="2160" w:type="dxa"/>
            <w:shd w:val="clear" w:color="auto" w:fill="auto"/>
          </w:tcPr>
          <w:p w:rsidR="0007362D" w:rsidRPr="00A822B1" w:rsidRDefault="00C414C9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A822B1">
              <w:rPr>
                <w:rFonts w:ascii="Arial" w:hAnsi="Arial" w:cs="Arial"/>
                <w:sz w:val="20"/>
                <w:szCs w:val="22"/>
                <w:lang w:val="cs-CZ"/>
              </w:rPr>
              <w:t>147 mil. USD</w:t>
            </w:r>
          </w:p>
        </w:tc>
      </w:tr>
    </w:tbl>
    <w:p w:rsidR="0007362D" w:rsidRPr="00A822B1" w:rsidRDefault="0007362D">
      <w:pPr>
        <w:rPr>
          <w:rFonts w:ascii="Arial" w:hAnsi="Arial" w:cs="Arial"/>
          <w:sz w:val="22"/>
          <w:szCs w:val="22"/>
        </w:rPr>
      </w:pPr>
    </w:p>
    <w:p w:rsidR="0007362D" w:rsidRPr="00A822B1" w:rsidRDefault="00EE557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>
        <w:rPr>
          <w:rFonts w:ascii="Arial" w:hAnsi="Arial" w:cs="Arial"/>
          <w:sz w:val="22"/>
          <w:szCs w:val="22"/>
          <w:lang w:val="cs-CZ" w:bidi="hi-IN"/>
        </w:rPr>
        <w:t>D</w:t>
      </w:r>
      <w:r w:rsidR="00C414C9" w:rsidRPr="00A822B1">
        <w:rPr>
          <w:rFonts w:ascii="Arial" w:hAnsi="Arial" w:cs="Arial"/>
          <w:sz w:val="22"/>
          <w:szCs w:val="22"/>
          <w:lang w:val="cs-CZ" w:bidi="hi-IN"/>
        </w:rPr>
        <w:t>íky výkonnějším programům zaměřeným na rozvoj podnikání a zlepšujícím se tržním podmínkám napříč všemi obchodními jednotkami</w:t>
      </w:r>
      <w:r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vzrostly </w:t>
      </w:r>
      <w:r>
        <w:rPr>
          <w:rFonts w:ascii="Arial" w:hAnsi="Arial" w:cs="Arial"/>
          <w:sz w:val="22"/>
          <w:szCs w:val="22"/>
          <w:lang w:val="cs-CZ" w:bidi="hi-IN"/>
        </w:rPr>
        <w:t xml:space="preserve">příjmy </w:t>
      </w:r>
      <w:r w:rsidRPr="00A822B1">
        <w:rPr>
          <w:rFonts w:ascii="Arial" w:hAnsi="Arial" w:cs="Arial"/>
          <w:sz w:val="22"/>
          <w:szCs w:val="22"/>
          <w:lang w:val="cs-CZ" w:bidi="hi-IN"/>
        </w:rPr>
        <w:t>v porovnání s prvním kvartálem loňského roku o 13 %</w:t>
      </w:r>
      <w:r w:rsidR="003D7C15">
        <w:rPr>
          <w:rFonts w:ascii="Arial" w:hAnsi="Arial" w:cs="Arial"/>
          <w:sz w:val="22"/>
          <w:szCs w:val="22"/>
          <w:lang w:val="cs-CZ" w:bidi="hi-IN"/>
        </w:rPr>
        <w:t>.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Nárůst </w:t>
      </w:r>
      <w:r w:rsidR="008A7DD8">
        <w:rPr>
          <w:rFonts w:ascii="Arial" w:hAnsi="Arial" w:cs="Arial"/>
          <w:sz w:val="22"/>
          <w:szCs w:val="22"/>
          <w:lang w:val="cs-CZ" w:bidi="hi-IN"/>
        </w:rPr>
        <w:t>hmotnostních limitů</w:t>
      </w:r>
      <w:r w:rsidR="008A7DD8"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u jednotek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Freight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Forwarding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a UPS 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Freight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 vedl ke zvýšení příjmů. 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Výkony v sektorech zdravotnictví, maloobchod a letectví a kosmonautika zlepšily solidní výsledky distribuce. </w:t>
      </w:r>
    </w:p>
    <w:p w:rsidR="0007362D" w:rsidRPr="00A822B1" w:rsidRDefault="003A1E0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>
        <w:rPr>
          <w:rFonts w:ascii="Arial" w:hAnsi="Arial" w:cs="Arial"/>
          <w:sz w:val="22"/>
          <w:szCs w:val="22"/>
          <w:lang w:val="cs-CZ" w:bidi="hi-IN"/>
        </w:rPr>
        <w:t>V</w:t>
      </w:r>
      <w:r w:rsidRPr="00A822B1">
        <w:rPr>
          <w:rFonts w:ascii="Arial" w:hAnsi="Arial" w:cs="Arial"/>
          <w:sz w:val="22"/>
          <w:szCs w:val="22"/>
          <w:lang w:val="cs-CZ" w:bidi="hi-IN"/>
        </w:rPr>
        <w:t> uplynulém čtvrtletí</w:t>
      </w:r>
      <w:r w:rsidRPr="00A822B1" w:rsidDel="003A1E0A">
        <w:rPr>
          <w:rFonts w:ascii="Arial" w:hAnsi="Arial" w:cs="Arial"/>
          <w:sz w:val="22"/>
          <w:szCs w:val="22"/>
          <w:lang w:val="cs-CZ" w:bidi="hi-IN"/>
        </w:rPr>
        <w:t xml:space="preserve"> </w:t>
      </w:r>
      <w:r w:rsidR="00C414C9" w:rsidRPr="00A822B1">
        <w:rPr>
          <w:rFonts w:ascii="Arial" w:hAnsi="Arial" w:cs="Arial"/>
          <w:sz w:val="22"/>
          <w:szCs w:val="22"/>
          <w:lang w:val="cs-CZ" w:bidi="hi-IN"/>
        </w:rPr>
        <w:t xml:space="preserve">firma </w:t>
      </w:r>
      <w:proofErr w:type="spellStart"/>
      <w:r w:rsidR="00C414C9" w:rsidRPr="00A822B1">
        <w:rPr>
          <w:rFonts w:ascii="Arial" w:hAnsi="Arial" w:cs="Arial"/>
          <w:sz w:val="22"/>
          <w:szCs w:val="22"/>
          <w:lang w:val="cs-CZ" w:bidi="hi-IN"/>
        </w:rPr>
        <w:t>Coyote</w:t>
      </w:r>
      <w:proofErr w:type="spellEnd"/>
      <w:r w:rsidR="00C414C9"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  <w:proofErr w:type="spellStart"/>
      <w:r w:rsidR="00C414C9" w:rsidRPr="00A822B1">
        <w:rPr>
          <w:rFonts w:ascii="Arial" w:hAnsi="Arial" w:cs="Arial"/>
          <w:sz w:val="22"/>
          <w:szCs w:val="22"/>
          <w:lang w:val="cs-CZ" w:bidi="hi-IN"/>
        </w:rPr>
        <w:t>Logistics</w:t>
      </w:r>
      <w:proofErr w:type="spellEnd"/>
      <w:r w:rsidR="00C414C9" w:rsidRPr="00A822B1">
        <w:rPr>
          <w:rFonts w:ascii="Arial" w:hAnsi="Arial" w:cs="Arial"/>
          <w:sz w:val="22"/>
          <w:szCs w:val="22"/>
          <w:lang w:val="cs-CZ" w:bidi="hi-IN"/>
        </w:rPr>
        <w:t xml:space="preserve"> pokračovala v urychlení svých prorůstových strategií a nav</w:t>
      </w:r>
      <w:r>
        <w:rPr>
          <w:rFonts w:ascii="Arial" w:hAnsi="Arial" w:cs="Arial"/>
          <w:sz w:val="22"/>
          <w:szCs w:val="22"/>
          <w:lang w:val="cs-CZ" w:bidi="hi-IN"/>
        </w:rPr>
        <w:t>ýšila</w:t>
      </w:r>
      <w:r w:rsidR="00C414C9" w:rsidRPr="00A822B1">
        <w:rPr>
          <w:rFonts w:ascii="Arial" w:hAnsi="Arial" w:cs="Arial"/>
          <w:sz w:val="22"/>
          <w:szCs w:val="22"/>
          <w:lang w:val="cs-CZ" w:bidi="hi-IN"/>
        </w:rPr>
        <w:t xml:space="preserve"> tržní podíl. </w:t>
      </w:r>
    </w:p>
    <w:p w:rsidR="0007362D" w:rsidRPr="00A822B1" w:rsidRDefault="00C414C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>Všechny obchodní jednotky přispěly k růstu provozního zisku v segmentu ve výši 22 %, solidní výkony podpořily programy na zlepšení zisku.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 w:bidi="hi-IN"/>
        </w:rPr>
      </w:pPr>
    </w:p>
    <w:p w:rsidR="0007362D" w:rsidRPr="00A822B1" w:rsidRDefault="0007362D">
      <w:pPr>
        <w:rPr>
          <w:rFonts w:ascii="Arial" w:hAnsi="Arial" w:cs="Arial"/>
          <w:sz w:val="22"/>
          <w:szCs w:val="22"/>
        </w:rPr>
      </w:pPr>
    </w:p>
    <w:p w:rsidR="0007362D" w:rsidRPr="00A822B1" w:rsidRDefault="00C414C9">
      <w:pPr>
        <w:rPr>
          <w:rFonts w:ascii="Arial" w:hAnsi="Arial" w:cs="Arial"/>
          <w:b/>
          <w:sz w:val="22"/>
          <w:szCs w:val="22"/>
          <w:u w:val="single"/>
          <w:lang w:val="cs-CZ" w:bidi="hi-IN"/>
        </w:rPr>
      </w:pPr>
      <w:r w:rsidRPr="00A822B1">
        <w:rPr>
          <w:rFonts w:ascii="Arial" w:hAnsi="Arial" w:cs="Arial"/>
          <w:b/>
          <w:sz w:val="22"/>
          <w:szCs w:val="22"/>
          <w:u w:val="single"/>
          <w:lang w:val="cs-CZ" w:bidi="hi-IN"/>
        </w:rPr>
        <w:t>Výhled</w:t>
      </w:r>
    </w:p>
    <w:p w:rsidR="0007362D" w:rsidRPr="00A822B1" w:rsidRDefault="00C414C9">
      <w:p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 </w:t>
      </w:r>
    </w:p>
    <w:p w:rsidR="0007362D" w:rsidRPr="00A822B1" w:rsidRDefault="00C414C9">
      <w:p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ab/>
        <w:t>Společnost poskytuje výhled na upravené bázi (neodpovídající účetním zásadám GAAP), není totiž možné předpovědět či odhadnout vliv budoucího tržního nacenění penzijních položek</w:t>
      </w:r>
      <w:r w:rsidR="003A1E0A">
        <w:rPr>
          <w:rFonts w:ascii="Arial" w:hAnsi="Arial" w:cs="Arial"/>
          <w:sz w:val="22"/>
          <w:szCs w:val="22"/>
          <w:lang w:val="cs-CZ" w:bidi="hi-IN"/>
        </w:rPr>
        <w:t xml:space="preserve"> na jednotlivých trzích</w:t>
      </w:r>
      <w:r w:rsidRPr="00A822B1">
        <w:rPr>
          <w:rFonts w:ascii="Arial" w:hAnsi="Arial" w:cs="Arial"/>
          <w:sz w:val="22"/>
          <w:szCs w:val="22"/>
          <w:lang w:val="cs-CZ" w:bidi="hi-IN"/>
        </w:rPr>
        <w:t>. Ten je zahrnutý ve vykazovaných výsledcích podle GAAP a může být významný.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 w:bidi="hi-IN"/>
        </w:rPr>
      </w:pPr>
    </w:p>
    <w:p w:rsidR="0007362D" w:rsidRPr="00A822B1" w:rsidRDefault="00C414C9">
      <w:pPr>
        <w:rPr>
          <w:rFonts w:ascii="Arial" w:hAnsi="Arial" w:cs="Arial"/>
          <w:sz w:val="22"/>
          <w:szCs w:val="22"/>
          <w:lang w:val="cs-CZ" w:bidi="hi-IN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ab/>
        <w:t xml:space="preserve">„Výsledky za první čtvrtletí i nadále ukazují na prospěšnost zlepšení našich provozních plánů u všech obchodních jednotek,“ uvedl Richard </w:t>
      </w:r>
      <w:proofErr w:type="spellStart"/>
      <w:r w:rsidRPr="00A822B1">
        <w:rPr>
          <w:rFonts w:ascii="Arial" w:hAnsi="Arial" w:cs="Arial"/>
          <w:sz w:val="22"/>
          <w:szCs w:val="22"/>
          <w:lang w:val="cs-CZ" w:bidi="hi-IN"/>
        </w:rPr>
        <w:t>Peretz</w:t>
      </w:r>
      <w:proofErr w:type="spellEnd"/>
      <w:r w:rsidRPr="00A822B1">
        <w:rPr>
          <w:rFonts w:ascii="Arial" w:hAnsi="Arial" w:cs="Arial"/>
          <w:sz w:val="22"/>
          <w:szCs w:val="22"/>
          <w:lang w:val="cs-CZ" w:bidi="hi-IN"/>
        </w:rPr>
        <w:t xml:space="preserve">, finanční ředitel UPS. „Naše současná dynamika v kombinaci s proinvestičními iniciativami podporuje důvěru v naši schopnost dosáhnout celoročního výhledu.“ 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 w:bidi="hi-IN"/>
        </w:rPr>
      </w:pPr>
      <w:bookmarkStart w:id="0" w:name="_GoBack"/>
      <w:bookmarkEnd w:id="0"/>
    </w:p>
    <w:p w:rsidR="0007362D" w:rsidRPr="00A822B1" w:rsidRDefault="00C414C9">
      <w:pPr>
        <w:pStyle w:val="msolistparagraph0"/>
        <w:numPr>
          <w:ilvl w:val="0"/>
          <w:numId w:val="4"/>
        </w:numPr>
        <w:rPr>
          <w:rFonts w:ascii="Arial" w:hAnsi="Arial" w:cs="Arial"/>
          <w:sz w:val="22"/>
          <w:szCs w:val="22"/>
          <w:lang w:val="cs-CZ"/>
        </w:rPr>
      </w:pPr>
      <w:r w:rsidRPr="00A822B1">
        <w:rPr>
          <w:rFonts w:ascii="Arial" w:hAnsi="Arial" w:cs="Arial"/>
          <w:sz w:val="22"/>
          <w:szCs w:val="22"/>
          <w:lang w:val="cs-CZ" w:bidi="hi-IN"/>
        </w:rPr>
        <w:t xml:space="preserve">UPS očekává </w:t>
      </w:r>
      <w:r w:rsidR="001D6071">
        <w:rPr>
          <w:rFonts w:ascii="Arial" w:hAnsi="Arial" w:cs="Arial"/>
          <w:sz w:val="22"/>
          <w:szCs w:val="22"/>
          <w:lang w:val="cs-CZ" w:bidi="hi-IN"/>
        </w:rPr>
        <w:t xml:space="preserve">v roce 2017 </w:t>
      </w:r>
      <w:r w:rsidRPr="00A822B1">
        <w:rPr>
          <w:rFonts w:ascii="Arial" w:hAnsi="Arial" w:cs="Arial"/>
          <w:sz w:val="22"/>
          <w:szCs w:val="22"/>
          <w:lang w:val="cs-CZ" w:bidi="hi-IN"/>
        </w:rPr>
        <w:t xml:space="preserve">upravený zředěný zisk na akcii v </w:t>
      </w:r>
      <w:r w:rsidRPr="00A822B1">
        <w:rPr>
          <w:rFonts w:ascii="Arial" w:hAnsi="Arial" w:cs="Arial"/>
          <w:sz w:val="22"/>
          <w:szCs w:val="22"/>
          <w:lang w:val="cs-CZ"/>
        </w:rPr>
        <w:t>rozmezí od 5,80 USD do 6,10 USD, který zahrnuje kurzové rezervy ve výši 400 milionů USD, či 0,30 USD na akcii v důsledku nepříznivého vlivu měn před zdaněním.</w:t>
      </w:r>
    </w:p>
    <w:p w:rsidR="0007362D" w:rsidRPr="00A822B1" w:rsidRDefault="0007362D">
      <w:pPr>
        <w:rPr>
          <w:rFonts w:ascii="Arial" w:hAnsi="Arial" w:cs="Arial"/>
          <w:sz w:val="22"/>
          <w:szCs w:val="22"/>
          <w:lang w:val="cs-CZ" w:bidi="hi-IN"/>
        </w:rPr>
      </w:pPr>
    </w:p>
    <w:p w:rsidR="0007362D" w:rsidRPr="00A822B1" w:rsidRDefault="0007362D" w:rsidP="00A822B1">
      <w:pPr>
        <w:rPr>
          <w:rFonts w:ascii="Arial" w:hAnsi="Arial" w:cs="Arial"/>
          <w:sz w:val="22"/>
        </w:rPr>
      </w:pPr>
    </w:p>
    <w:p w:rsidR="0007362D" w:rsidRPr="00A822B1" w:rsidRDefault="00C414C9">
      <w:pPr>
        <w:pStyle w:val="ListParagraph"/>
        <w:ind w:left="0"/>
        <w:rPr>
          <w:rFonts w:ascii="Arial" w:hAnsi="Arial" w:cs="Arial"/>
          <w:sz w:val="22"/>
          <w:lang w:val="cs-CZ"/>
        </w:rPr>
      </w:pPr>
      <w:r w:rsidRPr="00A822B1">
        <w:rPr>
          <w:rFonts w:ascii="Arial" w:hAnsi="Arial" w:cs="Arial"/>
          <w:b/>
          <w:sz w:val="22"/>
          <w:lang w:val="cs-CZ"/>
        </w:rPr>
        <w:t>Společnost UPS</w:t>
      </w:r>
      <w:r w:rsidRPr="00A822B1">
        <w:rPr>
          <w:rFonts w:ascii="Arial" w:hAnsi="Arial" w:cs="Arial"/>
          <w:b/>
          <w:sz w:val="22"/>
          <w:lang w:val="cs-CZ"/>
        </w:rPr>
        <w:br/>
      </w:r>
      <w:r w:rsidRPr="00A822B1">
        <w:rPr>
          <w:rFonts w:ascii="Arial" w:hAnsi="Arial" w:cs="Arial"/>
          <w:sz w:val="22"/>
          <w:lang w:val="cs-CZ"/>
        </w:rPr>
        <w:br/>
      </w:r>
      <w:proofErr w:type="spellStart"/>
      <w:r w:rsidRPr="00A822B1">
        <w:rPr>
          <w:rFonts w:ascii="Arial" w:hAnsi="Arial" w:cs="Arial"/>
          <w:sz w:val="22"/>
          <w:lang w:val="cs-CZ"/>
        </w:rPr>
        <w:t>UPS</w:t>
      </w:r>
      <w:proofErr w:type="spellEnd"/>
      <w:r w:rsidRPr="00A822B1">
        <w:rPr>
          <w:rFonts w:ascii="Arial" w:hAnsi="Arial" w:cs="Arial"/>
          <w:sz w:val="22"/>
          <w:lang w:val="cs-CZ"/>
        </w:rPr>
        <w:t xml:space="preserve"> (</w:t>
      </w:r>
      <w:proofErr w:type="gramStart"/>
      <w:r w:rsidRPr="00A822B1">
        <w:rPr>
          <w:rFonts w:ascii="Arial" w:hAnsi="Arial" w:cs="Arial"/>
          <w:sz w:val="22"/>
          <w:lang w:val="cs-CZ"/>
        </w:rPr>
        <w:t>NYSE:UPS</w:t>
      </w:r>
      <w:proofErr w:type="gramEnd"/>
      <w:r w:rsidRPr="00A822B1">
        <w:rPr>
          <w:rFonts w:ascii="Arial" w:hAnsi="Arial" w:cs="Arial"/>
          <w:sz w:val="22"/>
          <w:lang w:val="cs-CZ"/>
        </w:rPr>
        <w:t>) je světový lídr v oblasti logistiky a nabízí širokou škálu řešení včetně přepravy balíků a nákladní přepravy, usnadnění mezinárodního obchodu a rozvoje pokročilých technologií, díky kterým lze efektivněji řídit dění v obchodním světě. Hlavní sídlo společnosti je v Atlantě, USA. UPS své služby poskytuje ve více než 220 zemích a teritoriích světa. Adresa internetových stránek společnosti je ups.com®, korporátní blog naleznete na longitudes.ups.com. Novinky a zprávy UPS jsou k dispozici na pressroom.ups.com.</w:t>
      </w:r>
    </w:p>
    <w:p w:rsidR="0007362D" w:rsidRPr="00A822B1" w:rsidRDefault="0007362D">
      <w:pPr>
        <w:rPr>
          <w:lang w:val="cs-CZ"/>
        </w:rPr>
      </w:pPr>
    </w:p>
    <w:sectPr w:rsidR="0007362D" w:rsidRPr="00A822B1">
      <w:headerReference w:type="default" r:id="rId10"/>
      <w:footerReference w:type="default" r:id="rId11"/>
      <w:pgSz w:w="12240" w:h="15840"/>
      <w:pgMar w:top="765" w:right="1440" w:bottom="765" w:left="1440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04" w:rsidRDefault="00E13F04">
      <w:r>
        <w:separator/>
      </w:r>
    </w:p>
  </w:endnote>
  <w:endnote w:type="continuationSeparator" w:id="0">
    <w:p w:rsidR="00E13F04" w:rsidRDefault="00E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3626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83E77" w:rsidRPr="00C54883" w:rsidRDefault="00783E77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C54883">
          <w:rPr>
            <w:rFonts w:ascii="Arial" w:hAnsi="Arial" w:cs="Arial"/>
            <w:sz w:val="22"/>
            <w:szCs w:val="22"/>
          </w:rPr>
          <w:fldChar w:fldCharType="begin"/>
        </w:r>
        <w:r w:rsidRPr="00C54883">
          <w:rPr>
            <w:rFonts w:ascii="Arial" w:hAnsi="Arial" w:cs="Arial"/>
            <w:sz w:val="22"/>
            <w:szCs w:val="22"/>
          </w:rPr>
          <w:instrText>PAGE   \* MERGEFORMAT</w:instrText>
        </w:r>
        <w:r w:rsidRPr="00C54883">
          <w:rPr>
            <w:rFonts w:ascii="Arial" w:hAnsi="Arial" w:cs="Arial"/>
            <w:sz w:val="22"/>
            <w:szCs w:val="22"/>
          </w:rPr>
          <w:fldChar w:fldCharType="separate"/>
        </w:r>
        <w:r w:rsidR="00C54883" w:rsidRPr="00C54883">
          <w:rPr>
            <w:rFonts w:ascii="Arial" w:hAnsi="Arial" w:cs="Arial"/>
            <w:noProof/>
            <w:sz w:val="22"/>
            <w:szCs w:val="22"/>
            <w:lang w:val="cs-CZ"/>
          </w:rPr>
          <w:t>4</w:t>
        </w:r>
        <w:r w:rsidRPr="00C5488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7362D" w:rsidRDefault="0007362D">
    <w:pPr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04" w:rsidRDefault="00E13F04">
      <w:r>
        <w:separator/>
      </w:r>
    </w:p>
  </w:footnote>
  <w:footnote w:type="continuationSeparator" w:id="0">
    <w:p w:rsidR="00E13F04" w:rsidRDefault="00E1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2D" w:rsidRDefault="0007362D">
    <w:pPr>
      <w:pStyle w:val="Header"/>
      <w:tabs>
        <w:tab w:val="center" w:pos="0"/>
        <w:tab w:val="left" w:pos="4665"/>
      </w:tabs>
      <w:ind w:left="3240" w:hanging="3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3A3"/>
    <w:multiLevelType w:val="multilevel"/>
    <w:tmpl w:val="C4AA5A92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2A0E9E"/>
    <w:multiLevelType w:val="multilevel"/>
    <w:tmpl w:val="CE0AD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FE3035"/>
    <w:multiLevelType w:val="multilevel"/>
    <w:tmpl w:val="41E69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527CC8"/>
    <w:multiLevelType w:val="multilevel"/>
    <w:tmpl w:val="C37846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9F32685"/>
    <w:multiLevelType w:val="multilevel"/>
    <w:tmpl w:val="F20685F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D"/>
    <w:rsid w:val="00022438"/>
    <w:rsid w:val="0007362D"/>
    <w:rsid w:val="00152EB3"/>
    <w:rsid w:val="00161328"/>
    <w:rsid w:val="001B4496"/>
    <w:rsid w:val="001D6071"/>
    <w:rsid w:val="001E19D0"/>
    <w:rsid w:val="002241CD"/>
    <w:rsid w:val="00267EDD"/>
    <w:rsid w:val="003A1E0A"/>
    <w:rsid w:val="003B4F5F"/>
    <w:rsid w:val="003D7C15"/>
    <w:rsid w:val="0043342F"/>
    <w:rsid w:val="00520791"/>
    <w:rsid w:val="0055347E"/>
    <w:rsid w:val="00573663"/>
    <w:rsid w:val="005B4C66"/>
    <w:rsid w:val="006402B1"/>
    <w:rsid w:val="00670F3E"/>
    <w:rsid w:val="00783E77"/>
    <w:rsid w:val="007A2843"/>
    <w:rsid w:val="007D55DF"/>
    <w:rsid w:val="008A7DD8"/>
    <w:rsid w:val="008E7B2E"/>
    <w:rsid w:val="00A04AAD"/>
    <w:rsid w:val="00A512DB"/>
    <w:rsid w:val="00A82029"/>
    <w:rsid w:val="00A822B1"/>
    <w:rsid w:val="00B250E8"/>
    <w:rsid w:val="00B80ABC"/>
    <w:rsid w:val="00BB6B67"/>
    <w:rsid w:val="00C110ED"/>
    <w:rsid w:val="00C15094"/>
    <w:rsid w:val="00C3641A"/>
    <w:rsid w:val="00C414C9"/>
    <w:rsid w:val="00C54883"/>
    <w:rsid w:val="00C55F39"/>
    <w:rsid w:val="00C907BA"/>
    <w:rsid w:val="00D62B79"/>
    <w:rsid w:val="00DE27D0"/>
    <w:rsid w:val="00E13F04"/>
    <w:rsid w:val="00E808ED"/>
    <w:rsid w:val="00E85294"/>
    <w:rsid w:val="00EE5570"/>
    <w:rsid w:val="00F56E45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D75D59-571A-4E91-9D23-31A0070B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2E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7241CD"/>
    <w:rPr>
      <w:rFonts w:ascii="Cambria" w:hAnsi="Cambria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7241CD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sid w:val="007241CD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locked/>
    <w:rsid w:val="007241CD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sid w:val="007241CD"/>
    <w:rPr>
      <w:rFonts w:ascii="Calibri" w:hAnsi="Calibri"/>
      <w:b/>
      <w:i/>
      <w:sz w:val="26"/>
    </w:rPr>
  </w:style>
  <w:style w:type="character" w:customStyle="1" w:styleId="Internetovodkaz">
    <w:name w:val="Internetový odkaz"/>
    <w:basedOn w:val="DefaultParagraphFont"/>
    <w:uiPriority w:val="99"/>
    <w:rsid w:val="007B74B0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7241C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241C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7241C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1CD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7241CD"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241CD"/>
    <w:rPr>
      <w:sz w:val="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locked/>
    <w:rsid w:val="007241CD"/>
    <w:rPr>
      <w:sz w:val="24"/>
    </w:rPr>
  </w:style>
  <w:style w:type="character" w:customStyle="1" w:styleId="Zdraznn">
    <w:name w:val="Zdůraznění"/>
    <w:basedOn w:val="DefaultParagraphFont"/>
    <w:uiPriority w:val="99"/>
    <w:qFormat/>
    <w:rsid w:val="007B74B0"/>
    <w:rPr>
      <w:rFonts w:cs="Times New Roman"/>
      <w:i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locked/>
    <w:rsid w:val="007241CD"/>
    <w:rPr>
      <w:sz w:val="2"/>
    </w:rPr>
  </w:style>
  <w:style w:type="character" w:styleId="CommentReference">
    <w:name w:val="annotation reference"/>
    <w:basedOn w:val="DefaultParagraphFont"/>
    <w:uiPriority w:val="99"/>
    <w:semiHidden/>
    <w:qFormat/>
    <w:rsid w:val="005C7CBA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7241CD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7241CD"/>
    <w:rPr>
      <w:b/>
      <w:sz w:val="20"/>
    </w:rPr>
  </w:style>
  <w:style w:type="character" w:styleId="FollowedHyperlink">
    <w:name w:val="FollowedHyperlink"/>
    <w:basedOn w:val="DefaultParagraphFont"/>
    <w:uiPriority w:val="99"/>
    <w:qFormat/>
    <w:rsid w:val="0069522D"/>
    <w:rPr>
      <w:rFonts w:cs="Times New Roman"/>
      <w:color w:val="800080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7241CD"/>
    <w:rPr>
      <w:sz w:val="24"/>
    </w:rPr>
  </w:style>
  <w:style w:type="character" w:customStyle="1" w:styleId="DocID">
    <w:name w:val="DocID"/>
    <w:uiPriority w:val="99"/>
    <w:qFormat/>
    <w:rsid w:val="00DD386B"/>
    <w:rPr>
      <w:rFonts w:ascii="Times New Roman" w:hAnsi="Times New Roman"/>
      <w:color w:val="000000"/>
      <w:sz w:val="20"/>
      <w:u w:val="none"/>
    </w:rPr>
  </w:style>
  <w:style w:type="character" w:styleId="PlaceholderText">
    <w:name w:val="Placeholder Text"/>
    <w:basedOn w:val="DefaultParagraphFont"/>
    <w:uiPriority w:val="99"/>
    <w:semiHidden/>
    <w:qFormat/>
    <w:rsid w:val="00DD386B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sid w:val="00DE18FB"/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DE18F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qFormat/>
    <w:locked/>
    <w:rsid w:val="00827F59"/>
    <w:rPr>
      <w:rFonts w:cs="Times New Roman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qFormat/>
    <w:rsid w:val="007B74B0"/>
    <w:pPr>
      <w:spacing w:after="120" w:line="480" w:lineRule="auto"/>
    </w:pPr>
  </w:style>
  <w:style w:type="paragraph" w:customStyle="1" w:styleId="DefaultText">
    <w:name w:val="Default Text"/>
    <w:basedOn w:val="Normal"/>
    <w:uiPriority w:val="99"/>
    <w:qFormat/>
    <w:rsid w:val="007B74B0"/>
    <w:pPr>
      <w:textAlignment w:val="baseline"/>
    </w:pPr>
    <w:rPr>
      <w:szCs w:val="20"/>
    </w:rPr>
  </w:style>
  <w:style w:type="paragraph" w:styleId="BodyText3">
    <w:name w:val="Body Text 3"/>
    <w:basedOn w:val="Normal"/>
    <w:link w:val="BodyText3Char"/>
    <w:uiPriority w:val="99"/>
    <w:qFormat/>
    <w:rsid w:val="007B74B0"/>
    <w:pPr>
      <w:jc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B74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paragraph" w:customStyle="1" w:styleId="Style">
    <w:name w:val="Style"/>
    <w:basedOn w:val="Normal"/>
    <w:uiPriority w:val="99"/>
    <w:qFormat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qFormat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qFormat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5C7CBA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5C7CBA"/>
    <w:rPr>
      <w:b/>
      <w:bCs/>
    </w:rPr>
  </w:style>
  <w:style w:type="paragraph" w:styleId="NormalWeb">
    <w:name w:val="Normal (Web)"/>
    <w:basedOn w:val="Normal"/>
    <w:uiPriority w:val="99"/>
    <w:qFormat/>
    <w:rsid w:val="00297BF7"/>
    <w:pPr>
      <w:spacing w:beforeAutospacing="1" w:afterAutospacing="1"/>
    </w:pPr>
  </w:style>
  <w:style w:type="paragraph" w:styleId="Date">
    <w:name w:val="Date"/>
    <w:basedOn w:val="Normal"/>
    <w:next w:val="Normal"/>
    <w:link w:val="DateChar"/>
    <w:uiPriority w:val="99"/>
    <w:qFormat/>
    <w:rsid w:val="006D2429"/>
  </w:style>
  <w:style w:type="paragraph" w:styleId="Revision">
    <w:name w:val="Revision"/>
    <w:uiPriority w:val="99"/>
    <w:semiHidden/>
    <w:qFormat/>
    <w:rsid w:val="009627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E22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DE18FB"/>
    <w:rPr>
      <w:sz w:val="20"/>
      <w:szCs w:val="20"/>
    </w:rPr>
  </w:style>
  <w:style w:type="paragraph" w:customStyle="1" w:styleId="msonospacing0">
    <w:name w:val="msonospacing"/>
    <w:uiPriority w:val="99"/>
    <w:qFormat/>
    <w:rsid w:val="00827F59"/>
    <w:pPr>
      <w:suppressAutoHyphens/>
      <w:spacing w:line="100" w:lineRule="atLeast"/>
    </w:pPr>
    <w:rPr>
      <w:rFonts w:ascii="Calibri" w:hAnsi="Calibri" w:cs="Calibri"/>
      <w:sz w:val="24"/>
      <w:lang w:val="en-US" w:eastAsia="zh-CN"/>
    </w:rPr>
  </w:style>
  <w:style w:type="paragraph" w:customStyle="1" w:styleId="msolistparagraph0">
    <w:name w:val="msolistparagraph"/>
    <w:basedOn w:val="Normal"/>
    <w:uiPriority w:val="99"/>
    <w:qFormat/>
    <w:rsid w:val="0082067C"/>
    <w:pPr>
      <w:ind w:left="720"/>
      <w:contextualSpacing/>
    </w:p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99"/>
    <w:rsid w:val="00607F1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0992-1402-4AF6-B607-BCBFD71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1220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Krejčí</cp:lastModifiedBy>
  <cp:revision>4</cp:revision>
  <cp:lastPrinted>2017-04-28T14:04:00Z</cp:lastPrinted>
  <dcterms:created xsi:type="dcterms:W3CDTF">2017-05-04T12:11:00Z</dcterms:created>
  <dcterms:modified xsi:type="dcterms:W3CDTF">2017-05-10T08:37:00Z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