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D7" w:rsidRPr="000E75D7" w:rsidRDefault="00850BA1" w:rsidP="000E75D7">
      <w:pPr>
        <w:rPr>
          <w:rFonts w:ascii="Arial" w:hAnsi="Arial" w:cs="Arial"/>
          <w:sz w:val="20"/>
          <w:lang w:val="en-US"/>
        </w:rPr>
      </w:pPr>
      <w:r w:rsidRPr="00C10172">
        <w:rPr>
          <w:rFonts w:ascii="Arial" w:hAnsi="Arial" w:cs="Arial"/>
          <w:noProof/>
        </w:rPr>
        <w:drawing>
          <wp:anchor distT="0" distB="0" distL="114300" distR="114300" simplePos="0" relativeHeight="251659264" behindDoc="0" locked="0" layoutInCell="1" allowOverlap="1" wp14:anchorId="2E9FA08B" wp14:editId="3CDEC3C5">
            <wp:simplePos x="0" y="0"/>
            <wp:positionH relativeFrom="margin">
              <wp:posOffset>4467225</wp:posOffset>
            </wp:positionH>
            <wp:positionV relativeFrom="paragraph">
              <wp:posOffset>-57150</wp:posOffset>
            </wp:positionV>
            <wp:extent cx="847725" cy="958215"/>
            <wp:effectExtent l="0" t="0" r="0" b="0"/>
            <wp:wrapSquare wrapText="bothSides"/>
            <wp:docPr id="5" name="Picture 3" descr="C:\Users\vlf4jhl\Desktop\Miscellaneous\UPS Shield 2017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f4jhl\Desktop\Miscellaneous\UPS Shield 2017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000E75D7" w:rsidRPr="000E75D7">
        <w:rPr>
          <w:rFonts w:ascii="Arial" w:hAnsi="Arial" w:cs="Arial"/>
          <w:sz w:val="20"/>
          <w:lang w:val="en-US"/>
        </w:rPr>
        <w:t>Contacts:</w:t>
      </w:r>
      <w:r w:rsidR="00D30B92">
        <w:rPr>
          <w:rFonts w:ascii="Arial" w:hAnsi="Arial" w:cs="Arial"/>
          <w:sz w:val="16"/>
          <w:szCs w:val="16"/>
          <w:lang w:val="en-US"/>
        </w:rPr>
        <w:tab/>
      </w:r>
      <w:r w:rsidR="000E75D7" w:rsidRPr="000E75D7">
        <w:rPr>
          <w:rFonts w:ascii="Arial" w:hAnsi="Arial" w:cs="Arial"/>
          <w:sz w:val="20"/>
          <w:lang w:val="en-US"/>
        </w:rPr>
        <w:t xml:space="preserve">Glenn </w:t>
      </w:r>
      <w:proofErr w:type="spellStart"/>
      <w:r w:rsidR="000E75D7" w:rsidRPr="000E75D7">
        <w:rPr>
          <w:rFonts w:ascii="Arial" w:hAnsi="Arial" w:cs="Arial"/>
          <w:sz w:val="20"/>
          <w:lang w:val="en-US"/>
        </w:rPr>
        <w:t>Zaccara</w:t>
      </w:r>
      <w:proofErr w:type="spellEnd"/>
      <w:r w:rsidR="000E75D7" w:rsidRPr="000E75D7">
        <w:rPr>
          <w:rFonts w:ascii="Arial" w:hAnsi="Arial" w:cs="Arial"/>
          <w:sz w:val="20"/>
          <w:lang w:val="en-US"/>
        </w:rPr>
        <w:t xml:space="preserve">, Public Relations </w:t>
      </w:r>
    </w:p>
    <w:p w:rsidR="000E75D7" w:rsidRDefault="000E75D7" w:rsidP="00D30B92">
      <w:pPr>
        <w:ind w:left="720" w:firstLine="720"/>
        <w:rPr>
          <w:rFonts w:ascii="Arial" w:hAnsi="Arial" w:cs="Arial"/>
          <w:sz w:val="20"/>
          <w:lang w:val="en-US"/>
        </w:rPr>
      </w:pPr>
      <w:r w:rsidRPr="000E75D7">
        <w:rPr>
          <w:rFonts w:ascii="Arial" w:hAnsi="Arial" w:cs="Arial"/>
          <w:sz w:val="20"/>
          <w:lang w:val="en-US"/>
        </w:rPr>
        <w:t>+1 404-828-4663</w:t>
      </w:r>
      <w:r w:rsidR="00D30B92">
        <w:rPr>
          <w:rFonts w:ascii="Arial" w:hAnsi="Arial" w:cs="Arial"/>
          <w:sz w:val="20"/>
          <w:lang w:val="en-US"/>
        </w:rPr>
        <w:t>¨</w:t>
      </w:r>
    </w:p>
    <w:p w:rsidR="00D30B92" w:rsidRPr="000E75D7" w:rsidRDefault="00D30B92" w:rsidP="00D30B92">
      <w:pPr>
        <w:ind w:left="720" w:firstLine="720"/>
        <w:rPr>
          <w:rFonts w:ascii="Arial" w:hAnsi="Arial" w:cs="Arial"/>
          <w:sz w:val="20"/>
          <w:lang w:val="en-US"/>
        </w:rPr>
      </w:pPr>
    </w:p>
    <w:p w:rsidR="000E75D7" w:rsidRPr="000E75D7" w:rsidRDefault="000E75D7" w:rsidP="000E75D7">
      <w:pPr>
        <w:keepNext/>
        <w:ind w:left="720" w:firstLine="720"/>
        <w:outlineLvl w:val="3"/>
        <w:rPr>
          <w:rFonts w:ascii="Arial" w:hAnsi="Arial" w:cs="Arial"/>
          <w:sz w:val="20"/>
          <w:lang w:val="en-US"/>
        </w:rPr>
      </w:pPr>
      <w:r w:rsidRPr="000E75D7">
        <w:rPr>
          <w:rFonts w:ascii="Arial" w:hAnsi="Arial" w:cs="Arial"/>
          <w:sz w:val="20"/>
          <w:lang w:val="en-US"/>
        </w:rPr>
        <w:t>Scott Childress, Investor Relations</w:t>
      </w:r>
    </w:p>
    <w:p w:rsidR="00D30B92" w:rsidRPr="000E75D7" w:rsidRDefault="000E75D7" w:rsidP="00D30B92">
      <w:pPr>
        <w:ind w:left="720" w:firstLine="720"/>
        <w:rPr>
          <w:rFonts w:ascii="Arial" w:hAnsi="Arial" w:cs="Arial"/>
          <w:sz w:val="20"/>
          <w:lang w:val="en-US"/>
        </w:rPr>
      </w:pPr>
      <w:r w:rsidRPr="000E75D7">
        <w:rPr>
          <w:rFonts w:ascii="Arial" w:hAnsi="Arial" w:cs="Arial"/>
          <w:sz w:val="20"/>
          <w:lang w:val="en-US"/>
        </w:rPr>
        <w:t>+1 404-828-7957 </w:t>
      </w:r>
    </w:p>
    <w:p w:rsidR="000E75D7" w:rsidRPr="000E75D7" w:rsidRDefault="000E75D7" w:rsidP="000E75D7">
      <w:pPr>
        <w:rPr>
          <w:rFonts w:ascii="Arial" w:hAnsi="Arial" w:cs="Arial"/>
          <w:sz w:val="18"/>
          <w:szCs w:val="18"/>
          <w:lang w:val="en-US"/>
        </w:rPr>
      </w:pPr>
    </w:p>
    <w:p w:rsidR="000E75D7" w:rsidRPr="000E75D7" w:rsidRDefault="000E75D7" w:rsidP="000E75D7">
      <w:pPr>
        <w:rPr>
          <w:rFonts w:ascii="Arial" w:hAnsi="Arial" w:cs="Arial"/>
          <w:sz w:val="18"/>
          <w:szCs w:val="18"/>
          <w:lang w:val="en-US"/>
        </w:rPr>
      </w:pPr>
    </w:p>
    <w:p w:rsidR="00850BA1" w:rsidRDefault="00850BA1" w:rsidP="000E75D7">
      <w:pPr>
        <w:jc w:val="center"/>
        <w:rPr>
          <w:rFonts w:ascii="Arial" w:hAnsi="Arial" w:cs="Arial"/>
          <w:b/>
          <w:bCs/>
          <w:sz w:val="32"/>
          <w:szCs w:val="32"/>
          <w:lang w:val="en-US"/>
        </w:rPr>
      </w:pPr>
    </w:p>
    <w:p w:rsidR="000E75D7" w:rsidRPr="000E75D7" w:rsidRDefault="000E75D7" w:rsidP="000E75D7">
      <w:pPr>
        <w:jc w:val="center"/>
        <w:rPr>
          <w:rFonts w:ascii="Arial" w:hAnsi="Arial" w:cs="Arial"/>
          <w:b/>
          <w:bCs/>
          <w:sz w:val="32"/>
          <w:szCs w:val="32"/>
          <w:lang w:val="en-US"/>
        </w:rPr>
      </w:pPr>
      <w:r w:rsidRPr="000E75D7">
        <w:rPr>
          <w:rFonts w:ascii="Arial" w:hAnsi="Arial" w:cs="Arial"/>
          <w:b/>
          <w:bCs/>
          <w:sz w:val="32"/>
          <w:szCs w:val="32"/>
          <w:lang w:val="en-US"/>
        </w:rPr>
        <w:t>UPS RELEASES 1Q 2020 EARNINGS</w:t>
      </w:r>
    </w:p>
    <w:p w:rsidR="000E75D7" w:rsidRPr="000E75D7" w:rsidRDefault="000E75D7" w:rsidP="000E75D7">
      <w:pPr>
        <w:ind w:left="90"/>
        <w:jc w:val="center"/>
        <w:rPr>
          <w:rFonts w:ascii="Arial" w:hAnsi="Arial" w:cs="Arial"/>
          <w:i/>
          <w:iCs/>
          <w:sz w:val="24"/>
          <w:szCs w:val="24"/>
          <w:lang w:val="en-US"/>
        </w:rPr>
      </w:pPr>
      <w:r w:rsidRPr="000E75D7">
        <w:rPr>
          <w:rFonts w:ascii="Arial" w:hAnsi="Arial" w:cs="Arial"/>
          <w:i/>
          <w:iCs/>
          <w:szCs w:val="22"/>
          <w:lang w:val="en-US"/>
        </w:rPr>
        <w:t>UPS Expertise and Flexible Global Network Keep Supply Chains Moving</w:t>
      </w:r>
    </w:p>
    <w:p w:rsidR="000E75D7" w:rsidRPr="000E75D7" w:rsidRDefault="000E75D7" w:rsidP="000E75D7">
      <w:pPr>
        <w:rPr>
          <w:rFonts w:ascii="Arial" w:hAnsi="Arial" w:cs="Arial"/>
          <w:i/>
          <w:iCs/>
          <w:szCs w:val="22"/>
          <w:lang w:val="en-US"/>
        </w:rPr>
      </w:pPr>
    </w:p>
    <w:p w:rsidR="000E75D7" w:rsidRPr="000E75D7" w:rsidRDefault="000E75D7" w:rsidP="000E75D7">
      <w:pPr>
        <w:numPr>
          <w:ilvl w:val="0"/>
          <w:numId w:val="28"/>
        </w:numPr>
        <w:ind w:left="450"/>
        <w:contextualSpacing/>
        <w:rPr>
          <w:rFonts w:ascii="Times New Roman" w:hAnsi="Times New Roman"/>
          <w:sz w:val="20"/>
          <w:lang w:val="en-US"/>
        </w:rPr>
      </w:pPr>
      <w:r w:rsidRPr="000E75D7">
        <w:rPr>
          <w:rFonts w:ascii="Arial" w:hAnsi="Arial" w:cs="Arial"/>
          <w:b/>
          <w:bCs/>
          <w:i/>
          <w:iCs/>
          <w:color w:val="000000"/>
          <w:sz w:val="20"/>
          <w:lang w:val="en-US"/>
        </w:rPr>
        <w:t>Focused on the Health and Safety of Employees and the Public</w:t>
      </w:r>
    </w:p>
    <w:p w:rsidR="000E75D7" w:rsidRPr="000E75D7" w:rsidRDefault="000E75D7" w:rsidP="000E75D7">
      <w:pPr>
        <w:numPr>
          <w:ilvl w:val="0"/>
          <w:numId w:val="28"/>
        </w:numPr>
        <w:ind w:left="450"/>
        <w:contextualSpacing/>
        <w:rPr>
          <w:rFonts w:ascii="Arial" w:hAnsi="Arial" w:cs="Arial"/>
          <w:b/>
          <w:bCs/>
          <w:i/>
          <w:iCs/>
          <w:color w:val="000000"/>
          <w:sz w:val="20"/>
          <w:lang w:val="en-US"/>
        </w:rPr>
      </w:pPr>
      <w:r w:rsidRPr="000E75D7">
        <w:rPr>
          <w:rFonts w:ascii="Arial" w:hAnsi="Arial" w:cs="Arial"/>
          <w:b/>
          <w:bCs/>
          <w:i/>
          <w:iCs/>
          <w:color w:val="000000"/>
          <w:sz w:val="20"/>
          <w:lang w:val="en-US"/>
        </w:rPr>
        <w:t>Supported Customers with Near Record On-Time Service</w:t>
      </w:r>
    </w:p>
    <w:p w:rsidR="000E75D7" w:rsidRPr="000E75D7" w:rsidRDefault="000E75D7" w:rsidP="000E75D7">
      <w:pPr>
        <w:numPr>
          <w:ilvl w:val="0"/>
          <w:numId w:val="28"/>
        </w:numPr>
        <w:ind w:left="450"/>
        <w:contextualSpacing/>
        <w:rPr>
          <w:rFonts w:ascii="Arial" w:hAnsi="Arial" w:cs="Arial"/>
          <w:b/>
          <w:bCs/>
          <w:i/>
          <w:iCs/>
          <w:sz w:val="20"/>
          <w:lang w:val="en-US"/>
        </w:rPr>
      </w:pPr>
      <w:r w:rsidRPr="000E75D7">
        <w:rPr>
          <w:rFonts w:ascii="Arial" w:hAnsi="Arial" w:cs="Arial"/>
          <w:b/>
          <w:bCs/>
          <w:i/>
          <w:iCs/>
          <w:sz w:val="20"/>
          <w:lang w:val="en-US"/>
        </w:rPr>
        <w:t xml:space="preserve">COVID-19 Weighed on First-Quarter Results </w:t>
      </w:r>
    </w:p>
    <w:p w:rsidR="000E75D7" w:rsidRPr="000E75D7" w:rsidRDefault="000E75D7" w:rsidP="000E75D7">
      <w:pPr>
        <w:numPr>
          <w:ilvl w:val="0"/>
          <w:numId w:val="28"/>
        </w:numPr>
        <w:ind w:left="450"/>
        <w:contextualSpacing/>
        <w:rPr>
          <w:rFonts w:ascii="Arial" w:hAnsi="Arial" w:cs="Arial"/>
          <w:sz w:val="20"/>
          <w:lang w:val="en-US"/>
        </w:rPr>
      </w:pPr>
      <w:r w:rsidRPr="000E75D7">
        <w:rPr>
          <w:rFonts w:ascii="Arial" w:hAnsi="Arial" w:cs="Arial"/>
          <w:b/>
          <w:bCs/>
          <w:i/>
          <w:iCs/>
          <w:sz w:val="20"/>
          <w:lang w:val="en-US"/>
        </w:rPr>
        <w:t>Cash from Operations of $2.6B; Adjusted* Free Cash Flow of $1.6B</w:t>
      </w:r>
    </w:p>
    <w:p w:rsidR="000E75D7" w:rsidRPr="000E75D7" w:rsidRDefault="000E75D7" w:rsidP="000E75D7">
      <w:pPr>
        <w:numPr>
          <w:ilvl w:val="0"/>
          <w:numId w:val="28"/>
        </w:numPr>
        <w:ind w:left="450"/>
        <w:contextualSpacing/>
        <w:rPr>
          <w:rFonts w:ascii="Arial" w:hAnsi="Arial" w:cs="Arial"/>
          <w:sz w:val="20"/>
          <w:lang w:val="en-US"/>
        </w:rPr>
      </w:pPr>
      <w:r w:rsidRPr="000E75D7">
        <w:rPr>
          <w:rFonts w:ascii="Arial" w:hAnsi="Arial" w:cs="Arial"/>
          <w:b/>
          <w:bCs/>
          <w:i/>
          <w:iCs/>
          <w:sz w:val="20"/>
          <w:lang w:val="en-US"/>
        </w:rPr>
        <w:t xml:space="preserve">UPS Liquidity and Financial Condition Remain Strong </w:t>
      </w:r>
    </w:p>
    <w:p w:rsidR="000E75D7" w:rsidRPr="000E75D7" w:rsidRDefault="000E75D7" w:rsidP="000E75D7">
      <w:pPr>
        <w:rPr>
          <w:rFonts w:ascii="Arial" w:hAnsi="Arial" w:cs="Arial"/>
          <w:szCs w:val="22"/>
          <w:lang w:val="en-US"/>
        </w:rPr>
      </w:pPr>
    </w:p>
    <w:p w:rsidR="000E75D7" w:rsidRPr="000E75D7" w:rsidRDefault="000E75D7" w:rsidP="000E75D7">
      <w:pPr>
        <w:rPr>
          <w:rFonts w:ascii="Arial" w:hAnsi="Arial" w:cs="Arial"/>
          <w:szCs w:val="22"/>
          <w:lang w:val="en-US"/>
        </w:rPr>
      </w:pPr>
      <w:r w:rsidRPr="000E75D7">
        <w:rPr>
          <w:rFonts w:ascii="Arial" w:hAnsi="Arial" w:cs="Arial"/>
          <w:b/>
          <w:bCs/>
          <w:szCs w:val="22"/>
          <w:lang w:val="en-US"/>
        </w:rPr>
        <w:t>ATLANTA, April 28, 2020</w:t>
      </w:r>
      <w:r w:rsidRPr="000E75D7">
        <w:rPr>
          <w:rFonts w:ascii="Arial" w:hAnsi="Arial" w:cs="Arial"/>
          <w:szCs w:val="22"/>
          <w:lang w:val="en-US"/>
        </w:rPr>
        <w:t xml:space="preserve"> – UPS (NYSE:UPS) today announced first-quarter 2020 diluted earnings per share of $1.11 and adjusted diluted earnings per share of $1.15.  The company’s results were adversely affected by the disruption to customers from the global coronavirus pandemic.  </w:t>
      </w:r>
    </w:p>
    <w:p w:rsidR="000E75D7" w:rsidRPr="000E75D7" w:rsidRDefault="000E75D7" w:rsidP="000E75D7">
      <w:pPr>
        <w:rPr>
          <w:rFonts w:ascii="Arial" w:hAnsi="Arial" w:cs="Arial"/>
          <w:szCs w:val="22"/>
          <w:lang w:val="en-US"/>
        </w:rPr>
      </w:pPr>
    </w:p>
    <w:p w:rsidR="000E75D7" w:rsidRPr="000E75D7" w:rsidRDefault="000E75D7" w:rsidP="000E75D7">
      <w:pPr>
        <w:rPr>
          <w:rFonts w:ascii="Arial" w:hAnsi="Arial" w:cs="Arial"/>
          <w:szCs w:val="22"/>
          <w:lang w:val="en-US"/>
        </w:rPr>
      </w:pPr>
      <w:r w:rsidRPr="000E75D7">
        <w:rPr>
          <w:rFonts w:ascii="Arial" w:hAnsi="Arial" w:cs="Arial"/>
          <w:szCs w:val="22"/>
          <w:lang w:val="en"/>
        </w:rPr>
        <w:t>UPS</w:t>
      </w:r>
      <w:r w:rsidRPr="000E75D7">
        <w:rPr>
          <w:rFonts w:ascii="Arial" w:hAnsi="Arial" w:cs="Arial"/>
          <w:szCs w:val="22"/>
          <w:lang w:val="en-US"/>
        </w:rPr>
        <w:t xml:space="preserve"> has been </w:t>
      </w:r>
      <w:r w:rsidRPr="000E75D7">
        <w:rPr>
          <w:rFonts w:ascii="Arial" w:hAnsi="Arial" w:cs="Arial"/>
          <w:szCs w:val="22"/>
          <w:lang w:val="en"/>
        </w:rPr>
        <w:t xml:space="preserve">designated by governments around the world as a Critical Infrastructure Business and continues to operate in all major countries, while adhering to additional regulatory requirements.  In the U.S., the company is also </w:t>
      </w:r>
      <w:proofErr w:type="gramStart"/>
      <w:r w:rsidRPr="000E75D7">
        <w:rPr>
          <w:rFonts w:ascii="Arial" w:hAnsi="Arial" w:cs="Arial"/>
          <w:szCs w:val="22"/>
          <w:lang w:val="en-US"/>
        </w:rPr>
        <w:t>front</w:t>
      </w:r>
      <w:proofErr w:type="gramEnd"/>
      <w:r w:rsidRPr="000E75D7">
        <w:rPr>
          <w:rFonts w:ascii="Arial" w:hAnsi="Arial" w:cs="Arial"/>
          <w:szCs w:val="22"/>
          <w:lang w:val="en-US"/>
        </w:rPr>
        <w:t xml:space="preserve"> and center in leading the pandemic logistics response for the Federal Emergency Management Agency (FEMA) and other federal and state government agencies.  As a logistics leader, UPS is supporting FEMA and its Project </w:t>
      </w:r>
      <w:proofErr w:type="spellStart"/>
      <w:r w:rsidRPr="000E75D7">
        <w:rPr>
          <w:rFonts w:ascii="Arial" w:hAnsi="Arial" w:cs="Arial"/>
          <w:szCs w:val="22"/>
          <w:lang w:val="en-US"/>
        </w:rPr>
        <w:t>Airbridge</w:t>
      </w:r>
      <w:proofErr w:type="spellEnd"/>
      <w:r w:rsidRPr="000E75D7">
        <w:rPr>
          <w:rFonts w:ascii="Arial" w:hAnsi="Arial" w:cs="Arial"/>
          <w:szCs w:val="22"/>
          <w:lang w:val="en-US"/>
        </w:rPr>
        <w:t xml:space="preserve"> by managing charter flights around the globe.  UPS has delivered several million pounds of Personal Protective Equipment for FEMA into dedicated UPS distribution space.  </w:t>
      </w:r>
      <w:proofErr w:type="gramStart"/>
      <w:r w:rsidRPr="000E75D7">
        <w:rPr>
          <w:rFonts w:ascii="Arial" w:hAnsi="Arial" w:cs="Arial"/>
          <w:szCs w:val="22"/>
          <w:lang w:val="en-US"/>
        </w:rPr>
        <w:t xml:space="preserve">In addition, as part of FEMA’s Project </w:t>
      </w:r>
      <w:proofErr w:type="spellStart"/>
      <w:r w:rsidRPr="000E75D7">
        <w:rPr>
          <w:rFonts w:ascii="Arial" w:hAnsi="Arial" w:cs="Arial"/>
          <w:szCs w:val="22"/>
          <w:lang w:val="en-US"/>
        </w:rPr>
        <w:t>Airbridge</w:t>
      </w:r>
      <w:proofErr w:type="spellEnd"/>
      <w:r w:rsidRPr="000E75D7">
        <w:rPr>
          <w:rFonts w:ascii="Arial" w:hAnsi="Arial" w:cs="Arial"/>
          <w:szCs w:val="22"/>
          <w:lang w:val="en-US"/>
        </w:rPr>
        <w:t xml:space="preserve"> and other healthcare-related missions, in April the company increased the number of flights by over 200 to transport critical life-saving cargo to the U.S. and Europe.</w:t>
      </w:r>
      <w:proofErr w:type="gramEnd"/>
      <w:r w:rsidRPr="000E75D7">
        <w:rPr>
          <w:rFonts w:ascii="Arial" w:hAnsi="Arial" w:cs="Arial"/>
          <w:szCs w:val="22"/>
          <w:lang w:val="en-US"/>
        </w:rPr>
        <w:t xml:space="preserve"> </w:t>
      </w:r>
    </w:p>
    <w:p w:rsidR="000E75D7" w:rsidRPr="000E75D7" w:rsidRDefault="000E75D7" w:rsidP="000E75D7">
      <w:pPr>
        <w:rPr>
          <w:rFonts w:ascii="Arial" w:hAnsi="Arial" w:cs="Arial"/>
          <w:szCs w:val="22"/>
          <w:lang w:val="en-US"/>
        </w:rPr>
      </w:pPr>
    </w:p>
    <w:p w:rsidR="000E75D7" w:rsidRPr="000E75D7" w:rsidRDefault="000E75D7" w:rsidP="000E75D7">
      <w:pPr>
        <w:rPr>
          <w:rFonts w:ascii="Arial" w:hAnsi="Arial" w:cs="Arial"/>
          <w:szCs w:val="22"/>
          <w:lang w:val="en-US"/>
        </w:rPr>
      </w:pPr>
      <w:r w:rsidRPr="000E75D7">
        <w:rPr>
          <w:rFonts w:ascii="Arial" w:hAnsi="Arial" w:cs="Arial"/>
          <w:szCs w:val="22"/>
          <w:lang w:val="en-US"/>
        </w:rPr>
        <w:t xml:space="preserve">“I want to thank all 495,000 </w:t>
      </w:r>
      <w:proofErr w:type="spellStart"/>
      <w:r w:rsidRPr="000E75D7">
        <w:rPr>
          <w:rFonts w:ascii="Arial" w:hAnsi="Arial" w:cs="Arial"/>
          <w:szCs w:val="22"/>
          <w:lang w:val="en-US"/>
        </w:rPr>
        <w:t>UPSers</w:t>
      </w:r>
      <w:proofErr w:type="spellEnd"/>
      <w:r w:rsidRPr="000E75D7">
        <w:rPr>
          <w:rFonts w:ascii="Arial" w:hAnsi="Arial" w:cs="Arial"/>
          <w:szCs w:val="22"/>
          <w:lang w:val="en-US"/>
        </w:rPr>
        <w:t xml:space="preserve"> for their extraordinary efforts to leverage the full power of our global network in the fight against the </w:t>
      </w:r>
      <w:r w:rsidRPr="000E75D7">
        <w:rPr>
          <w:rFonts w:ascii="Arial" w:hAnsi="Arial" w:cs="Arial"/>
          <w:szCs w:val="22"/>
          <w:lang w:val="en"/>
        </w:rPr>
        <w:t xml:space="preserve">coronavirus pandemic, </w:t>
      </w:r>
      <w:r w:rsidRPr="000E75D7">
        <w:rPr>
          <w:rFonts w:ascii="Arial" w:hAnsi="Arial" w:cs="Arial"/>
          <w:szCs w:val="22"/>
          <w:lang w:val="en-US"/>
        </w:rPr>
        <w:t xml:space="preserve">keeping critical goods moving for businesses and consumers globally,” said David Abney, UPS chairman and CEO.  “The world is counting on UPS more than ever before as we </w:t>
      </w:r>
      <w:r w:rsidRPr="000E75D7">
        <w:rPr>
          <w:rFonts w:ascii="Arial" w:hAnsi="Arial" w:cs="Arial"/>
          <w:szCs w:val="22"/>
          <w:lang w:val="en"/>
        </w:rPr>
        <w:t>support the people on the front lines of this crisis and our customers with speed, ingenuity and reliability.</w:t>
      </w:r>
      <w:r w:rsidRPr="000E75D7">
        <w:rPr>
          <w:rFonts w:ascii="Arial" w:hAnsi="Arial" w:cs="Arial"/>
          <w:szCs w:val="22"/>
          <w:lang w:val="en-US"/>
        </w:rPr>
        <w:t xml:space="preserve">” </w:t>
      </w:r>
    </w:p>
    <w:p w:rsidR="000E75D7" w:rsidRPr="000E75D7" w:rsidRDefault="000E75D7" w:rsidP="000E75D7">
      <w:pPr>
        <w:rPr>
          <w:rFonts w:ascii="Arial" w:hAnsi="Arial" w:cs="Arial"/>
          <w:szCs w:val="22"/>
          <w:lang w:val="en-US"/>
        </w:rPr>
      </w:pPr>
    </w:p>
    <w:p w:rsidR="000E75D7" w:rsidRPr="000E75D7" w:rsidRDefault="000E75D7" w:rsidP="000E75D7">
      <w:pPr>
        <w:rPr>
          <w:rFonts w:ascii="Arial" w:hAnsi="Arial" w:cs="Arial"/>
          <w:szCs w:val="22"/>
          <w:lang w:val="en-US"/>
        </w:rPr>
      </w:pPr>
      <w:r w:rsidRPr="000E75D7">
        <w:rPr>
          <w:rFonts w:ascii="Arial" w:hAnsi="Arial" w:cs="Arial"/>
          <w:szCs w:val="22"/>
          <w:lang w:val="en-US"/>
        </w:rPr>
        <w:t>In the first quarter of 2020, the company incurred a pre-tax transformation charge of $45 million, or $0.04 per share after tax.  First-quarter 2019 adjusted results excluded a pre-tax charge of $123 million, or $0.11 per share after tax, from transformation-related charges.</w:t>
      </w:r>
    </w:p>
    <w:p w:rsidR="000E75D7" w:rsidRPr="000E75D7" w:rsidRDefault="000E75D7" w:rsidP="000E75D7">
      <w:pPr>
        <w:rPr>
          <w:rFonts w:ascii="Arial" w:hAnsi="Arial" w:cs="Arial"/>
          <w:szCs w:val="22"/>
          <w:lang w:val="en-US"/>
        </w:rPr>
      </w:pPr>
    </w:p>
    <w:p w:rsidR="000E75D7" w:rsidRPr="000E75D7" w:rsidRDefault="000E75D7" w:rsidP="000E75D7">
      <w:pPr>
        <w:rPr>
          <w:rFonts w:ascii="Arial" w:hAnsi="Arial" w:cs="Arial"/>
          <w:szCs w:val="22"/>
          <w:lang w:val="en-US"/>
        </w:rPr>
      </w:pPr>
    </w:p>
    <w:tbl>
      <w:tblPr>
        <w:tblW w:w="8472" w:type="dxa"/>
        <w:tblCellMar>
          <w:left w:w="0" w:type="dxa"/>
          <w:right w:w="0" w:type="dxa"/>
        </w:tblCellMar>
        <w:tblLook w:val="04A0" w:firstRow="1" w:lastRow="0" w:firstColumn="1" w:lastColumn="0" w:noHBand="0" w:noVBand="1"/>
      </w:tblPr>
      <w:tblGrid>
        <w:gridCol w:w="2943"/>
        <w:gridCol w:w="1276"/>
        <w:gridCol w:w="1559"/>
        <w:gridCol w:w="1418"/>
        <w:gridCol w:w="1276"/>
      </w:tblGrid>
      <w:tr w:rsidR="00850BA1" w:rsidRPr="000E75D7" w:rsidTr="00850BA1">
        <w:trPr>
          <w:trHeight w:val="503"/>
        </w:trPr>
        <w:tc>
          <w:tcPr>
            <w:tcW w:w="2943" w:type="dxa"/>
            <w:tcMar>
              <w:top w:w="0" w:type="dxa"/>
              <w:left w:w="108" w:type="dxa"/>
              <w:bottom w:w="0" w:type="dxa"/>
              <w:right w:w="108" w:type="dxa"/>
            </w:tcMar>
            <w:hideMark/>
          </w:tcPr>
          <w:p w:rsidR="000E75D7" w:rsidRPr="000E75D7" w:rsidRDefault="000E75D7" w:rsidP="000E75D7">
            <w:pPr>
              <w:rPr>
                <w:rFonts w:ascii="Arial" w:hAnsi="Arial" w:cs="Arial"/>
                <w:b/>
                <w:bCs/>
                <w:sz w:val="20"/>
                <w:u w:val="single"/>
              </w:rPr>
            </w:pPr>
            <w:proofErr w:type="spellStart"/>
            <w:r w:rsidRPr="000E75D7">
              <w:rPr>
                <w:rFonts w:ascii="Arial" w:hAnsi="Arial" w:cs="Arial"/>
                <w:b/>
                <w:bCs/>
                <w:sz w:val="20"/>
                <w:u w:val="single"/>
              </w:rPr>
              <w:t>Consolidated</w:t>
            </w:r>
            <w:proofErr w:type="spellEnd"/>
            <w:r w:rsidRPr="000E75D7">
              <w:rPr>
                <w:rFonts w:ascii="Arial" w:hAnsi="Arial" w:cs="Arial"/>
                <w:b/>
                <w:bCs/>
                <w:sz w:val="20"/>
                <w:u w:val="single"/>
              </w:rPr>
              <w:t xml:space="preserve"> </w:t>
            </w:r>
            <w:proofErr w:type="spellStart"/>
            <w:r w:rsidRPr="000E75D7">
              <w:rPr>
                <w:rFonts w:ascii="Arial" w:hAnsi="Arial" w:cs="Arial"/>
                <w:b/>
                <w:bCs/>
                <w:sz w:val="20"/>
                <w:u w:val="single"/>
              </w:rPr>
              <w:t>Results</w:t>
            </w:r>
            <w:proofErr w:type="spellEnd"/>
          </w:p>
        </w:tc>
        <w:tc>
          <w:tcPr>
            <w:tcW w:w="1276" w:type="dxa"/>
            <w:tcMar>
              <w:top w:w="0" w:type="dxa"/>
              <w:left w:w="108" w:type="dxa"/>
              <w:bottom w:w="0" w:type="dxa"/>
              <w:right w:w="108" w:type="dxa"/>
            </w:tcMar>
          </w:tcPr>
          <w:p w:rsidR="000E75D7" w:rsidRPr="000E75D7" w:rsidRDefault="000E75D7" w:rsidP="000E75D7">
            <w:pPr>
              <w:jc w:val="right"/>
              <w:rPr>
                <w:rFonts w:ascii="Arial" w:hAnsi="Arial" w:cs="Arial"/>
                <w:b/>
                <w:bCs/>
                <w:sz w:val="20"/>
                <w:u w:val="single"/>
              </w:rPr>
            </w:pPr>
          </w:p>
          <w:p w:rsidR="000E75D7" w:rsidRPr="000E75D7" w:rsidRDefault="000E75D7" w:rsidP="000E75D7">
            <w:pPr>
              <w:jc w:val="right"/>
              <w:rPr>
                <w:rFonts w:ascii="Arial" w:hAnsi="Arial" w:cs="Arial"/>
                <w:b/>
                <w:bCs/>
                <w:sz w:val="20"/>
                <w:u w:val="single"/>
              </w:rPr>
            </w:pPr>
            <w:r w:rsidRPr="000E75D7">
              <w:rPr>
                <w:rFonts w:ascii="Arial" w:hAnsi="Arial" w:cs="Arial"/>
                <w:b/>
                <w:bCs/>
                <w:sz w:val="20"/>
                <w:u w:val="single"/>
              </w:rPr>
              <w:t>1Q 2020</w:t>
            </w:r>
          </w:p>
        </w:tc>
        <w:tc>
          <w:tcPr>
            <w:tcW w:w="1559" w:type="dxa"/>
            <w:tcMar>
              <w:top w:w="0" w:type="dxa"/>
              <w:left w:w="108" w:type="dxa"/>
              <w:bottom w:w="0" w:type="dxa"/>
              <w:right w:w="108" w:type="dxa"/>
            </w:tcMar>
            <w:hideMark/>
          </w:tcPr>
          <w:p w:rsidR="000E75D7" w:rsidRPr="000E75D7" w:rsidRDefault="000E75D7" w:rsidP="000E75D7">
            <w:pPr>
              <w:jc w:val="right"/>
              <w:rPr>
                <w:rFonts w:ascii="Arial" w:hAnsi="Arial" w:cs="Arial"/>
                <w:b/>
                <w:bCs/>
                <w:sz w:val="20"/>
                <w:u w:val="single"/>
              </w:rPr>
            </w:pPr>
            <w:proofErr w:type="spellStart"/>
            <w:r w:rsidRPr="000E75D7">
              <w:rPr>
                <w:rFonts w:ascii="Arial" w:hAnsi="Arial" w:cs="Arial"/>
                <w:b/>
                <w:bCs/>
                <w:sz w:val="20"/>
                <w:u w:val="single"/>
              </w:rPr>
              <w:t>Adjusted</w:t>
            </w:r>
            <w:proofErr w:type="spellEnd"/>
          </w:p>
          <w:p w:rsidR="000E75D7" w:rsidRPr="000E75D7" w:rsidRDefault="000E75D7" w:rsidP="000E75D7">
            <w:pPr>
              <w:jc w:val="right"/>
              <w:rPr>
                <w:rFonts w:ascii="Arial" w:hAnsi="Arial" w:cs="Arial"/>
                <w:b/>
                <w:bCs/>
                <w:sz w:val="20"/>
                <w:u w:val="single"/>
              </w:rPr>
            </w:pPr>
            <w:r w:rsidRPr="000E75D7">
              <w:rPr>
                <w:rFonts w:ascii="Arial" w:hAnsi="Arial" w:cs="Arial"/>
                <w:b/>
                <w:bCs/>
                <w:sz w:val="20"/>
                <w:u w:val="single"/>
              </w:rPr>
              <w:t>1Q 2020</w:t>
            </w:r>
          </w:p>
        </w:tc>
        <w:tc>
          <w:tcPr>
            <w:tcW w:w="1418" w:type="dxa"/>
            <w:tcMar>
              <w:top w:w="0" w:type="dxa"/>
              <w:left w:w="108" w:type="dxa"/>
              <w:bottom w:w="0" w:type="dxa"/>
              <w:right w:w="108" w:type="dxa"/>
            </w:tcMar>
          </w:tcPr>
          <w:p w:rsidR="000E75D7" w:rsidRPr="000E75D7" w:rsidRDefault="000E75D7" w:rsidP="000E75D7">
            <w:pPr>
              <w:jc w:val="right"/>
              <w:rPr>
                <w:rFonts w:ascii="Arial" w:hAnsi="Arial" w:cs="Arial"/>
                <w:b/>
                <w:bCs/>
                <w:sz w:val="20"/>
                <w:u w:val="single"/>
              </w:rPr>
            </w:pPr>
          </w:p>
          <w:p w:rsidR="000E75D7" w:rsidRPr="000E75D7" w:rsidRDefault="000E75D7" w:rsidP="000E75D7">
            <w:pPr>
              <w:jc w:val="right"/>
              <w:rPr>
                <w:rFonts w:ascii="Arial" w:hAnsi="Arial" w:cs="Arial"/>
                <w:b/>
                <w:bCs/>
                <w:sz w:val="20"/>
                <w:u w:val="single"/>
              </w:rPr>
            </w:pPr>
            <w:r w:rsidRPr="000E75D7">
              <w:rPr>
                <w:rFonts w:ascii="Arial" w:hAnsi="Arial" w:cs="Arial"/>
                <w:b/>
                <w:bCs/>
                <w:sz w:val="20"/>
                <w:u w:val="single"/>
              </w:rPr>
              <w:t>1Q 2019</w:t>
            </w:r>
          </w:p>
        </w:tc>
        <w:tc>
          <w:tcPr>
            <w:tcW w:w="1276" w:type="dxa"/>
            <w:tcMar>
              <w:top w:w="0" w:type="dxa"/>
              <w:left w:w="108" w:type="dxa"/>
              <w:bottom w:w="0" w:type="dxa"/>
              <w:right w:w="108" w:type="dxa"/>
            </w:tcMar>
            <w:hideMark/>
          </w:tcPr>
          <w:p w:rsidR="000E75D7" w:rsidRPr="000E75D7" w:rsidRDefault="000E75D7" w:rsidP="000E75D7">
            <w:pPr>
              <w:jc w:val="right"/>
              <w:rPr>
                <w:rFonts w:ascii="Arial" w:hAnsi="Arial" w:cs="Arial"/>
                <w:b/>
                <w:bCs/>
                <w:sz w:val="20"/>
                <w:u w:val="single"/>
              </w:rPr>
            </w:pPr>
            <w:proofErr w:type="spellStart"/>
            <w:r w:rsidRPr="000E75D7">
              <w:rPr>
                <w:rFonts w:ascii="Arial" w:hAnsi="Arial" w:cs="Arial"/>
                <w:b/>
                <w:bCs/>
                <w:sz w:val="20"/>
                <w:u w:val="single"/>
              </w:rPr>
              <w:t>Adjusted</w:t>
            </w:r>
            <w:proofErr w:type="spellEnd"/>
          </w:p>
          <w:p w:rsidR="000E75D7" w:rsidRPr="000E75D7" w:rsidRDefault="000E75D7" w:rsidP="000E75D7">
            <w:pPr>
              <w:jc w:val="right"/>
              <w:rPr>
                <w:rFonts w:ascii="Arial" w:hAnsi="Arial" w:cs="Arial"/>
                <w:b/>
                <w:bCs/>
                <w:sz w:val="20"/>
                <w:u w:val="single"/>
              </w:rPr>
            </w:pPr>
            <w:r w:rsidRPr="000E75D7">
              <w:rPr>
                <w:rFonts w:ascii="Arial" w:hAnsi="Arial" w:cs="Arial"/>
                <w:b/>
                <w:bCs/>
                <w:sz w:val="20"/>
                <w:u w:val="single"/>
              </w:rPr>
              <w:t>1Q 2019</w:t>
            </w:r>
          </w:p>
        </w:tc>
      </w:tr>
      <w:tr w:rsidR="00850BA1" w:rsidRPr="000E75D7" w:rsidTr="00850BA1">
        <w:trPr>
          <w:trHeight w:val="246"/>
        </w:trPr>
        <w:tc>
          <w:tcPr>
            <w:tcW w:w="2943" w:type="dxa"/>
            <w:tcMar>
              <w:top w:w="0" w:type="dxa"/>
              <w:left w:w="108" w:type="dxa"/>
              <w:bottom w:w="0" w:type="dxa"/>
              <w:right w:w="108" w:type="dxa"/>
            </w:tcMar>
            <w:hideMark/>
          </w:tcPr>
          <w:p w:rsidR="000E75D7" w:rsidRPr="000E75D7" w:rsidRDefault="000E75D7" w:rsidP="000E75D7">
            <w:pPr>
              <w:rPr>
                <w:rFonts w:ascii="Arial" w:hAnsi="Arial" w:cs="Arial"/>
                <w:sz w:val="20"/>
              </w:rPr>
            </w:pPr>
            <w:proofErr w:type="spellStart"/>
            <w:r w:rsidRPr="000E75D7">
              <w:rPr>
                <w:rFonts w:ascii="Arial" w:hAnsi="Arial" w:cs="Arial"/>
                <w:sz w:val="20"/>
              </w:rPr>
              <w:t>Revenue</w:t>
            </w:r>
            <w:proofErr w:type="spellEnd"/>
          </w:p>
        </w:tc>
        <w:tc>
          <w:tcPr>
            <w:tcW w:w="1276" w:type="dxa"/>
            <w:tcMar>
              <w:top w:w="0" w:type="dxa"/>
              <w:left w:w="108" w:type="dxa"/>
              <w:bottom w:w="0" w:type="dxa"/>
              <w:right w:w="108" w:type="dxa"/>
            </w:tcMar>
            <w:hideMark/>
          </w:tcPr>
          <w:p w:rsidR="000E75D7" w:rsidRPr="000E75D7" w:rsidRDefault="000E75D7" w:rsidP="000E75D7">
            <w:pPr>
              <w:jc w:val="right"/>
              <w:rPr>
                <w:rFonts w:ascii="Arial" w:hAnsi="Arial" w:cs="Arial"/>
                <w:sz w:val="20"/>
              </w:rPr>
            </w:pPr>
            <w:r w:rsidRPr="000E75D7">
              <w:rPr>
                <w:rFonts w:ascii="Arial" w:hAnsi="Arial" w:cs="Arial"/>
                <w:sz w:val="20"/>
              </w:rPr>
              <w:t>$18,035 M</w:t>
            </w:r>
          </w:p>
        </w:tc>
        <w:tc>
          <w:tcPr>
            <w:tcW w:w="1559" w:type="dxa"/>
            <w:tcMar>
              <w:top w:w="0" w:type="dxa"/>
              <w:left w:w="108" w:type="dxa"/>
              <w:bottom w:w="0" w:type="dxa"/>
              <w:right w:w="108" w:type="dxa"/>
            </w:tcMar>
          </w:tcPr>
          <w:p w:rsidR="000E75D7" w:rsidRPr="000E75D7" w:rsidRDefault="000E75D7" w:rsidP="000E75D7">
            <w:pPr>
              <w:jc w:val="right"/>
              <w:rPr>
                <w:rFonts w:ascii="Arial" w:hAnsi="Arial" w:cs="Arial"/>
                <w:sz w:val="20"/>
              </w:rPr>
            </w:pPr>
          </w:p>
        </w:tc>
        <w:tc>
          <w:tcPr>
            <w:tcW w:w="1418" w:type="dxa"/>
            <w:tcMar>
              <w:top w:w="0" w:type="dxa"/>
              <w:left w:w="108" w:type="dxa"/>
              <w:bottom w:w="0" w:type="dxa"/>
              <w:right w:w="108" w:type="dxa"/>
            </w:tcMar>
            <w:hideMark/>
          </w:tcPr>
          <w:p w:rsidR="000E75D7" w:rsidRPr="000E75D7" w:rsidRDefault="000E75D7" w:rsidP="000E75D7">
            <w:pPr>
              <w:jc w:val="right"/>
              <w:rPr>
                <w:rFonts w:ascii="Arial" w:hAnsi="Arial" w:cs="Arial"/>
                <w:sz w:val="20"/>
              </w:rPr>
            </w:pPr>
            <w:r w:rsidRPr="000E75D7">
              <w:rPr>
                <w:rFonts w:ascii="Arial" w:hAnsi="Arial" w:cs="Arial"/>
                <w:sz w:val="20"/>
              </w:rPr>
              <w:t>$17,160 M</w:t>
            </w:r>
          </w:p>
        </w:tc>
        <w:tc>
          <w:tcPr>
            <w:tcW w:w="1276" w:type="dxa"/>
            <w:tcMar>
              <w:top w:w="0" w:type="dxa"/>
              <w:left w:w="108" w:type="dxa"/>
              <w:bottom w:w="0" w:type="dxa"/>
              <w:right w:w="108" w:type="dxa"/>
            </w:tcMar>
          </w:tcPr>
          <w:p w:rsidR="000E75D7" w:rsidRPr="000E75D7" w:rsidRDefault="000E75D7" w:rsidP="000E75D7">
            <w:pPr>
              <w:jc w:val="right"/>
              <w:rPr>
                <w:rFonts w:ascii="Arial" w:hAnsi="Arial" w:cs="Arial"/>
                <w:sz w:val="20"/>
              </w:rPr>
            </w:pPr>
          </w:p>
        </w:tc>
      </w:tr>
      <w:tr w:rsidR="00850BA1" w:rsidRPr="000E75D7" w:rsidTr="00850BA1">
        <w:trPr>
          <w:trHeight w:val="246"/>
        </w:trPr>
        <w:tc>
          <w:tcPr>
            <w:tcW w:w="2943" w:type="dxa"/>
            <w:tcMar>
              <w:top w:w="0" w:type="dxa"/>
              <w:left w:w="108" w:type="dxa"/>
              <w:bottom w:w="0" w:type="dxa"/>
              <w:right w:w="108" w:type="dxa"/>
            </w:tcMar>
            <w:hideMark/>
          </w:tcPr>
          <w:p w:rsidR="000E75D7" w:rsidRPr="000E75D7" w:rsidRDefault="000E75D7" w:rsidP="000E75D7">
            <w:pPr>
              <w:rPr>
                <w:rFonts w:ascii="Arial" w:hAnsi="Arial" w:cs="Arial"/>
                <w:sz w:val="20"/>
              </w:rPr>
            </w:pPr>
            <w:r w:rsidRPr="000E75D7">
              <w:rPr>
                <w:rFonts w:ascii="Arial" w:hAnsi="Arial" w:cs="Arial"/>
                <w:sz w:val="20"/>
              </w:rPr>
              <w:t xml:space="preserve">Net </w:t>
            </w:r>
            <w:proofErr w:type="spellStart"/>
            <w:r w:rsidRPr="000E75D7">
              <w:rPr>
                <w:rFonts w:ascii="Arial" w:hAnsi="Arial" w:cs="Arial"/>
                <w:sz w:val="20"/>
              </w:rPr>
              <w:t>Income</w:t>
            </w:r>
            <w:proofErr w:type="spellEnd"/>
          </w:p>
        </w:tc>
        <w:tc>
          <w:tcPr>
            <w:tcW w:w="1276" w:type="dxa"/>
            <w:tcMar>
              <w:top w:w="0" w:type="dxa"/>
              <w:left w:w="108" w:type="dxa"/>
              <w:bottom w:w="0" w:type="dxa"/>
              <w:right w:w="108" w:type="dxa"/>
            </w:tcMar>
            <w:hideMark/>
          </w:tcPr>
          <w:p w:rsidR="000E75D7" w:rsidRPr="000E75D7" w:rsidRDefault="000E75D7" w:rsidP="000E75D7">
            <w:pPr>
              <w:jc w:val="right"/>
              <w:rPr>
                <w:rFonts w:ascii="Arial" w:hAnsi="Arial" w:cs="Arial"/>
                <w:sz w:val="20"/>
              </w:rPr>
            </w:pPr>
            <w:r w:rsidRPr="000E75D7">
              <w:rPr>
                <w:rFonts w:ascii="Arial" w:hAnsi="Arial" w:cs="Arial"/>
                <w:sz w:val="20"/>
              </w:rPr>
              <w:t>$965 M</w:t>
            </w:r>
          </w:p>
        </w:tc>
        <w:tc>
          <w:tcPr>
            <w:tcW w:w="1559" w:type="dxa"/>
            <w:tcMar>
              <w:top w:w="0" w:type="dxa"/>
              <w:left w:w="108" w:type="dxa"/>
              <w:bottom w:w="0" w:type="dxa"/>
              <w:right w:w="108" w:type="dxa"/>
            </w:tcMar>
            <w:hideMark/>
          </w:tcPr>
          <w:p w:rsidR="000E75D7" w:rsidRPr="000E75D7" w:rsidRDefault="000E75D7" w:rsidP="000E75D7">
            <w:pPr>
              <w:jc w:val="right"/>
              <w:rPr>
                <w:rFonts w:ascii="Arial" w:hAnsi="Arial" w:cs="Arial"/>
                <w:sz w:val="20"/>
              </w:rPr>
            </w:pPr>
            <w:r w:rsidRPr="000E75D7">
              <w:rPr>
                <w:rFonts w:ascii="Arial" w:hAnsi="Arial" w:cs="Arial"/>
                <w:sz w:val="20"/>
              </w:rPr>
              <w:t>$1,000 M</w:t>
            </w:r>
          </w:p>
        </w:tc>
        <w:tc>
          <w:tcPr>
            <w:tcW w:w="1418" w:type="dxa"/>
            <w:tcMar>
              <w:top w:w="0" w:type="dxa"/>
              <w:left w:w="108" w:type="dxa"/>
              <w:bottom w:w="0" w:type="dxa"/>
              <w:right w:w="108" w:type="dxa"/>
            </w:tcMar>
            <w:hideMark/>
          </w:tcPr>
          <w:p w:rsidR="000E75D7" w:rsidRPr="000E75D7" w:rsidRDefault="000E75D7" w:rsidP="000E75D7">
            <w:pPr>
              <w:jc w:val="right"/>
              <w:rPr>
                <w:rFonts w:ascii="Arial" w:hAnsi="Arial" w:cs="Arial"/>
                <w:sz w:val="20"/>
              </w:rPr>
            </w:pPr>
            <w:r w:rsidRPr="000E75D7">
              <w:rPr>
                <w:rFonts w:ascii="Arial" w:hAnsi="Arial" w:cs="Arial"/>
                <w:sz w:val="20"/>
              </w:rPr>
              <w:t>$1,111 M</w:t>
            </w:r>
          </w:p>
        </w:tc>
        <w:tc>
          <w:tcPr>
            <w:tcW w:w="1276" w:type="dxa"/>
            <w:tcMar>
              <w:top w:w="0" w:type="dxa"/>
              <w:left w:w="108" w:type="dxa"/>
              <w:bottom w:w="0" w:type="dxa"/>
              <w:right w:w="108" w:type="dxa"/>
            </w:tcMar>
            <w:hideMark/>
          </w:tcPr>
          <w:p w:rsidR="000E75D7" w:rsidRPr="000E75D7" w:rsidRDefault="000E75D7" w:rsidP="000E75D7">
            <w:pPr>
              <w:jc w:val="right"/>
              <w:rPr>
                <w:rFonts w:ascii="Arial" w:hAnsi="Arial" w:cs="Arial"/>
                <w:sz w:val="20"/>
              </w:rPr>
            </w:pPr>
            <w:r w:rsidRPr="000E75D7">
              <w:rPr>
                <w:rFonts w:ascii="Arial" w:hAnsi="Arial" w:cs="Arial"/>
                <w:sz w:val="20"/>
              </w:rPr>
              <w:t>$1,204 M</w:t>
            </w:r>
          </w:p>
        </w:tc>
      </w:tr>
      <w:tr w:rsidR="00850BA1" w:rsidRPr="000E75D7" w:rsidTr="00850BA1">
        <w:trPr>
          <w:trHeight w:val="246"/>
        </w:trPr>
        <w:tc>
          <w:tcPr>
            <w:tcW w:w="2943" w:type="dxa"/>
            <w:tcMar>
              <w:top w:w="0" w:type="dxa"/>
              <w:left w:w="108" w:type="dxa"/>
              <w:bottom w:w="0" w:type="dxa"/>
              <w:right w:w="108" w:type="dxa"/>
            </w:tcMar>
            <w:hideMark/>
          </w:tcPr>
          <w:p w:rsidR="000E75D7" w:rsidRPr="000E75D7" w:rsidRDefault="000E75D7" w:rsidP="000E75D7">
            <w:pPr>
              <w:rPr>
                <w:rFonts w:ascii="Arial" w:hAnsi="Arial" w:cs="Arial"/>
                <w:sz w:val="20"/>
              </w:rPr>
            </w:pPr>
            <w:proofErr w:type="spellStart"/>
            <w:r w:rsidRPr="000E75D7">
              <w:rPr>
                <w:rFonts w:ascii="Arial" w:hAnsi="Arial" w:cs="Arial"/>
                <w:sz w:val="20"/>
              </w:rPr>
              <w:t>Diluted</w:t>
            </w:r>
            <w:proofErr w:type="spellEnd"/>
            <w:r w:rsidRPr="000E75D7">
              <w:rPr>
                <w:rFonts w:ascii="Arial" w:hAnsi="Arial" w:cs="Arial"/>
                <w:sz w:val="20"/>
              </w:rPr>
              <w:t xml:space="preserve"> </w:t>
            </w:r>
            <w:proofErr w:type="spellStart"/>
            <w:r w:rsidRPr="000E75D7">
              <w:rPr>
                <w:rFonts w:ascii="Arial" w:hAnsi="Arial" w:cs="Arial"/>
                <w:sz w:val="20"/>
              </w:rPr>
              <w:t>Earnings</w:t>
            </w:r>
            <w:proofErr w:type="spellEnd"/>
            <w:r w:rsidRPr="000E75D7">
              <w:rPr>
                <w:rFonts w:ascii="Arial" w:hAnsi="Arial" w:cs="Arial"/>
                <w:sz w:val="20"/>
              </w:rPr>
              <w:t xml:space="preserve"> Per </w:t>
            </w:r>
            <w:proofErr w:type="spellStart"/>
            <w:r w:rsidRPr="000E75D7">
              <w:rPr>
                <w:rFonts w:ascii="Arial" w:hAnsi="Arial" w:cs="Arial"/>
                <w:sz w:val="20"/>
              </w:rPr>
              <w:t>Share</w:t>
            </w:r>
            <w:proofErr w:type="spellEnd"/>
          </w:p>
        </w:tc>
        <w:tc>
          <w:tcPr>
            <w:tcW w:w="1276" w:type="dxa"/>
            <w:tcMar>
              <w:top w:w="0" w:type="dxa"/>
              <w:left w:w="108" w:type="dxa"/>
              <w:bottom w:w="0" w:type="dxa"/>
              <w:right w:w="108" w:type="dxa"/>
            </w:tcMar>
            <w:hideMark/>
          </w:tcPr>
          <w:p w:rsidR="000E75D7" w:rsidRPr="000E75D7" w:rsidRDefault="000E75D7" w:rsidP="000E75D7">
            <w:pPr>
              <w:jc w:val="right"/>
              <w:rPr>
                <w:rFonts w:ascii="Arial" w:hAnsi="Arial" w:cs="Arial"/>
                <w:sz w:val="20"/>
              </w:rPr>
            </w:pPr>
            <w:r w:rsidRPr="000E75D7">
              <w:rPr>
                <w:rFonts w:ascii="Arial" w:hAnsi="Arial" w:cs="Arial"/>
                <w:sz w:val="20"/>
              </w:rPr>
              <w:t>$1.11</w:t>
            </w:r>
          </w:p>
        </w:tc>
        <w:tc>
          <w:tcPr>
            <w:tcW w:w="1559" w:type="dxa"/>
            <w:tcMar>
              <w:top w:w="0" w:type="dxa"/>
              <w:left w:w="108" w:type="dxa"/>
              <w:bottom w:w="0" w:type="dxa"/>
              <w:right w:w="108" w:type="dxa"/>
            </w:tcMar>
            <w:hideMark/>
          </w:tcPr>
          <w:p w:rsidR="000E75D7" w:rsidRPr="000E75D7" w:rsidRDefault="000E75D7" w:rsidP="000E75D7">
            <w:pPr>
              <w:jc w:val="right"/>
              <w:rPr>
                <w:rFonts w:ascii="Arial" w:hAnsi="Arial" w:cs="Arial"/>
                <w:sz w:val="20"/>
              </w:rPr>
            </w:pPr>
            <w:r w:rsidRPr="000E75D7">
              <w:rPr>
                <w:rFonts w:ascii="Arial" w:hAnsi="Arial" w:cs="Arial"/>
                <w:sz w:val="20"/>
              </w:rPr>
              <w:t>$1.15</w:t>
            </w:r>
          </w:p>
        </w:tc>
        <w:tc>
          <w:tcPr>
            <w:tcW w:w="1418" w:type="dxa"/>
            <w:tcMar>
              <w:top w:w="0" w:type="dxa"/>
              <w:left w:w="108" w:type="dxa"/>
              <w:bottom w:w="0" w:type="dxa"/>
              <w:right w:w="108" w:type="dxa"/>
            </w:tcMar>
            <w:hideMark/>
          </w:tcPr>
          <w:p w:rsidR="000E75D7" w:rsidRPr="000E75D7" w:rsidRDefault="000E75D7" w:rsidP="000E75D7">
            <w:pPr>
              <w:jc w:val="right"/>
              <w:rPr>
                <w:rFonts w:ascii="Arial" w:hAnsi="Arial" w:cs="Arial"/>
                <w:sz w:val="20"/>
              </w:rPr>
            </w:pPr>
            <w:r w:rsidRPr="000E75D7">
              <w:rPr>
                <w:rFonts w:ascii="Arial" w:hAnsi="Arial" w:cs="Arial"/>
                <w:sz w:val="20"/>
              </w:rPr>
              <w:t>$1.28</w:t>
            </w:r>
          </w:p>
        </w:tc>
        <w:tc>
          <w:tcPr>
            <w:tcW w:w="1276" w:type="dxa"/>
            <w:tcMar>
              <w:top w:w="0" w:type="dxa"/>
              <w:left w:w="108" w:type="dxa"/>
              <w:bottom w:w="0" w:type="dxa"/>
              <w:right w:w="108" w:type="dxa"/>
            </w:tcMar>
            <w:hideMark/>
          </w:tcPr>
          <w:p w:rsidR="000E75D7" w:rsidRPr="000E75D7" w:rsidRDefault="000E75D7" w:rsidP="000E75D7">
            <w:pPr>
              <w:jc w:val="right"/>
              <w:rPr>
                <w:rFonts w:ascii="Arial" w:hAnsi="Arial" w:cs="Arial"/>
                <w:sz w:val="20"/>
              </w:rPr>
            </w:pPr>
            <w:r w:rsidRPr="000E75D7">
              <w:rPr>
                <w:rFonts w:ascii="Arial" w:hAnsi="Arial" w:cs="Arial"/>
                <w:sz w:val="20"/>
              </w:rPr>
              <w:t>$1.39</w:t>
            </w:r>
          </w:p>
        </w:tc>
      </w:tr>
    </w:tbl>
    <w:p w:rsidR="000E75D7" w:rsidRPr="000E75D7" w:rsidRDefault="000E75D7" w:rsidP="000E75D7">
      <w:pPr>
        <w:rPr>
          <w:rFonts w:ascii="Arial" w:hAnsi="Arial" w:cs="Arial"/>
          <w:szCs w:val="22"/>
          <w:lang w:val="en-US"/>
        </w:rPr>
      </w:pPr>
    </w:p>
    <w:p w:rsidR="000E75D7" w:rsidRPr="000E75D7" w:rsidRDefault="000E75D7" w:rsidP="000E75D7">
      <w:pPr>
        <w:rPr>
          <w:rFonts w:ascii="Arial" w:hAnsi="Arial" w:cs="Arial"/>
          <w:b/>
          <w:bCs/>
          <w:sz w:val="20"/>
          <w:vertAlign w:val="subscript"/>
          <w:lang w:val="en-US"/>
        </w:rPr>
      </w:pPr>
    </w:p>
    <w:p w:rsidR="000E75D7" w:rsidRPr="000E75D7" w:rsidRDefault="000E75D7" w:rsidP="000E75D7">
      <w:pPr>
        <w:rPr>
          <w:rFonts w:ascii="Arial" w:hAnsi="Arial" w:cs="Arial"/>
          <w:sz w:val="20"/>
          <w:vertAlign w:val="subscript"/>
          <w:lang w:val="en-US"/>
        </w:rPr>
      </w:pPr>
      <w:r w:rsidRPr="000E75D7">
        <w:rPr>
          <w:rFonts w:ascii="Arial" w:hAnsi="Arial" w:cs="Arial"/>
          <w:b/>
          <w:bCs/>
          <w:sz w:val="20"/>
          <w:vertAlign w:val="subscript"/>
          <w:lang w:val="en-US"/>
        </w:rPr>
        <w:lastRenderedPageBreak/>
        <w:t>* “</w:t>
      </w:r>
      <w:r w:rsidRPr="000E75D7">
        <w:rPr>
          <w:rFonts w:ascii="Arial" w:hAnsi="Arial" w:cs="Arial"/>
          <w:sz w:val="20"/>
          <w:vertAlign w:val="subscript"/>
          <w:lang w:val="en-US"/>
        </w:rPr>
        <w:t xml:space="preserve">Adjusted” amounts presented in this release are non-GAAP financial measures. See the appendix to this release for a discussion of non-GAAP financial measures, including </w:t>
      </w:r>
      <w:proofErr w:type="gramStart"/>
      <w:r w:rsidRPr="000E75D7">
        <w:rPr>
          <w:rFonts w:ascii="Arial" w:hAnsi="Arial" w:cs="Arial"/>
          <w:sz w:val="20"/>
          <w:vertAlign w:val="subscript"/>
          <w:lang w:val="en-US"/>
        </w:rPr>
        <w:t>a reconciliation</w:t>
      </w:r>
      <w:proofErr w:type="gramEnd"/>
      <w:r w:rsidRPr="000E75D7">
        <w:rPr>
          <w:rFonts w:ascii="Arial" w:hAnsi="Arial" w:cs="Arial"/>
          <w:sz w:val="20"/>
          <w:vertAlign w:val="subscript"/>
          <w:lang w:val="en-US"/>
        </w:rPr>
        <w:t xml:space="preserve"> to the most closely correlated GAAP measure.</w:t>
      </w:r>
    </w:p>
    <w:p w:rsidR="000E75D7" w:rsidRPr="000E75D7" w:rsidRDefault="000E75D7" w:rsidP="000E75D7">
      <w:pPr>
        <w:rPr>
          <w:rFonts w:ascii="Arial" w:hAnsi="Arial" w:cs="Arial"/>
          <w:szCs w:val="22"/>
          <w:lang w:val="en-US"/>
        </w:rPr>
      </w:pPr>
    </w:p>
    <w:p w:rsidR="000E75D7" w:rsidRPr="000E75D7" w:rsidRDefault="000E75D7" w:rsidP="000E75D7">
      <w:pPr>
        <w:rPr>
          <w:rFonts w:ascii="Arial" w:hAnsi="Arial" w:cs="Arial"/>
          <w:szCs w:val="22"/>
          <w:lang w:val="en-US"/>
        </w:rPr>
      </w:pPr>
    </w:p>
    <w:p w:rsidR="000E75D7" w:rsidRPr="000E75D7" w:rsidRDefault="000E75D7" w:rsidP="000E75D7">
      <w:pPr>
        <w:rPr>
          <w:rFonts w:ascii="Arial" w:hAnsi="Arial" w:cs="Arial"/>
          <w:szCs w:val="22"/>
          <w:lang w:val="en-US"/>
        </w:rPr>
      </w:pPr>
      <w:r w:rsidRPr="000E75D7">
        <w:rPr>
          <w:rFonts w:ascii="Arial" w:hAnsi="Arial" w:cs="Arial"/>
          <w:szCs w:val="22"/>
          <w:lang w:val="en-US"/>
        </w:rPr>
        <w:t>For the total company in 1Q 2020:</w:t>
      </w:r>
    </w:p>
    <w:p w:rsidR="000E75D7" w:rsidRPr="000E75D7" w:rsidRDefault="000E75D7" w:rsidP="000E75D7">
      <w:pPr>
        <w:rPr>
          <w:rFonts w:ascii="Arial" w:hAnsi="Arial" w:cs="Arial"/>
          <w:szCs w:val="22"/>
          <w:lang w:val="en-US"/>
        </w:rPr>
      </w:pPr>
    </w:p>
    <w:p w:rsidR="000E75D7" w:rsidRPr="000E75D7" w:rsidRDefault="000E75D7" w:rsidP="000E75D7">
      <w:pPr>
        <w:numPr>
          <w:ilvl w:val="0"/>
          <w:numId w:val="29"/>
        </w:numPr>
        <w:contextualSpacing/>
        <w:rPr>
          <w:rFonts w:ascii="Arial" w:hAnsi="Arial" w:cs="Arial"/>
          <w:szCs w:val="22"/>
          <w:lang w:val="en-US"/>
        </w:rPr>
      </w:pPr>
      <w:r w:rsidRPr="000E75D7">
        <w:rPr>
          <w:rFonts w:ascii="Arial" w:hAnsi="Arial" w:cs="Arial"/>
          <w:szCs w:val="22"/>
          <w:lang w:val="en-US"/>
        </w:rPr>
        <w:t xml:space="preserve">Consolidated revenue increased to $18 billion, driven by growth in business-to-consumer shipments and gains in healthcare. </w:t>
      </w:r>
    </w:p>
    <w:p w:rsidR="000E75D7" w:rsidRPr="000E75D7" w:rsidRDefault="000E75D7" w:rsidP="000E75D7">
      <w:pPr>
        <w:numPr>
          <w:ilvl w:val="0"/>
          <w:numId w:val="29"/>
        </w:numPr>
        <w:contextualSpacing/>
        <w:rPr>
          <w:rFonts w:ascii="Arial" w:hAnsi="Arial" w:cs="Arial"/>
          <w:szCs w:val="22"/>
          <w:lang w:val="en-US"/>
        </w:rPr>
      </w:pPr>
      <w:r w:rsidRPr="000E75D7">
        <w:rPr>
          <w:rFonts w:ascii="Arial" w:hAnsi="Arial" w:cs="Arial"/>
          <w:szCs w:val="22"/>
          <w:lang w:val="en-US"/>
        </w:rPr>
        <w:t xml:space="preserve">Net income was $965 million; adjusted net income was $1 billion.  </w:t>
      </w:r>
    </w:p>
    <w:p w:rsidR="000E75D7" w:rsidRPr="000E75D7" w:rsidRDefault="000E75D7" w:rsidP="000E75D7">
      <w:pPr>
        <w:numPr>
          <w:ilvl w:val="0"/>
          <w:numId w:val="29"/>
        </w:numPr>
        <w:contextualSpacing/>
        <w:rPr>
          <w:rFonts w:ascii="Arial" w:hAnsi="Arial" w:cs="Arial"/>
          <w:szCs w:val="22"/>
          <w:lang w:val="en-US"/>
        </w:rPr>
      </w:pPr>
      <w:r w:rsidRPr="000E75D7">
        <w:rPr>
          <w:rFonts w:ascii="Arial" w:hAnsi="Arial" w:cs="Arial"/>
          <w:szCs w:val="22"/>
          <w:lang w:val="en-US"/>
        </w:rPr>
        <w:t>Net income included material headwinds due to disruptions from the coronavirus pandemic, higher self-insurance accruals and other items.</w:t>
      </w:r>
    </w:p>
    <w:p w:rsidR="000E75D7" w:rsidRPr="000E75D7" w:rsidRDefault="000E75D7" w:rsidP="000E75D7">
      <w:pPr>
        <w:numPr>
          <w:ilvl w:val="0"/>
          <w:numId w:val="29"/>
        </w:numPr>
        <w:contextualSpacing/>
        <w:rPr>
          <w:rFonts w:ascii="Arial" w:hAnsi="Arial" w:cs="Arial"/>
          <w:szCs w:val="22"/>
          <w:lang w:val="en-US"/>
        </w:rPr>
      </w:pPr>
      <w:r w:rsidRPr="000E75D7">
        <w:rPr>
          <w:rFonts w:ascii="Arial" w:hAnsi="Arial" w:cs="Arial"/>
          <w:szCs w:val="22"/>
          <w:lang w:val="en-US"/>
        </w:rPr>
        <w:t xml:space="preserve">Adjusted capital expenditures were $939 million to support network enhancements. </w:t>
      </w:r>
    </w:p>
    <w:p w:rsidR="000E75D7" w:rsidRPr="000E75D7" w:rsidRDefault="000E75D7" w:rsidP="000E75D7">
      <w:pPr>
        <w:numPr>
          <w:ilvl w:val="0"/>
          <w:numId w:val="29"/>
        </w:numPr>
        <w:contextualSpacing/>
        <w:rPr>
          <w:rFonts w:ascii="Arial" w:hAnsi="Arial" w:cs="Arial"/>
          <w:szCs w:val="22"/>
          <w:lang w:val="en-US"/>
        </w:rPr>
      </w:pPr>
      <w:r w:rsidRPr="000E75D7">
        <w:rPr>
          <w:rFonts w:ascii="Arial" w:hAnsi="Arial" w:cs="Arial"/>
          <w:szCs w:val="22"/>
          <w:lang w:val="en-US"/>
        </w:rPr>
        <w:t xml:space="preserve">Dividends per share increased 5.2%, with dividends remaining a high priority for the company. </w:t>
      </w:r>
    </w:p>
    <w:p w:rsidR="000E75D7" w:rsidRPr="000E75D7" w:rsidRDefault="000E75D7" w:rsidP="000E75D7">
      <w:pPr>
        <w:rPr>
          <w:rFonts w:ascii="Arial" w:hAnsi="Arial" w:cs="Arial"/>
          <w:b/>
          <w:bCs/>
          <w:szCs w:val="22"/>
          <w:u w:val="single"/>
          <w:lang w:val="en"/>
        </w:rPr>
      </w:pPr>
    </w:p>
    <w:p w:rsidR="000E75D7" w:rsidRPr="000E75D7" w:rsidRDefault="000E75D7" w:rsidP="000E75D7">
      <w:pPr>
        <w:rPr>
          <w:rFonts w:ascii="Arial" w:hAnsi="Arial" w:cs="Arial"/>
          <w:b/>
          <w:bCs/>
          <w:szCs w:val="22"/>
          <w:u w:val="single"/>
          <w:lang w:val="en"/>
        </w:rPr>
      </w:pPr>
    </w:p>
    <w:p w:rsidR="000E75D7" w:rsidRPr="000E75D7" w:rsidRDefault="000E75D7" w:rsidP="000E75D7">
      <w:pPr>
        <w:rPr>
          <w:rFonts w:ascii="Arial" w:hAnsi="Arial" w:cs="Arial"/>
          <w:b/>
          <w:bCs/>
          <w:szCs w:val="22"/>
          <w:u w:val="single"/>
          <w:lang w:val="en"/>
        </w:rPr>
      </w:pPr>
      <w:r w:rsidRPr="000E75D7">
        <w:rPr>
          <w:rFonts w:ascii="Arial" w:hAnsi="Arial" w:cs="Arial"/>
          <w:b/>
          <w:bCs/>
          <w:szCs w:val="22"/>
          <w:u w:val="single"/>
          <w:lang w:val="en"/>
        </w:rPr>
        <w:t>U.S. Domestic Segment</w:t>
      </w:r>
    </w:p>
    <w:p w:rsidR="000E75D7" w:rsidRPr="000E75D7" w:rsidRDefault="000E75D7" w:rsidP="000E75D7">
      <w:pPr>
        <w:rPr>
          <w:rFonts w:ascii="Arial" w:hAnsi="Arial" w:cs="Arial"/>
          <w:szCs w:val="22"/>
          <w:lang w:val="en"/>
        </w:rPr>
      </w:pPr>
      <w:r w:rsidRPr="000E75D7">
        <w:rPr>
          <w:rFonts w:ascii="Arial" w:hAnsi="Arial" w:cs="Arial"/>
          <w:szCs w:val="22"/>
          <w:lang w:val="en"/>
        </w:rPr>
        <w:t xml:space="preserve">                                   </w:t>
      </w:r>
    </w:p>
    <w:p w:rsidR="000E75D7" w:rsidRPr="000E75D7" w:rsidRDefault="000E75D7" w:rsidP="000E75D7">
      <w:pPr>
        <w:rPr>
          <w:rFonts w:ascii="Arial" w:hAnsi="Arial" w:cs="Arial"/>
          <w:szCs w:val="22"/>
          <w:lang w:val="en"/>
        </w:rPr>
      </w:pPr>
      <w:r w:rsidRPr="000E75D7">
        <w:rPr>
          <w:rFonts w:ascii="Arial" w:hAnsi="Arial" w:cs="Arial"/>
          <w:szCs w:val="22"/>
          <w:lang w:val="en"/>
        </w:rPr>
        <w:t>The progression of stay-at-home restrictions instituted across the country as a result of coronavirus closed businesses and disrupted supply chains, resulting in an unprecedented shift in customer and product mix in the quarter.  The company’s automated hubs and other transformation investments generated efficiency gains; however, these benefits did not offset the significant headwinds from the impact the coronavirus pandemic had on UPS customers, coupled with higher self-insurance accruals.  UPS continues to adapt its network to the current economic environment while supporting customers and critical government programs.</w:t>
      </w:r>
    </w:p>
    <w:p w:rsidR="000E75D7" w:rsidRPr="000E75D7" w:rsidRDefault="000E75D7" w:rsidP="000E75D7">
      <w:pPr>
        <w:rPr>
          <w:rFonts w:ascii="Arial" w:hAnsi="Arial" w:cs="Arial"/>
          <w:szCs w:val="22"/>
          <w:lang w:val="en-US"/>
        </w:rPr>
      </w:pPr>
    </w:p>
    <w:tbl>
      <w:tblPr>
        <w:tblW w:w="0" w:type="dxa"/>
        <w:tblCellSpacing w:w="0" w:type="dxa"/>
        <w:tblCellMar>
          <w:left w:w="0" w:type="dxa"/>
          <w:right w:w="0" w:type="dxa"/>
        </w:tblCellMar>
        <w:tblLook w:val="04A0" w:firstRow="1" w:lastRow="0" w:firstColumn="1" w:lastColumn="0" w:noHBand="0" w:noVBand="1"/>
      </w:tblPr>
      <w:tblGrid>
        <w:gridCol w:w="2614"/>
        <w:gridCol w:w="1468"/>
        <w:gridCol w:w="1486"/>
        <w:gridCol w:w="1468"/>
        <w:gridCol w:w="1486"/>
      </w:tblGrid>
      <w:tr w:rsidR="000E75D7" w:rsidRPr="000E75D7" w:rsidTr="000E75D7">
        <w:trPr>
          <w:tblCellSpacing w:w="0" w:type="dxa"/>
        </w:trPr>
        <w:tc>
          <w:tcPr>
            <w:tcW w:w="2855" w:type="dxa"/>
            <w:tcMar>
              <w:top w:w="0" w:type="dxa"/>
              <w:left w:w="108" w:type="dxa"/>
              <w:bottom w:w="0" w:type="dxa"/>
              <w:right w:w="108" w:type="dxa"/>
            </w:tcMar>
          </w:tcPr>
          <w:p w:rsidR="000E75D7" w:rsidRPr="000E75D7" w:rsidRDefault="000E75D7" w:rsidP="000E75D7">
            <w:pPr>
              <w:rPr>
                <w:rFonts w:ascii="Arial" w:hAnsi="Arial" w:cs="Arial"/>
                <w:b/>
                <w:bCs/>
                <w:sz w:val="20"/>
                <w:u w:val="single"/>
              </w:rPr>
            </w:pPr>
          </w:p>
          <w:p w:rsidR="000E75D7" w:rsidRPr="000E75D7" w:rsidRDefault="000E75D7" w:rsidP="000E75D7">
            <w:pPr>
              <w:rPr>
                <w:rFonts w:ascii="Arial" w:hAnsi="Arial" w:cs="Arial"/>
                <w:b/>
                <w:bCs/>
                <w:sz w:val="20"/>
                <w:u w:val="single"/>
              </w:rPr>
            </w:pPr>
          </w:p>
        </w:tc>
        <w:tc>
          <w:tcPr>
            <w:tcW w:w="1551" w:type="dxa"/>
            <w:tcMar>
              <w:top w:w="0" w:type="dxa"/>
              <w:left w:w="108" w:type="dxa"/>
              <w:bottom w:w="0" w:type="dxa"/>
              <w:right w:w="108" w:type="dxa"/>
            </w:tcMar>
          </w:tcPr>
          <w:p w:rsidR="000E75D7" w:rsidRPr="000E75D7" w:rsidRDefault="000E75D7" w:rsidP="000E75D7">
            <w:pPr>
              <w:jc w:val="right"/>
              <w:rPr>
                <w:rFonts w:ascii="Arial" w:hAnsi="Arial" w:cs="Arial"/>
                <w:b/>
                <w:bCs/>
                <w:sz w:val="20"/>
                <w:u w:val="single"/>
              </w:rPr>
            </w:pPr>
          </w:p>
          <w:p w:rsidR="000E75D7" w:rsidRPr="000E75D7" w:rsidRDefault="000E75D7" w:rsidP="000E75D7">
            <w:pPr>
              <w:jc w:val="right"/>
              <w:rPr>
                <w:rFonts w:ascii="Arial" w:hAnsi="Arial" w:cs="Arial"/>
                <w:b/>
                <w:bCs/>
                <w:sz w:val="20"/>
                <w:u w:val="single"/>
              </w:rPr>
            </w:pPr>
            <w:r w:rsidRPr="000E75D7">
              <w:rPr>
                <w:rFonts w:ascii="Arial" w:hAnsi="Arial" w:cs="Arial"/>
                <w:b/>
                <w:bCs/>
                <w:sz w:val="20"/>
                <w:u w:val="single"/>
              </w:rPr>
              <w:t>1Q 2020</w:t>
            </w:r>
          </w:p>
        </w:tc>
        <w:tc>
          <w:tcPr>
            <w:tcW w:w="1551" w:type="dxa"/>
            <w:tcMar>
              <w:top w:w="0" w:type="dxa"/>
              <w:left w:w="108" w:type="dxa"/>
              <w:bottom w:w="0" w:type="dxa"/>
              <w:right w:w="108" w:type="dxa"/>
            </w:tcMar>
            <w:hideMark/>
          </w:tcPr>
          <w:p w:rsidR="000E75D7" w:rsidRPr="000E75D7" w:rsidRDefault="000E75D7" w:rsidP="000E75D7">
            <w:pPr>
              <w:jc w:val="right"/>
              <w:rPr>
                <w:rFonts w:ascii="Arial" w:hAnsi="Arial" w:cs="Arial"/>
                <w:b/>
                <w:bCs/>
                <w:sz w:val="20"/>
                <w:u w:val="single"/>
              </w:rPr>
            </w:pPr>
            <w:proofErr w:type="spellStart"/>
            <w:r w:rsidRPr="000E75D7">
              <w:rPr>
                <w:rFonts w:ascii="Arial" w:hAnsi="Arial" w:cs="Arial"/>
                <w:b/>
                <w:bCs/>
                <w:sz w:val="20"/>
                <w:u w:val="single"/>
              </w:rPr>
              <w:t>Adjusted</w:t>
            </w:r>
            <w:proofErr w:type="spellEnd"/>
          </w:p>
          <w:p w:rsidR="000E75D7" w:rsidRPr="000E75D7" w:rsidRDefault="000E75D7" w:rsidP="000E75D7">
            <w:pPr>
              <w:jc w:val="right"/>
              <w:rPr>
                <w:rFonts w:ascii="Arial" w:hAnsi="Arial" w:cs="Arial"/>
                <w:b/>
                <w:bCs/>
                <w:sz w:val="20"/>
                <w:u w:val="single"/>
              </w:rPr>
            </w:pPr>
            <w:r w:rsidRPr="000E75D7">
              <w:rPr>
                <w:rFonts w:ascii="Arial" w:hAnsi="Arial" w:cs="Arial"/>
                <w:b/>
                <w:bCs/>
                <w:sz w:val="20"/>
                <w:u w:val="single"/>
              </w:rPr>
              <w:t>1Q 2020</w:t>
            </w:r>
          </w:p>
        </w:tc>
        <w:tc>
          <w:tcPr>
            <w:tcW w:w="1551" w:type="dxa"/>
            <w:tcMar>
              <w:top w:w="0" w:type="dxa"/>
              <w:left w:w="108" w:type="dxa"/>
              <w:bottom w:w="0" w:type="dxa"/>
              <w:right w:w="108" w:type="dxa"/>
            </w:tcMar>
          </w:tcPr>
          <w:p w:rsidR="000E75D7" w:rsidRPr="000E75D7" w:rsidRDefault="000E75D7" w:rsidP="000E75D7">
            <w:pPr>
              <w:jc w:val="right"/>
              <w:rPr>
                <w:rFonts w:ascii="Arial" w:hAnsi="Arial" w:cs="Arial"/>
                <w:b/>
                <w:bCs/>
                <w:sz w:val="20"/>
                <w:u w:val="single"/>
              </w:rPr>
            </w:pPr>
          </w:p>
          <w:p w:rsidR="000E75D7" w:rsidRPr="000E75D7" w:rsidRDefault="000E75D7" w:rsidP="000E75D7">
            <w:pPr>
              <w:jc w:val="right"/>
              <w:rPr>
                <w:rFonts w:ascii="Arial" w:hAnsi="Arial" w:cs="Arial"/>
                <w:b/>
                <w:bCs/>
                <w:sz w:val="20"/>
                <w:u w:val="single"/>
              </w:rPr>
            </w:pPr>
            <w:r w:rsidRPr="000E75D7">
              <w:rPr>
                <w:rFonts w:ascii="Arial" w:hAnsi="Arial" w:cs="Arial"/>
                <w:b/>
                <w:bCs/>
                <w:sz w:val="20"/>
                <w:u w:val="single"/>
              </w:rPr>
              <w:t>1Q 2019</w:t>
            </w:r>
          </w:p>
        </w:tc>
        <w:tc>
          <w:tcPr>
            <w:tcW w:w="1551" w:type="dxa"/>
            <w:tcMar>
              <w:top w:w="0" w:type="dxa"/>
              <w:left w:w="108" w:type="dxa"/>
              <w:bottom w:w="0" w:type="dxa"/>
              <w:right w:w="108" w:type="dxa"/>
            </w:tcMar>
            <w:hideMark/>
          </w:tcPr>
          <w:p w:rsidR="000E75D7" w:rsidRPr="000E75D7" w:rsidRDefault="000E75D7" w:rsidP="000E75D7">
            <w:pPr>
              <w:jc w:val="right"/>
              <w:rPr>
                <w:rFonts w:ascii="Arial" w:hAnsi="Arial" w:cs="Arial"/>
                <w:b/>
                <w:bCs/>
                <w:sz w:val="20"/>
                <w:u w:val="single"/>
              </w:rPr>
            </w:pPr>
            <w:proofErr w:type="spellStart"/>
            <w:r w:rsidRPr="000E75D7">
              <w:rPr>
                <w:rFonts w:ascii="Arial" w:hAnsi="Arial" w:cs="Arial"/>
                <w:b/>
                <w:bCs/>
                <w:sz w:val="20"/>
                <w:u w:val="single"/>
              </w:rPr>
              <w:t>Adjusted</w:t>
            </w:r>
            <w:proofErr w:type="spellEnd"/>
          </w:p>
          <w:p w:rsidR="000E75D7" w:rsidRPr="000E75D7" w:rsidRDefault="000E75D7" w:rsidP="000E75D7">
            <w:pPr>
              <w:jc w:val="right"/>
              <w:rPr>
                <w:rFonts w:ascii="Arial" w:hAnsi="Arial" w:cs="Arial"/>
                <w:b/>
                <w:bCs/>
                <w:sz w:val="20"/>
                <w:u w:val="single"/>
              </w:rPr>
            </w:pPr>
            <w:r w:rsidRPr="000E75D7">
              <w:rPr>
                <w:rFonts w:ascii="Arial" w:hAnsi="Arial" w:cs="Arial"/>
                <w:b/>
                <w:bCs/>
                <w:sz w:val="20"/>
                <w:u w:val="single"/>
              </w:rPr>
              <w:t>1Q 2019</w:t>
            </w:r>
          </w:p>
        </w:tc>
      </w:tr>
      <w:tr w:rsidR="000E75D7" w:rsidRPr="000E75D7" w:rsidTr="000E75D7">
        <w:trPr>
          <w:tblCellSpacing w:w="0" w:type="dxa"/>
        </w:trPr>
        <w:tc>
          <w:tcPr>
            <w:tcW w:w="2855" w:type="dxa"/>
            <w:tcMar>
              <w:top w:w="0" w:type="dxa"/>
              <w:left w:w="108" w:type="dxa"/>
              <w:bottom w:w="0" w:type="dxa"/>
              <w:right w:w="108" w:type="dxa"/>
            </w:tcMar>
            <w:hideMark/>
          </w:tcPr>
          <w:p w:rsidR="000E75D7" w:rsidRPr="000E75D7" w:rsidRDefault="000E75D7" w:rsidP="000E75D7">
            <w:pPr>
              <w:rPr>
                <w:rFonts w:ascii="Arial" w:hAnsi="Arial" w:cs="Arial"/>
                <w:sz w:val="20"/>
              </w:rPr>
            </w:pPr>
            <w:proofErr w:type="spellStart"/>
            <w:r w:rsidRPr="000E75D7">
              <w:rPr>
                <w:rFonts w:ascii="Arial" w:hAnsi="Arial" w:cs="Arial"/>
                <w:sz w:val="20"/>
              </w:rPr>
              <w:t>Revenue</w:t>
            </w:r>
            <w:proofErr w:type="spellEnd"/>
          </w:p>
        </w:tc>
        <w:tc>
          <w:tcPr>
            <w:tcW w:w="1551" w:type="dxa"/>
            <w:tcMar>
              <w:top w:w="0" w:type="dxa"/>
              <w:left w:w="108" w:type="dxa"/>
              <w:bottom w:w="0" w:type="dxa"/>
              <w:right w:w="108" w:type="dxa"/>
            </w:tcMar>
            <w:hideMark/>
          </w:tcPr>
          <w:p w:rsidR="000E75D7" w:rsidRPr="000E75D7" w:rsidRDefault="000E75D7" w:rsidP="000E75D7">
            <w:pPr>
              <w:jc w:val="right"/>
              <w:rPr>
                <w:rFonts w:ascii="Arial" w:hAnsi="Arial" w:cs="Arial"/>
                <w:sz w:val="20"/>
              </w:rPr>
            </w:pPr>
            <w:r w:rsidRPr="000E75D7">
              <w:rPr>
                <w:rFonts w:ascii="Arial" w:hAnsi="Arial" w:cs="Arial"/>
                <w:sz w:val="20"/>
              </w:rPr>
              <w:t>$11,456 M</w:t>
            </w:r>
          </w:p>
        </w:tc>
        <w:tc>
          <w:tcPr>
            <w:tcW w:w="1551" w:type="dxa"/>
            <w:tcMar>
              <w:top w:w="0" w:type="dxa"/>
              <w:left w:w="108" w:type="dxa"/>
              <w:bottom w:w="0" w:type="dxa"/>
              <w:right w:w="108" w:type="dxa"/>
            </w:tcMar>
          </w:tcPr>
          <w:p w:rsidR="000E75D7" w:rsidRPr="000E75D7" w:rsidRDefault="000E75D7" w:rsidP="000E75D7">
            <w:pPr>
              <w:jc w:val="right"/>
              <w:rPr>
                <w:rFonts w:ascii="Arial" w:hAnsi="Arial" w:cs="Arial"/>
                <w:sz w:val="20"/>
              </w:rPr>
            </w:pPr>
          </w:p>
        </w:tc>
        <w:tc>
          <w:tcPr>
            <w:tcW w:w="1551" w:type="dxa"/>
            <w:tcMar>
              <w:top w:w="0" w:type="dxa"/>
              <w:left w:w="108" w:type="dxa"/>
              <w:bottom w:w="0" w:type="dxa"/>
              <w:right w:w="108" w:type="dxa"/>
            </w:tcMar>
            <w:hideMark/>
          </w:tcPr>
          <w:p w:rsidR="000E75D7" w:rsidRPr="000E75D7" w:rsidRDefault="000E75D7" w:rsidP="000E75D7">
            <w:pPr>
              <w:jc w:val="right"/>
              <w:rPr>
                <w:rFonts w:ascii="Arial" w:hAnsi="Arial" w:cs="Arial"/>
                <w:sz w:val="20"/>
              </w:rPr>
            </w:pPr>
            <w:r w:rsidRPr="000E75D7">
              <w:rPr>
                <w:rFonts w:ascii="Arial" w:hAnsi="Arial" w:cs="Arial"/>
                <w:sz w:val="20"/>
              </w:rPr>
              <w:t>$10,480 M</w:t>
            </w:r>
          </w:p>
        </w:tc>
        <w:tc>
          <w:tcPr>
            <w:tcW w:w="1551" w:type="dxa"/>
            <w:tcMar>
              <w:top w:w="0" w:type="dxa"/>
              <w:left w:w="108" w:type="dxa"/>
              <w:bottom w:w="0" w:type="dxa"/>
              <w:right w:w="108" w:type="dxa"/>
            </w:tcMar>
          </w:tcPr>
          <w:p w:rsidR="000E75D7" w:rsidRPr="000E75D7" w:rsidRDefault="000E75D7" w:rsidP="000E75D7">
            <w:pPr>
              <w:jc w:val="right"/>
              <w:rPr>
                <w:rFonts w:ascii="Arial" w:hAnsi="Arial" w:cs="Arial"/>
                <w:sz w:val="20"/>
              </w:rPr>
            </w:pPr>
          </w:p>
        </w:tc>
      </w:tr>
      <w:tr w:rsidR="000E75D7" w:rsidRPr="000E75D7" w:rsidTr="000E75D7">
        <w:trPr>
          <w:tblCellSpacing w:w="0" w:type="dxa"/>
        </w:trPr>
        <w:tc>
          <w:tcPr>
            <w:tcW w:w="2855" w:type="dxa"/>
            <w:tcMar>
              <w:top w:w="0" w:type="dxa"/>
              <w:left w:w="108" w:type="dxa"/>
              <w:bottom w:w="0" w:type="dxa"/>
              <w:right w:w="108" w:type="dxa"/>
            </w:tcMar>
            <w:hideMark/>
          </w:tcPr>
          <w:p w:rsidR="000E75D7" w:rsidRPr="000E75D7" w:rsidRDefault="000E75D7" w:rsidP="000E75D7">
            <w:pPr>
              <w:rPr>
                <w:rFonts w:ascii="Arial" w:hAnsi="Arial" w:cs="Arial"/>
                <w:sz w:val="20"/>
              </w:rPr>
            </w:pPr>
            <w:proofErr w:type="spellStart"/>
            <w:r w:rsidRPr="000E75D7">
              <w:rPr>
                <w:rFonts w:ascii="Arial" w:hAnsi="Arial" w:cs="Arial"/>
                <w:sz w:val="20"/>
              </w:rPr>
              <w:t>Operating</w:t>
            </w:r>
            <w:proofErr w:type="spellEnd"/>
            <w:r w:rsidRPr="000E75D7">
              <w:rPr>
                <w:rFonts w:ascii="Arial" w:hAnsi="Arial" w:cs="Arial"/>
                <w:sz w:val="20"/>
              </w:rPr>
              <w:t xml:space="preserve"> profit </w:t>
            </w:r>
          </w:p>
        </w:tc>
        <w:tc>
          <w:tcPr>
            <w:tcW w:w="1551" w:type="dxa"/>
            <w:tcMar>
              <w:top w:w="0" w:type="dxa"/>
              <w:left w:w="108" w:type="dxa"/>
              <w:bottom w:w="0" w:type="dxa"/>
              <w:right w:w="108" w:type="dxa"/>
            </w:tcMar>
            <w:hideMark/>
          </w:tcPr>
          <w:p w:rsidR="000E75D7" w:rsidRPr="000E75D7" w:rsidRDefault="000E75D7" w:rsidP="000E75D7">
            <w:pPr>
              <w:jc w:val="right"/>
              <w:rPr>
                <w:rFonts w:ascii="Arial" w:hAnsi="Arial" w:cs="Arial"/>
                <w:sz w:val="20"/>
              </w:rPr>
            </w:pPr>
            <w:r w:rsidRPr="000E75D7">
              <w:rPr>
                <w:rFonts w:ascii="Arial" w:hAnsi="Arial" w:cs="Arial"/>
                <w:sz w:val="20"/>
              </w:rPr>
              <w:t>$364 M</w:t>
            </w:r>
          </w:p>
        </w:tc>
        <w:tc>
          <w:tcPr>
            <w:tcW w:w="1551" w:type="dxa"/>
            <w:tcMar>
              <w:top w:w="0" w:type="dxa"/>
              <w:left w:w="108" w:type="dxa"/>
              <w:bottom w:w="0" w:type="dxa"/>
              <w:right w:w="108" w:type="dxa"/>
            </w:tcMar>
            <w:hideMark/>
          </w:tcPr>
          <w:p w:rsidR="000E75D7" w:rsidRPr="000E75D7" w:rsidRDefault="000E75D7" w:rsidP="000E75D7">
            <w:pPr>
              <w:jc w:val="right"/>
              <w:rPr>
                <w:rFonts w:ascii="Arial" w:hAnsi="Arial" w:cs="Arial"/>
                <w:sz w:val="20"/>
              </w:rPr>
            </w:pPr>
            <w:r w:rsidRPr="000E75D7">
              <w:rPr>
                <w:rFonts w:ascii="Arial" w:hAnsi="Arial" w:cs="Arial"/>
                <w:sz w:val="20"/>
              </w:rPr>
              <w:t>$ 401 M</w:t>
            </w:r>
          </w:p>
        </w:tc>
        <w:tc>
          <w:tcPr>
            <w:tcW w:w="1551" w:type="dxa"/>
            <w:tcMar>
              <w:top w:w="0" w:type="dxa"/>
              <w:left w:w="108" w:type="dxa"/>
              <w:bottom w:w="0" w:type="dxa"/>
              <w:right w:w="108" w:type="dxa"/>
            </w:tcMar>
            <w:hideMark/>
          </w:tcPr>
          <w:p w:rsidR="000E75D7" w:rsidRPr="000E75D7" w:rsidRDefault="000E75D7" w:rsidP="000E75D7">
            <w:pPr>
              <w:jc w:val="right"/>
              <w:rPr>
                <w:rFonts w:ascii="Arial" w:hAnsi="Arial" w:cs="Arial"/>
                <w:sz w:val="20"/>
              </w:rPr>
            </w:pPr>
            <w:r w:rsidRPr="000E75D7">
              <w:rPr>
                <w:rFonts w:ascii="Arial" w:hAnsi="Arial" w:cs="Arial"/>
                <w:sz w:val="20"/>
              </w:rPr>
              <w:t>$666 M</w:t>
            </w:r>
          </w:p>
        </w:tc>
        <w:tc>
          <w:tcPr>
            <w:tcW w:w="1551" w:type="dxa"/>
            <w:tcMar>
              <w:top w:w="0" w:type="dxa"/>
              <w:left w:w="108" w:type="dxa"/>
              <w:bottom w:w="0" w:type="dxa"/>
              <w:right w:w="108" w:type="dxa"/>
            </w:tcMar>
            <w:hideMark/>
          </w:tcPr>
          <w:p w:rsidR="000E75D7" w:rsidRPr="000E75D7" w:rsidRDefault="000E75D7" w:rsidP="000E75D7">
            <w:pPr>
              <w:jc w:val="right"/>
              <w:rPr>
                <w:rFonts w:ascii="Arial" w:hAnsi="Arial" w:cs="Arial"/>
                <w:sz w:val="20"/>
              </w:rPr>
            </w:pPr>
            <w:r w:rsidRPr="000E75D7">
              <w:rPr>
                <w:rFonts w:ascii="Arial" w:hAnsi="Arial" w:cs="Arial"/>
                <w:sz w:val="20"/>
              </w:rPr>
              <w:t>$694 M</w:t>
            </w:r>
          </w:p>
        </w:tc>
      </w:tr>
    </w:tbl>
    <w:p w:rsidR="000E75D7" w:rsidRPr="000E75D7" w:rsidRDefault="000E75D7" w:rsidP="000E75D7">
      <w:pPr>
        <w:rPr>
          <w:rFonts w:ascii="Arial" w:hAnsi="Arial" w:cs="Arial"/>
          <w:szCs w:val="22"/>
          <w:lang w:val="en-US"/>
        </w:rPr>
      </w:pPr>
    </w:p>
    <w:p w:rsidR="000E75D7" w:rsidRPr="000E75D7" w:rsidRDefault="000E75D7" w:rsidP="000E75D7">
      <w:pPr>
        <w:numPr>
          <w:ilvl w:val="0"/>
          <w:numId w:val="29"/>
        </w:numPr>
        <w:contextualSpacing/>
        <w:rPr>
          <w:rFonts w:ascii="Arial" w:hAnsi="Arial" w:cs="Arial"/>
          <w:szCs w:val="22"/>
          <w:lang w:val="en-US"/>
        </w:rPr>
      </w:pPr>
      <w:r w:rsidRPr="000E75D7">
        <w:rPr>
          <w:rFonts w:ascii="Arial" w:hAnsi="Arial" w:cs="Arial"/>
          <w:szCs w:val="22"/>
          <w:lang w:val="en-US"/>
        </w:rPr>
        <w:t>Revenue increased 9.3% and average daily volume was up 8.5%, with growth across all products.</w:t>
      </w:r>
    </w:p>
    <w:p w:rsidR="000E75D7" w:rsidRPr="000E75D7" w:rsidRDefault="000E75D7" w:rsidP="000E75D7">
      <w:pPr>
        <w:numPr>
          <w:ilvl w:val="0"/>
          <w:numId w:val="29"/>
        </w:numPr>
        <w:contextualSpacing/>
        <w:rPr>
          <w:rFonts w:ascii="Arial" w:hAnsi="Arial" w:cs="Arial"/>
          <w:szCs w:val="22"/>
          <w:lang w:val="en-US"/>
        </w:rPr>
      </w:pPr>
      <w:r w:rsidRPr="000E75D7">
        <w:rPr>
          <w:rFonts w:ascii="Arial" w:hAnsi="Arial" w:cs="Arial"/>
          <w:szCs w:val="22"/>
          <w:lang w:val="en-US"/>
        </w:rPr>
        <w:t>Next Day Air average daily volume grew 20.5%, the fourth consecutive quarter of double-digit increases.</w:t>
      </w:r>
    </w:p>
    <w:p w:rsidR="000E75D7" w:rsidRPr="000E75D7" w:rsidRDefault="000E75D7" w:rsidP="000E75D7">
      <w:pPr>
        <w:numPr>
          <w:ilvl w:val="0"/>
          <w:numId w:val="29"/>
        </w:numPr>
        <w:contextualSpacing/>
        <w:rPr>
          <w:rFonts w:ascii="Arial" w:hAnsi="Arial" w:cs="Arial"/>
          <w:szCs w:val="22"/>
          <w:lang w:val="en-US"/>
        </w:rPr>
      </w:pPr>
      <w:r w:rsidRPr="000E75D7">
        <w:rPr>
          <w:rFonts w:ascii="Arial" w:hAnsi="Arial" w:cs="Arial"/>
          <w:szCs w:val="22"/>
          <w:lang w:val="en-US"/>
        </w:rPr>
        <w:t xml:space="preserve">Revenue per piece decreased less than 1% due to changes in customer and product mix. </w:t>
      </w:r>
    </w:p>
    <w:p w:rsidR="000E75D7" w:rsidRPr="000E75D7" w:rsidRDefault="000E75D7" w:rsidP="000E75D7">
      <w:pPr>
        <w:numPr>
          <w:ilvl w:val="0"/>
          <w:numId w:val="29"/>
        </w:numPr>
        <w:contextualSpacing/>
        <w:rPr>
          <w:rFonts w:ascii="Arial" w:hAnsi="Arial" w:cs="Arial"/>
          <w:szCs w:val="22"/>
          <w:lang w:val="en-US"/>
        </w:rPr>
      </w:pPr>
      <w:r w:rsidRPr="000E75D7">
        <w:rPr>
          <w:rFonts w:ascii="Arial" w:hAnsi="Arial" w:cs="Arial"/>
          <w:szCs w:val="22"/>
          <w:lang w:val="en-US"/>
        </w:rPr>
        <w:t>Commercial deliveries declined while residential deliveries were elevated.</w:t>
      </w:r>
    </w:p>
    <w:p w:rsidR="000E75D7" w:rsidRPr="000E75D7" w:rsidRDefault="000E75D7" w:rsidP="000E75D7">
      <w:pPr>
        <w:numPr>
          <w:ilvl w:val="0"/>
          <w:numId w:val="29"/>
        </w:numPr>
        <w:contextualSpacing/>
        <w:rPr>
          <w:rFonts w:ascii="Arial" w:hAnsi="Arial" w:cs="Arial"/>
          <w:szCs w:val="22"/>
          <w:lang w:val="en-US"/>
        </w:rPr>
      </w:pPr>
      <w:r w:rsidRPr="000E75D7">
        <w:rPr>
          <w:rFonts w:ascii="Arial" w:hAnsi="Arial" w:cs="Arial"/>
          <w:szCs w:val="22"/>
          <w:lang w:val="en-US"/>
        </w:rPr>
        <w:t>Shipment growth in the quarter was driven by large customers.</w:t>
      </w:r>
    </w:p>
    <w:p w:rsidR="000E75D7" w:rsidRPr="000E75D7" w:rsidRDefault="000E75D7" w:rsidP="000E75D7">
      <w:pPr>
        <w:numPr>
          <w:ilvl w:val="0"/>
          <w:numId w:val="29"/>
        </w:numPr>
        <w:contextualSpacing/>
        <w:rPr>
          <w:rFonts w:ascii="Arial" w:hAnsi="Arial" w:cs="Arial"/>
          <w:szCs w:val="22"/>
          <w:lang w:val="en-US"/>
        </w:rPr>
      </w:pPr>
      <w:r w:rsidRPr="000E75D7">
        <w:rPr>
          <w:rFonts w:ascii="Arial" w:hAnsi="Arial" w:cs="Arial"/>
          <w:szCs w:val="22"/>
          <w:lang w:val="en-US"/>
        </w:rPr>
        <w:t>On-time performance across all service levels was near a record high in a dynamic environment.</w:t>
      </w:r>
    </w:p>
    <w:p w:rsidR="000E75D7" w:rsidRPr="000E75D7" w:rsidRDefault="000E75D7" w:rsidP="000E75D7">
      <w:pPr>
        <w:rPr>
          <w:rFonts w:ascii="Arial" w:hAnsi="Arial" w:cs="Arial"/>
          <w:b/>
          <w:bCs/>
          <w:szCs w:val="22"/>
          <w:u w:val="single"/>
          <w:lang w:val="en"/>
        </w:rPr>
      </w:pPr>
    </w:p>
    <w:p w:rsidR="000E75D7" w:rsidRPr="000E75D7" w:rsidRDefault="000E75D7" w:rsidP="000E75D7">
      <w:pPr>
        <w:rPr>
          <w:rFonts w:ascii="Arial" w:hAnsi="Arial" w:cs="Arial"/>
          <w:b/>
          <w:bCs/>
          <w:szCs w:val="22"/>
          <w:u w:val="single"/>
          <w:lang w:val="en"/>
        </w:rPr>
      </w:pPr>
    </w:p>
    <w:p w:rsidR="000E75D7" w:rsidRPr="000E75D7" w:rsidRDefault="000E75D7" w:rsidP="000E75D7">
      <w:pPr>
        <w:rPr>
          <w:rFonts w:ascii="Arial" w:hAnsi="Arial" w:cs="Arial"/>
          <w:b/>
          <w:bCs/>
          <w:szCs w:val="22"/>
          <w:u w:val="single"/>
          <w:lang w:val="en"/>
        </w:rPr>
      </w:pPr>
      <w:r w:rsidRPr="000E75D7">
        <w:rPr>
          <w:rFonts w:ascii="Arial" w:hAnsi="Arial" w:cs="Arial"/>
          <w:b/>
          <w:bCs/>
          <w:szCs w:val="22"/>
          <w:u w:val="single"/>
          <w:lang w:val="en"/>
        </w:rPr>
        <w:t>International Segment</w:t>
      </w:r>
    </w:p>
    <w:p w:rsidR="000E75D7" w:rsidRPr="000E75D7" w:rsidRDefault="000E75D7" w:rsidP="000E75D7">
      <w:pPr>
        <w:ind w:firstLine="720"/>
        <w:rPr>
          <w:rFonts w:ascii="Arial" w:hAnsi="Arial" w:cs="Arial"/>
          <w:szCs w:val="22"/>
          <w:lang w:val="en-US"/>
        </w:rPr>
      </w:pPr>
    </w:p>
    <w:p w:rsidR="000E75D7" w:rsidRPr="000E75D7" w:rsidRDefault="000E75D7" w:rsidP="000E75D7">
      <w:pPr>
        <w:rPr>
          <w:rFonts w:ascii="Arial" w:hAnsi="Arial" w:cs="Arial"/>
          <w:szCs w:val="22"/>
          <w:lang w:val="en"/>
        </w:rPr>
      </w:pPr>
      <w:r w:rsidRPr="000E75D7">
        <w:rPr>
          <w:rFonts w:ascii="Arial" w:hAnsi="Arial" w:cs="Arial"/>
          <w:szCs w:val="22"/>
          <w:lang w:val="en"/>
        </w:rPr>
        <w:t>UPS’s</w:t>
      </w:r>
      <w:r w:rsidRPr="000E75D7">
        <w:rPr>
          <w:rFonts w:ascii="Arial" w:hAnsi="Arial" w:cs="Arial"/>
          <w:color w:val="000000"/>
          <w:szCs w:val="22"/>
          <w:lang w:val="en"/>
        </w:rPr>
        <w:t xml:space="preserve"> </w:t>
      </w:r>
      <w:r w:rsidRPr="000E75D7">
        <w:rPr>
          <w:rFonts w:ascii="Arial" w:hAnsi="Arial" w:cs="Arial"/>
          <w:color w:val="000000"/>
          <w:szCs w:val="22"/>
          <w:lang w:val="en-US"/>
        </w:rPr>
        <w:t xml:space="preserve">International segment generated $551 million in operating profit, or $558 million in operating profit on an adjusted basis, despite weakening global economic activity.  The company </w:t>
      </w:r>
      <w:r w:rsidRPr="000E75D7">
        <w:rPr>
          <w:rFonts w:ascii="Arial" w:hAnsi="Arial" w:cs="Arial"/>
          <w:szCs w:val="22"/>
          <w:lang w:val="en"/>
        </w:rPr>
        <w:t>executed well to contain costs and target customer opportunities as the coronavirus pandemic rapidly spread from Asia to other parts of the world.</w:t>
      </w:r>
    </w:p>
    <w:p w:rsidR="000E75D7" w:rsidRPr="000E75D7" w:rsidRDefault="000E75D7" w:rsidP="000E75D7">
      <w:pPr>
        <w:rPr>
          <w:rFonts w:ascii="Arial" w:hAnsi="Arial" w:cs="Arial"/>
          <w:color w:val="000000"/>
          <w:szCs w:val="22"/>
          <w:lang w:val="en-US"/>
        </w:rPr>
      </w:pPr>
    </w:p>
    <w:tbl>
      <w:tblPr>
        <w:tblW w:w="0" w:type="dxa"/>
        <w:tblCellSpacing w:w="0" w:type="dxa"/>
        <w:tblCellMar>
          <w:left w:w="0" w:type="dxa"/>
          <w:right w:w="0" w:type="dxa"/>
        </w:tblCellMar>
        <w:tblLook w:val="04A0" w:firstRow="1" w:lastRow="0" w:firstColumn="1" w:lastColumn="0" w:noHBand="0" w:noVBand="1"/>
      </w:tblPr>
      <w:tblGrid>
        <w:gridCol w:w="2628"/>
        <w:gridCol w:w="1458"/>
        <w:gridCol w:w="1489"/>
        <w:gridCol w:w="1458"/>
        <w:gridCol w:w="1489"/>
      </w:tblGrid>
      <w:tr w:rsidR="000E75D7" w:rsidRPr="000E75D7" w:rsidTr="000E75D7">
        <w:trPr>
          <w:tblCellSpacing w:w="0" w:type="dxa"/>
        </w:trPr>
        <w:tc>
          <w:tcPr>
            <w:tcW w:w="2855" w:type="dxa"/>
            <w:tcMar>
              <w:top w:w="0" w:type="dxa"/>
              <w:left w:w="108" w:type="dxa"/>
              <w:bottom w:w="0" w:type="dxa"/>
              <w:right w:w="108" w:type="dxa"/>
            </w:tcMar>
          </w:tcPr>
          <w:p w:rsidR="000E75D7" w:rsidRPr="000E75D7" w:rsidRDefault="000E75D7" w:rsidP="000E75D7">
            <w:pPr>
              <w:rPr>
                <w:rFonts w:ascii="Arial" w:hAnsi="Arial" w:cs="Arial"/>
                <w:b/>
                <w:bCs/>
                <w:sz w:val="20"/>
                <w:u w:val="single"/>
              </w:rPr>
            </w:pPr>
          </w:p>
          <w:p w:rsidR="000E75D7" w:rsidRPr="000E75D7" w:rsidRDefault="000E75D7" w:rsidP="000E75D7">
            <w:pPr>
              <w:rPr>
                <w:rFonts w:ascii="Arial" w:hAnsi="Arial" w:cs="Arial"/>
                <w:b/>
                <w:bCs/>
                <w:sz w:val="20"/>
                <w:u w:val="single"/>
              </w:rPr>
            </w:pPr>
          </w:p>
        </w:tc>
        <w:tc>
          <w:tcPr>
            <w:tcW w:w="1551" w:type="dxa"/>
            <w:tcMar>
              <w:top w:w="0" w:type="dxa"/>
              <w:left w:w="108" w:type="dxa"/>
              <w:bottom w:w="0" w:type="dxa"/>
              <w:right w:w="108" w:type="dxa"/>
            </w:tcMar>
          </w:tcPr>
          <w:p w:rsidR="000E75D7" w:rsidRPr="000E75D7" w:rsidRDefault="000E75D7" w:rsidP="000E75D7">
            <w:pPr>
              <w:jc w:val="right"/>
              <w:rPr>
                <w:rFonts w:ascii="Arial" w:hAnsi="Arial" w:cs="Arial"/>
                <w:b/>
                <w:bCs/>
                <w:sz w:val="20"/>
                <w:u w:val="single"/>
              </w:rPr>
            </w:pPr>
          </w:p>
          <w:p w:rsidR="000E75D7" w:rsidRPr="000E75D7" w:rsidRDefault="000E75D7" w:rsidP="000E75D7">
            <w:pPr>
              <w:jc w:val="right"/>
              <w:rPr>
                <w:rFonts w:ascii="Arial" w:hAnsi="Arial" w:cs="Arial"/>
                <w:b/>
                <w:bCs/>
                <w:sz w:val="20"/>
                <w:u w:val="single"/>
              </w:rPr>
            </w:pPr>
            <w:r w:rsidRPr="000E75D7">
              <w:rPr>
                <w:rFonts w:ascii="Arial" w:hAnsi="Arial" w:cs="Arial"/>
                <w:b/>
                <w:bCs/>
                <w:sz w:val="20"/>
                <w:u w:val="single"/>
              </w:rPr>
              <w:t>1Q 2020</w:t>
            </w:r>
          </w:p>
        </w:tc>
        <w:tc>
          <w:tcPr>
            <w:tcW w:w="1551" w:type="dxa"/>
            <w:tcMar>
              <w:top w:w="0" w:type="dxa"/>
              <w:left w:w="108" w:type="dxa"/>
              <w:bottom w:w="0" w:type="dxa"/>
              <w:right w:w="108" w:type="dxa"/>
            </w:tcMar>
            <w:hideMark/>
          </w:tcPr>
          <w:p w:rsidR="000E75D7" w:rsidRPr="000E75D7" w:rsidRDefault="000E75D7" w:rsidP="000E75D7">
            <w:pPr>
              <w:jc w:val="right"/>
              <w:rPr>
                <w:rFonts w:ascii="Arial" w:hAnsi="Arial" w:cs="Arial"/>
                <w:b/>
                <w:bCs/>
                <w:sz w:val="20"/>
                <w:u w:val="single"/>
              </w:rPr>
            </w:pPr>
            <w:proofErr w:type="spellStart"/>
            <w:r w:rsidRPr="000E75D7">
              <w:rPr>
                <w:rFonts w:ascii="Arial" w:hAnsi="Arial" w:cs="Arial"/>
                <w:b/>
                <w:bCs/>
                <w:sz w:val="20"/>
                <w:u w:val="single"/>
              </w:rPr>
              <w:t>Adjusted</w:t>
            </w:r>
            <w:proofErr w:type="spellEnd"/>
          </w:p>
          <w:p w:rsidR="000E75D7" w:rsidRPr="000E75D7" w:rsidRDefault="000E75D7" w:rsidP="000E75D7">
            <w:pPr>
              <w:jc w:val="right"/>
              <w:rPr>
                <w:rFonts w:ascii="Arial" w:hAnsi="Arial" w:cs="Arial"/>
                <w:b/>
                <w:bCs/>
                <w:sz w:val="20"/>
                <w:u w:val="single"/>
              </w:rPr>
            </w:pPr>
            <w:r w:rsidRPr="000E75D7">
              <w:rPr>
                <w:rFonts w:ascii="Arial" w:hAnsi="Arial" w:cs="Arial"/>
                <w:b/>
                <w:bCs/>
                <w:sz w:val="20"/>
                <w:u w:val="single"/>
              </w:rPr>
              <w:t>1Q 2020</w:t>
            </w:r>
          </w:p>
        </w:tc>
        <w:tc>
          <w:tcPr>
            <w:tcW w:w="1551" w:type="dxa"/>
            <w:tcMar>
              <w:top w:w="0" w:type="dxa"/>
              <w:left w:w="108" w:type="dxa"/>
              <w:bottom w:w="0" w:type="dxa"/>
              <w:right w:w="108" w:type="dxa"/>
            </w:tcMar>
          </w:tcPr>
          <w:p w:rsidR="000E75D7" w:rsidRPr="000E75D7" w:rsidRDefault="000E75D7" w:rsidP="000E75D7">
            <w:pPr>
              <w:jc w:val="right"/>
              <w:rPr>
                <w:rFonts w:ascii="Arial" w:hAnsi="Arial" w:cs="Arial"/>
                <w:b/>
                <w:bCs/>
                <w:sz w:val="20"/>
                <w:u w:val="single"/>
              </w:rPr>
            </w:pPr>
          </w:p>
          <w:p w:rsidR="000E75D7" w:rsidRPr="000E75D7" w:rsidRDefault="000E75D7" w:rsidP="000E75D7">
            <w:pPr>
              <w:jc w:val="right"/>
              <w:rPr>
                <w:rFonts w:ascii="Arial" w:hAnsi="Arial" w:cs="Arial"/>
                <w:b/>
                <w:bCs/>
                <w:sz w:val="20"/>
                <w:u w:val="single"/>
              </w:rPr>
            </w:pPr>
            <w:r w:rsidRPr="000E75D7">
              <w:rPr>
                <w:rFonts w:ascii="Arial" w:hAnsi="Arial" w:cs="Arial"/>
                <w:b/>
                <w:bCs/>
                <w:sz w:val="20"/>
                <w:u w:val="single"/>
              </w:rPr>
              <w:t>1Q 2019</w:t>
            </w:r>
          </w:p>
        </w:tc>
        <w:tc>
          <w:tcPr>
            <w:tcW w:w="1551" w:type="dxa"/>
            <w:tcMar>
              <w:top w:w="0" w:type="dxa"/>
              <w:left w:w="108" w:type="dxa"/>
              <w:bottom w:w="0" w:type="dxa"/>
              <w:right w:w="108" w:type="dxa"/>
            </w:tcMar>
            <w:hideMark/>
          </w:tcPr>
          <w:p w:rsidR="000E75D7" w:rsidRPr="000E75D7" w:rsidRDefault="000E75D7" w:rsidP="000E75D7">
            <w:pPr>
              <w:jc w:val="right"/>
              <w:rPr>
                <w:rFonts w:ascii="Arial" w:hAnsi="Arial" w:cs="Arial"/>
                <w:b/>
                <w:bCs/>
                <w:sz w:val="20"/>
                <w:u w:val="single"/>
              </w:rPr>
            </w:pPr>
            <w:proofErr w:type="spellStart"/>
            <w:r w:rsidRPr="000E75D7">
              <w:rPr>
                <w:rFonts w:ascii="Arial" w:hAnsi="Arial" w:cs="Arial"/>
                <w:b/>
                <w:bCs/>
                <w:sz w:val="20"/>
                <w:u w:val="single"/>
              </w:rPr>
              <w:t>Adjusted</w:t>
            </w:r>
            <w:proofErr w:type="spellEnd"/>
          </w:p>
          <w:p w:rsidR="000E75D7" w:rsidRPr="000E75D7" w:rsidRDefault="000E75D7" w:rsidP="000E75D7">
            <w:pPr>
              <w:jc w:val="right"/>
              <w:rPr>
                <w:rFonts w:ascii="Arial" w:hAnsi="Arial" w:cs="Arial"/>
                <w:b/>
                <w:bCs/>
                <w:sz w:val="20"/>
                <w:u w:val="single"/>
              </w:rPr>
            </w:pPr>
            <w:r w:rsidRPr="000E75D7">
              <w:rPr>
                <w:rFonts w:ascii="Arial" w:hAnsi="Arial" w:cs="Arial"/>
                <w:b/>
                <w:bCs/>
                <w:sz w:val="20"/>
                <w:u w:val="single"/>
              </w:rPr>
              <w:t>1Q 2019</w:t>
            </w:r>
          </w:p>
        </w:tc>
      </w:tr>
      <w:tr w:rsidR="000E75D7" w:rsidRPr="000E75D7" w:rsidTr="000E75D7">
        <w:trPr>
          <w:tblCellSpacing w:w="0" w:type="dxa"/>
        </w:trPr>
        <w:tc>
          <w:tcPr>
            <w:tcW w:w="2855" w:type="dxa"/>
            <w:tcMar>
              <w:top w:w="0" w:type="dxa"/>
              <w:left w:w="108" w:type="dxa"/>
              <w:bottom w:w="0" w:type="dxa"/>
              <w:right w:w="108" w:type="dxa"/>
            </w:tcMar>
            <w:hideMark/>
          </w:tcPr>
          <w:p w:rsidR="000E75D7" w:rsidRPr="000E75D7" w:rsidRDefault="000E75D7" w:rsidP="000E75D7">
            <w:pPr>
              <w:rPr>
                <w:rFonts w:ascii="Arial" w:hAnsi="Arial" w:cs="Arial"/>
                <w:sz w:val="20"/>
              </w:rPr>
            </w:pPr>
            <w:proofErr w:type="spellStart"/>
            <w:r w:rsidRPr="000E75D7">
              <w:rPr>
                <w:rFonts w:ascii="Arial" w:hAnsi="Arial" w:cs="Arial"/>
                <w:sz w:val="20"/>
              </w:rPr>
              <w:lastRenderedPageBreak/>
              <w:t>Revenue</w:t>
            </w:r>
            <w:proofErr w:type="spellEnd"/>
          </w:p>
        </w:tc>
        <w:tc>
          <w:tcPr>
            <w:tcW w:w="1551" w:type="dxa"/>
            <w:tcMar>
              <w:top w:w="0" w:type="dxa"/>
              <w:left w:w="108" w:type="dxa"/>
              <w:bottom w:w="0" w:type="dxa"/>
              <w:right w:w="108" w:type="dxa"/>
            </w:tcMar>
            <w:hideMark/>
          </w:tcPr>
          <w:p w:rsidR="000E75D7" w:rsidRPr="000E75D7" w:rsidRDefault="000E75D7" w:rsidP="000E75D7">
            <w:pPr>
              <w:jc w:val="right"/>
              <w:rPr>
                <w:rFonts w:ascii="Arial" w:hAnsi="Arial" w:cs="Arial"/>
                <w:sz w:val="20"/>
              </w:rPr>
            </w:pPr>
            <w:r w:rsidRPr="000E75D7">
              <w:rPr>
                <w:rFonts w:ascii="Arial" w:hAnsi="Arial" w:cs="Arial"/>
                <w:sz w:val="20"/>
              </w:rPr>
              <w:t>$3,383 M</w:t>
            </w:r>
          </w:p>
        </w:tc>
        <w:tc>
          <w:tcPr>
            <w:tcW w:w="1551" w:type="dxa"/>
            <w:tcMar>
              <w:top w:w="0" w:type="dxa"/>
              <w:left w:w="108" w:type="dxa"/>
              <w:bottom w:w="0" w:type="dxa"/>
              <w:right w:w="108" w:type="dxa"/>
            </w:tcMar>
          </w:tcPr>
          <w:p w:rsidR="000E75D7" w:rsidRPr="000E75D7" w:rsidRDefault="000E75D7" w:rsidP="000E75D7">
            <w:pPr>
              <w:jc w:val="right"/>
              <w:rPr>
                <w:rFonts w:ascii="Arial" w:hAnsi="Arial" w:cs="Arial"/>
                <w:sz w:val="20"/>
              </w:rPr>
            </w:pPr>
          </w:p>
        </w:tc>
        <w:tc>
          <w:tcPr>
            <w:tcW w:w="1551" w:type="dxa"/>
            <w:tcMar>
              <w:top w:w="0" w:type="dxa"/>
              <w:left w:w="108" w:type="dxa"/>
              <w:bottom w:w="0" w:type="dxa"/>
              <w:right w:w="108" w:type="dxa"/>
            </w:tcMar>
            <w:hideMark/>
          </w:tcPr>
          <w:p w:rsidR="000E75D7" w:rsidRPr="000E75D7" w:rsidRDefault="000E75D7" w:rsidP="000E75D7">
            <w:pPr>
              <w:jc w:val="right"/>
              <w:rPr>
                <w:rFonts w:ascii="Arial" w:hAnsi="Arial" w:cs="Arial"/>
                <w:sz w:val="20"/>
              </w:rPr>
            </w:pPr>
            <w:r w:rsidRPr="000E75D7">
              <w:rPr>
                <w:rFonts w:ascii="Arial" w:hAnsi="Arial" w:cs="Arial"/>
                <w:sz w:val="20"/>
              </w:rPr>
              <w:t>$3,459 M</w:t>
            </w:r>
          </w:p>
        </w:tc>
        <w:tc>
          <w:tcPr>
            <w:tcW w:w="1551" w:type="dxa"/>
            <w:tcMar>
              <w:top w:w="0" w:type="dxa"/>
              <w:left w:w="108" w:type="dxa"/>
              <w:bottom w:w="0" w:type="dxa"/>
              <w:right w:w="108" w:type="dxa"/>
            </w:tcMar>
          </w:tcPr>
          <w:p w:rsidR="000E75D7" w:rsidRPr="000E75D7" w:rsidRDefault="000E75D7" w:rsidP="000E75D7">
            <w:pPr>
              <w:jc w:val="right"/>
              <w:rPr>
                <w:rFonts w:ascii="Arial" w:hAnsi="Arial" w:cs="Arial"/>
                <w:sz w:val="20"/>
              </w:rPr>
            </w:pPr>
          </w:p>
        </w:tc>
      </w:tr>
      <w:tr w:rsidR="000E75D7" w:rsidRPr="000E75D7" w:rsidTr="000E75D7">
        <w:trPr>
          <w:tblCellSpacing w:w="0" w:type="dxa"/>
        </w:trPr>
        <w:tc>
          <w:tcPr>
            <w:tcW w:w="2855" w:type="dxa"/>
            <w:tcMar>
              <w:top w:w="0" w:type="dxa"/>
              <w:left w:w="108" w:type="dxa"/>
              <w:bottom w:w="0" w:type="dxa"/>
              <w:right w:w="108" w:type="dxa"/>
            </w:tcMar>
            <w:hideMark/>
          </w:tcPr>
          <w:p w:rsidR="000E75D7" w:rsidRPr="000E75D7" w:rsidRDefault="000E75D7" w:rsidP="000E75D7">
            <w:pPr>
              <w:rPr>
                <w:rFonts w:ascii="Arial" w:hAnsi="Arial" w:cs="Arial"/>
                <w:sz w:val="20"/>
              </w:rPr>
            </w:pPr>
            <w:proofErr w:type="spellStart"/>
            <w:r w:rsidRPr="000E75D7">
              <w:rPr>
                <w:rFonts w:ascii="Arial" w:hAnsi="Arial" w:cs="Arial"/>
                <w:sz w:val="20"/>
              </w:rPr>
              <w:t>Operating</w:t>
            </w:r>
            <w:proofErr w:type="spellEnd"/>
            <w:r w:rsidRPr="000E75D7">
              <w:rPr>
                <w:rFonts w:ascii="Arial" w:hAnsi="Arial" w:cs="Arial"/>
                <w:sz w:val="20"/>
              </w:rPr>
              <w:t xml:space="preserve"> profit </w:t>
            </w:r>
          </w:p>
        </w:tc>
        <w:tc>
          <w:tcPr>
            <w:tcW w:w="1551" w:type="dxa"/>
            <w:tcMar>
              <w:top w:w="0" w:type="dxa"/>
              <w:left w:w="108" w:type="dxa"/>
              <w:bottom w:w="0" w:type="dxa"/>
              <w:right w:w="108" w:type="dxa"/>
            </w:tcMar>
            <w:hideMark/>
          </w:tcPr>
          <w:p w:rsidR="000E75D7" w:rsidRPr="000E75D7" w:rsidRDefault="000E75D7" w:rsidP="000E75D7">
            <w:pPr>
              <w:jc w:val="right"/>
              <w:rPr>
                <w:rFonts w:ascii="Arial" w:hAnsi="Arial" w:cs="Arial"/>
                <w:sz w:val="20"/>
              </w:rPr>
            </w:pPr>
            <w:r w:rsidRPr="000E75D7">
              <w:rPr>
                <w:rFonts w:ascii="Arial" w:hAnsi="Arial" w:cs="Arial"/>
                <w:sz w:val="20"/>
              </w:rPr>
              <w:t>$551 M</w:t>
            </w:r>
          </w:p>
        </w:tc>
        <w:tc>
          <w:tcPr>
            <w:tcW w:w="1551" w:type="dxa"/>
            <w:tcMar>
              <w:top w:w="0" w:type="dxa"/>
              <w:left w:w="108" w:type="dxa"/>
              <w:bottom w:w="0" w:type="dxa"/>
              <w:right w:w="108" w:type="dxa"/>
            </w:tcMar>
            <w:hideMark/>
          </w:tcPr>
          <w:p w:rsidR="000E75D7" w:rsidRPr="000E75D7" w:rsidRDefault="000E75D7" w:rsidP="000E75D7">
            <w:pPr>
              <w:jc w:val="right"/>
              <w:rPr>
                <w:rFonts w:ascii="Arial" w:hAnsi="Arial" w:cs="Arial"/>
                <w:sz w:val="20"/>
              </w:rPr>
            </w:pPr>
            <w:r w:rsidRPr="000E75D7">
              <w:rPr>
                <w:rFonts w:ascii="Arial" w:hAnsi="Arial" w:cs="Arial"/>
                <w:sz w:val="20"/>
              </w:rPr>
              <w:t>$ 558 M</w:t>
            </w:r>
          </w:p>
        </w:tc>
        <w:tc>
          <w:tcPr>
            <w:tcW w:w="1551" w:type="dxa"/>
            <w:tcMar>
              <w:top w:w="0" w:type="dxa"/>
              <w:left w:w="108" w:type="dxa"/>
              <w:bottom w:w="0" w:type="dxa"/>
              <w:right w:w="108" w:type="dxa"/>
            </w:tcMar>
            <w:hideMark/>
          </w:tcPr>
          <w:p w:rsidR="000E75D7" w:rsidRPr="000E75D7" w:rsidRDefault="000E75D7" w:rsidP="000E75D7">
            <w:pPr>
              <w:jc w:val="right"/>
              <w:rPr>
                <w:rFonts w:ascii="Arial" w:hAnsi="Arial" w:cs="Arial"/>
                <w:sz w:val="20"/>
              </w:rPr>
            </w:pPr>
            <w:r w:rsidRPr="000E75D7">
              <w:rPr>
                <w:rFonts w:ascii="Arial" w:hAnsi="Arial" w:cs="Arial"/>
                <w:sz w:val="20"/>
              </w:rPr>
              <w:t>$528 M</w:t>
            </w:r>
          </w:p>
        </w:tc>
        <w:tc>
          <w:tcPr>
            <w:tcW w:w="1551" w:type="dxa"/>
            <w:tcMar>
              <w:top w:w="0" w:type="dxa"/>
              <w:left w:w="108" w:type="dxa"/>
              <w:bottom w:w="0" w:type="dxa"/>
              <w:right w:w="108" w:type="dxa"/>
            </w:tcMar>
            <w:hideMark/>
          </w:tcPr>
          <w:p w:rsidR="000E75D7" w:rsidRPr="000E75D7" w:rsidRDefault="000E75D7" w:rsidP="000E75D7">
            <w:pPr>
              <w:jc w:val="right"/>
              <w:rPr>
                <w:rFonts w:ascii="Arial" w:hAnsi="Arial" w:cs="Arial"/>
                <w:sz w:val="20"/>
              </w:rPr>
            </w:pPr>
            <w:r w:rsidRPr="000E75D7">
              <w:rPr>
                <w:rFonts w:ascii="Arial" w:hAnsi="Arial" w:cs="Arial"/>
                <w:sz w:val="20"/>
              </w:rPr>
              <w:t>$612 M</w:t>
            </w:r>
          </w:p>
        </w:tc>
      </w:tr>
    </w:tbl>
    <w:p w:rsidR="000E75D7" w:rsidRPr="000E75D7" w:rsidRDefault="000E75D7" w:rsidP="000E75D7">
      <w:pPr>
        <w:ind w:left="720" w:hanging="720"/>
        <w:rPr>
          <w:rFonts w:ascii="Arial" w:hAnsi="Arial" w:cs="Arial"/>
          <w:sz w:val="24"/>
          <w:szCs w:val="24"/>
          <w:lang w:val="en-US"/>
        </w:rPr>
      </w:pPr>
    </w:p>
    <w:p w:rsidR="000E75D7" w:rsidRPr="000E75D7" w:rsidRDefault="000E75D7" w:rsidP="000E75D7">
      <w:pPr>
        <w:numPr>
          <w:ilvl w:val="0"/>
          <w:numId w:val="29"/>
        </w:numPr>
        <w:contextualSpacing/>
        <w:rPr>
          <w:rFonts w:ascii="Arial" w:hAnsi="Arial" w:cs="Arial"/>
          <w:szCs w:val="22"/>
          <w:lang w:val="en-US"/>
        </w:rPr>
      </w:pPr>
      <w:r w:rsidRPr="000E75D7">
        <w:rPr>
          <w:rFonts w:ascii="Arial" w:hAnsi="Arial" w:cs="Arial"/>
          <w:szCs w:val="22"/>
          <w:lang w:val="en-US"/>
        </w:rPr>
        <w:t xml:space="preserve">International average daily volume was down 1.8% with declines in commercial deliveries. </w:t>
      </w:r>
    </w:p>
    <w:p w:rsidR="000E75D7" w:rsidRPr="000E75D7" w:rsidRDefault="000E75D7" w:rsidP="000E75D7">
      <w:pPr>
        <w:numPr>
          <w:ilvl w:val="0"/>
          <w:numId w:val="29"/>
        </w:numPr>
        <w:contextualSpacing/>
        <w:rPr>
          <w:rFonts w:ascii="Arial" w:hAnsi="Arial" w:cs="Arial"/>
          <w:szCs w:val="22"/>
          <w:lang w:val="en-US"/>
        </w:rPr>
      </w:pPr>
      <w:r w:rsidRPr="000E75D7">
        <w:rPr>
          <w:rFonts w:ascii="Arial" w:hAnsi="Arial" w:cs="Arial"/>
          <w:szCs w:val="22"/>
          <w:lang w:val="en-US"/>
        </w:rPr>
        <w:t>China volume primarily rebounded in March as its economic recovery accelerated, offsetting declines in January and February. Healthcare, high-tech and e-commerce sectors were positive contributors.</w:t>
      </w:r>
    </w:p>
    <w:p w:rsidR="000E75D7" w:rsidRPr="000E75D7" w:rsidRDefault="000E75D7" w:rsidP="000E75D7">
      <w:pPr>
        <w:numPr>
          <w:ilvl w:val="0"/>
          <w:numId w:val="29"/>
        </w:numPr>
        <w:contextualSpacing/>
        <w:rPr>
          <w:rFonts w:ascii="Arial" w:hAnsi="Arial" w:cs="Arial"/>
          <w:szCs w:val="22"/>
          <w:lang w:val="en-US"/>
        </w:rPr>
      </w:pPr>
      <w:r w:rsidRPr="000E75D7">
        <w:rPr>
          <w:rFonts w:ascii="Arial" w:hAnsi="Arial" w:cs="Arial"/>
          <w:szCs w:val="22"/>
          <w:lang w:val="en-US"/>
        </w:rPr>
        <w:t xml:space="preserve">International cost per piece was down 0.5%, primarily due to the impact of currency. Additionally, the significant change in mix was partially offset by network adjustments to align capacity to changing trade patterns. </w:t>
      </w:r>
    </w:p>
    <w:p w:rsidR="000E75D7" w:rsidRPr="000E75D7" w:rsidRDefault="000E75D7" w:rsidP="000E75D7">
      <w:pPr>
        <w:numPr>
          <w:ilvl w:val="0"/>
          <w:numId w:val="29"/>
        </w:numPr>
        <w:contextualSpacing/>
        <w:rPr>
          <w:rFonts w:ascii="Arial" w:hAnsi="Arial" w:cs="Arial"/>
          <w:szCs w:val="22"/>
          <w:lang w:val="en-US"/>
        </w:rPr>
      </w:pPr>
      <w:r w:rsidRPr="000E75D7">
        <w:rPr>
          <w:rFonts w:ascii="Arial" w:hAnsi="Arial" w:cs="Arial"/>
          <w:szCs w:val="22"/>
          <w:lang w:val="en-US"/>
        </w:rPr>
        <w:t xml:space="preserve">Operating margin was 16.3%; adjusted operating margin remained strong at 16.5%. </w:t>
      </w:r>
    </w:p>
    <w:p w:rsidR="000E75D7" w:rsidRPr="000E75D7" w:rsidRDefault="000E75D7" w:rsidP="000E75D7">
      <w:pPr>
        <w:rPr>
          <w:rFonts w:ascii="Arial" w:hAnsi="Arial" w:cs="Arial"/>
          <w:b/>
          <w:bCs/>
          <w:szCs w:val="22"/>
          <w:u w:val="single"/>
          <w:lang w:val="en"/>
        </w:rPr>
      </w:pPr>
    </w:p>
    <w:p w:rsidR="000E75D7" w:rsidRPr="000E75D7" w:rsidRDefault="000E75D7" w:rsidP="000E75D7">
      <w:pPr>
        <w:rPr>
          <w:rFonts w:ascii="Arial" w:hAnsi="Arial" w:cs="Arial"/>
          <w:b/>
          <w:bCs/>
          <w:szCs w:val="22"/>
          <w:u w:val="single"/>
          <w:lang w:val="en"/>
        </w:rPr>
      </w:pPr>
    </w:p>
    <w:p w:rsidR="000E75D7" w:rsidRPr="000E75D7" w:rsidRDefault="000E75D7" w:rsidP="000E75D7">
      <w:pPr>
        <w:rPr>
          <w:rFonts w:ascii="Arial" w:hAnsi="Arial" w:cs="Arial"/>
          <w:b/>
          <w:bCs/>
          <w:szCs w:val="22"/>
          <w:u w:val="single"/>
          <w:lang w:val="en"/>
        </w:rPr>
      </w:pPr>
      <w:r w:rsidRPr="000E75D7">
        <w:rPr>
          <w:rFonts w:ascii="Arial" w:hAnsi="Arial" w:cs="Arial"/>
          <w:b/>
          <w:bCs/>
          <w:szCs w:val="22"/>
          <w:u w:val="single"/>
          <w:lang w:val="en"/>
        </w:rPr>
        <w:t>Supply Chain and Freight Segment</w:t>
      </w:r>
    </w:p>
    <w:p w:rsidR="000E75D7" w:rsidRPr="000E75D7" w:rsidRDefault="000E75D7" w:rsidP="000E75D7">
      <w:pPr>
        <w:rPr>
          <w:rFonts w:ascii="Arial" w:hAnsi="Arial" w:cs="Arial"/>
          <w:b/>
          <w:bCs/>
          <w:szCs w:val="22"/>
          <w:u w:val="single"/>
          <w:lang w:val="en"/>
        </w:rPr>
      </w:pPr>
    </w:p>
    <w:p w:rsidR="000E75D7" w:rsidRPr="000E75D7" w:rsidRDefault="000E75D7" w:rsidP="000E75D7">
      <w:pPr>
        <w:rPr>
          <w:rFonts w:ascii="Arial" w:hAnsi="Arial" w:cs="Arial"/>
          <w:szCs w:val="22"/>
          <w:lang w:val="en-US"/>
        </w:rPr>
      </w:pPr>
      <w:r w:rsidRPr="000E75D7">
        <w:rPr>
          <w:rFonts w:ascii="Arial" w:hAnsi="Arial" w:cs="Arial"/>
          <w:szCs w:val="22"/>
          <w:lang w:val="en-US"/>
        </w:rPr>
        <w:t xml:space="preserve">Supply Chain and Freight generated operating profit of $157 million, or $158 million in operating profit on an adjusted basis, despite significant economic headwinds from the coronavirus pandemic.  Revenue was negatively impacted by widespread reductions in global economic activity.  The segment is taking numerous actions to assist customers and improve financial performance as demand recovers, including activating aircraft charters from Asia, expanding customer relationships in the healthcare sector and applying peak surcharges where appropriate. </w:t>
      </w:r>
    </w:p>
    <w:p w:rsidR="000E75D7" w:rsidRPr="000E75D7" w:rsidRDefault="000E75D7" w:rsidP="000E75D7">
      <w:pPr>
        <w:rPr>
          <w:rFonts w:ascii="Arial" w:hAnsi="Arial" w:cs="Arial"/>
          <w:b/>
          <w:bCs/>
          <w:szCs w:val="22"/>
          <w:u w:val="single"/>
          <w:lang w:val="en-US"/>
        </w:rPr>
      </w:pPr>
    </w:p>
    <w:tbl>
      <w:tblPr>
        <w:tblW w:w="0" w:type="dxa"/>
        <w:tblCellSpacing w:w="0" w:type="dxa"/>
        <w:tblCellMar>
          <w:left w:w="0" w:type="dxa"/>
          <w:right w:w="0" w:type="dxa"/>
        </w:tblCellMar>
        <w:tblLook w:val="04A0" w:firstRow="1" w:lastRow="0" w:firstColumn="1" w:lastColumn="0" w:noHBand="0" w:noVBand="1"/>
      </w:tblPr>
      <w:tblGrid>
        <w:gridCol w:w="2628"/>
        <w:gridCol w:w="1458"/>
        <w:gridCol w:w="1489"/>
        <w:gridCol w:w="1458"/>
        <w:gridCol w:w="1489"/>
      </w:tblGrid>
      <w:tr w:rsidR="000E75D7" w:rsidRPr="000E75D7" w:rsidTr="000E75D7">
        <w:trPr>
          <w:tblCellSpacing w:w="0" w:type="dxa"/>
        </w:trPr>
        <w:tc>
          <w:tcPr>
            <w:tcW w:w="2855" w:type="dxa"/>
            <w:tcMar>
              <w:top w:w="0" w:type="dxa"/>
              <w:left w:w="108" w:type="dxa"/>
              <w:bottom w:w="0" w:type="dxa"/>
              <w:right w:w="108" w:type="dxa"/>
            </w:tcMar>
          </w:tcPr>
          <w:p w:rsidR="000E75D7" w:rsidRPr="000E75D7" w:rsidRDefault="000E75D7" w:rsidP="000E75D7">
            <w:pPr>
              <w:rPr>
                <w:rFonts w:ascii="Arial" w:hAnsi="Arial" w:cs="Arial"/>
                <w:b/>
                <w:bCs/>
                <w:sz w:val="20"/>
                <w:u w:val="single"/>
              </w:rPr>
            </w:pPr>
          </w:p>
          <w:p w:rsidR="000E75D7" w:rsidRPr="000E75D7" w:rsidRDefault="000E75D7" w:rsidP="000E75D7">
            <w:pPr>
              <w:rPr>
                <w:rFonts w:ascii="Arial" w:hAnsi="Arial" w:cs="Arial"/>
                <w:b/>
                <w:bCs/>
                <w:sz w:val="20"/>
                <w:u w:val="single"/>
              </w:rPr>
            </w:pPr>
          </w:p>
        </w:tc>
        <w:tc>
          <w:tcPr>
            <w:tcW w:w="1551" w:type="dxa"/>
            <w:tcMar>
              <w:top w:w="0" w:type="dxa"/>
              <w:left w:w="108" w:type="dxa"/>
              <w:bottom w:w="0" w:type="dxa"/>
              <w:right w:w="108" w:type="dxa"/>
            </w:tcMar>
          </w:tcPr>
          <w:p w:rsidR="000E75D7" w:rsidRPr="000E75D7" w:rsidRDefault="000E75D7" w:rsidP="000E75D7">
            <w:pPr>
              <w:jc w:val="right"/>
              <w:rPr>
                <w:rFonts w:ascii="Arial" w:hAnsi="Arial" w:cs="Arial"/>
                <w:b/>
                <w:bCs/>
                <w:sz w:val="20"/>
                <w:u w:val="single"/>
              </w:rPr>
            </w:pPr>
          </w:p>
          <w:p w:rsidR="000E75D7" w:rsidRPr="000E75D7" w:rsidRDefault="000E75D7" w:rsidP="000E75D7">
            <w:pPr>
              <w:jc w:val="right"/>
              <w:rPr>
                <w:rFonts w:ascii="Arial" w:hAnsi="Arial" w:cs="Arial"/>
                <w:b/>
                <w:bCs/>
                <w:sz w:val="20"/>
                <w:u w:val="single"/>
              </w:rPr>
            </w:pPr>
            <w:r w:rsidRPr="000E75D7">
              <w:rPr>
                <w:rFonts w:ascii="Arial" w:hAnsi="Arial" w:cs="Arial"/>
                <w:b/>
                <w:bCs/>
                <w:sz w:val="20"/>
                <w:u w:val="single"/>
              </w:rPr>
              <w:t>1Q 2020</w:t>
            </w:r>
          </w:p>
        </w:tc>
        <w:tc>
          <w:tcPr>
            <w:tcW w:w="1551" w:type="dxa"/>
            <w:tcMar>
              <w:top w:w="0" w:type="dxa"/>
              <w:left w:w="108" w:type="dxa"/>
              <w:bottom w:w="0" w:type="dxa"/>
              <w:right w:w="108" w:type="dxa"/>
            </w:tcMar>
            <w:hideMark/>
          </w:tcPr>
          <w:p w:rsidR="000E75D7" w:rsidRPr="000E75D7" w:rsidRDefault="000E75D7" w:rsidP="000E75D7">
            <w:pPr>
              <w:jc w:val="right"/>
              <w:rPr>
                <w:rFonts w:ascii="Arial" w:hAnsi="Arial" w:cs="Arial"/>
                <w:b/>
                <w:bCs/>
                <w:sz w:val="20"/>
                <w:u w:val="single"/>
              </w:rPr>
            </w:pPr>
            <w:proofErr w:type="spellStart"/>
            <w:r w:rsidRPr="000E75D7">
              <w:rPr>
                <w:rFonts w:ascii="Arial" w:hAnsi="Arial" w:cs="Arial"/>
                <w:b/>
                <w:bCs/>
                <w:sz w:val="20"/>
                <w:u w:val="single"/>
              </w:rPr>
              <w:t>Adjusted</w:t>
            </w:r>
            <w:proofErr w:type="spellEnd"/>
          </w:p>
          <w:p w:rsidR="000E75D7" w:rsidRPr="000E75D7" w:rsidRDefault="000E75D7" w:rsidP="000E75D7">
            <w:pPr>
              <w:jc w:val="right"/>
              <w:rPr>
                <w:rFonts w:ascii="Arial" w:hAnsi="Arial" w:cs="Arial"/>
                <w:b/>
                <w:bCs/>
                <w:sz w:val="20"/>
                <w:u w:val="single"/>
              </w:rPr>
            </w:pPr>
            <w:r w:rsidRPr="000E75D7">
              <w:rPr>
                <w:rFonts w:ascii="Arial" w:hAnsi="Arial" w:cs="Arial"/>
                <w:b/>
                <w:bCs/>
                <w:sz w:val="20"/>
                <w:u w:val="single"/>
              </w:rPr>
              <w:t>1Q 2020</w:t>
            </w:r>
          </w:p>
        </w:tc>
        <w:tc>
          <w:tcPr>
            <w:tcW w:w="1551" w:type="dxa"/>
            <w:tcMar>
              <w:top w:w="0" w:type="dxa"/>
              <w:left w:w="108" w:type="dxa"/>
              <w:bottom w:w="0" w:type="dxa"/>
              <w:right w:w="108" w:type="dxa"/>
            </w:tcMar>
          </w:tcPr>
          <w:p w:rsidR="000E75D7" w:rsidRPr="000E75D7" w:rsidRDefault="000E75D7" w:rsidP="000E75D7">
            <w:pPr>
              <w:jc w:val="right"/>
              <w:rPr>
                <w:rFonts w:ascii="Arial" w:hAnsi="Arial" w:cs="Arial"/>
                <w:b/>
                <w:bCs/>
                <w:sz w:val="20"/>
                <w:u w:val="single"/>
              </w:rPr>
            </w:pPr>
          </w:p>
          <w:p w:rsidR="000E75D7" w:rsidRPr="000E75D7" w:rsidRDefault="000E75D7" w:rsidP="000E75D7">
            <w:pPr>
              <w:jc w:val="right"/>
              <w:rPr>
                <w:rFonts w:ascii="Arial" w:hAnsi="Arial" w:cs="Arial"/>
                <w:b/>
                <w:bCs/>
                <w:sz w:val="20"/>
                <w:u w:val="single"/>
              </w:rPr>
            </w:pPr>
            <w:r w:rsidRPr="000E75D7">
              <w:rPr>
                <w:rFonts w:ascii="Arial" w:hAnsi="Arial" w:cs="Arial"/>
                <w:b/>
                <w:bCs/>
                <w:sz w:val="20"/>
                <w:u w:val="single"/>
              </w:rPr>
              <w:t>1Q 2019</w:t>
            </w:r>
          </w:p>
        </w:tc>
        <w:tc>
          <w:tcPr>
            <w:tcW w:w="1551" w:type="dxa"/>
            <w:tcMar>
              <w:top w:w="0" w:type="dxa"/>
              <w:left w:w="108" w:type="dxa"/>
              <w:bottom w:w="0" w:type="dxa"/>
              <w:right w:w="108" w:type="dxa"/>
            </w:tcMar>
            <w:hideMark/>
          </w:tcPr>
          <w:p w:rsidR="000E75D7" w:rsidRPr="000E75D7" w:rsidRDefault="000E75D7" w:rsidP="000E75D7">
            <w:pPr>
              <w:jc w:val="right"/>
              <w:rPr>
                <w:rFonts w:ascii="Arial" w:hAnsi="Arial" w:cs="Arial"/>
                <w:b/>
                <w:bCs/>
                <w:sz w:val="20"/>
                <w:u w:val="single"/>
              </w:rPr>
            </w:pPr>
            <w:proofErr w:type="spellStart"/>
            <w:r w:rsidRPr="000E75D7">
              <w:rPr>
                <w:rFonts w:ascii="Arial" w:hAnsi="Arial" w:cs="Arial"/>
                <w:b/>
                <w:bCs/>
                <w:sz w:val="20"/>
                <w:u w:val="single"/>
              </w:rPr>
              <w:t>Adjusted</w:t>
            </w:r>
            <w:proofErr w:type="spellEnd"/>
          </w:p>
          <w:p w:rsidR="000E75D7" w:rsidRPr="000E75D7" w:rsidRDefault="000E75D7" w:rsidP="000E75D7">
            <w:pPr>
              <w:jc w:val="right"/>
              <w:rPr>
                <w:rFonts w:ascii="Arial" w:hAnsi="Arial" w:cs="Arial"/>
                <w:b/>
                <w:bCs/>
                <w:sz w:val="20"/>
                <w:u w:val="single"/>
              </w:rPr>
            </w:pPr>
            <w:r w:rsidRPr="000E75D7">
              <w:rPr>
                <w:rFonts w:ascii="Arial" w:hAnsi="Arial" w:cs="Arial"/>
                <w:b/>
                <w:bCs/>
                <w:sz w:val="20"/>
                <w:u w:val="single"/>
              </w:rPr>
              <w:t>1Q 2019</w:t>
            </w:r>
          </w:p>
        </w:tc>
      </w:tr>
      <w:tr w:rsidR="000E75D7" w:rsidRPr="000E75D7" w:rsidTr="000E75D7">
        <w:trPr>
          <w:tblCellSpacing w:w="0" w:type="dxa"/>
        </w:trPr>
        <w:tc>
          <w:tcPr>
            <w:tcW w:w="2855" w:type="dxa"/>
            <w:tcMar>
              <w:top w:w="0" w:type="dxa"/>
              <w:left w:w="108" w:type="dxa"/>
              <w:bottom w:w="0" w:type="dxa"/>
              <w:right w:w="108" w:type="dxa"/>
            </w:tcMar>
            <w:hideMark/>
          </w:tcPr>
          <w:p w:rsidR="000E75D7" w:rsidRPr="000E75D7" w:rsidRDefault="000E75D7" w:rsidP="000E75D7">
            <w:pPr>
              <w:rPr>
                <w:rFonts w:ascii="Arial" w:hAnsi="Arial" w:cs="Arial"/>
                <w:sz w:val="20"/>
              </w:rPr>
            </w:pPr>
            <w:proofErr w:type="spellStart"/>
            <w:r w:rsidRPr="000E75D7">
              <w:rPr>
                <w:rFonts w:ascii="Arial" w:hAnsi="Arial" w:cs="Arial"/>
                <w:sz w:val="20"/>
              </w:rPr>
              <w:t>Revenue</w:t>
            </w:r>
            <w:proofErr w:type="spellEnd"/>
          </w:p>
        </w:tc>
        <w:tc>
          <w:tcPr>
            <w:tcW w:w="1551" w:type="dxa"/>
            <w:tcMar>
              <w:top w:w="0" w:type="dxa"/>
              <w:left w:w="108" w:type="dxa"/>
              <w:bottom w:w="0" w:type="dxa"/>
              <w:right w:w="108" w:type="dxa"/>
            </w:tcMar>
            <w:hideMark/>
          </w:tcPr>
          <w:p w:rsidR="000E75D7" w:rsidRPr="000E75D7" w:rsidRDefault="000E75D7" w:rsidP="000E75D7">
            <w:pPr>
              <w:jc w:val="right"/>
              <w:rPr>
                <w:rFonts w:ascii="Arial" w:hAnsi="Arial" w:cs="Arial"/>
                <w:sz w:val="20"/>
              </w:rPr>
            </w:pPr>
            <w:r w:rsidRPr="000E75D7">
              <w:rPr>
                <w:rFonts w:ascii="Arial" w:hAnsi="Arial" w:cs="Arial"/>
                <w:sz w:val="20"/>
              </w:rPr>
              <w:t>$3,196 M</w:t>
            </w:r>
          </w:p>
        </w:tc>
        <w:tc>
          <w:tcPr>
            <w:tcW w:w="1551" w:type="dxa"/>
            <w:tcMar>
              <w:top w:w="0" w:type="dxa"/>
              <w:left w:w="108" w:type="dxa"/>
              <w:bottom w:w="0" w:type="dxa"/>
              <w:right w:w="108" w:type="dxa"/>
            </w:tcMar>
          </w:tcPr>
          <w:p w:rsidR="000E75D7" w:rsidRPr="000E75D7" w:rsidRDefault="000E75D7" w:rsidP="000E75D7">
            <w:pPr>
              <w:jc w:val="right"/>
              <w:rPr>
                <w:rFonts w:ascii="Arial" w:hAnsi="Arial" w:cs="Arial"/>
                <w:sz w:val="20"/>
              </w:rPr>
            </w:pPr>
          </w:p>
        </w:tc>
        <w:tc>
          <w:tcPr>
            <w:tcW w:w="1551" w:type="dxa"/>
            <w:tcMar>
              <w:top w:w="0" w:type="dxa"/>
              <w:left w:w="108" w:type="dxa"/>
              <w:bottom w:w="0" w:type="dxa"/>
              <w:right w:w="108" w:type="dxa"/>
            </w:tcMar>
            <w:hideMark/>
          </w:tcPr>
          <w:p w:rsidR="000E75D7" w:rsidRPr="000E75D7" w:rsidRDefault="000E75D7" w:rsidP="000E75D7">
            <w:pPr>
              <w:jc w:val="right"/>
              <w:rPr>
                <w:rFonts w:ascii="Arial" w:hAnsi="Arial" w:cs="Arial"/>
                <w:sz w:val="20"/>
              </w:rPr>
            </w:pPr>
            <w:r w:rsidRPr="000E75D7">
              <w:rPr>
                <w:rFonts w:ascii="Arial" w:hAnsi="Arial" w:cs="Arial"/>
                <w:sz w:val="20"/>
              </w:rPr>
              <w:t>$3,221 M</w:t>
            </w:r>
          </w:p>
        </w:tc>
        <w:tc>
          <w:tcPr>
            <w:tcW w:w="1551" w:type="dxa"/>
            <w:tcMar>
              <w:top w:w="0" w:type="dxa"/>
              <w:left w:w="108" w:type="dxa"/>
              <w:bottom w:w="0" w:type="dxa"/>
              <w:right w:w="108" w:type="dxa"/>
            </w:tcMar>
          </w:tcPr>
          <w:p w:rsidR="000E75D7" w:rsidRPr="000E75D7" w:rsidRDefault="000E75D7" w:rsidP="000E75D7">
            <w:pPr>
              <w:jc w:val="right"/>
              <w:rPr>
                <w:rFonts w:ascii="Arial" w:hAnsi="Arial" w:cs="Arial"/>
                <w:sz w:val="20"/>
              </w:rPr>
            </w:pPr>
          </w:p>
        </w:tc>
      </w:tr>
      <w:tr w:rsidR="000E75D7" w:rsidRPr="000E75D7" w:rsidTr="000E75D7">
        <w:trPr>
          <w:tblCellSpacing w:w="0" w:type="dxa"/>
        </w:trPr>
        <w:tc>
          <w:tcPr>
            <w:tcW w:w="2855" w:type="dxa"/>
            <w:tcMar>
              <w:top w:w="0" w:type="dxa"/>
              <w:left w:w="108" w:type="dxa"/>
              <w:bottom w:w="0" w:type="dxa"/>
              <w:right w:w="108" w:type="dxa"/>
            </w:tcMar>
            <w:hideMark/>
          </w:tcPr>
          <w:p w:rsidR="000E75D7" w:rsidRPr="000E75D7" w:rsidRDefault="000E75D7" w:rsidP="000E75D7">
            <w:pPr>
              <w:rPr>
                <w:rFonts w:ascii="Arial" w:hAnsi="Arial" w:cs="Arial"/>
                <w:sz w:val="20"/>
              </w:rPr>
            </w:pPr>
            <w:proofErr w:type="spellStart"/>
            <w:r w:rsidRPr="000E75D7">
              <w:rPr>
                <w:rFonts w:ascii="Arial" w:hAnsi="Arial" w:cs="Arial"/>
                <w:sz w:val="20"/>
              </w:rPr>
              <w:t>Operating</w:t>
            </w:r>
            <w:proofErr w:type="spellEnd"/>
            <w:r w:rsidRPr="000E75D7">
              <w:rPr>
                <w:rFonts w:ascii="Arial" w:hAnsi="Arial" w:cs="Arial"/>
                <w:sz w:val="20"/>
              </w:rPr>
              <w:t xml:space="preserve"> profit </w:t>
            </w:r>
          </w:p>
        </w:tc>
        <w:tc>
          <w:tcPr>
            <w:tcW w:w="1551" w:type="dxa"/>
            <w:tcMar>
              <w:top w:w="0" w:type="dxa"/>
              <w:left w:w="108" w:type="dxa"/>
              <w:bottom w:w="0" w:type="dxa"/>
              <w:right w:w="108" w:type="dxa"/>
            </w:tcMar>
            <w:hideMark/>
          </w:tcPr>
          <w:p w:rsidR="000E75D7" w:rsidRPr="000E75D7" w:rsidRDefault="000E75D7" w:rsidP="000E75D7">
            <w:pPr>
              <w:jc w:val="right"/>
              <w:rPr>
                <w:rFonts w:ascii="Arial" w:hAnsi="Arial" w:cs="Arial"/>
                <w:sz w:val="20"/>
              </w:rPr>
            </w:pPr>
            <w:r w:rsidRPr="000E75D7">
              <w:rPr>
                <w:rFonts w:ascii="Arial" w:hAnsi="Arial" w:cs="Arial"/>
                <w:sz w:val="20"/>
              </w:rPr>
              <w:t>$157 M</w:t>
            </w:r>
          </w:p>
        </w:tc>
        <w:tc>
          <w:tcPr>
            <w:tcW w:w="1551" w:type="dxa"/>
            <w:tcMar>
              <w:top w:w="0" w:type="dxa"/>
              <w:left w:w="108" w:type="dxa"/>
              <w:bottom w:w="0" w:type="dxa"/>
              <w:right w:w="108" w:type="dxa"/>
            </w:tcMar>
            <w:hideMark/>
          </w:tcPr>
          <w:p w:rsidR="000E75D7" w:rsidRPr="000E75D7" w:rsidRDefault="000E75D7" w:rsidP="000E75D7">
            <w:pPr>
              <w:jc w:val="right"/>
              <w:rPr>
                <w:rFonts w:ascii="Arial" w:hAnsi="Arial" w:cs="Arial"/>
                <w:sz w:val="20"/>
              </w:rPr>
            </w:pPr>
            <w:r w:rsidRPr="000E75D7">
              <w:rPr>
                <w:rFonts w:ascii="Arial" w:hAnsi="Arial" w:cs="Arial"/>
                <w:sz w:val="20"/>
              </w:rPr>
              <w:t>$ 158 M</w:t>
            </w:r>
          </w:p>
        </w:tc>
        <w:tc>
          <w:tcPr>
            <w:tcW w:w="1551" w:type="dxa"/>
            <w:tcMar>
              <w:top w:w="0" w:type="dxa"/>
              <w:left w:w="108" w:type="dxa"/>
              <w:bottom w:w="0" w:type="dxa"/>
              <w:right w:w="108" w:type="dxa"/>
            </w:tcMar>
            <w:hideMark/>
          </w:tcPr>
          <w:p w:rsidR="000E75D7" w:rsidRPr="000E75D7" w:rsidRDefault="000E75D7" w:rsidP="000E75D7">
            <w:pPr>
              <w:jc w:val="right"/>
              <w:rPr>
                <w:rFonts w:ascii="Arial" w:hAnsi="Arial" w:cs="Arial"/>
                <w:sz w:val="20"/>
              </w:rPr>
            </w:pPr>
            <w:r w:rsidRPr="000E75D7">
              <w:rPr>
                <w:rFonts w:ascii="Arial" w:hAnsi="Arial" w:cs="Arial"/>
                <w:sz w:val="20"/>
              </w:rPr>
              <w:t>$200 M</w:t>
            </w:r>
          </w:p>
        </w:tc>
        <w:tc>
          <w:tcPr>
            <w:tcW w:w="1551" w:type="dxa"/>
            <w:tcMar>
              <w:top w:w="0" w:type="dxa"/>
              <w:left w:w="108" w:type="dxa"/>
              <w:bottom w:w="0" w:type="dxa"/>
              <w:right w:w="108" w:type="dxa"/>
            </w:tcMar>
            <w:hideMark/>
          </w:tcPr>
          <w:p w:rsidR="000E75D7" w:rsidRPr="000E75D7" w:rsidRDefault="000E75D7" w:rsidP="000E75D7">
            <w:pPr>
              <w:jc w:val="right"/>
              <w:rPr>
                <w:rFonts w:ascii="Arial" w:hAnsi="Arial" w:cs="Arial"/>
                <w:sz w:val="20"/>
              </w:rPr>
            </w:pPr>
            <w:r w:rsidRPr="000E75D7">
              <w:rPr>
                <w:rFonts w:ascii="Arial" w:hAnsi="Arial" w:cs="Arial"/>
                <w:sz w:val="20"/>
              </w:rPr>
              <w:t>$211 M</w:t>
            </w:r>
          </w:p>
        </w:tc>
      </w:tr>
    </w:tbl>
    <w:p w:rsidR="000E75D7" w:rsidRPr="000E75D7" w:rsidRDefault="000E75D7" w:rsidP="000E75D7">
      <w:pPr>
        <w:rPr>
          <w:rFonts w:ascii="Arial" w:hAnsi="Arial" w:cs="Arial"/>
          <w:szCs w:val="22"/>
          <w:lang w:val="en-US"/>
        </w:rPr>
      </w:pPr>
    </w:p>
    <w:p w:rsidR="000E75D7" w:rsidRPr="000E75D7" w:rsidRDefault="000E75D7" w:rsidP="000E75D7">
      <w:pPr>
        <w:numPr>
          <w:ilvl w:val="0"/>
          <w:numId w:val="29"/>
        </w:numPr>
        <w:contextualSpacing/>
        <w:rPr>
          <w:rFonts w:ascii="Arial" w:hAnsi="Arial" w:cs="Arial"/>
          <w:szCs w:val="22"/>
          <w:lang w:val="en-US"/>
        </w:rPr>
      </w:pPr>
      <w:r w:rsidRPr="000E75D7">
        <w:rPr>
          <w:rFonts w:ascii="Arial" w:hAnsi="Arial" w:cs="Arial"/>
          <w:szCs w:val="22"/>
          <w:lang w:val="en-US"/>
        </w:rPr>
        <w:t xml:space="preserve">Revenue was down less than 1% due to disciplined focus on growth opportunities and the segment’s broad portfolio of solutions. </w:t>
      </w:r>
    </w:p>
    <w:p w:rsidR="000E75D7" w:rsidRPr="000E75D7" w:rsidRDefault="000E75D7" w:rsidP="000E75D7">
      <w:pPr>
        <w:numPr>
          <w:ilvl w:val="0"/>
          <w:numId w:val="29"/>
        </w:numPr>
        <w:contextualSpacing/>
        <w:rPr>
          <w:rFonts w:ascii="Arial" w:hAnsi="Arial" w:cs="Arial"/>
          <w:szCs w:val="22"/>
          <w:lang w:val="en-US"/>
        </w:rPr>
      </w:pPr>
      <w:r w:rsidRPr="000E75D7">
        <w:rPr>
          <w:rFonts w:ascii="Arial" w:hAnsi="Arial" w:cs="Arial"/>
          <w:szCs w:val="22"/>
          <w:lang w:val="en-US"/>
        </w:rPr>
        <w:t>Toward the end of the quarter, UPS Freight and Coyote experienced depressed volume levels primarily from mandated stay-at-home restrictions and businesses closures.</w:t>
      </w:r>
    </w:p>
    <w:p w:rsidR="000E75D7" w:rsidRPr="000E75D7" w:rsidRDefault="000E75D7" w:rsidP="000E75D7">
      <w:pPr>
        <w:numPr>
          <w:ilvl w:val="0"/>
          <w:numId w:val="29"/>
        </w:numPr>
        <w:contextualSpacing/>
        <w:rPr>
          <w:rFonts w:ascii="Arial" w:hAnsi="Arial" w:cs="Arial"/>
          <w:szCs w:val="22"/>
          <w:lang w:val="en-US"/>
        </w:rPr>
      </w:pPr>
      <w:r w:rsidRPr="000E75D7">
        <w:rPr>
          <w:rFonts w:ascii="Arial" w:hAnsi="Arial" w:cs="Arial"/>
          <w:szCs w:val="22"/>
          <w:lang w:val="en-US"/>
        </w:rPr>
        <w:t xml:space="preserve">Logistics grew both revenue and operating profit, led by double-digit growth from </w:t>
      </w:r>
      <w:proofErr w:type="spellStart"/>
      <w:r w:rsidRPr="000E75D7">
        <w:rPr>
          <w:rFonts w:ascii="Arial" w:hAnsi="Arial" w:cs="Arial"/>
          <w:szCs w:val="22"/>
          <w:lang w:val="en-US"/>
        </w:rPr>
        <w:t>Marken</w:t>
      </w:r>
      <w:proofErr w:type="spellEnd"/>
      <w:r w:rsidRPr="000E75D7">
        <w:rPr>
          <w:rFonts w:ascii="Arial" w:hAnsi="Arial" w:cs="Arial"/>
          <w:szCs w:val="22"/>
          <w:lang w:val="en-US"/>
        </w:rPr>
        <w:t>.</w:t>
      </w:r>
    </w:p>
    <w:p w:rsidR="000E75D7" w:rsidRPr="000E75D7" w:rsidRDefault="000E75D7" w:rsidP="000E75D7">
      <w:pPr>
        <w:numPr>
          <w:ilvl w:val="0"/>
          <w:numId w:val="29"/>
        </w:numPr>
        <w:contextualSpacing/>
        <w:rPr>
          <w:rFonts w:ascii="Arial" w:hAnsi="Arial" w:cs="Arial"/>
          <w:szCs w:val="22"/>
          <w:lang w:val="en-US"/>
        </w:rPr>
      </w:pPr>
      <w:r w:rsidRPr="000E75D7">
        <w:rPr>
          <w:rFonts w:ascii="Arial" w:hAnsi="Arial" w:cs="Arial"/>
          <w:szCs w:val="22"/>
          <w:lang w:val="en-US"/>
        </w:rPr>
        <w:t>Within the Forwarding unit, International Air Freight tonnage rebounded in March generating revenue and profit growth in the quarter.</w:t>
      </w:r>
    </w:p>
    <w:p w:rsidR="000E75D7" w:rsidRPr="000E75D7" w:rsidRDefault="000E75D7" w:rsidP="000E75D7">
      <w:pPr>
        <w:jc w:val="center"/>
        <w:rPr>
          <w:rFonts w:ascii="Arial" w:hAnsi="Arial" w:cs="Arial"/>
          <w:sz w:val="20"/>
          <w:lang w:val="en-US"/>
        </w:rPr>
      </w:pPr>
    </w:p>
    <w:p w:rsidR="000E75D7" w:rsidRPr="000E75D7" w:rsidRDefault="000E75D7" w:rsidP="000E75D7">
      <w:pPr>
        <w:rPr>
          <w:rFonts w:ascii="Arial" w:hAnsi="Arial" w:cs="Arial"/>
          <w:sz w:val="20"/>
          <w:lang w:val="en-US"/>
        </w:rPr>
      </w:pPr>
    </w:p>
    <w:p w:rsidR="000E75D7" w:rsidRPr="000E75D7" w:rsidRDefault="000E75D7" w:rsidP="000E75D7">
      <w:pPr>
        <w:rPr>
          <w:rFonts w:ascii="Arial" w:hAnsi="Arial" w:cs="Arial"/>
          <w:b/>
          <w:bCs/>
          <w:sz w:val="24"/>
          <w:szCs w:val="24"/>
          <w:u w:val="single"/>
          <w:lang w:val="en-US"/>
        </w:rPr>
      </w:pPr>
      <w:r w:rsidRPr="000E75D7">
        <w:rPr>
          <w:rFonts w:ascii="Arial" w:hAnsi="Arial" w:cs="Arial"/>
          <w:b/>
          <w:bCs/>
          <w:szCs w:val="22"/>
          <w:u w:val="single"/>
          <w:lang w:val="en-US"/>
        </w:rPr>
        <w:t>Outlook</w:t>
      </w:r>
    </w:p>
    <w:p w:rsidR="000E75D7" w:rsidRPr="000E75D7" w:rsidRDefault="000E75D7" w:rsidP="000E75D7">
      <w:pPr>
        <w:ind w:firstLine="720"/>
        <w:rPr>
          <w:rFonts w:ascii="Arial" w:hAnsi="Arial" w:cs="Arial"/>
          <w:szCs w:val="22"/>
          <w:lang w:val="en-US"/>
        </w:rPr>
      </w:pPr>
    </w:p>
    <w:p w:rsidR="000E75D7" w:rsidRPr="000E75D7" w:rsidRDefault="000E75D7" w:rsidP="000E75D7">
      <w:pPr>
        <w:rPr>
          <w:rFonts w:ascii="Arial" w:hAnsi="Arial" w:cs="Arial"/>
          <w:szCs w:val="22"/>
          <w:lang w:val="en-US"/>
        </w:rPr>
      </w:pPr>
      <w:r w:rsidRPr="000E75D7">
        <w:rPr>
          <w:rFonts w:ascii="Arial" w:hAnsi="Arial" w:cs="Arial"/>
          <w:szCs w:val="22"/>
          <w:lang w:val="en-US"/>
        </w:rPr>
        <w:t xml:space="preserve">At this time, UPS is unable to predict the extent of the business impact or the duration of the coronavirus pandemic, or reasonably estimate its operating performance in future quarters.  As a result, the company is withdrawing </w:t>
      </w:r>
      <w:proofErr w:type="gramStart"/>
      <w:r w:rsidRPr="000E75D7">
        <w:rPr>
          <w:rFonts w:ascii="Arial" w:hAnsi="Arial" w:cs="Arial"/>
          <w:szCs w:val="22"/>
          <w:lang w:val="en-US"/>
        </w:rPr>
        <w:t>its</w:t>
      </w:r>
      <w:proofErr w:type="gramEnd"/>
      <w:r w:rsidRPr="000E75D7">
        <w:rPr>
          <w:rFonts w:ascii="Arial" w:hAnsi="Arial" w:cs="Arial"/>
          <w:szCs w:val="22"/>
          <w:lang w:val="en-US"/>
        </w:rPr>
        <w:t xml:space="preserve"> previously issued 2020 revenue and diluted earnings per share growth guidance.  UPS has taken steps to ensure it remains strong and resilient throughout this period, including: </w:t>
      </w:r>
    </w:p>
    <w:p w:rsidR="000E75D7" w:rsidRPr="000E75D7" w:rsidRDefault="000E75D7" w:rsidP="00D30B92">
      <w:pPr>
        <w:rPr>
          <w:rFonts w:ascii="Arial" w:hAnsi="Arial" w:cs="Arial"/>
          <w:szCs w:val="22"/>
          <w:lang w:val="en-US"/>
        </w:rPr>
      </w:pPr>
    </w:p>
    <w:p w:rsidR="000E75D7" w:rsidRPr="000E75D7" w:rsidRDefault="000E75D7" w:rsidP="000E75D7">
      <w:pPr>
        <w:numPr>
          <w:ilvl w:val="0"/>
          <w:numId w:val="29"/>
        </w:numPr>
        <w:contextualSpacing/>
        <w:rPr>
          <w:rFonts w:ascii="Arial" w:hAnsi="Arial" w:cs="Arial"/>
          <w:color w:val="000000"/>
          <w:szCs w:val="22"/>
          <w:lang w:val="en-US"/>
        </w:rPr>
      </w:pPr>
      <w:r w:rsidRPr="000E75D7">
        <w:rPr>
          <w:rFonts w:ascii="Arial" w:hAnsi="Arial" w:cs="Arial"/>
          <w:color w:val="000000"/>
          <w:szCs w:val="22"/>
          <w:lang w:val="en-US"/>
        </w:rPr>
        <w:t>The company expects 2020 capital expenditures will be reduced by approximately $1 billion from previous estimates.</w:t>
      </w:r>
    </w:p>
    <w:p w:rsidR="000E75D7" w:rsidRPr="000E75D7" w:rsidRDefault="000E75D7" w:rsidP="000E75D7">
      <w:pPr>
        <w:numPr>
          <w:ilvl w:val="0"/>
          <w:numId w:val="29"/>
        </w:numPr>
        <w:contextualSpacing/>
        <w:rPr>
          <w:rFonts w:ascii="Arial" w:hAnsi="Arial" w:cs="Arial"/>
          <w:color w:val="000000"/>
          <w:szCs w:val="22"/>
          <w:lang w:val="en-US"/>
        </w:rPr>
      </w:pPr>
      <w:r w:rsidRPr="000E75D7">
        <w:rPr>
          <w:rFonts w:ascii="Arial" w:hAnsi="Arial" w:cs="Arial"/>
          <w:color w:val="000000"/>
          <w:szCs w:val="22"/>
          <w:lang w:val="en-US"/>
        </w:rPr>
        <w:t xml:space="preserve">UPS is suspending share buybacks for 2020, reducing its planned full-year repurchase target by approximately $783 million. </w:t>
      </w:r>
    </w:p>
    <w:p w:rsidR="000E75D7" w:rsidRPr="000E75D7" w:rsidRDefault="000E75D7" w:rsidP="00D30B92">
      <w:pPr>
        <w:rPr>
          <w:rFonts w:ascii="Arial" w:hAnsi="Arial" w:cs="Arial"/>
          <w:szCs w:val="22"/>
          <w:lang w:val="en-US"/>
        </w:rPr>
      </w:pPr>
    </w:p>
    <w:p w:rsidR="000E75D7" w:rsidRPr="000E75D7" w:rsidRDefault="000E75D7" w:rsidP="000E75D7">
      <w:pPr>
        <w:rPr>
          <w:rFonts w:ascii="Arial" w:hAnsi="Arial" w:cs="Arial"/>
          <w:szCs w:val="22"/>
          <w:lang w:val="en-US"/>
        </w:rPr>
      </w:pPr>
      <w:r w:rsidRPr="000E75D7">
        <w:rPr>
          <w:rFonts w:ascii="Arial" w:hAnsi="Arial" w:cs="Arial"/>
          <w:szCs w:val="22"/>
          <w:lang w:val="en-US"/>
        </w:rPr>
        <w:lastRenderedPageBreak/>
        <w:t>“We will continue to adapt through this challenging period and prioritize investments and operational decisions that put UPS in the best financial position.” said Brian Newman, UPS’s chief financial officer.  “We take a disciplined and balanced approach to capital allocation and are confident in our liquidity position including our commitments to capital management and dividends.”</w:t>
      </w:r>
    </w:p>
    <w:p w:rsidR="000E75D7" w:rsidRPr="000E75D7" w:rsidRDefault="000E75D7" w:rsidP="000E75D7">
      <w:pPr>
        <w:rPr>
          <w:rFonts w:ascii="Arial" w:hAnsi="Arial" w:cs="Arial"/>
          <w:szCs w:val="22"/>
          <w:lang w:val="en-US"/>
        </w:rPr>
      </w:pPr>
    </w:p>
    <w:p w:rsidR="000E75D7" w:rsidRPr="000E75D7" w:rsidRDefault="000E75D7" w:rsidP="000E75D7">
      <w:pPr>
        <w:rPr>
          <w:rFonts w:ascii="Arial" w:hAnsi="Arial" w:cs="Arial"/>
          <w:szCs w:val="22"/>
          <w:lang w:val="en-US"/>
        </w:rPr>
      </w:pPr>
    </w:p>
    <w:p w:rsidR="000E75D7" w:rsidRPr="000E75D7" w:rsidRDefault="000E75D7" w:rsidP="000E75D7">
      <w:pPr>
        <w:jc w:val="center"/>
        <w:rPr>
          <w:rFonts w:ascii="Arial" w:hAnsi="Arial" w:cs="Arial"/>
          <w:color w:val="003436"/>
          <w:szCs w:val="22"/>
          <w:lang w:val="en-US"/>
        </w:rPr>
      </w:pPr>
      <w:r w:rsidRPr="000E75D7">
        <w:rPr>
          <w:rFonts w:ascii="Arial" w:hAnsi="Arial" w:cs="Arial"/>
          <w:color w:val="003436"/>
          <w:szCs w:val="22"/>
          <w:lang w:val="en-US"/>
        </w:rPr>
        <w:t># # #</w:t>
      </w:r>
    </w:p>
    <w:p w:rsidR="000E75D7" w:rsidRPr="000E75D7" w:rsidRDefault="000E75D7" w:rsidP="000E75D7">
      <w:pPr>
        <w:rPr>
          <w:rFonts w:ascii="Arial" w:hAnsi="Arial" w:cs="Arial"/>
          <w:szCs w:val="22"/>
          <w:u w:val="single"/>
          <w:lang w:val="en-US"/>
        </w:rPr>
      </w:pPr>
      <w:r w:rsidRPr="000E75D7">
        <w:rPr>
          <w:rFonts w:ascii="Arial" w:hAnsi="Arial" w:cs="Arial"/>
          <w:color w:val="003436"/>
          <w:szCs w:val="22"/>
          <w:lang w:val="en-US" w:eastAsia="en-US"/>
        </w:rPr>
        <w:br w:type="page"/>
      </w:r>
      <w:r w:rsidRPr="000E75D7">
        <w:rPr>
          <w:rFonts w:ascii="Arial" w:hAnsi="Arial" w:cs="Arial"/>
          <w:b/>
          <w:bCs/>
          <w:szCs w:val="22"/>
          <w:u w:val="single"/>
          <w:lang w:val="en-US"/>
        </w:rPr>
        <w:lastRenderedPageBreak/>
        <w:t>Conference Call Information</w:t>
      </w:r>
    </w:p>
    <w:p w:rsidR="000E75D7" w:rsidRPr="000E75D7" w:rsidRDefault="000E75D7" w:rsidP="000E75D7">
      <w:pPr>
        <w:rPr>
          <w:rFonts w:ascii="Arial" w:hAnsi="Arial" w:cs="Arial"/>
          <w:szCs w:val="22"/>
          <w:lang w:val="en-US"/>
        </w:rPr>
      </w:pPr>
      <w:r w:rsidRPr="000E75D7">
        <w:rPr>
          <w:rFonts w:ascii="Arial" w:hAnsi="Arial" w:cs="Arial"/>
          <w:szCs w:val="22"/>
          <w:lang w:val="en-US"/>
        </w:rPr>
        <w:t xml:space="preserve">            </w:t>
      </w:r>
    </w:p>
    <w:p w:rsidR="000E75D7" w:rsidRPr="000E75D7" w:rsidRDefault="000E75D7" w:rsidP="000E75D7">
      <w:pPr>
        <w:rPr>
          <w:rFonts w:ascii="Arial" w:hAnsi="Arial" w:cs="Arial"/>
          <w:szCs w:val="22"/>
          <w:lang w:val="en-US"/>
        </w:rPr>
      </w:pPr>
      <w:r w:rsidRPr="000E75D7">
        <w:rPr>
          <w:rFonts w:ascii="Arial" w:hAnsi="Arial" w:cs="Arial"/>
          <w:szCs w:val="22"/>
          <w:lang w:val="en-US"/>
        </w:rPr>
        <w:t xml:space="preserve">UPS CEO David Abney and CFO Brian Newman will discuss first-quarter results with investors and analysts during a conference call at 8:30 a.m. ET (14:30 CET), April 28, 2020.  That call will be open to others through a live Webcast.  To access the </w:t>
      </w:r>
      <w:bookmarkStart w:id="0" w:name="_GoBack"/>
      <w:r w:rsidRPr="000E75D7">
        <w:rPr>
          <w:rFonts w:ascii="Arial" w:hAnsi="Arial" w:cs="Arial"/>
          <w:szCs w:val="22"/>
          <w:lang w:val="en-US"/>
        </w:rPr>
        <w:t xml:space="preserve">call, go to </w:t>
      </w:r>
      <w:hyperlink r:id="rId7" w:history="1">
        <w:r w:rsidRPr="000E75D7">
          <w:rPr>
            <w:rFonts w:ascii="Calibri" w:hAnsi="Calibri" w:cs="Calibri"/>
            <w:color w:val="0563C1"/>
            <w:szCs w:val="22"/>
            <w:u w:val="single"/>
            <w:lang w:val="en-US"/>
          </w:rPr>
          <w:t>www.investors.ups.com</w:t>
        </w:r>
      </w:hyperlink>
      <w:r w:rsidRPr="000E75D7">
        <w:rPr>
          <w:rFonts w:ascii="Arial" w:hAnsi="Arial" w:cs="Arial"/>
          <w:szCs w:val="22"/>
          <w:u w:val="single"/>
          <w:lang w:val="en-US"/>
        </w:rPr>
        <w:t xml:space="preserve"> </w:t>
      </w:r>
      <w:r w:rsidRPr="000E75D7">
        <w:rPr>
          <w:rFonts w:ascii="Arial" w:hAnsi="Arial" w:cs="Arial"/>
          <w:szCs w:val="22"/>
          <w:lang w:val="en-US"/>
        </w:rPr>
        <w:t xml:space="preserve">and click on “Earnings Webcast.” Additional </w:t>
      </w:r>
      <w:bookmarkEnd w:id="0"/>
      <w:r w:rsidRPr="000E75D7">
        <w:rPr>
          <w:rFonts w:ascii="Arial" w:hAnsi="Arial" w:cs="Arial"/>
          <w:szCs w:val="22"/>
          <w:lang w:val="en-US"/>
        </w:rPr>
        <w:t xml:space="preserve">financial information is included in the detailed financial schedules being posted on </w:t>
      </w:r>
      <w:hyperlink r:id="rId8" w:history="1">
        <w:r w:rsidRPr="000E75D7">
          <w:rPr>
            <w:rFonts w:ascii="Calibri" w:hAnsi="Calibri" w:cs="Calibri"/>
            <w:color w:val="0563C1"/>
            <w:szCs w:val="22"/>
            <w:u w:val="single"/>
            <w:lang w:val="en-US"/>
          </w:rPr>
          <w:t>www.investors.ups.com</w:t>
        </w:r>
      </w:hyperlink>
      <w:r w:rsidRPr="000E75D7">
        <w:rPr>
          <w:rFonts w:ascii="Arial" w:hAnsi="Arial" w:cs="Arial"/>
          <w:szCs w:val="22"/>
          <w:lang w:val="en-US"/>
        </w:rPr>
        <w:t xml:space="preserve"> under “Financials” and as filed with the SEC as an exhibit to our Current Report on Form 8-K.</w:t>
      </w:r>
    </w:p>
    <w:p w:rsidR="000E75D7" w:rsidRPr="000E75D7" w:rsidRDefault="000E75D7" w:rsidP="000E75D7">
      <w:pPr>
        <w:rPr>
          <w:rFonts w:ascii="Arial" w:hAnsi="Arial" w:cs="Arial"/>
          <w:szCs w:val="22"/>
          <w:lang w:val="en-US"/>
        </w:rPr>
      </w:pPr>
    </w:p>
    <w:p w:rsidR="000E75D7" w:rsidRPr="000E75D7" w:rsidRDefault="000E75D7" w:rsidP="000E75D7">
      <w:pPr>
        <w:spacing w:after="240"/>
        <w:rPr>
          <w:rFonts w:ascii="Arial" w:hAnsi="Arial" w:cs="Arial"/>
          <w:color w:val="000000"/>
          <w:szCs w:val="22"/>
          <w:u w:val="single"/>
          <w:lang w:val="en-US"/>
        </w:rPr>
      </w:pPr>
      <w:r w:rsidRPr="000E75D7">
        <w:rPr>
          <w:rFonts w:ascii="Arial" w:hAnsi="Arial" w:cs="Arial"/>
          <w:b/>
          <w:bCs/>
          <w:color w:val="000000"/>
          <w:szCs w:val="22"/>
          <w:u w:val="single"/>
          <w:lang w:val="en-US"/>
        </w:rPr>
        <w:t>About UPS</w:t>
      </w:r>
    </w:p>
    <w:p w:rsidR="000E75D7" w:rsidRPr="000E75D7" w:rsidRDefault="000E75D7" w:rsidP="000E75D7">
      <w:pPr>
        <w:spacing w:after="240"/>
        <w:rPr>
          <w:rFonts w:ascii="Arial" w:hAnsi="Arial" w:cs="Arial"/>
          <w:color w:val="000000"/>
          <w:szCs w:val="22"/>
          <w:lang w:val="pt-PT"/>
        </w:rPr>
      </w:pPr>
      <w:r w:rsidRPr="000E75D7">
        <w:rPr>
          <w:rFonts w:ascii="Arial" w:hAnsi="Arial" w:cs="Arial"/>
          <w:color w:val="000000"/>
          <w:szCs w:val="22"/>
          <w:lang w:val="en-US"/>
        </w:rPr>
        <w:t xml:space="preserve">UPS (NYSE: UPS) is a global leader in logistics, offering a broad range of solutions including transporting packages and freight; facilitating international trade, and deploying advanced technology to more efficiently manage the world of business. Headquartered in Atlanta, UPS serves more than 220 countries and territories worldwide. UPS was awarded </w:t>
      </w:r>
      <w:hyperlink r:id="rId9" w:history="1">
        <w:r w:rsidRPr="000E75D7">
          <w:rPr>
            <w:rFonts w:ascii="Times New Roman" w:hAnsi="Times New Roman"/>
            <w:color w:val="0563C1"/>
            <w:szCs w:val="22"/>
            <w:u w:val="single"/>
            <w:lang w:val="en-US"/>
          </w:rPr>
          <w:t>America’s Best Customer Service</w:t>
        </w:r>
      </w:hyperlink>
      <w:r w:rsidRPr="000E75D7">
        <w:rPr>
          <w:rFonts w:ascii="Arial" w:hAnsi="Arial" w:cs="Arial"/>
          <w:color w:val="000000"/>
          <w:szCs w:val="22"/>
          <w:lang w:val="en-US"/>
        </w:rPr>
        <w:t xml:space="preserve"> company for Shipping and Delivery services by Newsweek magazine; Forbes </w:t>
      </w:r>
      <w:hyperlink r:id="rId10" w:anchor="tab:rank_industry:Transportation" w:history="1">
        <w:r w:rsidRPr="000E75D7">
          <w:rPr>
            <w:rFonts w:ascii="Times New Roman" w:hAnsi="Times New Roman"/>
            <w:color w:val="0563C1"/>
            <w:szCs w:val="22"/>
            <w:u w:val="single"/>
            <w:lang w:val="en-US"/>
          </w:rPr>
          <w:t>Most Valuable Brand in Transportation</w:t>
        </w:r>
      </w:hyperlink>
      <w:r w:rsidRPr="000E75D7">
        <w:rPr>
          <w:rFonts w:ascii="Arial" w:hAnsi="Arial" w:cs="Arial"/>
          <w:color w:val="000000"/>
          <w:szCs w:val="22"/>
          <w:lang w:val="en-US"/>
        </w:rPr>
        <w:t xml:space="preserve">; and top rankings on the </w:t>
      </w:r>
      <w:hyperlink r:id="rId11" w:anchor="4309ad3b2bf0" w:history="1">
        <w:r w:rsidRPr="000E75D7">
          <w:rPr>
            <w:rFonts w:ascii="Times New Roman" w:hAnsi="Times New Roman"/>
            <w:color w:val="0563C1"/>
            <w:szCs w:val="22"/>
            <w:u w:val="single"/>
            <w:lang w:val="pt-PT"/>
          </w:rPr>
          <w:t>JUST 100</w:t>
        </w:r>
      </w:hyperlink>
      <w:r w:rsidRPr="000E75D7">
        <w:rPr>
          <w:rFonts w:ascii="Arial" w:hAnsi="Arial" w:cs="Arial"/>
          <w:color w:val="000000"/>
          <w:szCs w:val="22"/>
          <w:lang w:val="en-US"/>
        </w:rPr>
        <w:t xml:space="preserve"> list for social responsibility, the Dow Jones Sustainability World Index, and the Harris Poll Reputation Quotient, among other prestigious rankings and awards. The company can be found on the web at </w:t>
      </w:r>
      <w:hyperlink r:id="rId12" w:history="1">
        <w:r w:rsidRPr="000E75D7">
          <w:rPr>
            <w:rFonts w:ascii="Times New Roman" w:hAnsi="Times New Roman"/>
            <w:color w:val="0563C1"/>
            <w:szCs w:val="22"/>
            <w:u w:val="single"/>
            <w:lang w:val="pt-PT"/>
          </w:rPr>
          <w:t>ups.com</w:t>
        </w:r>
      </w:hyperlink>
      <w:r w:rsidRPr="000E75D7">
        <w:rPr>
          <w:rFonts w:ascii="Arial" w:hAnsi="Arial" w:cs="Arial"/>
          <w:color w:val="000000"/>
          <w:szCs w:val="22"/>
          <w:lang w:val="en-US"/>
        </w:rPr>
        <w:t xml:space="preserve"> or </w:t>
      </w:r>
      <w:hyperlink r:id="rId13" w:history="1">
        <w:r w:rsidRPr="000E75D7">
          <w:rPr>
            <w:rFonts w:ascii="Times New Roman" w:hAnsi="Times New Roman"/>
            <w:color w:val="0563C1"/>
            <w:szCs w:val="22"/>
            <w:u w:val="single"/>
            <w:lang w:val="pt-PT"/>
          </w:rPr>
          <w:t>pressroom.ups.com</w:t>
        </w:r>
      </w:hyperlink>
      <w:r w:rsidRPr="000E75D7">
        <w:rPr>
          <w:rFonts w:ascii="Arial" w:hAnsi="Arial" w:cs="Arial"/>
          <w:color w:val="000000"/>
          <w:szCs w:val="22"/>
          <w:lang w:val="en-US"/>
        </w:rPr>
        <w:t xml:space="preserve"> and its corporate blog can be found at </w:t>
      </w:r>
      <w:hyperlink r:id="rId14" w:history="1">
        <w:r w:rsidRPr="000E75D7">
          <w:rPr>
            <w:rFonts w:ascii="Times New Roman" w:hAnsi="Times New Roman"/>
            <w:color w:val="0563C1"/>
            <w:szCs w:val="22"/>
            <w:u w:val="single"/>
            <w:lang w:val="pt-PT"/>
          </w:rPr>
          <w:t>ups.com/longitudes</w:t>
        </w:r>
      </w:hyperlink>
      <w:r w:rsidRPr="000E75D7">
        <w:rPr>
          <w:rFonts w:ascii="Arial" w:hAnsi="Arial" w:cs="Arial"/>
          <w:color w:val="000000"/>
          <w:szCs w:val="22"/>
          <w:lang w:val="en-US"/>
        </w:rPr>
        <w:t xml:space="preserve"> </w:t>
      </w:r>
      <w:r w:rsidRPr="000E75D7">
        <w:rPr>
          <w:rFonts w:ascii="Arial" w:hAnsi="Arial" w:cs="Arial"/>
          <w:color w:val="340500"/>
          <w:szCs w:val="22"/>
          <w:lang w:val="en-US"/>
        </w:rPr>
        <w:t xml:space="preserve">The company’s sustainability </w:t>
      </w:r>
      <w:proofErr w:type="spellStart"/>
      <w:r w:rsidRPr="000E75D7">
        <w:rPr>
          <w:rFonts w:ascii="Arial" w:hAnsi="Arial" w:cs="Arial"/>
          <w:color w:val="340500"/>
          <w:szCs w:val="22"/>
          <w:lang w:val="en-US"/>
        </w:rPr>
        <w:t>eNewsletter</w:t>
      </w:r>
      <w:proofErr w:type="spellEnd"/>
      <w:r w:rsidRPr="000E75D7">
        <w:rPr>
          <w:rFonts w:ascii="Arial" w:hAnsi="Arial" w:cs="Arial"/>
          <w:color w:val="340500"/>
          <w:szCs w:val="22"/>
          <w:lang w:val="en-US"/>
        </w:rPr>
        <w:t>, </w:t>
      </w:r>
      <w:r w:rsidRPr="000E75D7">
        <w:rPr>
          <w:rFonts w:ascii="Arial" w:hAnsi="Arial" w:cs="Arial"/>
          <w:b/>
          <w:bCs/>
          <w:color w:val="340500"/>
          <w:szCs w:val="22"/>
          <w:lang w:val="fr-FR"/>
        </w:rPr>
        <w:t>UPS Horizons</w:t>
      </w:r>
      <w:r w:rsidRPr="000E75D7">
        <w:rPr>
          <w:rFonts w:ascii="Arial" w:hAnsi="Arial" w:cs="Arial"/>
          <w:color w:val="340500"/>
          <w:szCs w:val="22"/>
          <w:lang w:val="en-US"/>
        </w:rPr>
        <w:t xml:space="preserve">, can be found at </w:t>
      </w:r>
      <w:hyperlink r:id="rId15" w:history="1">
        <w:r w:rsidRPr="000E75D7">
          <w:rPr>
            <w:rFonts w:ascii="Times New Roman" w:hAnsi="Times New Roman"/>
            <w:color w:val="0563C1"/>
            <w:szCs w:val="22"/>
            <w:u w:val="single"/>
            <w:lang w:val="en-US"/>
          </w:rPr>
          <w:t>ups.com/</w:t>
        </w:r>
        <w:proofErr w:type="spellStart"/>
        <w:r w:rsidRPr="000E75D7">
          <w:rPr>
            <w:rFonts w:ascii="Times New Roman" w:hAnsi="Times New Roman"/>
            <w:color w:val="0563C1"/>
            <w:szCs w:val="22"/>
            <w:u w:val="single"/>
            <w:lang w:val="en-US"/>
          </w:rPr>
          <w:t>sustainabilitynewsletter</w:t>
        </w:r>
        <w:proofErr w:type="spellEnd"/>
        <w:r w:rsidRPr="000E75D7">
          <w:rPr>
            <w:rFonts w:ascii="Times New Roman" w:hAnsi="Times New Roman"/>
            <w:color w:val="0563C1"/>
            <w:szCs w:val="22"/>
            <w:u w:val="single"/>
            <w:lang w:val="en-US"/>
          </w:rPr>
          <w:t>.</w:t>
        </w:r>
      </w:hyperlink>
      <w:r w:rsidRPr="000E75D7">
        <w:rPr>
          <w:rFonts w:ascii="Arial" w:hAnsi="Arial" w:cs="Arial"/>
          <w:color w:val="340500"/>
          <w:szCs w:val="22"/>
          <w:lang w:val="en-US"/>
        </w:rPr>
        <w:t xml:space="preserve"> </w:t>
      </w:r>
      <w:r w:rsidRPr="000E75D7">
        <w:rPr>
          <w:rFonts w:ascii="Arial" w:hAnsi="Arial" w:cs="Arial"/>
          <w:color w:val="000000"/>
          <w:szCs w:val="22"/>
          <w:lang w:val="en-US"/>
        </w:rPr>
        <w:t>To get UPS news direct, follow </w:t>
      </w:r>
      <w:hyperlink r:id="rId16" w:history="1">
        <w:r w:rsidRPr="000E75D7">
          <w:rPr>
            <w:rFonts w:ascii="Times New Roman" w:hAnsi="Times New Roman"/>
            <w:color w:val="0563C1"/>
            <w:szCs w:val="22"/>
            <w:u w:val="single"/>
            <w:lang w:val="en-US"/>
          </w:rPr>
          <w:t>@</w:t>
        </w:r>
        <w:proofErr w:type="spellStart"/>
        <w:r w:rsidRPr="000E75D7">
          <w:rPr>
            <w:rFonts w:ascii="Times New Roman" w:hAnsi="Times New Roman"/>
            <w:color w:val="0563C1"/>
            <w:szCs w:val="22"/>
            <w:u w:val="single"/>
            <w:lang w:val="en-US"/>
          </w:rPr>
          <w:t>UPS_News</w:t>
        </w:r>
        <w:proofErr w:type="spellEnd"/>
      </w:hyperlink>
      <w:r w:rsidRPr="000E75D7">
        <w:rPr>
          <w:rFonts w:ascii="Arial" w:hAnsi="Arial" w:cs="Arial"/>
          <w:color w:val="000000"/>
          <w:szCs w:val="22"/>
          <w:lang w:val="en-US"/>
        </w:rPr>
        <w:t xml:space="preserve"> on Twitter. To ship with UPS, visit </w:t>
      </w:r>
      <w:hyperlink r:id="rId17" w:history="1">
        <w:r w:rsidRPr="000E75D7">
          <w:rPr>
            <w:rFonts w:ascii="Times New Roman" w:hAnsi="Times New Roman"/>
            <w:color w:val="0563C1"/>
            <w:szCs w:val="22"/>
            <w:u w:val="single"/>
            <w:lang w:val="en-US"/>
          </w:rPr>
          <w:t>ups.com/ship</w:t>
        </w:r>
      </w:hyperlink>
      <w:r w:rsidRPr="000E75D7">
        <w:rPr>
          <w:rFonts w:ascii="Arial" w:hAnsi="Arial" w:cs="Arial"/>
          <w:color w:val="000000"/>
          <w:szCs w:val="22"/>
          <w:lang w:val="pt-PT"/>
        </w:rPr>
        <w:t>.</w:t>
      </w:r>
    </w:p>
    <w:p w:rsidR="000E75D7" w:rsidRPr="000E75D7" w:rsidRDefault="000E75D7" w:rsidP="000E75D7">
      <w:pPr>
        <w:spacing w:line="288" w:lineRule="auto"/>
        <w:rPr>
          <w:rFonts w:ascii="Arial" w:hAnsi="Arial" w:cs="Arial"/>
          <w:b/>
          <w:bCs/>
          <w:szCs w:val="22"/>
          <w:lang w:val="en-US"/>
        </w:rPr>
      </w:pPr>
      <w:r w:rsidRPr="000E75D7">
        <w:rPr>
          <w:rFonts w:ascii="Arial" w:hAnsi="Arial" w:cs="Arial"/>
          <w:b/>
          <w:bCs/>
          <w:szCs w:val="22"/>
          <w:u w:val="single"/>
          <w:lang w:val="en-US"/>
        </w:rPr>
        <w:t>Forward-Looking Statements</w:t>
      </w:r>
    </w:p>
    <w:p w:rsidR="000E75D7" w:rsidRPr="000E75D7" w:rsidRDefault="000E75D7" w:rsidP="000E75D7">
      <w:pPr>
        <w:spacing w:line="288" w:lineRule="auto"/>
        <w:rPr>
          <w:rFonts w:ascii="Times New Roman" w:hAnsi="Times New Roman"/>
          <w:sz w:val="24"/>
          <w:szCs w:val="24"/>
          <w:lang w:val="en-US"/>
        </w:rPr>
      </w:pPr>
    </w:p>
    <w:p w:rsidR="000E75D7" w:rsidRPr="000E75D7" w:rsidRDefault="000E75D7" w:rsidP="000E75D7">
      <w:pPr>
        <w:rPr>
          <w:rFonts w:ascii="Arial" w:hAnsi="Arial" w:cs="Arial"/>
          <w:szCs w:val="22"/>
          <w:lang w:val="en-US"/>
        </w:rPr>
      </w:pPr>
      <w:r w:rsidRPr="000E75D7">
        <w:rPr>
          <w:rFonts w:ascii="Arial" w:hAnsi="Arial" w:cs="Arial"/>
          <w:szCs w:val="22"/>
          <w:lang w:val="en-US"/>
        </w:rPr>
        <w:t>This release, our Annual Report on Form 10-K for the year ended December 31, 2019 and our other filings with the Securities and Exchange Commission contain and refer to “forward-looking statements” within the meaning of the Private Securities Litigation Reform Act of 1995. Statements other than those of current or historical fact, and all statements accompanied by terms such as “believe,” “project,” “expect,” “estimate,” “assume,” “intend,” “anticipate,” “target,” “plan,” and variations thereof, and similar terms, are intended to be forward-looking statements. Forward-looking statements are made subject to the safe harbor provisions of the federal securities laws pursuant to Section 27A of the Securities Act of 1933 and Section 21E of the Securities Exchange Act of 1934.</w:t>
      </w:r>
    </w:p>
    <w:p w:rsidR="000E75D7" w:rsidRPr="000E75D7" w:rsidRDefault="000E75D7" w:rsidP="000E75D7">
      <w:pPr>
        <w:rPr>
          <w:rFonts w:ascii="Arial" w:hAnsi="Arial" w:cs="Arial"/>
          <w:szCs w:val="22"/>
          <w:lang w:val="en-US"/>
        </w:rPr>
      </w:pPr>
    </w:p>
    <w:p w:rsidR="000E75D7" w:rsidRPr="000E75D7" w:rsidRDefault="000E75D7" w:rsidP="000E75D7">
      <w:pPr>
        <w:rPr>
          <w:rFonts w:ascii="Arial" w:hAnsi="Arial" w:cs="Arial"/>
          <w:szCs w:val="22"/>
          <w:lang w:val="en-US"/>
        </w:rPr>
      </w:pPr>
      <w:r w:rsidRPr="000E75D7">
        <w:rPr>
          <w:rFonts w:ascii="Arial" w:hAnsi="Arial" w:cs="Arial"/>
          <w:szCs w:val="22"/>
          <w:lang w:val="en-US"/>
        </w:rPr>
        <w:t>From time to time, we also include forward-looking statements in other publicly disclosed materials. Such statements may relate to our intent, belief and current expectations about our strategic direction, prospects and future results, and give our current expectations or forecasts of future events; they do not relate strictly to historical or current facts. Management believes that these forward-looking statements are reasonable as and when made. However, caution should be taken not to place undue reliance on any forward-looking statements because such statements speak only as of the date when made.</w:t>
      </w:r>
    </w:p>
    <w:p w:rsidR="000E75D7" w:rsidRPr="000E75D7" w:rsidRDefault="000E75D7" w:rsidP="000E75D7">
      <w:pPr>
        <w:rPr>
          <w:rFonts w:ascii="Arial" w:hAnsi="Arial" w:cs="Arial"/>
          <w:szCs w:val="22"/>
          <w:lang w:val="en-US"/>
        </w:rPr>
      </w:pPr>
    </w:p>
    <w:p w:rsidR="000E75D7" w:rsidRPr="000E75D7" w:rsidRDefault="000E75D7" w:rsidP="000E75D7">
      <w:pPr>
        <w:rPr>
          <w:rFonts w:ascii="Arial" w:hAnsi="Arial" w:cs="Arial"/>
          <w:szCs w:val="22"/>
          <w:lang w:val="en-US"/>
        </w:rPr>
      </w:pPr>
      <w:r w:rsidRPr="000E75D7">
        <w:rPr>
          <w:rFonts w:ascii="Arial" w:hAnsi="Arial" w:cs="Arial"/>
          <w:szCs w:val="22"/>
          <w:lang w:val="en-US"/>
        </w:rPr>
        <w:t xml:space="preserve">Forward-looking statements are subject to certain risks and uncertainties that could cause actual results to differ materially from our historical experience, present expectations or anticipated results. These risks and uncertainties,  many of which are outside of our control, include, but are not limited to: changes in general economic conditions, in the U.S. or internationally; significant competition on a local, regional, national and international basis; changes in our relationships with our significant </w:t>
      </w:r>
      <w:r w:rsidRPr="000E75D7">
        <w:rPr>
          <w:rFonts w:ascii="Arial" w:hAnsi="Arial" w:cs="Arial"/>
          <w:szCs w:val="22"/>
          <w:lang w:val="en-US"/>
        </w:rPr>
        <w:lastRenderedPageBreak/>
        <w:t>customers; changes in the complex and stringent regulation in the U.S. and internationally (including tax laws and regulations); increased physical or data security requirements that may increase our costs of operations and reduce operating efficiencies; legal, regulatory or market responses to global climate change; results of negotiations and ratifications of labor contracts; strikes, work stoppages or slowdowns by our employees; the effects of changing prices of energy, including gasoline, diesel and jet fuel, and interruptions in supplies of these commodities; changes in exchange rates or interest rates; uncertainty from the expected discontinuance of LIBOR and transition to any other interest rate benchmark; our ability to maintain the image of our brand; breaches in data security; disruptions to the Internet or our technology infrastructure; interruptions in or impacts on our business from natural or man-made event or disasters including terrorist attacks, epidemics and pandemics; our ability to accurately forecast our future capital investment needs; exposure to changing economic, political and social developments in international and emerging markets; changes in business strategy, government regulations, or economic or market conditions that may result in substantial impairment of our assets; increases in our expenses or funding obligations relating to employee health, retiree health and/or pension benefits; potential additional tax liabilities in the U.S. or internationally; the potential for various claims and litigation related to labor and employment, personal injury, property damage, business practices, environmental liability and other matters; our ability to realize the anticipated benefits from acquisitions, joint ventures or strategic alliances; our ability to realize the anticipated benefits from our transformation initiatives; cyclical and seasonal fluctuations in our operating results; our ability to manage insurance and claims expenses; and other risks discussed in our filings with the Securities and Exchange Commission from time to time, including our Annual Report on Form 10-K for the year ended December 31, 2019 and subsequently filed reports.  Such risks and uncertainties are currently amplified by and may continue to be amplified by the coronavirus pandemic and the impact it has had, and may continue to have on the global economy and our business, financial position and results of operations. You should consider the limitations on, and risks associated with, forward-looking statements and not unduly rely on the accuracy of information contained in such forward-looking statements. We do not undertake any obligation to update forward-looking statements to reflect events, circumstances, changes in expectations, or the occurrence of unanticipated events after the date of those statements, except as required by law.</w:t>
      </w:r>
    </w:p>
    <w:p w:rsidR="000E75D7" w:rsidRPr="000E75D7" w:rsidRDefault="000E75D7" w:rsidP="000E75D7">
      <w:pPr>
        <w:rPr>
          <w:rFonts w:ascii="Arial" w:hAnsi="Arial" w:cs="Arial"/>
          <w:b/>
          <w:bCs/>
          <w:szCs w:val="22"/>
          <w:u w:val="single"/>
          <w:lang w:val="en-US"/>
        </w:rPr>
      </w:pPr>
    </w:p>
    <w:p w:rsidR="000E75D7" w:rsidRPr="000E75D7" w:rsidRDefault="000E75D7" w:rsidP="000E75D7">
      <w:pPr>
        <w:rPr>
          <w:rFonts w:ascii="Arial" w:hAnsi="Arial" w:cs="Arial"/>
          <w:b/>
          <w:bCs/>
          <w:szCs w:val="22"/>
          <w:lang w:val="en-US"/>
        </w:rPr>
      </w:pPr>
      <w:r w:rsidRPr="000E75D7">
        <w:rPr>
          <w:rFonts w:ascii="Arial" w:hAnsi="Arial" w:cs="Arial"/>
          <w:b/>
          <w:bCs/>
          <w:szCs w:val="22"/>
          <w:u w:val="single"/>
          <w:lang w:val="en-US"/>
        </w:rPr>
        <w:t>Reconciliation of GAAP and non-GAAP Financial Measures</w:t>
      </w:r>
    </w:p>
    <w:p w:rsidR="000E75D7" w:rsidRPr="000E75D7" w:rsidRDefault="000E75D7" w:rsidP="000E75D7">
      <w:pPr>
        <w:rPr>
          <w:rFonts w:ascii="Arial" w:hAnsi="Arial" w:cs="Arial"/>
          <w:szCs w:val="22"/>
          <w:lang w:val="en-US"/>
        </w:rPr>
      </w:pPr>
    </w:p>
    <w:p w:rsidR="000E75D7" w:rsidRPr="000E75D7" w:rsidRDefault="000E75D7" w:rsidP="000E75D7">
      <w:pPr>
        <w:rPr>
          <w:rFonts w:ascii="Arial" w:hAnsi="Arial" w:cs="Arial"/>
          <w:szCs w:val="22"/>
          <w:lang w:val="en-US"/>
        </w:rPr>
      </w:pPr>
      <w:r w:rsidRPr="000E75D7">
        <w:rPr>
          <w:rFonts w:ascii="Arial" w:hAnsi="Arial" w:cs="Arial"/>
          <w:szCs w:val="22"/>
          <w:lang w:val="en-US"/>
        </w:rPr>
        <w:t xml:space="preserve">We supplement the reporting of our financial information determined under generally accepted accounting principles ("GAAP") with certain non-GAAP financial measures, including "adjusted" operating profit, operating margin, other income (expense), income before income taxes, income tax expense, net income and earnings per share. We periodically disclose free cash flow, free cash flow excluding discretionary pension contributions, and capital expenditures including principal repayments of capital lease obligations. Additionally, we supplement the reporting of revenue, revenue per piece and operating profit with non-GAAP measures that exclude the period-over-period impact of foreign currency exchange rate changes and hedging activities. The equivalent measures determined in accordance with GAAP are also referred to as "reported" or "unadjusted.” </w:t>
      </w:r>
    </w:p>
    <w:p w:rsidR="000E75D7" w:rsidRPr="000E75D7" w:rsidRDefault="000E75D7" w:rsidP="000E75D7">
      <w:pPr>
        <w:rPr>
          <w:rFonts w:ascii="Arial" w:hAnsi="Arial" w:cs="Arial"/>
          <w:szCs w:val="22"/>
          <w:lang w:val="en-US"/>
        </w:rPr>
      </w:pPr>
    </w:p>
    <w:p w:rsidR="000E75D7" w:rsidRPr="000E75D7" w:rsidRDefault="000E75D7" w:rsidP="000E75D7">
      <w:pPr>
        <w:rPr>
          <w:rFonts w:ascii="Arial" w:hAnsi="Arial" w:cs="Arial"/>
          <w:szCs w:val="22"/>
          <w:lang w:val="en-US"/>
        </w:rPr>
      </w:pPr>
      <w:r w:rsidRPr="000E75D7">
        <w:rPr>
          <w:rFonts w:ascii="Arial" w:hAnsi="Arial" w:cs="Arial"/>
          <w:szCs w:val="22"/>
          <w:lang w:val="en-US"/>
        </w:rPr>
        <w:t>We consider quantitative and qualitative factors in assessing whether to adjust for the impact of items that may be significant or that could affect an understanding of our ongoing financial and business performance or trends. Examples of items for which we may make adjustments include but are not limited to: amounts related to mark-to-</w:t>
      </w:r>
      <w:r w:rsidRPr="000E75D7">
        <w:rPr>
          <w:rFonts w:ascii="Arial" w:hAnsi="Arial" w:cs="Arial"/>
          <w:szCs w:val="22"/>
          <w:lang w:val="en-US"/>
        </w:rPr>
        <w:lastRenderedPageBreak/>
        <w:t>market gains or losses (non-cash); recognition of contingencies; gains or losses associated with mergers, acquisitions, divestitures and other structural changes; charges related to restructuring programs such as the implementation of our Transformation strategy; asset impairments (non-cash); amounts related to changes in tax regulations or positions; amounts related to changes in foreign currency exchange rates and the impact of any hedging activities; other pension and postretirement related items; and debt modifications.</w:t>
      </w:r>
    </w:p>
    <w:p w:rsidR="000E75D7" w:rsidRPr="000E75D7" w:rsidRDefault="000E75D7" w:rsidP="000E75D7">
      <w:pPr>
        <w:rPr>
          <w:rFonts w:ascii="Arial" w:hAnsi="Arial" w:cs="Arial"/>
          <w:szCs w:val="22"/>
          <w:lang w:val="en-US"/>
        </w:rPr>
      </w:pPr>
    </w:p>
    <w:p w:rsidR="000E75D7" w:rsidRPr="000E75D7" w:rsidRDefault="000E75D7" w:rsidP="000E75D7">
      <w:pPr>
        <w:rPr>
          <w:rFonts w:ascii="Arial" w:hAnsi="Arial" w:cs="Arial"/>
          <w:szCs w:val="22"/>
          <w:lang w:val="en-US"/>
        </w:rPr>
      </w:pPr>
      <w:r w:rsidRPr="000E75D7">
        <w:rPr>
          <w:rFonts w:ascii="Arial" w:hAnsi="Arial" w:cs="Arial"/>
          <w:szCs w:val="22"/>
          <w:lang w:val="en-US"/>
        </w:rPr>
        <w:t>We believe that these non-GAAP measures provide additional meaningful information to assist users of our financial statements in understanding our financial results and cash flows and assessing our ongoing performance, because they exclude items that may not be indicative of, or are unrelated to, our underlying operations and may provide a useful baseline for analyzing trends in our underlying businesses. Management uses these non-GAAP financial measures in making financial, operating and planning decisions. We also use certain of these measures for the determination of incentive compensation awards.</w:t>
      </w:r>
    </w:p>
    <w:p w:rsidR="000E75D7" w:rsidRPr="000E75D7" w:rsidRDefault="000E75D7" w:rsidP="000E75D7">
      <w:pPr>
        <w:rPr>
          <w:rFonts w:ascii="Arial" w:hAnsi="Arial" w:cs="Arial"/>
          <w:szCs w:val="22"/>
          <w:lang w:val="en-US"/>
        </w:rPr>
      </w:pPr>
    </w:p>
    <w:p w:rsidR="000E75D7" w:rsidRPr="000E75D7" w:rsidRDefault="000E75D7" w:rsidP="000E75D7">
      <w:pPr>
        <w:rPr>
          <w:rFonts w:ascii="Arial" w:hAnsi="Arial" w:cs="Arial"/>
          <w:szCs w:val="22"/>
          <w:lang w:val="en-US"/>
        </w:rPr>
      </w:pPr>
      <w:r w:rsidRPr="000E75D7">
        <w:rPr>
          <w:rFonts w:ascii="Arial" w:hAnsi="Arial" w:cs="Arial"/>
          <w:szCs w:val="22"/>
          <w:lang w:val="en-US"/>
        </w:rPr>
        <w:t>Non-GAAP financial measures should be considered in addition to, and not as an alternative for, our reported results prepared in accordance with GAAP. Our non-GAAP financial information does not represent a comprehensive basis of accounting. Therefore, our non-GAAP financial information may not be comparable to similarly titled measures reported by other companies.</w:t>
      </w:r>
    </w:p>
    <w:p w:rsidR="000E75D7" w:rsidRPr="000E75D7" w:rsidRDefault="000E75D7" w:rsidP="000E75D7">
      <w:pPr>
        <w:rPr>
          <w:rFonts w:ascii="Arial" w:hAnsi="Arial" w:cs="Arial"/>
          <w:szCs w:val="22"/>
          <w:lang w:val="en-US"/>
        </w:rPr>
      </w:pPr>
    </w:p>
    <w:p w:rsidR="000E75D7" w:rsidRPr="000E75D7" w:rsidRDefault="000E75D7" w:rsidP="000E75D7">
      <w:pPr>
        <w:rPr>
          <w:rFonts w:ascii="Arial" w:hAnsi="Arial" w:cs="Arial"/>
          <w:i/>
          <w:iCs/>
          <w:szCs w:val="22"/>
          <w:lang w:val="en-US"/>
        </w:rPr>
      </w:pPr>
      <w:r w:rsidRPr="000E75D7">
        <w:rPr>
          <w:rFonts w:ascii="Arial" w:hAnsi="Arial" w:cs="Arial"/>
          <w:i/>
          <w:iCs/>
          <w:szCs w:val="22"/>
          <w:lang w:val="en-US"/>
        </w:rPr>
        <w:t>Costs Related to Restructuring Programs; Transformation Strategy Costs</w:t>
      </w:r>
    </w:p>
    <w:p w:rsidR="000E75D7" w:rsidRPr="000E75D7" w:rsidRDefault="000E75D7" w:rsidP="000E75D7">
      <w:pPr>
        <w:rPr>
          <w:rFonts w:ascii="Arial" w:hAnsi="Arial" w:cs="Arial"/>
          <w:szCs w:val="22"/>
          <w:lang w:val="en-US"/>
        </w:rPr>
      </w:pPr>
    </w:p>
    <w:p w:rsidR="000E75D7" w:rsidRPr="000E75D7" w:rsidRDefault="000E75D7" w:rsidP="000E75D7">
      <w:pPr>
        <w:rPr>
          <w:rFonts w:ascii="Arial" w:hAnsi="Arial" w:cs="Arial"/>
          <w:szCs w:val="22"/>
          <w:lang w:val="en-US"/>
        </w:rPr>
      </w:pPr>
      <w:r w:rsidRPr="000E75D7">
        <w:rPr>
          <w:rFonts w:ascii="Arial" w:hAnsi="Arial" w:cs="Arial"/>
          <w:szCs w:val="22"/>
          <w:lang w:val="en-US"/>
        </w:rPr>
        <w:t>Non-GAAP operating profit, operating margin, pre-tax income, net income and earnings per share exclude the impact of costs related to restructuring programs, including Transformation strategy costs.  We believe this provides a useful comparison of year-to-year financial performance without considering the short-term impact of restructuring costs. We evaluate our performance on this adjusted basis.</w:t>
      </w:r>
    </w:p>
    <w:p w:rsidR="000E75D7" w:rsidRPr="000E75D7" w:rsidRDefault="000E75D7" w:rsidP="000E75D7">
      <w:pPr>
        <w:rPr>
          <w:rFonts w:ascii="Arial" w:hAnsi="Arial" w:cs="Arial"/>
          <w:szCs w:val="22"/>
          <w:lang w:val="en-US"/>
        </w:rPr>
      </w:pPr>
    </w:p>
    <w:p w:rsidR="000E75D7" w:rsidRPr="000E75D7" w:rsidRDefault="000E75D7" w:rsidP="000E75D7">
      <w:pPr>
        <w:rPr>
          <w:rFonts w:ascii="Arial" w:hAnsi="Arial" w:cs="Arial"/>
          <w:i/>
          <w:iCs/>
          <w:szCs w:val="22"/>
          <w:lang w:val="en-US"/>
        </w:rPr>
      </w:pPr>
      <w:r w:rsidRPr="000E75D7">
        <w:rPr>
          <w:rFonts w:ascii="Arial" w:hAnsi="Arial" w:cs="Arial"/>
          <w:i/>
          <w:iCs/>
          <w:szCs w:val="22"/>
          <w:lang w:val="en-US"/>
        </w:rPr>
        <w:t>Impact of Changes in Foreign Currency Exchange Rates and Hedging Activities</w:t>
      </w:r>
    </w:p>
    <w:p w:rsidR="000E75D7" w:rsidRPr="000E75D7" w:rsidRDefault="000E75D7" w:rsidP="000E75D7">
      <w:pPr>
        <w:rPr>
          <w:rFonts w:ascii="Arial" w:hAnsi="Arial" w:cs="Arial"/>
          <w:szCs w:val="22"/>
          <w:lang w:val="en-US"/>
        </w:rPr>
      </w:pPr>
    </w:p>
    <w:p w:rsidR="000E75D7" w:rsidRPr="000E75D7" w:rsidRDefault="000E75D7" w:rsidP="000E75D7">
      <w:pPr>
        <w:rPr>
          <w:rFonts w:ascii="Arial" w:hAnsi="Arial" w:cs="Arial"/>
          <w:szCs w:val="22"/>
          <w:lang w:val="en-US"/>
        </w:rPr>
      </w:pPr>
      <w:r w:rsidRPr="000E75D7">
        <w:rPr>
          <w:rFonts w:ascii="Arial" w:hAnsi="Arial" w:cs="Arial"/>
          <w:szCs w:val="22"/>
          <w:lang w:val="en-US"/>
        </w:rPr>
        <w:t>We believe currency-neutral revenue, revenue per piece and operating profit information allows users of our financial statements to understand growth trends in our products and results. We evaluate the performance of our International Package and Supply Chain and Freight segments on this currency-neutral basis.</w:t>
      </w:r>
    </w:p>
    <w:p w:rsidR="000E75D7" w:rsidRPr="000E75D7" w:rsidRDefault="000E75D7" w:rsidP="000E75D7">
      <w:pPr>
        <w:rPr>
          <w:rFonts w:ascii="Arial" w:hAnsi="Arial" w:cs="Arial"/>
          <w:szCs w:val="22"/>
          <w:lang w:val="en-US"/>
        </w:rPr>
      </w:pPr>
    </w:p>
    <w:p w:rsidR="000E75D7" w:rsidRPr="000E75D7" w:rsidRDefault="000E75D7" w:rsidP="000E75D7">
      <w:pPr>
        <w:rPr>
          <w:rFonts w:ascii="Arial" w:hAnsi="Arial" w:cs="Arial"/>
          <w:szCs w:val="22"/>
          <w:lang w:val="en-US"/>
        </w:rPr>
      </w:pPr>
      <w:r w:rsidRPr="000E75D7">
        <w:rPr>
          <w:rFonts w:ascii="Arial" w:hAnsi="Arial" w:cs="Arial"/>
          <w:szCs w:val="22"/>
          <w:lang w:val="en-US"/>
        </w:rPr>
        <w:t>Currency-neutral revenue, revenue per piece and operating profit are calculated by dividing current period reported U.S. dollar revenue, revenue per piece and operating profit by the current period average exchange rates to derive current period local currency revenue, revenue per piece and operating profit. The derived amounts are then multiplied by the average foreign exchange rates used to translate the comparable results for each month in the prior year period (including the period over period impact of foreign currency hedging activities). The difference between the current period reported U.S. dollar revenue, revenue per piece and operating profit and the derived current period U.S. dollar revenue, revenue per piece and operating profit is the period over period impact of currency fluctuations.</w:t>
      </w:r>
    </w:p>
    <w:p w:rsidR="000E75D7" w:rsidRPr="000E75D7" w:rsidRDefault="000E75D7" w:rsidP="000E75D7">
      <w:pPr>
        <w:rPr>
          <w:rFonts w:ascii="Arial" w:hAnsi="Arial" w:cs="Arial"/>
          <w:i/>
          <w:iCs/>
          <w:szCs w:val="22"/>
          <w:lang w:val="en-US"/>
        </w:rPr>
      </w:pPr>
    </w:p>
    <w:p w:rsidR="000E75D7" w:rsidRPr="000E75D7" w:rsidRDefault="000E75D7" w:rsidP="000E75D7">
      <w:pPr>
        <w:rPr>
          <w:rFonts w:ascii="Arial" w:hAnsi="Arial" w:cs="Arial"/>
          <w:i/>
          <w:iCs/>
          <w:szCs w:val="22"/>
          <w:lang w:val="en-US"/>
        </w:rPr>
      </w:pPr>
      <w:r w:rsidRPr="000E75D7">
        <w:rPr>
          <w:rFonts w:ascii="Arial" w:hAnsi="Arial" w:cs="Arial"/>
          <w:i/>
          <w:iCs/>
          <w:szCs w:val="22"/>
          <w:lang w:val="en-US"/>
        </w:rPr>
        <w:t>Impact of Changes in Pension Discount Rates</w:t>
      </w:r>
    </w:p>
    <w:p w:rsidR="000E75D7" w:rsidRPr="000E75D7" w:rsidRDefault="000E75D7" w:rsidP="000E75D7">
      <w:pPr>
        <w:rPr>
          <w:rFonts w:ascii="Arial" w:hAnsi="Arial" w:cs="Arial"/>
          <w:szCs w:val="22"/>
          <w:lang w:val="en-US"/>
        </w:rPr>
      </w:pPr>
    </w:p>
    <w:p w:rsidR="000E75D7" w:rsidRPr="000E75D7" w:rsidRDefault="000E75D7" w:rsidP="000E75D7">
      <w:pPr>
        <w:rPr>
          <w:rFonts w:ascii="Arial" w:hAnsi="Arial" w:cs="Arial"/>
          <w:szCs w:val="22"/>
          <w:lang w:val="en-US"/>
        </w:rPr>
      </w:pPr>
      <w:r w:rsidRPr="000E75D7">
        <w:rPr>
          <w:rFonts w:ascii="Arial" w:hAnsi="Arial" w:cs="Arial"/>
          <w:szCs w:val="22"/>
          <w:lang w:val="en-US"/>
        </w:rPr>
        <w:t xml:space="preserve">Non-GAAP pension discount rate-neutral operating profit excludes the period over period impact of discount rate changes on pension service cost. We believe this allows users of our financial statements to understand growth trends in our products and results excluding the period over period movement in discount rates. Effective </w:t>
      </w:r>
      <w:r w:rsidRPr="000E75D7">
        <w:rPr>
          <w:rFonts w:ascii="Arial" w:hAnsi="Arial" w:cs="Arial"/>
          <w:szCs w:val="22"/>
          <w:lang w:val="en-US"/>
        </w:rPr>
        <w:lastRenderedPageBreak/>
        <w:t xml:space="preserve">January 1, 2020, we began evaluating our segments using pension discount rate-neutral operating profit in addition to our current segment operating profit measure. </w:t>
      </w:r>
    </w:p>
    <w:p w:rsidR="000E75D7" w:rsidRPr="000E75D7" w:rsidRDefault="000E75D7" w:rsidP="000E75D7">
      <w:pPr>
        <w:rPr>
          <w:rFonts w:ascii="Arial" w:hAnsi="Arial" w:cs="Arial"/>
          <w:szCs w:val="22"/>
          <w:lang w:val="en-US"/>
        </w:rPr>
      </w:pPr>
    </w:p>
    <w:p w:rsidR="000E75D7" w:rsidRPr="000E75D7" w:rsidRDefault="000E75D7" w:rsidP="000E75D7">
      <w:pPr>
        <w:rPr>
          <w:rFonts w:ascii="Arial" w:hAnsi="Arial" w:cs="Arial"/>
          <w:szCs w:val="22"/>
          <w:lang w:val="en-US"/>
        </w:rPr>
      </w:pPr>
      <w:r w:rsidRPr="000E75D7">
        <w:rPr>
          <w:rFonts w:ascii="Arial" w:hAnsi="Arial" w:cs="Arial"/>
          <w:szCs w:val="22"/>
          <w:lang w:val="en-US"/>
        </w:rPr>
        <w:t xml:space="preserve">Pension discount rate-neutral operating profit is calculated by discounting the value of benefits attributable to employee service in the current period utilizing the prior year discount rate applicable to each of our company-sponsored defined benefit plans. The difference between this derived amount and the current period reported service cost is the period over period impact of pension discount rate movements on operating profit. </w:t>
      </w:r>
    </w:p>
    <w:p w:rsidR="000E75D7" w:rsidRPr="000E75D7" w:rsidRDefault="000E75D7" w:rsidP="000E75D7">
      <w:pPr>
        <w:rPr>
          <w:rFonts w:ascii="Arial" w:hAnsi="Arial" w:cs="Arial"/>
          <w:szCs w:val="22"/>
          <w:lang w:val="en-US"/>
        </w:rPr>
      </w:pPr>
    </w:p>
    <w:p w:rsidR="000E75D7" w:rsidRPr="000E75D7" w:rsidRDefault="000E75D7" w:rsidP="000E75D7">
      <w:pPr>
        <w:rPr>
          <w:rFonts w:ascii="Arial" w:hAnsi="Arial" w:cs="Arial"/>
          <w:i/>
          <w:iCs/>
          <w:szCs w:val="22"/>
          <w:lang w:val="en-US"/>
        </w:rPr>
      </w:pPr>
      <w:r w:rsidRPr="000E75D7">
        <w:rPr>
          <w:rFonts w:ascii="Arial" w:hAnsi="Arial" w:cs="Arial"/>
          <w:i/>
          <w:iCs/>
          <w:szCs w:val="22"/>
          <w:lang w:val="en-US"/>
        </w:rPr>
        <w:t>Free Cash Flow and Adjusted Capital Expenditures</w:t>
      </w:r>
    </w:p>
    <w:p w:rsidR="000E75D7" w:rsidRPr="000E75D7" w:rsidRDefault="000E75D7" w:rsidP="000E75D7">
      <w:pPr>
        <w:rPr>
          <w:rFonts w:ascii="Arial" w:hAnsi="Arial" w:cs="Arial"/>
          <w:szCs w:val="22"/>
          <w:lang w:val="en-US"/>
        </w:rPr>
      </w:pPr>
    </w:p>
    <w:p w:rsidR="000E75D7" w:rsidRPr="000E75D7" w:rsidRDefault="000E75D7" w:rsidP="000E75D7">
      <w:pPr>
        <w:rPr>
          <w:rFonts w:ascii="Arial" w:hAnsi="Arial" w:cs="Arial"/>
          <w:i/>
          <w:iCs/>
          <w:color w:val="000000"/>
          <w:szCs w:val="22"/>
          <w:lang w:val="en-US"/>
        </w:rPr>
      </w:pPr>
      <w:r w:rsidRPr="000E75D7">
        <w:rPr>
          <w:rFonts w:ascii="Arial" w:hAnsi="Arial" w:cs="Arial"/>
          <w:szCs w:val="22"/>
          <w:lang w:val="en-US"/>
        </w:rPr>
        <w:t>We believe free cash flow, free cash flow excluding discretionary pension contributions and free cash flow plus principal repayments of capital lease obligations are important indicators of how much cash is generated by regular business operations and we use them as a measure of incremental cash available to invest in our business, meet our debt obligations and return cash to shareowners. Additionally, we believe that adjusting capital expenditures for principal repayments of capital lease obligations more appropriately reflects the overall cash that we have invested in capital assets.</w:t>
      </w:r>
      <w:r w:rsidRPr="000E75D7">
        <w:rPr>
          <w:rFonts w:ascii="Arial" w:hAnsi="Arial" w:cs="Arial"/>
          <w:i/>
          <w:iCs/>
          <w:szCs w:val="22"/>
          <w:lang w:val="en-US"/>
        </w:rPr>
        <w:t xml:space="preserve">   </w:t>
      </w:r>
      <w:r w:rsidRPr="000E75D7">
        <w:rPr>
          <w:rFonts w:ascii="Arial" w:hAnsi="Arial" w:cs="Arial"/>
          <w:szCs w:val="22"/>
          <w:lang w:val="en-US"/>
        </w:rPr>
        <w:t xml:space="preserve">We calculate free cash flow as cash flows from operating activities less capital expenditures, proceeds from disposals of property, plant and equipment, and plus or minus the net changes in finance receivables and other investing activities. Free cash flow excluding discretionary pension contributions adds back any discretionary pension contributions made during the period.  </w:t>
      </w:r>
    </w:p>
    <w:p w:rsidR="000E75D7" w:rsidRPr="000E75D7" w:rsidRDefault="000E75D7" w:rsidP="000E75D7">
      <w:pPr>
        <w:spacing w:line="288" w:lineRule="auto"/>
        <w:rPr>
          <w:rFonts w:ascii="Times New Roman" w:hAnsi="Times New Roman"/>
          <w:sz w:val="15"/>
          <w:szCs w:val="15"/>
          <w:lang w:val="en-US"/>
        </w:rPr>
      </w:pPr>
    </w:p>
    <w:p w:rsidR="000E75D7" w:rsidRPr="000E75D7" w:rsidRDefault="000E75D7" w:rsidP="000E75D7">
      <w:pPr>
        <w:rPr>
          <w:rFonts w:ascii="Arial" w:hAnsi="Arial" w:cs="Arial"/>
          <w:color w:val="003436"/>
          <w:szCs w:val="22"/>
          <w:lang w:val="en-US"/>
        </w:rPr>
      </w:pPr>
      <w:r w:rsidRPr="000E75D7">
        <w:rPr>
          <w:rFonts w:ascii="Arial" w:hAnsi="Arial" w:cs="Arial"/>
          <w:color w:val="003436"/>
          <w:szCs w:val="22"/>
          <w:lang w:val="en-US" w:eastAsia="en-US"/>
        </w:rPr>
        <w:br w:type="page"/>
      </w:r>
    </w:p>
    <w:p w:rsidR="000E75D7" w:rsidRPr="000E75D7" w:rsidRDefault="000E75D7" w:rsidP="000E75D7">
      <w:pPr>
        <w:rPr>
          <w:rFonts w:ascii="Arial" w:hAnsi="Arial" w:cs="Arial"/>
          <w:color w:val="003436"/>
          <w:szCs w:val="22"/>
          <w:lang w:val="en-US"/>
        </w:rPr>
      </w:pPr>
      <w:r>
        <w:rPr>
          <w:rFonts w:ascii="Calibri" w:hAnsi="Calibri" w:cs="Calibri"/>
          <w:noProof/>
          <w:szCs w:val="22"/>
        </w:rPr>
        <w:lastRenderedPageBreak/>
        <w:drawing>
          <wp:inline distT="0" distB="0" distL="0" distR="0">
            <wp:extent cx="5650865" cy="4089400"/>
            <wp:effectExtent l="0" t="0" r="0" b="0"/>
            <wp:docPr id="4" name="Obrázek 4" descr="cid:image002.png@01D61D26.53F6B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61D26.53F6BC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0865" cy="4089400"/>
                    </a:xfrm>
                    <a:prstGeom prst="rect">
                      <a:avLst/>
                    </a:prstGeom>
                    <a:noFill/>
                    <a:ln>
                      <a:noFill/>
                    </a:ln>
                  </pic:spPr>
                </pic:pic>
              </a:graphicData>
            </a:graphic>
          </wp:inline>
        </w:drawing>
      </w:r>
    </w:p>
    <w:p w:rsidR="000E75D7" w:rsidRPr="000E75D7" w:rsidRDefault="000E75D7" w:rsidP="000E75D7">
      <w:pPr>
        <w:rPr>
          <w:rFonts w:ascii="Arial" w:hAnsi="Arial" w:cs="Arial"/>
          <w:color w:val="003436"/>
          <w:szCs w:val="22"/>
          <w:lang w:val="en-US"/>
        </w:rPr>
      </w:pPr>
      <w:r w:rsidRPr="000E75D7">
        <w:rPr>
          <w:rFonts w:ascii="Arial" w:hAnsi="Arial" w:cs="Arial"/>
          <w:color w:val="003436"/>
          <w:szCs w:val="22"/>
          <w:lang w:val="en-US" w:eastAsia="en-US"/>
        </w:rPr>
        <w:br w:type="page"/>
      </w:r>
    </w:p>
    <w:p w:rsidR="000E75D7" w:rsidRPr="000E75D7" w:rsidRDefault="000E75D7" w:rsidP="000E75D7">
      <w:pPr>
        <w:rPr>
          <w:rFonts w:ascii="Arial" w:hAnsi="Arial" w:cs="Arial"/>
          <w:color w:val="003436"/>
          <w:szCs w:val="22"/>
          <w:lang w:val="en-US"/>
        </w:rPr>
      </w:pPr>
      <w:r>
        <w:rPr>
          <w:rFonts w:ascii="Calibri" w:hAnsi="Calibri" w:cs="Calibri"/>
          <w:noProof/>
          <w:szCs w:val="22"/>
        </w:rPr>
        <w:lastRenderedPageBreak/>
        <w:drawing>
          <wp:inline distT="0" distB="0" distL="0" distR="0">
            <wp:extent cx="5943600" cy="4572000"/>
            <wp:effectExtent l="0" t="0" r="0" b="0"/>
            <wp:docPr id="3" name="Obrázek 3" descr="cid:image004.png@01D61D26.53F6B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61D26.53F6BC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572000"/>
                    </a:xfrm>
                    <a:prstGeom prst="rect">
                      <a:avLst/>
                    </a:prstGeom>
                    <a:noFill/>
                    <a:ln>
                      <a:noFill/>
                    </a:ln>
                  </pic:spPr>
                </pic:pic>
              </a:graphicData>
            </a:graphic>
          </wp:inline>
        </w:drawing>
      </w:r>
    </w:p>
    <w:p w:rsidR="000E75D7" w:rsidRPr="000E75D7" w:rsidRDefault="000E75D7" w:rsidP="000E75D7">
      <w:pPr>
        <w:rPr>
          <w:rFonts w:ascii="Arial" w:hAnsi="Arial" w:cs="Arial"/>
          <w:color w:val="003436"/>
          <w:szCs w:val="22"/>
          <w:lang w:val="en-US"/>
        </w:rPr>
      </w:pPr>
      <w:r w:rsidRPr="000E75D7">
        <w:rPr>
          <w:rFonts w:ascii="Arial" w:hAnsi="Arial" w:cs="Arial"/>
          <w:color w:val="003436"/>
          <w:szCs w:val="22"/>
          <w:lang w:val="en-US" w:eastAsia="en-US"/>
        </w:rPr>
        <w:br w:type="page"/>
      </w:r>
    </w:p>
    <w:p w:rsidR="000E75D7" w:rsidRPr="000E75D7" w:rsidRDefault="000E75D7" w:rsidP="000E75D7">
      <w:pPr>
        <w:rPr>
          <w:rFonts w:ascii="Arial" w:hAnsi="Arial" w:cs="Arial"/>
          <w:color w:val="003436"/>
          <w:szCs w:val="22"/>
          <w:lang w:val="en-US"/>
        </w:rPr>
      </w:pPr>
      <w:r>
        <w:rPr>
          <w:rFonts w:ascii="Calibri" w:hAnsi="Calibri" w:cs="Calibri"/>
          <w:noProof/>
          <w:szCs w:val="22"/>
        </w:rPr>
        <w:lastRenderedPageBreak/>
        <w:drawing>
          <wp:inline distT="0" distB="0" distL="0" distR="0">
            <wp:extent cx="5933440" cy="3456940"/>
            <wp:effectExtent l="0" t="0" r="0" b="0"/>
            <wp:docPr id="2" name="Obrázek 2" descr="cid:image006.png@01D61D26.53F6B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61D26.53F6BC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3440" cy="3456940"/>
                    </a:xfrm>
                    <a:prstGeom prst="rect">
                      <a:avLst/>
                    </a:prstGeom>
                    <a:noFill/>
                    <a:ln>
                      <a:noFill/>
                    </a:ln>
                  </pic:spPr>
                </pic:pic>
              </a:graphicData>
            </a:graphic>
          </wp:inline>
        </w:drawing>
      </w:r>
    </w:p>
    <w:p w:rsidR="000E75D7" w:rsidRPr="000E75D7" w:rsidRDefault="000E75D7" w:rsidP="000E75D7">
      <w:pPr>
        <w:rPr>
          <w:rFonts w:ascii="Arial" w:hAnsi="Arial" w:cs="Arial"/>
          <w:color w:val="003436"/>
          <w:szCs w:val="22"/>
          <w:lang w:val="en-US"/>
        </w:rPr>
      </w:pPr>
    </w:p>
    <w:p w:rsidR="000E75D7" w:rsidRPr="000E75D7" w:rsidRDefault="000E75D7" w:rsidP="000E75D7">
      <w:pPr>
        <w:rPr>
          <w:rFonts w:ascii="Arial" w:hAnsi="Arial" w:cs="Arial"/>
          <w:color w:val="003436"/>
          <w:szCs w:val="22"/>
          <w:lang w:val="en-US"/>
        </w:rPr>
      </w:pPr>
      <w:r w:rsidRPr="000E75D7">
        <w:rPr>
          <w:rFonts w:ascii="Arial" w:hAnsi="Arial" w:cs="Arial"/>
          <w:color w:val="003436"/>
          <w:szCs w:val="22"/>
          <w:lang w:val="en-US" w:eastAsia="en-US"/>
        </w:rPr>
        <w:br w:type="page"/>
      </w:r>
    </w:p>
    <w:p w:rsidR="000E75D7" w:rsidRPr="000E75D7" w:rsidRDefault="000E75D7" w:rsidP="000E75D7">
      <w:pPr>
        <w:rPr>
          <w:rFonts w:ascii="Arial" w:hAnsi="Arial" w:cs="Arial"/>
          <w:color w:val="003436"/>
          <w:szCs w:val="22"/>
          <w:lang w:val="en-US"/>
        </w:rPr>
      </w:pPr>
      <w:r>
        <w:rPr>
          <w:rFonts w:ascii="Calibri" w:hAnsi="Calibri" w:cs="Calibri"/>
          <w:noProof/>
          <w:szCs w:val="22"/>
        </w:rPr>
        <w:lastRenderedPageBreak/>
        <w:drawing>
          <wp:inline distT="0" distB="0" distL="0" distR="0">
            <wp:extent cx="5640705" cy="5542915"/>
            <wp:effectExtent l="0" t="0" r="0" b="0"/>
            <wp:docPr id="1" name="Obrázek 1" descr="cid:image008.png@01D61D26.53F6B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61D26.53F6BC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0705" cy="5542915"/>
                    </a:xfrm>
                    <a:prstGeom prst="rect">
                      <a:avLst/>
                    </a:prstGeom>
                    <a:noFill/>
                    <a:ln>
                      <a:noFill/>
                    </a:ln>
                  </pic:spPr>
                </pic:pic>
              </a:graphicData>
            </a:graphic>
          </wp:inline>
        </w:drawing>
      </w:r>
    </w:p>
    <w:p w:rsidR="000E75D7" w:rsidRPr="000E75D7" w:rsidRDefault="000E75D7" w:rsidP="000E75D7">
      <w:pPr>
        <w:rPr>
          <w:rFonts w:ascii="Calibri" w:hAnsi="Calibri" w:cs="Calibri"/>
          <w:szCs w:val="22"/>
          <w:lang w:val="en-US"/>
        </w:rPr>
      </w:pPr>
    </w:p>
    <w:p w:rsidR="00D25B4D" w:rsidRPr="00986D2B" w:rsidRDefault="00D25B4D" w:rsidP="00986D2B"/>
    <w:sectPr w:rsidR="00D25B4D" w:rsidRPr="00986D2B" w:rsidSect="00B04B5E">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C842DA"/>
    <w:lvl w:ilvl="0">
      <w:start w:val="1"/>
      <w:numFmt w:val="decimal"/>
      <w:lvlText w:val="%1."/>
      <w:lvlJc w:val="left"/>
      <w:pPr>
        <w:tabs>
          <w:tab w:val="num" w:pos="1492"/>
        </w:tabs>
        <w:ind w:left="1492" w:hanging="360"/>
      </w:pPr>
    </w:lvl>
  </w:abstractNum>
  <w:abstractNum w:abstractNumId="1">
    <w:nsid w:val="FFFFFF7D"/>
    <w:multiLevelType w:val="singleLevel"/>
    <w:tmpl w:val="C27CC6FE"/>
    <w:lvl w:ilvl="0">
      <w:start w:val="1"/>
      <w:numFmt w:val="decimal"/>
      <w:lvlText w:val="%1."/>
      <w:lvlJc w:val="left"/>
      <w:pPr>
        <w:tabs>
          <w:tab w:val="num" w:pos="1209"/>
        </w:tabs>
        <w:ind w:left="1209" w:hanging="360"/>
      </w:pPr>
    </w:lvl>
  </w:abstractNum>
  <w:abstractNum w:abstractNumId="2">
    <w:nsid w:val="FFFFFF7E"/>
    <w:multiLevelType w:val="singleLevel"/>
    <w:tmpl w:val="1346B70A"/>
    <w:lvl w:ilvl="0">
      <w:start w:val="1"/>
      <w:numFmt w:val="decimal"/>
      <w:lvlText w:val="%1."/>
      <w:lvlJc w:val="left"/>
      <w:pPr>
        <w:tabs>
          <w:tab w:val="num" w:pos="926"/>
        </w:tabs>
        <w:ind w:left="926" w:hanging="360"/>
      </w:pPr>
    </w:lvl>
  </w:abstractNum>
  <w:abstractNum w:abstractNumId="3">
    <w:nsid w:val="FFFFFF7F"/>
    <w:multiLevelType w:val="singleLevel"/>
    <w:tmpl w:val="547C88EC"/>
    <w:lvl w:ilvl="0">
      <w:start w:val="1"/>
      <w:numFmt w:val="decimal"/>
      <w:lvlText w:val="%1."/>
      <w:lvlJc w:val="left"/>
      <w:pPr>
        <w:tabs>
          <w:tab w:val="num" w:pos="643"/>
        </w:tabs>
        <w:ind w:left="643" w:hanging="360"/>
      </w:pPr>
    </w:lvl>
  </w:abstractNum>
  <w:abstractNum w:abstractNumId="4">
    <w:nsid w:val="FFFFFF80"/>
    <w:multiLevelType w:val="singleLevel"/>
    <w:tmpl w:val="F29E24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76A4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5AE9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6815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CCFA5C"/>
    <w:lvl w:ilvl="0">
      <w:start w:val="1"/>
      <w:numFmt w:val="decimal"/>
      <w:lvlText w:val="%1."/>
      <w:lvlJc w:val="left"/>
      <w:pPr>
        <w:tabs>
          <w:tab w:val="num" w:pos="360"/>
        </w:tabs>
        <w:ind w:left="360" w:hanging="360"/>
      </w:pPr>
    </w:lvl>
  </w:abstractNum>
  <w:abstractNum w:abstractNumId="9">
    <w:nsid w:val="FFFFFF89"/>
    <w:multiLevelType w:val="singleLevel"/>
    <w:tmpl w:val="7062D08C"/>
    <w:lvl w:ilvl="0">
      <w:start w:val="1"/>
      <w:numFmt w:val="bullet"/>
      <w:lvlText w:val=""/>
      <w:lvlJc w:val="left"/>
      <w:pPr>
        <w:tabs>
          <w:tab w:val="num" w:pos="360"/>
        </w:tabs>
        <w:ind w:left="360" w:hanging="360"/>
      </w:pPr>
      <w:rPr>
        <w:rFonts w:ascii="Symbol" w:hAnsi="Symbol" w:hint="default"/>
      </w:rPr>
    </w:lvl>
  </w:abstractNum>
  <w:abstractNum w:abstractNumId="10">
    <w:nsid w:val="0681302F"/>
    <w:multiLevelType w:val="singleLevel"/>
    <w:tmpl w:val="4EDCB124"/>
    <w:lvl w:ilvl="0">
      <w:start w:val="1"/>
      <w:numFmt w:val="lowerLetter"/>
      <w:pStyle w:val="Level2"/>
      <w:lvlText w:val="%1)"/>
      <w:lvlJc w:val="left"/>
      <w:pPr>
        <w:tabs>
          <w:tab w:val="num" w:pos="720"/>
        </w:tabs>
        <w:ind w:left="720" w:hanging="360"/>
      </w:pPr>
      <w:rPr>
        <w:rFonts w:hint="default"/>
      </w:rPr>
    </w:lvl>
  </w:abstractNum>
  <w:abstractNum w:abstractNumId="11">
    <w:nsid w:val="1D7D75AF"/>
    <w:multiLevelType w:val="singleLevel"/>
    <w:tmpl w:val="903AA30A"/>
    <w:lvl w:ilvl="0">
      <w:start w:val="1"/>
      <w:numFmt w:val="decimal"/>
      <w:pStyle w:val="Level1"/>
      <w:lvlText w:val="%1)"/>
      <w:lvlJc w:val="left"/>
      <w:pPr>
        <w:tabs>
          <w:tab w:val="num" w:pos="360"/>
        </w:tabs>
        <w:ind w:left="360" w:hanging="360"/>
      </w:pPr>
      <w:rPr>
        <w:rFonts w:hint="default"/>
      </w:rPr>
    </w:lvl>
  </w:abstractNum>
  <w:abstractNum w:abstractNumId="12">
    <w:nsid w:val="2E401594"/>
    <w:multiLevelType w:val="hybridMultilevel"/>
    <w:tmpl w:val="19843BA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33404E55"/>
    <w:multiLevelType w:val="singleLevel"/>
    <w:tmpl w:val="1F8C99E2"/>
    <w:lvl w:ilvl="0">
      <w:start w:val="1"/>
      <w:numFmt w:val="bullet"/>
      <w:pStyle w:val="Level2indent"/>
      <w:lvlText w:val="-"/>
      <w:lvlJc w:val="left"/>
      <w:pPr>
        <w:tabs>
          <w:tab w:val="num" w:pos="1020"/>
        </w:tabs>
        <w:ind w:left="1020" w:hanging="360"/>
      </w:pPr>
      <w:rPr>
        <w:rFonts w:ascii="Times New Roman" w:hAnsi="Times New Roman" w:hint="default"/>
      </w:rPr>
    </w:lvl>
  </w:abstractNum>
  <w:abstractNum w:abstractNumId="14">
    <w:nsid w:val="5B5815C0"/>
    <w:multiLevelType w:val="multilevel"/>
    <w:tmpl w:val="451EDBF8"/>
    <w:styleLink w:val="Style1"/>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5C160C5"/>
    <w:multiLevelType w:val="hybridMultilevel"/>
    <w:tmpl w:val="17F6A6DC"/>
    <w:lvl w:ilvl="0" w:tplc="1C6CB418">
      <w:start w:val="1"/>
      <w:numFmt w:val="bullet"/>
      <w:pStyle w:val="Buletskostikou"/>
      <w:lvlText w:val=""/>
      <w:lvlJc w:val="left"/>
      <w:pPr>
        <w:tabs>
          <w:tab w:val="num" w:pos="851"/>
        </w:tabs>
        <w:ind w:left="851" w:hanging="491"/>
      </w:pPr>
      <w:rPr>
        <w:rFonts w:ascii="Wingdings" w:hAnsi="Wingdings" w:hint="default"/>
        <w:position w:val="-10"/>
        <w:sz w:val="3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A6333CD"/>
    <w:multiLevelType w:val="hybridMultilevel"/>
    <w:tmpl w:val="A64ADC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430" w:hanging="360"/>
      </w:pPr>
      <w:rPr>
        <w:rFonts w:ascii="Courier New" w:hAnsi="Courier New" w:cs="Times New Roman"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Times New Roman"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Times New Roman" w:hint="default"/>
      </w:rPr>
    </w:lvl>
    <w:lvl w:ilvl="8" w:tplc="04090005">
      <w:start w:val="1"/>
      <w:numFmt w:val="bullet"/>
      <w:lvlText w:val=""/>
      <w:lvlJc w:val="left"/>
      <w:pPr>
        <w:ind w:left="7470" w:hanging="360"/>
      </w:pPr>
      <w:rPr>
        <w:rFonts w:ascii="Wingdings" w:hAnsi="Wingdings" w:hint="default"/>
      </w:rPr>
    </w:lvl>
  </w:abstractNum>
  <w:abstractNum w:abstractNumId="17">
    <w:nsid w:val="7E7176E8"/>
    <w:multiLevelType w:val="singleLevel"/>
    <w:tmpl w:val="F65E1552"/>
    <w:lvl w:ilvl="0">
      <w:start w:val="1"/>
      <w:numFmt w:val="bullet"/>
      <w:pStyle w:val="Level2nopoint"/>
      <w:lvlText w:val="-"/>
      <w:lvlJc w:val="left"/>
      <w:pPr>
        <w:tabs>
          <w:tab w:val="num" w:pos="1020"/>
        </w:tabs>
        <w:ind w:left="1020" w:hanging="360"/>
      </w:pPr>
      <w:rPr>
        <w:rFonts w:ascii="Times New Roman" w:hAnsi="Times New Roman" w:hint="default"/>
      </w:rPr>
    </w:lvl>
  </w:abstractNum>
  <w:num w:numId="1">
    <w:abstractNumId w:val="11"/>
  </w:num>
  <w:num w:numId="2">
    <w:abstractNumId w:val="11"/>
  </w:num>
  <w:num w:numId="3">
    <w:abstractNumId w:val="10"/>
  </w:num>
  <w:num w:numId="4">
    <w:abstractNumId w:val="13"/>
  </w:num>
  <w:num w:numId="5">
    <w:abstractNumId w:val="17"/>
  </w:num>
  <w:num w:numId="6">
    <w:abstractNumId w:val="11"/>
  </w:num>
  <w:num w:numId="7">
    <w:abstractNumId w:val="10"/>
  </w:num>
  <w:num w:numId="8">
    <w:abstractNumId w:val="13"/>
  </w:num>
  <w:num w:numId="9">
    <w:abstractNumId w:val="11"/>
  </w:num>
  <w:num w:numId="10">
    <w:abstractNumId w:val="10"/>
  </w:num>
  <w:num w:numId="11">
    <w:abstractNumId w:val="13"/>
  </w:num>
  <w:num w:numId="12">
    <w:abstractNumId w:val="17"/>
  </w:num>
  <w:num w:numId="13">
    <w:abstractNumId w:val="14"/>
  </w:num>
  <w:num w:numId="14">
    <w:abstractNumId w:val="14"/>
  </w:num>
  <w:num w:numId="15">
    <w:abstractNumId w:val="15"/>
  </w:num>
  <w:num w:numId="16">
    <w:abstractNumId w:val="15"/>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lvlOverride w:ilvl="0"/>
    <w:lvlOverride w:ilvl="1"/>
    <w:lvlOverride w:ilvl="2"/>
    <w:lvlOverride w:ilvl="3"/>
    <w:lvlOverride w:ilvl="4"/>
    <w:lvlOverride w:ilvl="5"/>
    <w:lvlOverride w:ilvl="6"/>
    <w:lvlOverride w:ilvl="7"/>
    <w:lvlOverride w:ilvl="8"/>
  </w:num>
  <w:num w:numId="29">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D7"/>
    <w:rsid w:val="00004B07"/>
    <w:rsid w:val="0001405F"/>
    <w:rsid w:val="00014194"/>
    <w:rsid w:val="00014237"/>
    <w:rsid w:val="00015943"/>
    <w:rsid w:val="00017EFE"/>
    <w:rsid w:val="00024DCF"/>
    <w:rsid w:val="00026FA8"/>
    <w:rsid w:val="00031035"/>
    <w:rsid w:val="000353DC"/>
    <w:rsid w:val="00036497"/>
    <w:rsid w:val="000372BD"/>
    <w:rsid w:val="00040F64"/>
    <w:rsid w:val="00043775"/>
    <w:rsid w:val="000851F9"/>
    <w:rsid w:val="00086E64"/>
    <w:rsid w:val="00087D07"/>
    <w:rsid w:val="000A5CD7"/>
    <w:rsid w:val="000B5286"/>
    <w:rsid w:val="000B750D"/>
    <w:rsid w:val="000D3C38"/>
    <w:rsid w:val="000E4BA3"/>
    <w:rsid w:val="000E705F"/>
    <w:rsid w:val="000E75D7"/>
    <w:rsid w:val="000F0324"/>
    <w:rsid w:val="00106858"/>
    <w:rsid w:val="00111CE8"/>
    <w:rsid w:val="00132FE6"/>
    <w:rsid w:val="001410BE"/>
    <w:rsid w:val="00144827"/>
    <w:rsid w:val="00155988"/>
    <w:rsid w:val="00164204"/>
    <w:rsid w:val="0016722B"/>
    <w:rsid w:val="0018414D"/>
    <w:rsid w:val="00184F9E"/>
    <w:rsid w:val="001B23F1"/>
    <w:rsid w:val="001F729F"/>
    <w:rsid w:val="0020557D"/>
    <w:rsid w:val="00207F7B"/>
    <w:rsid w:val="00210D38"/>
    <w:rsid w:val="0024081E"/>
    <w:rsid w:val="00266A6D"/>
    <w:rsid w:val="00272E69"/>
    <w:rsid w:val="00272FBC"/>
    <w:rsid w:val="00291CD0"/>
    <w:rsid w:val="002928AB"/>
    <w:rsid w:val="002A4F89"/>
    <w:rsid w:val="002C08E2"/>
    <w:rsid w:val="002C2742"/>
    <w:rsid w:val="002C2AEF"/>
    <w:rsid w:val="002C536E"/>
    <w:rsid w:val="002F1816"/>
    <w:rsid w:val="002F4CB4"/>
    <w:rsid w:val="00300829"/>
    <w:rsid w:val="00302F85"/>
    <w:rsid w:val="00304104"/>
    <w:rsid w:val="0031123A"/>
    <w:rsid w:val="00322D0D"/>
    <w:rsid w:val="003349B1"/>
    <w:rsid w:val="00344E4C"/>
    <w:rsid w:val="0036461A"/>
    <w:rsid w:val="00373329"/>
    <w:rsid w:val="00376AE4"/>
    <w:rsid w:val="00390F19"/>
    <w:rsid w:val="003927E4"/>
    <w:rsid w:val="0039493B"/>
    <w:rsid w:val="003A00AB"/>
    <w:rsid w:val="003A210E"/>
    <w:rsid w:val="003A425D"/>
    <w:rsid w:val="003B4503"/>
    <w:rsid w:val="003D0B86"/>
    <w:rsid w:val="003D1F4F"/>
    <w:rsid w:val="003D324D"/>
    <w:rsid w:val="003E177D"/>
    <w:rsid w:val="003E2638"/>
    <w:rsid w:val="003E47B2"/>
    <w:rsid w:val="003E5DCA"/>
    <w:rsid w:val="004026C2"/>
    <w:rsid w:val="00405B9A"/>
    <w:rsid w:val="004219CF"/>
    <w:rsid w:val="0043729B"/>
    <w:rsid w:val="00445861"/>
    <w:rsid w:val="00452434"/>
    <w:rsid w:val="00467438"/>
    <w:rsid w:val="00477098"/>
    <w:rsid w:val="004775AF"/>
    <w:rsid w:val="00487395"/>
    <w:rsid w:val="00487DCF"/>
    <w:rsid w:val="0049600F"/>
    <w:rsid w:val="004A1CFD"/>
    <w:rsid w:val="004B19EF"/>
    <w:rsid w:val="004B7E7E"/>
    <w:rsid w:val="004C2B43"/>
    <w:rsid w:val="004C7222"/>
    <w:rsid w:val="004D08CD"/>
    <w:rsid w:val="004D2B95"/>
    <w:rsid w:val="004E0689"/>
    <w:rsid w:val="004E3256"/>
    <w:rsid w:val="004E6542"/>
    <w:rsid w:val="004F4CFC"/>
    <w:rsid w:val="00504A80"/>
    <w:rsid w:val="00524890"/>
    <w:rsid w:val="005274A5"/>
    <w:rsid w:val="00552C30"/>
    <w:rsid w:val="00555F86"/>
    <w:rsid w:val="0056313B"/>
    <w:rsid w:val="00571B77"/>
    <w:rsid w:val="00591652"/>
    <w:rsid w:val="005C06E2"/>
    <w:rsid w:val="005D6937"/>
    <w:rsid w:val="005E0277"/>
    <w:rsid w:val="005E0CA2"/>
    <w:rsid w:val="005E3A44"/>
    <w:rsid w:val="005E628E"/>
    <w:rsid w:val="00613D6D"/>
    <w:rsid w:val="006367EE"/>
    <w:rsid w:val="00642880"/>
    <w:rsid w:val="00647351"/>
    <w:rsid w:val="00650E91"/>
    <w:rsid w:val="00664F2D"/>
    <w:rsid w:val="00666B0F"/>
    <w:rsid w:val="00674C51"/>
    <w:rsid w:val="0068203B"/>
    <w:rsid w:val="00684D62"/>
    <w:rsid w:val="006B25D4"/>
    <w:rsid w:val="006C3F30"/>
    <w:rsid w:val="006D2468"/>
    <w:rsid w:val="006E1BBF"/>
    <w:rsid w:val="00712A41"/>
    <w:rsid w:val="00717E1C"/>
    <w:rsid w:val="007261F8"/>
    <w:rsid w:val="00737FFD"/>
    <w:rsid w:val="00742C24"/>
    <w:rsid w:val="00744BC9"/>
    <w:rsid w:val="00747B53"/>
    <w:rsid w:val="00755CE8"/>
    <w:rsid w:val="0076180B"/>
    <w:rsid w:val="007722E4"/>
    <w:rsid w:val="00777FEF"/>
    <w:rsid w:val="00787B16"/>
    <w:rsid w:val="007904AD"/>
    <w:rsid w:val="007A429C"/>
    <w:rsid w:val="007C325C"/>
    <w:rsid w:val="007C584F"/>
    <w:rsid w:val="007E294A"/>
    <w:rsid w:val="00805666"/>
    <w:rsid w:val="00815B27"/>
    <w:rsid w:val="008163FB"/>
    <w:rsid w:val="00820440"/>
    <w:rsid w:val="008330AA"/>
    <w:rsid w:val="00845E6D"/>
    <w:rsid w:val="00850BA1"/>
    <w:rsid w:val="008577DB"/>
    <w:rsid w:val="008662B4"/>
    <w:rsid w:val="008720F4"/>
    <w:rsid w:val="00884CD3"/>
    <w:rsid w:val="008A18FD"/>
    <w:rsid w:val="008B662A"/>
    <w:rsid w:val="008C4312"/>
    <w:rsid w:val="008E4D10"/>
    <w:rsid w:val="00901385"/>
    <w:rsid w:val="009125CF"/>
    <w:rsid w:val="00912768"/>
    <w:rsid w:val="00944030"/>
    <w:rsid w:val="00953168"/>
    <w:rsid w:val="0097160E"/>
    <w:rsid w:val="00976410"/>
    <w:rsid w:val="00976F2F"/>
    <w:rsid w:val="00986D2B"/>
    <w:rsid w:val="00987275"/>
    <w:rsid w:val="009917A4"/>
    <w:rsid w:val="009D324F"/>
    <w:rsid w:val="009D6BB0"/>
    <w:rsid w:val="009E500D"/>
    <w:rsid w:val="00A014D4"/>
    <w:rsid w:val="00A20C45"/>
    <w:rsid w:val="00A47431"/>
    <w:rsid w:val="00A72FEA"/>
    <w:rsid w:val="00A73C99"/>
    <w:rsid w:val="00A7609C"/>
    <w:rsid w:val="00A7759A"/>
    <w:rsid w:val="00A84DED"/>
    <w:rsid w:val="00A9042A"/>
    <w:rsid w:val="00A9225C"/>
    <w:rsid w:val="00AC27E8"/>
    <w:rsid w:val="00AE1FF2"/>
    <w:rsid w:val="00AF3314"/>
    <w:rsid w:val="00AF6F22"/>
    <w:rsid w:val="00B04B5E"/>
    <w:rsid w:val="00B0751B"/>
    <w:rsid w:val="00B11B37"/>
    <w:rsid w:val="00B23D31"/>
    <w:rsid w:val="00B2469D"/>
    <w:rsid w:val="00B26300"/>
    <w:rsid w:val="00B27095"/>
    <w:rsid w:val="00B30C65"/>
    <w:rsid w:val="00B417F2"/>
    <w:rsid w:val="00B41983"/>
    <w:rsid w:val="00B44780"/>
    <w:rsid w:val="00B62E35"/>
    <w:rsid w:val="00B671D7"/>
    <w:rsid w:val="00B73614"/>
    <w:rsid w:val="00B823D8"/>
    <w:rsid w:val="00B82B5C"/>
    <w:rsid w:val="00B9056E"/>
    <w:rsid w:val="00BA56FD"/>
    <w:rsid w:val="00BA5745"/>
    <w:rsid w:val="00BA6326"/>
    <w:rsid w:val="00BC4295"/>
    <w:rsid w:val="00BC654F"/>
    <w:rsid w:val="00BD7848"/>
    <w:rsid w:val="00BF27EA"/>
    <w:rsid w:val="00BF7A72"/>
    <w:rsid w:val="00C06298"/>
    <w:rsid w:val="00C115B6"/>
    <w:rsid w:val="00C11C00"/>
    <w:rsid w:val="00C24438"/>
    <w:rsid w:val="00C36704"/>
    <w:rsid w:val="00C4066A"/>
    <w:rsid w:val="00C415E6"/>
    <w:rsid w:val="00C45916"/>
    <w:rsid w:val="00C735AD"/>
    <w:rsid w:val="00C82908"/>
    <w:rsid w:val="00C95092"/>
    <w:rsid w:val="00CA2CA5"/>
    <w:rsid w:val="00CC0594"/>
    <w:rsid w:val="00CC3AC4"/>
    <w:rsid w:val="00CC6976"/>
    <w:rsid w:val="00CC74D3"/>
    <w:rsid w:val="00CD2850"/>
    <w:rsid w:val="00CD3CB2"/>
    <w:rsid w:val="00CF3302"/>
    <w:rsid w:val="00D054F2"/>
    <w:rsid w:val="00D100B7"/>
    <w:rsid w:val="00D14495"/>
    <w:rsid w:val="00D14CB8"/>
    <w:rsid w:val="00D222E4"/>
    <w:rsid w:val="00D22E5F"/>
    <w:rsid w:val="00D231E6"/>
    <w:rsid w:val="00D25B4D"/>
    <w:rsid w:val="00D30B92"/>
    <w:rsid w:val="00D31435"/>
    <w:rsid w:val="00D341FF"/>
    <w:rsid w:val="00D42036"/>
    <w:rsid w:val="00D45E24"/>
    <w:rsid w:val="00D51EF0"/>
    <w:rsid w:val="00D53982"/>
    <w:rsid w:val="00D60931"/>
    <w:rsid w:val="00D617E4"/>
    <w:rsid w:val="00D65170"/>
    <w:rsid w:val="00D65FF7"/>
    <w:rsid w:val="00D728E4"/>
    <w:rsid w:val="00D72C86"/>
    <w:rsid w:val="00D76D7D"/>
    <w:rsid w:val="00D84021"/>
    <w:rsid w:val="00DA16C9"/>
    <w:rsid w:val="00DB1A51"/>
    <w:rsid w:val="00DC76FC"/>
    <w:rsid w:val="00DC7FF0"/>
    <w:rsid w:val="00DE19AC"/>
    <w:rsid w:val="00DE392D"/>
    <w:rsid w:val="00DE7DD8"/>
    <w:rsid w:val="00E179D7"/>
    <w:rsid w:val="00E23C8E"/>
    <w:rsid w:val="00E42FEB"/>
    <w:rsid w:val="00E57464"/>
    <w:rsid w:val="00E676BC"/>
    <w:rsid w:val="00E717F5"/>
    <w:rsid w:val="00E820A2"/>
    <w:rsid w:val="00E835FC"/>
    <w:rsid w:val="00E91DDB"/>
    <w:rsid w:val="00EA4964"/>
    <w:rsid w:val="00EB06A2"/>
    <w:rsid w:val="00EB1FD9"/>
    <w:rsid w:val="00EB427A"/>
    <w:rsid w:val="00EC0A08"/>
    <w:rsid w:val="00ED3C21"/>
    <w:rsid w:val="00ED7850"/>
    <w:rsid w:val="00F10355"/>
    <w:rsid w:val="00F27172"/>
    <w:rsid w:val="00F322FF"/>
    <w:rsid w:val="00F32886"/>
    <w:rsid w:val="00F34708"/>
    <w:rsid w:val="00F402FF"/>
    <w:rsid w:val="00F66129"/>
    <w:rsid w:val="00F71BAB"/>
    <w:rsid w:val="00F75AC9"/>
    <w:rsid w:val="00F916B0"/>
    <w:rsid w:val="00F92978"/>
    <w:rsid w:val="00F9432B"/>
    <w:rsid w:val="00FA0E4C"/>
    <w:rsid w:val="00FB2AFE"/>
    <w:rsid w:val="00FD3B3E"/>
    <w:rsid w:val="00FE22CD"/>
    <w:rsid w:val="00FF6E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B23F1"/>
    <w:rPr>
      <w:rFonts w:ascii="Verdana" w:hAnsi="Verdana"/>
      <w:sz w:val="22"/>
    </w:rPr>
  </w:style>
  <w:style w:type="paragraph" w:styleId="Nadpis1">
    <w:name w:val="heading 1"/>
    <w:basedOn w:val="Normln"/>
    <w:next w:val="Normln"/>
    <w:qFormat/>
    <w:rsid w:val="00B04B5E"/>
    <w:pPr>
      <w:spacing w:before="240"/>
      <w:outlineLvl w:val="0"/>
    </w:pPr>
    <w:rPr>
      <w:b/>
      <w:u w:val="single"/>
    </w:rPr>
  </w:style>
  <w:style w:type="paragraph" w:styleId="Nadpis2">
    <w:name w:val="heading 2"/>
    <w:basedOn w:val="Normln"/>
    <w:next w:val="Normln"/>
    <w:qFormat/>
    <w:rsid w:val="001B23F1"/>
    <w:pPr>
      <w:keepNext/>
      <w:spacing w:before="240" w:after="60"/>
      <w:outlineLvl w:val="1"/>
    </w:pPr>
    <w:rPr>
      <w:rFonts w:cs="Arial"/>
      <w:b/>
      <w:bCs/>
      <w:i/>
      <w:iCs/>
      <w:sz w:val="24"/>
      <w:szCs w:val="28"/>
    </w:rPr>
  </w:style>
  <w:style w:type="paragraph" w:styleId="Nadpis3">
    <w:name w:val="heading 3"/>
    <w:basedOn w:val="Normln"/>
    <w:next w:val="Normln"/>
    <w:qFormat/>
    <w:rsid w:val="001B23F1"/>
    <w:pPr>
      <w:keepNext/>
      <w:spacing w:before="240" w:after="60"/>
      <w:outlineLvl w:val="2"/>
    </w:pPr>
    <w:rPr>
      <w:rFonts w:cs="Arial"/>
      <w:b/>
      <w:bCs/>
      <w:szCs w:val="26"/>
    </w:rPr>
  </w:style>
  <w:style w:type="paragraph" w:styleId="Nadpis4">
    <w:name w:val="heading 4"/>
    <w:basedOn w:val="Normln"/>
    <w:link w:val="Nadpis4Char"/>
    <w:uiPriority w:val="99"/>
    <w:qFormat/>
    <w:rsid w:val="000E75D7"/>
    <w:pPr>
      <w:keepNext/>
      <w:spacing w:before="240" w:after="60"/>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evel1">
    <w:name w:val="Level 1"/>
    <w:basedOn w:val="Normln"/>
    <w:autoRedefine/>
    <w:rsid w:val="00B04B5E"/>
    <w:pPr>
      <w:numPr>
        <w:numId w:val="9"/>
      </w:numPr>
      <w:spacing w:before="120" w:after="120"/>
    </w:pPr>
  </w:style>
  <w:style w:type="paragraph" w:customStyle="1" w:styleId="Level2">
    <w:name w:val="Level 2"/>
    <w:basedOn w:val="Normln"/>
    <w:next w:val="Normln"/>
    <w:autoRedefine/>
    <w:rsid w:val="00B04B5E"/>
    <w:pPr>
      <w:numPr>
        <w:numId w:val="10"/>
      </w:numPr>
      <w:spacing w:before="120" w:after="120"/>
    </w:pPr>
  </w:style>
  <w:style w:type="paragraph" w:customStyle="1" w:styleId="Level2indent">
    <w:name w:val="Level 2 indent"/>
    <w:basedOn w:val="Normln"/>
    <w:autoRedefine/>
    <w:rsid w:val="00B04B5E"/>
    <w:pPr>
      <w:numPr>
        <w:numId w:val="11"/>
      </w:numPr>
      <w:tabs>
        <w:tab w:val="left" w:pos="1276"/>
      </w:tabs>
      <w:spacing w:after="120"/>
    </w:pPr>
    <w:rPr>
      <w:snapToGrid w:val="0"/>
      <w:color w:val="000000"/>
      <w:lang w:val="en-AU" w:eastAsia="en-US"/>
    </w:rPr>
  </w:style>
  <w:style w:type="paragraph" w:customStyle="1" w:styleId="Level2nopoint">
    <w:name w:val="Level 2 no point"/>
    <w:basedOn w:val="Level2"/>
    <w:autoRedefine/>
    <w:rsid w:val="00B04B5E"/>
    <w:pPr>
      <w:numPr>
        <w:numId w:val="12"/>
      </w:numPr>
    </w:pPr>
    <w:rPr>
      <w:snapToGrid w:val="0"/>
    </w:rPr>
  </w:style>
  <w:style w:type="paragraph" w:customStyle="1" w:styleId="Level2text">
    <w:name w:val="Level 2 text"/>
    <w:basedOn w:val="Normln"/>
    <w:autoRedefine/>
    <w:rsid w:val="00B04B5E"/>
    <w:pPr>
      <w:tabs>
        <w:tab w:val="left" w:pos="851"/>
      </w:tabs>
      <w:spacing w:after="120"/>
      <w:ind w:left="851"/>
    </w:pPr>
  </w:style>
  <w:style w:type="paragraph" w:customStyle="1" w:styleId="Divider">
    <w:name w:val="Divider"/>
    <w:basedOn w:val="Normln"/>
    <w:rsid w:val="001B23F1"/>
    <w:pPr>
      <w:keepNext/>
      <w:keepLines/>
      <w:pBdr>
        <w:top w:val="dashed" w:sz="4" w:space="1" w:color="auto"/>
      </w:pBdr>
      <w:tabs>
        <w:tab w:val="left" w:pos="1984"/>
        <w:tab w:val="left" w:pos="3118"/>
        <w:tab w:val="left" w:pos="4252"/>
      </w:tabs>
    </w:pPr>
    <w:rPr>
      <w:color w:val="000000"/>
      <w:sz w:val="16"/>
    </w:rPr>
  </w:style>
  <w:style w:type="numbering" w:customStyle="1" w:styleId="Style1">
    <w:name w:val="Style1"/>
    <w:rsid w:val="00A84DED"/>
    <w:pPr>
      <w:numPr>
        <w:numId w:val="13"/>
      </w:numPr>
    </w:pPr>
  </w:style>
  <w:style w:type="paragraph" w:customStyle="1" w:styleId="Buletskostikou">
    <w:name w:val="Bulet s kostičkou"/>
    <w:basedOn w:val="Normln"/>
    <w:autoRedefine/>
    <w:rsid w:val="00B9056E"/>
    <w:pPr>
      <w:numPr>
        <w:numId w:val="17"/>
      </w:numPr>
      <w:tabs>
        <w:tab w:val="left" w:pos="1134"/>
        <w:tab w:val="left" w:pos="1440"/>
        <w:tab w:val="left" w:pos="1920"/>
        <w:tab w:val="left" w:pos="2400"/>
        <w:tab w:val="left" w:pos="2880"/>
        <w:tab w:val="left" w:pos="3360"/>
        <w:tab w:val="left" w:pos="3840"/>
        <w:tab w:val="left" w:pos="4320"/>
      </w:tabs>
      <w:spacing w:before="120" w:line="360" w:lineRule="auto"/>
    </w:pPr>
  </w:style>
  <w:style w:type="paragraph" w:styleId="Textbubliny">
    <w:name w:val="Balloon Text"/>
    <w:basedOn w:val="Normln"/>
    <w:rsid w:val="00DB1A51"/>
    <w:rPr>
      <w:rFonts w:ascii="Tahoma" w:hAnsi="Tahoma" w:cs="Tahoma"/>
      <w:sz w:val="16"/>
      <w:szCs w:val="16"/>
    </w:rPr>
  </w:style>
  <w:style w:type="paragraph" w:styleId="Titulek">
    <w:name w:val="caption"/>
    <w:basedOn w:val="Normln"/>
    <w:next w:val="Normln"/>
    <w:qFormat/>
    <w:rsid w:val="00DB1A51"/>
    <w:rPr>
      <w:b/>
      <w:bCs/>
      <w:sz w:val="20"/>
    </w:rPr>
  </w:style>
  <w:style w:type="character" w:styleId="Odkaznakoment">
    <w:name w:val="annotation reference"/>
    <w:basedOn w:val="Standardnpsmoodstavce"/>
    <w:rsid w:val="00DB1A51"/>
    <w:rPr>
      <w:sz w:val="16"/>
      <w:szCs w:val="16"/>
    </w:rPr>
  </w:style>
  <w:style w:type="paragraph" w:styleId="Textkomente">
    <w:name w:val="annotation text"/>
    <w:basedOn w:val="Normln"/>
    <w:rsid w:val="00DB1A51"/>
    <w:rPr>
      <w:sz w:val="20"/>
    </w:rPr>
  </w:style>
  <w:style w:type="paragraph" w:styleId="Pedmtkomente">
    <w:name w:val="annotation subject"/>
    <w:basedOn w:val="Textkomente"/>
    <w:next w:val="Textkomente"/>
    <w:rsid w:val="00DB1A51"/>
    <w:rPr>
      <w:b/>
      <w:bCs/>
    </w:rPr>
  </w:style>
  <w:style w:type="paragraph" w:styleId="Rozloendokumentu">
    <w:name w:val="Document Map"/>
    <w:basedOn w:val="Normln"/>
    <w:rsid w:val="00DB1A51"/>
    <w:pPr>
      <w:shd w:val="clear" w:color="auto" w:fill="000080"/>
    </w:pPr>
    <w:rPr>
      <w:rFonts w:ascii="Tahoma" w:hAnsi="Tahoma" w:cs="Tahoma"/>
      <w:sz w:val="20"/>
    </w:rPr>
  </w:style>
  <w:style w:type="character" w:styleId="Odkaznavysvtlivky">
    <w:name w:val="endnote reference"/>
    <w:basedOn w:val="Standardnpsmoodstavce"/>
    <w:rsid w:val="00DB1A51"/>
    <w:rPr>
      <w:vertAlign w:val="superscript"/>
    </w:rPr>
  </w:style>
  <w:style w:type="paragraph" w:styleId="Textvysvtlivek">
    <w:name w:val="endnote text"/>
    <w:basedOn w:val="Normln"/>
    <w:rsid w:val="00DB1A51"/>
    <w:rPr>
      <w:sz w:val="20"/>
    </w:rPr>
  </w:style>
  <w:style w:type="character" w:styleId="Znakapoznpodarou">
    <w:name w:val="footnote reference"/>
    <w:basedOn w:val="Standardnpsmoodstavce"/>
    <w:rsid w:val="00DB1A51"/>
    <w:rPr>
      <w:vertAlign w:val="superscript"/>
    </w:rPr>
  </w:style>
  <w:style w:type="paragraph" w:styleId="Textpoznpodarou">
    <w:name w:val="footnote text"/>
    <w:basedOn w:val="Normln"/>
    <w:rsid w:val="00DB1A51"/>
    <w:rPr>
      <w:sz w:val="20"/>
    </w:rPr>
  </w:style>
  <w:style w:type="paragraph" w:styleId="Rejstk1">
    <w:name w:val="index 1"/>
    <w:basedOn w:val="Normln"/>
    <w:next w:val="Normln"/>
    <w:autoRedefine/>
    <w:rsid w:val="00DB1A51"/>
    <w:pPr>
      <w:ind w:left="220" w:hanging="220"/>
    </w:pPr>
  </w:style>
  <w:style w:type="paragraph" w:styleId="Rejstk2">
    <w:name w:val="index 2"/>
    <w:basedOn w:val="Normln"/>
    <w:next w:val="Normln"/>
    <w:autoRedefine/>
    <w:rsid w:val="00DB1A51"/>
    <w:pPr>
      <w:ind w:left="440" w:hanging="220"/>
    </w:pPr>
  </w:style>
  <w:style w:type="paragraph" w:styleId="Rejstk3">
    <w:name w:val="index 3"/>
    <w:basedOn w:val="Normln"/>
    <w:next w:val="Normln"/>
    <w:autoRedefine/>
    <w:rsid w:val="00DB1A51"/>
    <w:pPr>
      <w:ind w:left="660" w:hanging="220"/>
    </w:pPr>
  </w:style>
  <w:style w:type="paragraph" w:styleId="Rejstk4">
    <w:name w:val="index 4"/>
    <w:basedOn w:val="Normln"/>
    <w:next w:val="Normln"/>
    <w:autoRedefine/>
    <w:rsid w:val="00DB1A51"/>
    <w:pPr>
      <w:ind w:left="880" w:hanging="220"/>
    </w:pPr>
  </w:style>
  <w:style w:type="paragraph" w:styleId="Rejstk5">
    <w:name w:val="index 5"/>
    <w:basedOn w:val="Normln"/>
    <w:next w:val="Normln"/>
    <w:autoRedefine/>
    <w:rsid w:val="00DB1A51"/>
    <w:pPr>
      <w:ind w:left="1100" w:hanging="220"/>
    </w:pPr>
  </w:style>
  <w:style w:type="paragraph" w:styleId="Rejstk6">
    <w:name w:val="index 6"/>
    <w:basedOn w:val="Normln"/>
    <w:next w:val="Normln"/>
    <w:autoRedefine/>
    <w:rsid w:val="00DB1A51"/>
    <w:pPr>
      <w:ind w:left="1320" w:hanging="220"/>
    </w:pPr>
  </w:style>
  <w:style w:type="paragraph" w:styleId="Rejstk7">
    <w:name w:val="index 7"/>
    <w:basedOn w:val="Normln"/>
    <w:next w:val="Normln"/>
    <w:autoRedefine/>
    <w:rsid w:val="00DB1A51"/>
    <w:pPr>
      <w:ind w:left="1540" w:hanging="220"/>
    </w:pPr>
  </w:style>
  <w:style w:type="paragraph" w:styleId="Rejstk8">
    <w:name w:val="index 8"/>
    <w:basedOn w:val="Normln"/>
    <w:next w:val="Normln"/>
    <w:autoRedefine/>
    <w:rsid w:val="00DB1A51"/>
    <w:pPr>
      <w:ind w:left="1760" w:hanging="220"/>
    </w:pPr>
  </w:style>
  <w:style w:type="paragraph" w:styleId="Rejstk9">
    <w:name w:val="index 9"/>
    <w:basedOn w:val="Normln"/>
    <w:next w:val="Normln"/>
    <w:autoRedefine/>
    <w:rsid w:val="00DB1A51"/>
    <w:pPr>
      <w:ind w:left="1980" w:hanging="220"/>
    </w:pPr>
  </w:style>
  <w:style w:type="paragraph" w:styleId="Hlavikarejstku">
    <w:name w:val="index heading"/>
    <w:basedOn w:val="Normln"/>
    <w:next w:val="Rejstk1"/>
    <w:rsid w:val="00DB1A51"/>
    <w:rPr>
      <w:rFonts w:ascii="Arial" w:hAnsi="Arial" w:cs="Arial"/>
      <w:b/>
      <w:bCs/>
    </w:rPr>
  </w:style>
  <w:style w:type="paragraph" w:styleId="Textmakra">
    <w:name w:val="macro"/>
    <w:rsid w:val="00DB1A5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Seznamcitac">
    <w:name w:val="table of authorities"/>
    <w:basedOn w:val="Normln"/>
    <w:next w:val="Normln"/>
    <w:rsid w:val="00DB1A51"/>
    <w:pPr>
      <w:ind w:left="220" w:hanging="220"/>
    </w:pPr>
  </w:style>
  <w:style w:type="paragraph" w:styleId="Seznamobrzk">
    <w:name w:val="table of figures"/>
    <w:basedOn w:val="Normln"/>
    <w:next w:val="Normln"/>
    <w:rsid w:val="00DB1A51"/>
  </w:style>
  <w:style w:type="paragraph" w:styleId="Hlavikaobsahu">
    <w:name w:val="toa heading"/>
    <w:basedOn w:val="Normln"/>
    <w:next w:val="Normln"/>
    <w:rsid w:val="00DB1A51"/>
    <w:pPr>
      <w:spacing w:before="120"/>
    </w:pPr>
    <w:rPr>
      <w:rFonts w:ascii="Arial" w:hAnsi="Arial" w:cs="Arial"/>
      <w:b/>
      <w:bCs/>
      <w:sz w:val="24"/>
      <w:szCs w:val="24"/>
    </w:rPr>
  </w:style>
  <w:style w:type="paragraph" w:styleId="Obsah1">
    <w:name w:val="toc 1"/>
    <w:basedOn w:val="Normln"/>
    <w:next w:val="Normln"/>
    <w:autoRedefine/>
    <w:rsid w:val="00DB1A51"/>
  </w:style>
  <w:style w:type="paragraph" w:styleId="Obsah2">
    <w:name w:val="toc 2"/>
    <w:basedOn w:val="Normln"/>
    <w:next w:val="Normln"/>
    <w:autoRedefine/>
    <w:rsid w:val="00DB1A51"/>
    <w:pPr>
      <w:ind w:left="220"/>
    </w:pPr>
  </w:style>
  <w:style w:type="paragraph" w:styleId="Obsah3">
    <w:name w:val="toc 3"/>
    <w:basedOn w:val="Normln"/>
    <w:next w:val="Normln"/>
    <w:autoRedefine/>
    <w:rsid w:val="00DB1A51"/>
    <w:pPr>
      <w:ind w:left="440"/>
    </w:pPr>
  </w:style>
  <w:style w:type="paragraph" w:styleId="Obsah4">
    <w:name w:val="toc 4"/>
    <w:basedOn w:val="Normln"/>
    <w:next w:val="Normln"/>
    <w:autoRedefine/>
    <w:rsid w:val="00DB1A51"/>
    <w:pPr>
      <w:ind w:left="660"/>
    </w:pPr>
  </w:style>
  <w:style w:type="paragraph" w:styleId="Obsah5">
    <w:name w:val="toc 5"/>
    <w:basedOn w:val="Normln"/>
    <w:next w:val="Normln"/>
    <w:autoRedefine/>
    <w:rsid w:val="00DB1A51"/>
    <w:pPr>
      <w:ind w:left="880"/>
    </w:pPr>
  </w:style>
  <w:style w:type="paragraph" w:styleId="Obsah6">
    <w:name w:val="toc 6"/>
    <w:basedOn w:val="Normln"/>
    <w:next w:val="Normln"/>
    <w:autoRedefine/>
    <w:rsid w:val="00DB1A51"/>
    <w:pPr>
      <w:ind w:left="1100"/>
    </w:pPr>
  </w:style>
  <w:style w:type="paragraph" w:styleId="Obsah7">
    <w:name w:val="toc 7"/>
    <w:basedOn w:val="Normln"/>
    <w:next w:val="Normln"/>
    <w:autoRedefine/>
    <w:rsid w:val="00DB1A51"/>
    <w:pPr>
      <w:ind w:left="1320"/>
    </w:pPr>
  </w:style>
  <w:style w:type="paragraph" w:styleId="Obsah8">
    <w:name w:val="toc 8"/>
    <w:basedOn w:val="Normln"/>
    <w:next w:val="Normln"/>
    <w:autoRedefine/>
    <w:rsid w:val="00DB1A51"/>
    <w:pPr>
      <w:ind w:left="1540"/>
    </w:pPr>
  </w:style>
  <w:style w:type="paragraph" w:styleId="Obsah9">
    <w:name w:val="toc 9"/>
    <w:basedOn w:val="Normln"/>
    <w:next w:val="Normln"/>
    <w:autoRedefine/>
    <w:rsid w:val="00DB1A51"/>
    <w:pPr>
      <w:ind w:left="1760"/>
    </w:pPr>
  </w:style>
  <w:style w:type="character" w:customStyle="1" w:styleId="Nadpis4Char">
    <w:name w:val="Nadpis 4 Char"/>
    <w:basedOn w:val="Standardnpsmoodstavce"/>
    <w:link w:val="Nadpis4"/>
    <w:uiPriority w:val="99"/>
    <w:rsid w:val="000E75D7"/>
    <w:rPr>
      <w:b/>
      <w:bCs/>
      <w:sz w:val="28"/>
      <w:szCs w:val="28"/>
    </w:rPr>
  </w:style>
  <w:style w:type="character" w:styleId="Hypertextovodkaz">
    <w:name w:val="Hyperlink"/>
    <w:basedOn w:val="Standardnpsmoodstavce"/>
    <w:uiPriority w:val="99"/>
    <w:unhideWhenUsed/>
    <w:rsid w:val="000E75D7"/>
    <w:rPr>
      <w:color w:val="0563C1"/>
      <w:u w:val="single"/>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basedOn w:val="Standardnpsmoodstavce"/>
    <w:link w:val="ListParagraph"/>
    <w:uiPriority w:val="34"/>
    <w:rsid w:val="000E75D7"/>
  </w:style>
  <w:style w:type="paragraph" w:customStyle="1" w:styleId="ListParagraph">
    <w:name w:val="List Paragraph"/>
    <w:aliases w:val="Bullet List,FooterText,numbered,List Paragraph1,Paragraphe de liste1,Bulletr List Paragraph,列出段落,列出段落1,List Paragraph2,List Paragraph21,Listeafsnit1,Parágrafo da Lista1,Párrafo de lista1,リスト段落1,Bullet list,List Paragraph11,פיסקת רשימה"/>
    <w:basedOn w:val="Normln"/>
    <w:link w:val="ListParagraphChar"/>
    <w:uiPriority w:val="34"/>
    <w:rsid w:val="000E75D7"/>
    <w:pPr>
      <w:ind w:left="720"/>
      <w:contextualSpacing/>
    </w:pPr>
    <w:rPr>
      <w:rFonts w:ascii="Times New Roman" w:hAnsi="Times New Roman"/>
      <w:sz w:val="20"/>
    </w:rPr>
  </w:style>
  <w:style w:type="paragraph" w:customStyle="1" w:styleId="Body">
    <w:name w:val="Body"/>
    <w:basedOn w:val="Normln"/>
    <w:rsid w:val="000E75D7"/>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B23F1"/>
    <w:rPr>
      <w:rFonts w:ascii="Verdana" w:hAnsi="Verdana"/>
      <w:sz w:val="22"/>
    </w:rPr>
  </w:style>
  <w:style w:type="paragraph" w:styleId="Nadpis1">
    <w:name w:val="heading 1"/>
    <w:basedOn w:val="Normln"/>
    <w:next w:val="Normln"/>
    <w:qFormat/>
    <w:rsid w:val="00B04B5E"/>
    <w:pPr>
      <w:spacing w:before="240"/>
      <w:outlineLvl w:val="0"/>
    </w:pPr>
    <w:rPr>
      <w:b/>
      <w:u w:val="single"/>
    </w:rPr>
  </w:style>
  <w:style w:type="paragraph" w:styleId="Nadpis2">
    <w:name w:val="heading 2"/>
    <w:basedOn w:val="Normln"/>
    <w:next w:val="Normln"/>
    <w:qFormat/>
    <w:rsid w:val="001B23F1"/>
    <w:pPr>
      <w:keepNext/>
      <w:spacing w:before="240" w:after="60"/>
      <w:outlineLvl w:val="1"/>
    </w:pPr>
    <w:rPr>
      <w:rFonts w:cs="Arial"/>
      <w:b/>
      <w:bCs/>
      <w:i/>
      <w:iCs/>
      <w:sz w:val="24"/>
      <w:szCs w:val="28"/>
    </w:rPr>
  </w:style>
  <w:style w:type="paragraph" w:styleId="Nadpis3">
    <w:name w:val="heading 3"/>
    <w:basedOn w:val="Normln"/>
    <w:next w:val="Normln"/>
    <w:qFormat/>
    <w:rsid w:val="001B23F1"/>
    <w:pPr>
      <w:keepNext/>
      <w:spacing w:before="240" w:after="60"/>
      <w:outlineLvl w:val="2"/>
    </w:pPr>
    <w:rPr>
      <w:rFonts w:cs="Arial"/>
      <w:b/>
      <w:bCs/>
      <w:szCs w:val="26"/>
    </w:rPr>
  </w:style>
  <w:style w:type="paragraph" w:styleId="Nadpis4">
    <w:name w:val="heading 4"/>
    <w:basedOn w:val="Normln"/>
    <w:link w:val="Nadpis4Char"/>
    <w:uiPriority w:val="99"/>
    <w:qFormat/>
    <w:rsid w:val="000E75D7"/>
    <w:pPr>
      <w:keepNext/>
      <w:spacing w:before="240" w:after="60"/>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evel1">
    <w:name w:val="Level 1"/>
    <w:basedOn w:val="Normln"/>
    <w:autoRedefine/>
    <w:rsid w:val="00B04B5E"/>
    <w:pPr>
      <w:numPr>
        <w:numId w:val="9"/>
      </w:numPr>
      <w:spacing w:before="120" w:after="120"/>
    </w:pPr>
  </w:style>
  <w:style w:type="paragraph" w:customStyle="1" w:styleId="Level2">
    <w:name w:val="Level 2"/>
    <w:basedOn w:val="Normln"/>
    <w:next w:val="Normln"/>
    <w:autoRedefine/>
    <w:rsid w:val="00B04B5E"/>
    <w:pPr>
      <w:numPr>
        <w:numId w:val="10"/>
      </w:numPr>
      <w:spacing w:before="120" w:after="120"/>
    </w:pPr>
  </w:style>
  <w:style w:type="paragraph" w:customStyle="1" w:styleId="Level2indent">
    <w:name w:val="Level 2 indent"/>
    <w:basedOn w:val="Normln"/>
    <w:autoRedefine/>
    <w:rsid w:val="00B04B5E"/>
    <w:pPr>
      <w:numPr>
        <w:numId w:val="11"/>
      </w:numPr>
      <w:tabs>
        <w:tab w:val="left" w:pos="1276"/>
      </w:tabs>
      <w:spacing w:after="120"/>
    </w:pPr>
    <w:rPr>
      <w:snapToGrid w:val="0"/>
      <w:color w:val="000000"/>
      <w:lang w:val="en-AU" w:eastAsia="en-US"/>
    </w:rPr>
  </w:style>
  <w:style w:type="paragraph" w:customStyle="1" w:styleId="Level2nopoint">
    <w:name w:val="Level 2 no point"/>
    <w:basedOn w:val="Level2"/>
    <w:autoRedefine/>
    <w:rsid w:val="00B04B5E"/>
    <w:pPr>
      <w:numPr>
        <w:numId w:val="12"/>
      </w:numPr>
    </w:pPr>
    <w:rPr>
      <w:snapToGrid w:val="0"/>
    </w:rPr>
  </w:style>
  <w:style w:type="paragraph" w:customStyle="1" w:styleId="Level2text">
    <w:name w:val="Level 2 text"/>
    <w:basedOn w:val="Normln"/>
    <w:autoRedefine/>
    <w:rsid w:val="00B04B5E"/>
    <w:pPr>
      <w:tabs>
        <w:tab w:val="left" w:pos="851"/>
      </w:tabs>
      <w:spacing w:after="120"/>
      <w:ind w:left="851"/>
    </w:pPr>
  </w:style>
  <w:style w:type="paragraph" w:customStyle="1" w:styleId="Divider">
    <w:name w:val="Divider"/>
    <w:basedOn w:val="Normln"/>
    <w:rsid w:val="001B23F1"/>
    <w:pPr>
      <w:keepNext/>
      <w:keepLines/>
      <w:pBdr>
        <w:top w:val="dashed" w:sz="4" w:space="1" w:color="auto"/>
      </w:pBdr>
      <w:tabs>
        <w:tab w:val="left" w:pos="1984"/>
        <w:tab w:val="left" w:pos="3118"/>
        <w:tab w:val="left" w:pos="4252"/>
      </w:tabs>
    </w:pPr>
    <w:rPr>
      <w:color w:val="000000"/>
      <w:sz w:val="16"/>
    </w:rPr>
  </w:style>
  <w:style w:type="numbering" w:customStyle="1" w:styleId="Style1">
    <w:name w:val="Style1"/>
    <w:rsid w:val="00A84DED"/>
    <w:pPr>
      <w:numPr>
        <w:numId w:val="13"/>
      </w:numPr>
    </w:pPr>
  </w:style>
  <w:style w:type="paragraph" w:customStyle="1" w:styleId="Buletskostikou">
    <w:name w:val="Bulet s kostičkou"/>
    <w:basedOn w:val="Normln"/>
    <w:autoRedefine/>
    <w:rsid w:val="00B9056E"/>
    <w:pPr>
      <w:numPr>
        <w:numId w:val="17"/>
      </w:numPr>
      <w:tabs>
        <w:tab w:val="left" w:pos="1134"/>
        <w:tab w:val="left" w:pos="1440"/>
        <w:tab w:val="left" w:pos="1920"/>
        <w:tab w:val="left" w:pos="2400"/>
        <w:tab w:val="left" w:pos="2880"/>
        <w:tab w:val="left" w:pos="3360"/>
        <w:tab w:val="left" w:pos="3840"/>
        <w:tab w:val="left" w:pos="4320"/>
      </w:tabs>
      <w:spacing w:before="120" w:line="360" w:lineRule="auto"/>
    </w:pPr>
  </w:style>
  <w:style w:type="paragraph" w:styleId="Textbubliny">
    <w:name w:val="Balloon Text"/>
    <w:basedOn w:val="Normln"/>
    <w:rsid w:val="00DB1A51"/>
    <w:rPr>
      <w:rFonts w:ascii="Tahoma" w:hAnsi="Tahoma" w:cs="Tahoma"/>
      <w:sz w:val="16"/>
      <w:szCs w:val="16"/>
    </w:rPr>
  </w:style>
  <w:style w:type="paragraph" w:styleId="Titulek">
    <w:name w:val="caption"/>
    <w:basedOn w:val="Normln"/>
    <w:next w:val="Normln"/>
    <w:qFormat/>
    <w:rsid w:val="00DB1A51"/>
    <w:rPr>
      <w:b/>
      <w:bCs/>
      <w:sz w:val="20"/>
    </w:rPr>
  </w:style>
  <w:style w:type="character" w:styleId="Odkaznakoment">
    <w:name w:val="annotation reference"/>
    <w:basedOn w:val="Standardnpsmoodstavce"/>
    <w:rsid w:val="00DB1A51"/>
    <w:rPr>
      <w:sz w:val="16"/>
      <w:szCs w:val="16"/>
    </w:rPr>
  </w:style>
  <w:style w:type="paragraph" w:styleId="Textkomente">
    <w:name w:val="annotation text"/>
    <w:basedOn w:val="Normln"/>
    <w:rsid w:val="00DB1A51"/>
    <w:rPr>
      <w:sz w:val="20"/>
    </w:rPr>
  </w:style>
  <w:style w:type="paragraph" w:styleId="Pedmtkomente">
    <w:name w:val="annotation subject"/>
    <w:basedOn w:val="Textkomente"/>
    <w:next w:val="Textkomente"/>
    <w:rsid w:val="00DB1A51"/>
    <w:rPr>
      <w:b/>
      <w:bCs/>
    </w:rPr>
  </w:style>
  <w:style w:type="paragraph" w:styleId="Rozloendokumentu">
    <w:name w:val="Document Map"/>
    <w:basedOn w:val="Normln"/>
    <w:rsid w:val="00DB1A51"/>
    <w:pPr>
      <w:shd w:val="clear" w:color="auto" w:fill="000080"/>
    </w:pPr>
    <w:rPr>
      <w:rFonts w:ascii="Tahoma" w:hAnsi="Tahoma" w:cs="Tahoma"/>
      <w:sz w:val="20"/>
    </w:rPr>
  </w:style>
  <w:style w:type="character" w:styleId="Odkaznavysvtlivky">
    <w:name w:val="endnote reference"/>
    <w:basedOn w:val="Standardnpsmoodstavce"/>
    <w:rsid w:val="00DB1A51"/>
    <w:rPr>
      <w:vertAlign w:val="superscript"/>
    </w:rPr>
  </w:style>
  <w:style w:type="paragraph" w:styleId="Textvysvtlivek">
    <w:name w:val="endnote text"/>
    <w:basedOn w:val="Normln"/>
    <w:rsid w:val="00DB1A51"/>
    <w:rPr>
      <w:sz w:val="20"/>
    </w:rPr>
  </w:style>
  <w:style w:type="character" w:styleId="Znakapoznpodarou">
    <w:name w:val="footnote reference"/>
    <w:basedOn w:val="Standardnpsmoodstavce"/>
    <w:rsid w:val="00DB1A51"/>
    <w:rPr>
      <w:vertAlign w:val="superscript"/>
    </w:rPr>
  </w:style>
  <w:style w:type="paragraph" w:styleId="Textpoznpodarou">
    <w:name w:val="footnote text"/>
    <w:basedOn w:val="Normln"/>
    <w:rsid w:val="00DB1A51"/>
    <w:rPr>
      <w:sz w:val="20"/>
    </w:rPr>
  </w:style>
  <w:style w:type="paragraph" w:styleId="Rejstk1">
    <w:name w:val="index 1"/>
    <w:basedOn w:val="Normln"/>
    <w:next w:val="Normln"/>
    <w:autoRedefine/>
    <w:rsid w:val="00DB1A51"/>
    <w:pPr>
      <w:ind w:left="220" w:hanging="220"/>
    </w:pPr>
  </w:style>
  <w:style w:type="paragraph" w:styleId="Rejstk2">
    <w:name w:val="index 2"/>
    <w:basedOn w:val="Normln"/>
    <w:next w:val="Normln"/>
    <w:autoRedefine/>
    <w:rsid w:val="00DB1A51"/>
    <w:pPr>
      <w:ind w:left="440" w:hanging="220"/>
    </w:pPr>
  </w:style>
  <w:style w:type="paragraph" w:styleId="Rejstk3">
    <w:name w:val="index 3"/>
    <w:basedOn w:val="Normln"/>
    <w:next w:val="Normln"/>
    <w:autoRedefine/>
    <w:rsid w:val="00DB1A51"/>
    <w:pPr>
      <w:ind w:left="660" w:hanging="220"/>
    </w:pPr>
  </w:style>
  <w:style w:type="paragraph" w:styleId="Rejstk4">
    <w:name w:val="index 4"/>
    <w:basedOn w:val="Normln"/>
    <w:next w:val="Normln"/>
    <w:autoRedefine/>
    <w:rsid w:val="00DB1A51"/>
    <w:pPr>
      <w:ind w:left="880" w:hanging="220"/>
    </w:pPr>
  </w:style>
  <w:style w:type="paragraph" w:styleId="Rejstk5">
    <w:name w:val="index 5"/>
    <w:basedOn w:val="Normln"/>
    <w:next w:val="Normln"/>
    <w:autoRedefine/>
    <w:rsid w:val="00DB1A51"/>
    <w:pPr>
      <w:ind w:left="1100" w:hanging="220"/>
    </w:pPr>
  </w:style>
  <w:style w:type="paragraph" w:styleId="Rejstk6">
    <w:name w:val="index 6"/>
    <w:basedOn w:val="Normln"/>
    <w:next w:val="Normln"/>
    <w:autoRedefine/>
    <w:rsid w:val="00DB1A51"/>
    <w:pPr>
      <w:ind w:left="1320" w:hanging="220"/>
    </w:pPr>
  </w:style>
  <w:style w:type="paragraph" w:styleId="Rejstk7">
    <w:name w:val="index 7"/>
    <w:basedOn w:val="Normln"/>
    <w:next w:val="Normln"/>
    <w:autoRedefine/>
    <w:rsid w:val="00DB1A51"/>
    <w:pPr>
      <w:ind w:left="1540" w:hanging="220"/>
    </w:pPr>
  </w:style>
  <w:style w:type="paragraph" w:styleId="Rejstk8">
    <w:name w:val="index 8"/>
    <w:basedOn w:val="Normln"/>
    <w:next w:val="Normln"/>
    <w:autoRedefine/>
    <w:rsid w:val="00DB1A51"/>
    <w:pPr>
      <w:ind w:left="1760" w:hanging="220"/>
    </w:pPr>
  </w:style>
  <w:style w:type="paragraph" w:styleId="Rejstk9">
    <w:name w:val="index 9"/>
    <w:basedOn w:val="Normln"/>
    <w:next w:val="Normln"/>
    <w:autoRedefine/>
    <w:rsid w:val="00DB1A51"/>
    <w:pPr>
      <w:ind w:left="1980" w:hanging="220"/>
    </w:pPr>
  </w:style>
  <w:style w:type="paragraph" w:styleId="Hlavikarejstku">
    <w:name w:val="index heading"/>
    <w:basedOn w:val="Normln"/>
    <w:next w:val="Rejstk1"/>
    <w:rsid w:val="00DB1A51"/>
    <w:rPr>
      <w:rFonts w:ascii="Arial" w:hAnsi="Arial" w:cs="Arial"/>
      <w:b/>
      <w:bCs/>
    </w:rPr>
  </w:style>
  <w:style w:type="paragraph" w:styleId="Textmakra">
    <w:name w:val="macro"/>
    <w:rsid w:val="00DB1A5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Seznamcitac">
    <w:name w:val="table of authorities"/>
    <w:basedOn w:val="Normln"/>
    <w:next w:val="Normln"/>
    <w:rsid w:val="00DB1A51"/>
    <w:pPr>
      <w:ind w:left="220" w:hanging="220"/>
    </w:pPr>
  </w:style>
  <w:style w:type="paragraph" w:styleId="Seznamobrzk">
    <w:name w:val="table of figures"/>
    <w:basedOn w:val="Normln"/>
    <w:next w:val="Normln"/>
    <w:rsid w:val="00DB1A51"/>
  </w:style>
  <w:style w:type="paragraph" w:styleId="Hlavikaobsahu">
    <w:name w:val="toa heading"/>
    <w:basedOn w:val="Normln"/>
    <w:next w:val="Normln"/>
    <w:rsid w:val="00DB1A51"/>
    <w:pPr>
      <w:spacing w:before="120"/>
    </w:pPr>
    <w:rPr>
      <w:rFonts w:ascii="Arial" w:hAnsi="Arial" w:cs="Arial"/>
      <w:b/>
      <w:bCs/>
      <w:sz w:val="24"/>
      <w:szCs w:val="24"/>
    </w:rPr>
  </w:style>
  <w:style w:type="paragraph" w:styleId="Obsah1">
    <w:name w:val="toc 1"/>
    <w:basedOn w:val="Normln"/>
    <w:next w:val="Normln"/>
    <w:autoRedefine/>
    <w:rsid w:val="00DB1A51"/>
  </w:style>
  <w:style w:type="paragraph" w:styleId="Obsah2">
    <w:name w:val="toc 2"/>
    <w:basedOn w:val="Normln"/>
    <w:next w:val="Normln"/>
    <w:autoRedefine/>
    <w:rsid w:val="00DB1A51"/>
    <w:pPr>
      <w:ind w:left="220"/>
    </w:pPr>
  </w:style>
  <w:style w:type="paragraph" w:styleId="Obsah3">
    <w:name w:val="toc 3"/>
    <w:basedOn w:val="Normln"/>
    <w:next w:val="Normln"/>
    <w:autoRedefine/>
    <w:rsid w:val="00DB1A51"/>
    <w:pPr>
      <w:ind w:left="440"/>
    </w:pPr>
  </w:style>
  <w:style w:type="paragraph" w:styleId="Obsah4">
    <w:name w:val="toc 4"/>
    <w:basedOn w:val="Normln"/>
    <w:next w:val="Normln"/>
    <w:autoRedefine/>
    <w:rsid w:val="00DB1A51"/>
    <w:pPr>
      <w:ind w:left="660"/>
    </w:pPr>
  </w:style>
  <w:style w:type="paragraph" w:styleId="Obsah5">
    <w:name w:val="toc 5"/>
    <w:basedOn w:val="Normln"/>
    <w:next w:val="Normln"/>
    <w:autoRedefine/>
    <w:rsid w:val="00DB1A51"/>
    <w:pPr>
      <w:ind w:left="880"/>
    </w:pPr>
  </w:style>
  <w:style w:type="paragraph" w:styleId="Obsah6">
    <w:name w:val="toc 6"/>
    <w:basedOn w:val="Normln"/>
    <w:next w:val="Normln"/>
    <w:autoRedefine/>
    <w:rsid w:val="00DB1A51"/>
    <w:pPr>
      <w:ind w:left="1100"/>
    </w:pPr>
  </w:style>
  <w:style w:type="paragraph" w:styleId="Obsah7">
    <w:name w:val="toc 7"/>
    <w:basedOn w:val="Normln"/>
    <w:next w:val="Normln"/>
    <w:autoRedefine/>
    <w:rsid w:val="00DB1A51"/>
    <w:pPr>
      <w:ind w:left="1320"/>
    </w:pPr>
  </w:style>
  <w:style w:type="paragraph" w:styleId="Obsah8">
    <w:name w:val="toc 8"/>
    <w:basedOn w:val="Normln"/>
    <w:next w:val="Normln"/>
    <w:autoRedefine/>
    <w:rsid w:val="00DB1A51"/>
    <w:pPr>
      <w:ind w:left="1540"/>
    </w:pPr>
  </w:style>
  <w:style w:type="paragraph" w:styleId="Obsah9">
    <w:name w:val="toc 9"/>
    <w:basedOn w:val="Normln"/>
    <w:next w:val="Normln"/>
    <w:autoRedefine/>
    <w:rsid w:val="00DB1A51"/>
    <w:pPr>
      <w:ind w:left="1760"/>
    </w:pPr>
  </w:style>
  <w:style w:type="character" w:customStyle="1" w:styleId="Nadpis4Char">
    <w:name w:val="Nadpis 4 Char"/>
    <w:basedOn w:val="Standardnpsmoodstavce"/>
    <w:link w:val="Nadpis4"/>
    <w:uiPriority w:val="99"/>
    <w:rsid w:val="000E75D7"/>
    <w:rPr>
      <w:b/>
      <w:bCs/>
      <w:sz w:val="28"/>
      <w:szCs w:val="28"/>
    </w:rPr>
  </w:style>
  <w:style w:type="character" w:styleId="Hypertextovodkaz">
    <w:name w:val="Hyperlink"/>
    <w:basedOn w:val="Standardnpsmoodstavce"/>
    <w:uiPriority w:val="99"/>
    <w:unhideWhenUsed/>
    <w:rsid w:val="000E75D7"/>
    <w:rPr>
      <w:color w:val="0563C1"/>
      <w:u w:val="single"/>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basedOn w:val="Standardnpsmoodstavce"/>
    <w:link w:val="ListParagraph"/>
    <w:uiPriority w:val="34"/>
    <w:rsid w:val="000E75D7"/>
  </w:style>
  <w:style w:type="paragraph" w:customStyle="1" w:styleId="ListParagraph">
    <w:name w:val="List Paragraph"/>
    <w:aliases w:val="Bullet List,FooterText,numbered,List Paragraph1,Paragraphe de liste1,Bulletr List Paragraph,列出段落,列出段落1,List Paragraph2,List Paragraph21,Listeafsnit1,Parágrafo da Lista1,Párrafo de lista1,リスト段落1,Bullet list,List Paragraph11,פיסקת רשימה"/>
    <w:basedOn w:val="Normln"/>
    <w:link w:val="ListParagraphChar"/>
    <w:uiPriority w:val="34"/>
    <w:rsid w:val="000E75D7"/>
    <w:pPr>
      <w:ind w:left="720"/>
      <w:contextualSpacing/>
    </w:pPr>
    <w:rPr>
      <w:rFonts w:ascii="Times New Roman" w:hAnsi="Times New Roman"/>
      <w:sz w:val="20"/>
    </w:rPr>
  </w:style>
  <w:style w:type="paragraph" w:customStyle="1" w:styleId="Body">
    <w:name w:val="Body"/>
    <w:basedOn w:val="Normln"/>
    <w:rsid w:val="000E75D7"/>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05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rs.ups.com/" TargetMode="External"/><Relationship Id="rId13" Type="http://schemas.openxmlformats.org/officeDocument/2006/relationships/hyperlink" Target="https://pressroom.ups.com/pressroom/Home.page?Campaign_id=BOILERPLATE_PRESSRELEASE_END_PRESSROOM_050319"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hyperlink" Target="http://www.investors.ups.com/" TargetMode="External"/><Relationship Id="rId12" Type="http://schemas.openxmlformats.org/officeDocument/2006/relationships/hyperlink" Target="http://www.ups.com/?Campaign_id=BOILERPLATE_PRESSRELEASE_END_UPSCOM_050319" TargetMode="External"/><Relationship Id="rId17" Type="http://schemas.openxmlformats.org/officeDocument/2006/relationships/hyperlink" Target="https://www.ups.com/ship/guided/origin?tx=2168142152068288&amp;loc=en_US&amp;WT.mc_id=BOILERPLATE_PRESSRELEASE_END_SHIP_071619" TargetMode="External"/><Relationship Id="rId2" Type="http://schemas.openxmlformats.org/officeDocument/2006/relationships/styles" Target="styles.xml"/><Relationship Id="rId16" Type="http://schemas.openxmlformats.org/officeDocument/2006/relationships/hyperlink" Target="https://twitter.com/UPS_News"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orbes.com/just-companies/" TargetMode="External"/><Relationship Id="rId5" Type="http://schemas.openxmlformats.org/officeDocument/2006/relationships/webSettings" Target="webSettings.xml"/><Relationship Id="rId15" Type="http://schemas.openxmlformats.org/officeDocument/2006/relationships/hyperlink" Target="https://sustainability.ups.com/sustainability-newsletter/" TargetMode="External"/><Relationship Id="rId23" Type="http://schemas.openxmlformats.org/officeDocument/2006/relationships/theme" Target="theme/theme1.xml"/><Relationship Id="rId10" Type="http://schemas.openxmlformats.org/officeDocument/2006/relationships/hyperlink" Target="https://www.forbes.com/powerful-brands/list/"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newsweek.com/americas-best-customer-service-2019/services-transportation-travel" TargetMode="External"/><Relationship Id="rId14" Type="http://schemas.openxmlformats.org/officeDocument/2006/relationships/hyperlink" Target="https://www.ups.com/us/en/services/knowledge-center/longitudes-landing.page?articlesource=longitudes&amp;WT.mc_id=BOILERPLATE_PRESSRELEASE_END_LONGITUDESKC_071619"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3179</Words>
  <Characters>18759</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Karla</cp:lastModifiedBy>
  <cp:revision>2</cp:revision>
  <dcterms:created xsi:type="dcterms:W3CDTF">2020-04-28T11:35:00Z</dcterms:created>
  <dcterms:modified xsi:type="dcterms:W3CDTF">2020-04-28T11:51:00Z</dcterms:modified>
</cp:coreProperties>
</file>