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5" w:lineRule="atLeas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86000" cy="803910"/>
            <wp:effectExtent l="0" t="0" r="11430" b="190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35" w:lineRule="atLeast"/>
        <w:rPr>
          <w:rFonts w:ascii="Tahoma" w:hAnsi="Tahoma" w:eastAsia="Times New Roman" w:cs="Tahoma"/>
          <w:b/>
          <w:bCs/>
          <w:color w:val="222222"/>
          <w:sz w:val="32"/>
          <w:szCs w:val="32"/>
          <w:lang w:val="cs-CZ"/>
        </w:rPr>
      </w:pPr>
      <w:r>
        <w:rPr>
          <w:rFonts w:ascii="Tahoma" w:hAnsi="Tahoma" w:eastAsia="Times New Roman" w:cs="Tahoma"/>
          <w:b/>
          <w:bCs/>
          <w:color w:val="222222"/>
          <w:sz w:val="32"/>
          <w:szCs w:val="32"/>
          <w:lang w:val="cs-CZ"/>
        </w:rPr>
        <w:t>Společnost UPS Healthcare rozš</w:t>
      </w:r>
      <w:r>
        <w:rPr>
          <w:rFonts w:hint="default" w:ascii="Tahoma" w:hAnsi="Tahoma" w:eastAsia="Times New Roman" w:cs="Tahoma"/>
          <w:b/>
          <w:bCs/>
          <w:color w:val="222222"/>
          <w:sz w:val="32"/>
          <w:szCs w:val="32"/>
          <w:lang w:val="en-US"/>
        </w:rPr>
        <w:t>íří</w:t>
      </w:r>
      <w:r>
        <w:rPr>
          <w:rFonts w:ascii="Tahoma" w:hAnsi="Tahoma" w:eastAsia="Times New Roman" w:cs="Tahoma"/>
          <w:b/>
          <w:bCs/>
          <w:color w:val="222222"/>
          <w:sz w:val="32"/>
          <w:szCs w:val="32"/>
          <w:lang w:val="cs-CZ"/>
        </w:rPr>
        <w:t xml:space="preserve"> své kapacity chladírenského řetězce zaměřené na zdravotnictví </w:t>
      </w:r>
      <w:bookmarkStart w:id="0" w:name="_GoBack"/>
      <w:bookmarkEnd w:id="0"/>
      <w:r>
        <w:rPr>
          <w:rFonts w:ascii="Tahoma" w:hAnsi="Tahoma" w:eastAsia="Times New Roman" w:cs="Tahoma"/>
          <w:b/>
          <w:bCs/>
          <w:color w:val="222222"/>
          <w:sz w:val="32"/>
          <w:szCs w:val="32"/>
          <w:lang w:val="cs-CZ"/>
        </w:rPr>
        <w:t xml:space="preserve">v Maďarsku, aby podpořila distribuci ve střední a východní Evropě  </w:t>
      </w:r>
    </w:p>
    <w:p>
      <w:pPr>
        <w:numPr>
          <w:ilvl w:val="0"/>
          <w:numId w:val="0"/>
        </w:numPr>
        <w:spacing w:line="235" w:lineRule="atLeast"/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</w:pPr>
    </w:p>
    <w:p>
      <w:pPr>
        <w:numPr>
          <w:ilvl w:val="0"/>
          <w:numId w:val="1"/>
        </w:numPr>
        <w:spacing w:line="235" w:lineRule="atLeast"/>
        <w:rPr>
          <w:rFonts w:ascii="Tahoma" w:hAnsi="Tahoma" w:eastAsia="Times New Roman" w:cs="Tahoma"/>
          <w:i/>
          <w:iCs/>
          <w:color w:val="222222"/>
          <w:sz w:val="20"/>
          <w:szCs w:val="20"/>
          <w:lang w:val="cs-CZ"/>
        </w:rPr>
      </w:pPr>
      <w:r>
        <w:rPr>
          <w:rFonts w:hint="default" w:ascii="Tahoma" w:hAnsi="Tahoma" w:eastAsia="Times New Roman" w:cs="Tahoma"/>
          <w:i/>
          <w:iCs/>
          <w:color w:val="222222"/>
          <w:sz w:val="20"/>
          <w:szCs w:val="20"/>
          <w:lang w:val="en-US"/>
        </w:rPr>
        <w:t>dubna 2022</w:t>
      </w:r>
    </w:p>
    <w:p>
      <w:pPr>
        <w:numPr>
          <w:ilvl w:val="0"/>
          <w:numId w:val="0"/>
        </w:numPr>
        <w:spacing w:line="235" w:lineRule="atLeast"/>
        <w:rPr>
          <w:rFonts w:ascii="Tahoma" w:hAnsi="Tahoma" w:eastAsia="Times New Roman" w:cs="Tahoma"/>
          <w:color w:val="222222"/>
          <w:sz w:val="20"/>
          <w:szCs w:val="20"/>
          <w:lang w:val="cs-CZ"/>
        </w:rPr>
      </w:pP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V souladu s expanzivní strategií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zaměřené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na rozšiřování globální působnosti společnost UPS Healthcare nedávno dokončila několik významných investic v Maďarsku. Cílem je nabídnout zákazníkům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kratší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dodací lhůty a větší flexibilitu pro rozvoj jejich podnikání na stávajících i nových trzích.</w:t>
      </w:r>
    </w:p>
    <w:p>
      <w:pPr>
        <w:spacing w:line="235" w:lineRule="atLeast"/>
        <w:rPr>
          <w:rFonts w:ascii="Tahoma" w:hAnsi="Tahoma" w:eastAsia="Times New Roman" w:cs="Tahoma"/>
          <w:color w:val="222222"/>
          <w:sz w:val="20"/>
          <w:szCs w:val="20"/>
          <w:lang w:val="cs-CZ"/>
        </w:rPr>
      </w:pP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UPS Healthcare dokončila rozšíření logistického centra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u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Budapešti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o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13 000 m</w:t>
      </w:r>
      <w:r>
        <w:rPr>
          <w:rFonts w:ascii="Tahoma" w:hAnsi="Tahoma" w:eastAsia="Times New Roman" w:cs="Tahoma"/>
          <w:color w:val="222222"/>
          <w:sz w:val="20"/>
          <w:szCs w:val="20"/>
          <w:vertAlign w:val="superscript"/>
          <w:lang w:val="cs-CZ"/>
        </w:rPr>
        <w:t>2</w:t>
      </w:r>
      <w:r>
        <w:rPr>
          <w:rFonts w:hint="default" w:ascii="Tahoma" w:hAnsi="Tahoma" w:eastAsia="Times New Roman" w:cs="Tahoma"/>
          <w:color w:val="222222"/>
          <w:sz w:val="20"/>
          <w:szCs w:val="20"/>
          <w:vertAlign w:val="superscript"/>
          <w:lang w:val="en-US"/>
        </w:rPr>
        <w:t xml:space="preserve">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moderní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ch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skladovací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ch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prostor. Rozšířený areál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je vybavený technologií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umožňující řízení teploty pro přepravu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široké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škál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u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zdravotnických prostředků a biologických léčiv citlivých na výkyvy teploty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.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UPS Healthcare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tak bude mít v Maďarsku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pro zdravotnic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ké zásilky k dispozici celkem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37 000 m</w:t>
      </w:r>
      <w:r>
        <w:rPr>
          <w:rFonts w:ascii="Tahoma" w:hAnsi="Tahoma" w:eastAsia="Times New Roman" w:cs="Tahoma"/>
          <w:color w:val="222222"/>
          <w:sz w:val="20"/>
          <w:szCs w:val="20"/>
          <w:vertAlign w:val="superscript"/>
          <w:lang w:val="cs-CZ"/>
        </w:rPr>
        <w:t>2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skladovacích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prostor.</w:t>
      </w:r>
    </w:p>
    <w:p>
      <w:pPr>
        <w:pStyle w:val="11"/>
        <w:spacing w:beforeAutospacing="0" w:after="361" w:afterLines="100" w:line="240" w:lineRule="auto"/>
        <w:rPr>
          <w:rFonts w:ascii="Tahoma" w:hAnsi="Tahoma" w:eastAsia="Times New Roman" w:cs="Tahoma"/>
          <w:color w:val="222222"/>
          <w:sz w:val="20"/>
          <w:szCs w:val="20"/>
          <w:lang w:val="cs-CZ"/>
        </w:rPr>
      </w:pPr>
      <w:r>
        <w:t>„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Biologické materiály, speciální farmaceutické výrobky a personalizovaná medicína vyžadují spolehlivou logistiku s řízenou teplotou, aby se produkty důležité pro pacienty dostaly tam,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kde jsou potřeba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. Působíme na jednom z nejrychleji rostoucích zdravotnických trhů na světě a rozšiřujeme naši síť a kvalitní služby ve střední a východní Evropě pro naše zákazníky, tak abychom podpořili jejich růst a úspěch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cs-CZ"/>
        </w:rPr>
        <w:t xml:space="preserve">dnes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i v následujících letech,</w:t>
      </w:r>
      <w:r>
        <w:t>“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ř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cs-CZ"/>
        </w:rPr>
        <w:t>íká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</w:t>
      </w:r>
      <w:r>
        <w:rPr>
          <w:rFonts w:ascii="Tahoma" w:hAnsi="Tahoma" w:eastAsia="Times New Roman" w:cs="Tahoma"/>
          <w:b/>
          <w:color w:val="222222"/>
          <w:sz w:val="20"/>
          <w:szCs w:val="20"/>
          <w:lang w:val="cs-CZ"/>
        </w:rPr>
        <w:t>Fredrik Jansson, generální ředitel pro střední a východní Evropu společnosti UPS Healthcare Europe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.</w:t>
      </w:r>
    </w:p>
    <w:p>
      <w:pPr>
        <w:spacing w:line="235" w:lineRule="atLeast"/>
        <w:rPr>
          <w:rFonts w:ascii="Tahoma" w:hAnsi="Tahoma" w:eastAsia="Times New Roman" w:cs="Tahoma"/>
          <w:color w:val="222222"/>
          <w:sz w:val="20"/>
          <w:szCs w:val="20"/>
          <w:lang w:val="cs-CZ"/>
        </w:rPr>
      </w:pP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Nové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skladové prostory doplňuje rostoucí flotila vozidel s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regulovanou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teplotou, která obsluhuje 32 zemí střední a východní Evropy, a také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nedávno spuštěná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služb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a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UPS Premier, která umožňuje přednostní přepravu a sledování kritických zdravotnických zásilek s přesností 3 metry kdekoli v globální síti UPS.  </w:t>
      </w:r>
    </w:p>
    <w:p>
      <w:pPr>
        <w:spacing w:line="235" w:lineRule="atLeast"/>
        <w:rPr>
          <w:rFonts w:ascii="Tahoma" w:hAnsi="Tahoma" w:eastAsia="Times New Roman" w:cs="Tahoma"/>
          <w:color w:val="222222"/>
          <w:sz w:val="20"/>
          <w:szCs w:val="20"/>
          <w:lang w:val="cs-CZ"/>
        </w:rPr>
      </w:pP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Společnost UPS Healthcare rovněž uskutečnila významné investice na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cs-CZ"/>
        </w:rPr>
        <w:t xml:space="preserve"> trzích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klíčových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cs-CZ"/>
        </w:rPr>
        <w:t xml:space="preserve">pro maďarský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export a vytvořila síť logistických center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pro přepravu zdravotnických zásilek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ve střední a východní Evropě.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Její součástí jsou i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specializovaná logistická centra v Ostravě a v německém Giessenu, které bude otevřené počátkem příštího roku. Na ploše 24 680 m</w:t>
      </w:r>
      <w:r>
        <w:rPr>
          <w:rFonts w:ascii="Tahoma" w:hAnsi="Tahoma" w:eastAsia="Times New Roman" w:cs="Tahoma"/>
          <w:color w:val="222222"/>
          <w:sz w:val="20"/>
          <w:szCs w:val="20"/>
          <w:vertAlign w:val="superscript"/>
          <w:lang w:val="cs-CZ"/>
        </w:rPr>
        <w:t>2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 splňujících požadavky osvědčených distribučních i výrobních postupů (GDP/GMP) bude možné skladovat více než 30 000 palet s nejrůznějšími zdravotnickými výrobky při teplotách od 2 do 8 °C, od 15 do 25 °C a až do minus 20 °C. Celosvětový trh s biologickými léčebnými přípravky má do roku 2025 vzrůst na 421,8 mld. dolarů z 285,5 mld. dolarů v roce 2020.</w:t>
      </w:r>
    </w:p>
    <w:p>
      <w:pPr>
        <w:spacing w:line="235" w:lineRule="atLeast"/>
        <w:rPr>
          <w:rFonts w:eastAsia="Times New Roman"/>
          <w:color w:val="222222"/>
        </w:rPr>
      </w:pP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 xml:space="preserve">Globální síť UPS Healthcare dodala již více než 1 miliardu vakcín do více než 110 zemí, včetně milionů 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 xml:space="preserve">dodávek na trh 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střední a východní Evrop</w:t>
      </w:r>
      <w:r>
        <w:rPr>
          <w:rFonts w:hint="default" w:ascii="Tahoma" w:hAnsi="Tahoma" w:eastAsia="Times New Roman" w:cs="Tahoma"/>
          <w:color w:val="222222"/>
          <w:sz w:val="20"/>
          <w:szCs w:val="20"/>
          <w:lang w:val="en-US"/>
        </w:rPr>
        <w:t>y</w:t>
      </w:r>
      <w:r>
        <w:rPr>
          <w:rFonts w:ascii="Tahoma" w:hAnsi="Tahoma" w:eastAsia="Times New Roman" w:cs="Tahoma"/>
          <w:color w:val="222222"/>
          <w:sz w:val="20"/>
          <w:szCs w:val="20"/>
          <w:lang w:val="cs-CZ"/>
        </w:rPr>
        <w:t>, s 99,9% včasností dodání. UPS Healthcare také nedávno oznámila, že spolupracuje s globální biotechnologickou společností Novavax na distribuci a dodávkách její nově schválené vakcíny COVID-19 po celém světě včetně Maďarska a České republiky, přičemž první dávky byly odeslány v minulém měsíci.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A97E9"/>
    <w:multiLevelType w:val="singleLevel"/>
    <w:tmpl w:val="961A97E9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E9"/>
    <w:rsid w:val="000471D3"/>
    <w:rsid w:val="00061A80"/>
    <w:rsid w:val="000C33BC"/>
    <w:rsid w:val="001056E2"/>
    <w:rsid w:val="00110612"/>
    <w:rsid w:val="00117CA4"/>
    <w:rsid w:val="00120A6F"/>
    <w:rsid w:val="00180120"/>
    <w:rsid w:val="0019295C"/>
    <w:rsid w:val="001F0733"/>
    <w:rsid w:val="001F0B0D"/>
    <w:rsid w:val="001F14B9"/>
    <w:rsid w:val="001F1BE2"/>
    <w:rsid w:val="0022691D"/>
    <w:rsid w:val="0025346A"/>
    <w:rsid w:val="00253EA5"/>
    <w:rsid w:val="00284AB0"/>
    <w:rsid w:val="0029358C"/>
    <w:rsid w:val="002B0571"/>
    <w:rsid w:val="002D3BB8"/>
    <w:rsid w:val="002F4355"/>
    <w:rsid w:val="00307CAC"/>
    <w:rsid w:val="00314C34"/>
    <w:rsid w:val="00315693"/>
    <w:rsid w:val="00323D1E"/>
    <w:rsid w:val="0033122D"/>
    <w:rsid w:val="003571DF"/>
    <w:rsid w:val="00373252"/>
    <w:rsid w:val="00414A6F"/>
    <w:rsid w:val="004174AD"/>
    <w:rsid w:val="00431BB2"/>
    <w:rsid w:val="0044300E"/>
    <w:rsid w:val="004D2AA8"/>
    <w:rsid w:val="00501301"/>
    <w:rsid w:val="0055644B"/>
    <w:rsid w:val="00567AEF"/>
    <w:rsid w:val="0057290E"/>
    <w:rsid w:val="00575FB3"/>
    <w:rsid w:val="005A2906"/>
    <w:rsid w:val="00606E0E"/>
    <w:rsid w:val="006324D0"/>
    <w:rsid w:val="00665DB0"/>
    <w:rsid w:val="00672CF4"/>
    <w:rsid w:val="0068574E"/>
    <w:rsid w:val="006A0A6D"/>
    <w:rsid w:val="006A6675"/>
    <w:rsid w:val="006B613F"/>
    <w:rsid w:val="006F43EF"/>
    <w:rsid w:val="00701028"/>
    <w:rsid w:val="00704CEE"/>
    <w:rsid w:val="0070732C"/>
    <w:rsid w:val="007B62FE"/>
    <w:rsid w:val="007E4F35"/>
    <w:rsid w:val="007F27E9"/>
    <w:rsid w:val="00800095"/>
    <w:rsid w:val="00824A44"/>
    <w:rsid w:val="008B24D7"/>
    <w:rsid w:val="008F3DAE"/>
    <w:rsid w:val="0090097B"/>
    <w:rsid w:val="00927D66"/>
    <w:rsid w:val="009423DB"/>
    <w:rsid w:val="009A00BE"/>
    <w:rsid w:val="009A25DB"/>
    <w:rsid w:val="009D5F02"/>
    <w:rsid w:val="009F40E1"/>
    <w:rsid w:val="00A303F5"/>
    <w:rsid w:val="00A44ECA"/>
    <w:rsid w:val="00A93B09"/>
    <w:rsid w:val="00AB75E9"/>
    <w:rsid w:val="00B163BB"/>
    <w:rsid w:val="00B940E3"/>
    <w:rsid w:val="00C01A13"/>
    <w:rsid w:val="00C04320"/>
    <w:rsid w:val="00C17D10"/>
    <w:rsid w:val="00C34B61"/>
    <w:rsid w:val="00C47418"/>
    <w:rsid w:val="00C56F77"/>
    <w:rsid w:val="00C97FA1"/>
    <w:rsid w:val="00CB5F15"/>
    <w:rsid w:val="00CD1765"/>
    <w:rsid w:val="00CE30A7"/>
    <w:rsid w:val="00D02EE6"/>
    <w:rsid w:val="00D04767"/>
    <w:rsid w:val="00D10644"/>
    <w:rsid w:val="00D546CE"/>
    <w:rsid w:val="00D76FA2"/>
    <w:rsid w:val="00DA4F22"/>
    <w:rsid w:val="00DB7BCF"/>
    <w:rsid w:val="00DC77AD"/>
    <w:rsid w:val="00DD2123"/>
    <w:rsid w:val="00DE0024"/>
    <w:rsid w:val="00DF72CC"/>
    <w:rsid w:val="00E04017"/>
    <w:rsid w:val="00E550E8"/>
    <w:rsid w:val="00E77D85"/>
    <w:rsid w:val="00ED46C1"/>
    <w:rsid w:val="00EE2F39"/>
    <w:rsid w:val="00EE6D9D"/>
    <w:rsid w:val="00F13C1C"/>
    <w:rsid w:val="00F64B9B"/>
    <w:rsid w:val="00F65139"/>
    <w:rsid w:val="00FC0D40"/>
    <w:rsid w:val="00FD4FBB"/>
    <w:rsid w:val="00FE51D8"/>
    <w:rsid w:val="07833149"/>
    <w:rsid w:val="2A4421A6"/>
    <w:rsid w:val="53C27AA8"/>
    <w:rsid w:val="7FAD0AA3"/>
    <w:rsid w:val="CFAC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character" w:styleId="8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0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styleId="11">
    <w:name w:val="Normal (Web)"/>
    <w:semiHidden/>
    <w:unhideWhenUsed/>
    <w:uiPriority w:val="99"/>
    <w:pPr>
      <w:spacing w:before="0" w:beforeAutospacing="1" w:after="142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12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normaltextrun"/>
    <w:basedOn w:val="2"/>
    <w:qFormat/>
    <w:uiPriority w:val="0"/>
  </w:style>
  <w:style w:type="character" w:customStyle="1" w:styleId="14">
    <w:name w:val="eop"/>
    <w:basedOn w:val="2"/>
    <w:qFormat/>
    <w:uiPriority w:val="0"/>
  </w:style>
  <w:style w:type="character" w:customStyle="1" w:styleId="15">
    <w:name w:val="contextualspellingandgrammarerror"/>
    <w:basedOn w:val="2"/>
    <w:qFormat/>
    <w:uiPriority w:val="0"/>
  </w:style>
  <w:style w:type="character" w:customStyle="1" w:styleId="16">
    <w:name w:val="spellingerror"/>
    <w:basedOn w:val="2"/>
    <w:qFormat/>
    <w:uiPriority w:val="0"/>
  </w:style>
  <w:style w:type="paragraph" w:customStyle="1" w:styleId="17">
    <w:name w:val="gmail-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gmail-normaltextrun"/>
    <w:basedOn w:val="2"/>
    <w:qFormat/>
    <w:uiPriority w:val="0"/>
  </w:style>
  <w:style w:type="character" w:customStyle="1" w:styleId="19">
    <w:name w:val="Text pozn. pod čarou Char"/>
    <w:basedOn w:val="2"/>
    <w:link w:val="9"/>
    <w:semiHidden/>
    <w:qFormat/>
    <w:uiPriority w:val="99"/>
    <w:rPr>
      <w:sz w:val="20"/>
      <w:szCs w:val="20"/>
    </w:rPr>
  </w:style>
  <w:style w:type="character" w:customStyle="1" w:styleId="20">
    <w:name w:val="Text komentáře Char"/>
    <w:basedOn w:val="2"/>
    <w:link w:val="6"/>
    <w:semiHidden/>
    <w:qFormat/>
    <w:uiPriority w:val="99"/>
    <w:rPr>
      <w:sz w:val="20"/>
      <w:szCs w:val="20"/>
    </w:rPr>
  </w:style>
  <w:style w:type="character" w:customStyle="1" w:styleId="21">
    <w:name w:val="Předmět komentáře Char"/>
    <w:basedOn w:val="20"/>
    <w:link w:val="7"/>
    <w:semiHidden/>
    <w:qFormat/>
    <w:uiPriority w:val="99"/>
    <w:rPr>
      <w:b/>
      <w:bCs/>
      <w:sz w:val="20"/>
      <w:szCs w:val="20"/>
    </w:rPr>
  </w:style>
  <w:style w:type="character" w:customStyle="1" w:styleId="22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23">
    <w:name w:val="List Paragraph"/>
    <w:basedOn w:val="1"/>
    <w:link w:val="24"/>
    <w:qFormat/>
    <w:uiPriority w:val="3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24">
    <w:name w:val="Odstavec se seznamem Char"/>
    <w:basedOn w:val="2"/>
    <w:link w:val="23"/>
    <w:qFormat/>
    <w:locked/>
    <w:uiPriority w:val="34"/>
    <w:rPr>
      <w:rFonts w:ascii="Calibri" w:hAnsi="Calibri" w:cs="Calibri"/>
    </w:rPr>
  </w:style>
  <w:style w:type="character" w:customStyle="1" w:styleId="25">
    <w:name w:val="gmail-msocommentreference"/>
    <w:basedOn w:val="2"/>
    <w:qFormat/>
    <w:uiPriority w:val="0"/>
  </w:style>
  <w:style w:type="character" w:customStyle="1" w:styleId="26">
    <w:name w:val="gmail-msofootnotereferen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UPS Inc.</Company>
  <Pages>2</Pages>
  <Words>791</Words>
  <Characters>4669</Characters>
  <Lines>38</Lines>
  <Paragraphs>10</Paragraphs>
  <TotalTime>6</TotalTime>
  <ScaleCrop>false</ScaleCrop>
  <LinksUpToDate>false</LinksUpToDate>
  <CharactersWithSpaces>5450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2022-04-05T19:24:00Z</dcterms:created>
  <dc:creator>Saul Markcoons</dc:creator>
  <cp:lastModifiedBy>karla.krejci</cp:lastModifiedBy>
  <dcterms:modified xsi:type="dcterms:W3CDTF">2022-04-06T12:26:41Z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3EC6D30AEA3849A0B4D8E2265D2502A4</vt:lpwstr>
  </property>
</Properties>
</file>