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5A9" w:rsidRDefault="005855A9">
      <w:pPr>
        <w:rPr>
          <w:rFonts w:ascii="Arial" w:hAnsi="Arial" w:cs="Arial"/>
          <w:sz w:val="20"/>
          <w:szCs w:val="20"/>
        </w:rPr>
      </w:pPr>
      <w:bookmarkStart w:id="0" w:name="_GoBack"/>
      <w:bookmarkEnd w:id="0"/>
    </w:p>
    <w:p w:rsidR="005855A9" w:rsidRDefault="005855A9">
      <w:pPr>
        <w:rPr>
          <w:rFonts w:ascii="Arial" w:hAnsi="Arial" w:cs="Arial"/>
          <w:sz w:val="20"/>
          <w:szCs w:val="20"/>
        </w:rPr>
      </w:pPr>
    </w:p>
    <w:p w:rsidR="00CF5EB1" w:rsidRPr="003E7BDA" w:rsidRDefault="005855A9" w:rsidP="005C42B5">
      <w:pPr>
        <w:rPr>
          <w:rFonts w:ascii="Arial" w:hAnsi="Arial" w:cs="Arial"/>
          <w:sz w:val="20"/>
          <w:szCs w:val="20"/>
        </w:rPr>
      </w:pPr>
      <w:r w:rsidRPr="003E7BDA">
        <w:rPr>
          <w:rFonts w:ascii="Arial" w:hAnsi="Arial" w:cs="Arial"/>
          <w:sz w:val="20"/>
          <w:szCs w:val="20"/>
        </w:rPr>
        <w:t>Contacts:</w:t>
      </w:r>
      <w:r w:rsidRPr="003E7BDA">
        <w:rPr>
          <w:rFonts w:ascii="Arial" w:hAnsi="Arial" w:cs="Arial"/>
          <w:sz w:val="16"/>
        </w:rPr>
        <w:tab/>
      </w:r>
      <w:r w:rsidR="005A04FD" w:rsidRPr="003E7BDA">
        <w:rPr>
          <w:rFonts w:ascii="Arial" w:hAnsi="Arial" w:cs="Arial"/>
          <w:sz w:val="20"/>
          <w:szCs w:val="20"/>
        </w:rPr>
        <w:t>Steve Gaut,</w:t>
      </w:r>
      <w:r w:rsidRPr="003E7BDA">
        <w:rPr>
          <w:rFonts w:ascii="Arial" w:hAnsi="Arial" w:cs="Arial"/>
          <w:sz w:val="20"/>
          <w:szCs w:val="20"/>
        </w:rPr>
        <w:t xml:space="preserve"> Public Relations</w:t>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p>
    <w:p w:rsidR="005855A9" w:rsidRPr="003E7BDA" w:rsidRDefault="005855A9" w:rsidP="00CF5EB1">
      <w:pPr>
        <w:ind w:left="720" w:firstLine="720"/>
        <w:rPr>
          <w:rFonts w:ascii="Arial" w:hAnsi="Arial" w:cs="Arial"/>
          <w:sz w:val="20"/>
          <w:szCs w:val="20"/>
        </w:rPr>
      </w:pPr>
      <w:r w:rsidRPr="003E7BDA">
        <w:rPr>
          <w:rFonts w:ascii="Arial" w:hAnsi="Arial" w:cs="Arial"/>
          <w:sz w:val="20"/>
          <w:szCs w:val="20"/>
        </w:rPr>
        <w:t>404-828-</w:t>
      </w:r>
      <w:r w:rsidR="005A04FD" w:rsidRPr="003E7BDA">
        <w:rPr>
          <w:rFonts w:ascii="Arial" w:hAnsi="Arial" w:cs="Arial"/>
          <w:sz w:val="20"/>
          <w:szCs w:val="20"/>
        </w:rPr>
        <w:t>8787</w:t>
      </w:r>
    </w:p>
    <w:p w:rsidR="00E57561" w:rsidRPr="003E7BDA" w:rsidRDefault="00E57561">
      <w:pPr>
        <w:pStyle w:val="Nadpis4"/>
        <w:spacing w:before="0" w:after="0"/>
        <w:ind w:left="720" w:firstLine="720"/>
        <w:rPr>
          <w:rFonts w:ascii="Arial" w:hAnsi="Arial" w:cs="Arial"/>
          <w:b w:val="0"/>
          <w:sz w:val="16"/>
          <w:szCs w:val="16"/>
        </w:rPr>
      </w:pPr>
    </w:p>
    <w:p w:rsidR="005855A9" w:rsidRPr="003E7BDA" w:rsidRDefault="00ED434E">
      <w:pPr>
        <w:pStyle w:val="Nadpis4"/>
        <w:spacing w:before="0" w:after="0"/>
        <w:ind w:left="720" w:firstLine="720"/>
        <w:rPr>
          <w:rFonts w:ascii="Arial" w:hAnsi="Arial" w:cs="Arial"/>
          <w:b w:val="0"/>
          <w:sz w:val="20"/>
          <w:szCs w:val="20"/>
        </w:rPr>
      </w:pPr>
      <w:r w:rsidRPr="003E7BDA">
        <w:rPr>
          <w:rFonts w:ascii="Arial" w:hAnsi="Arial" w:cs="Arial"/>
          <w:b w:val="0"/>
          <w:sz w:val="20"/>
          <w:szCs w:val="20"/>
        </w:rPr>
        <w:t>Scott Childress</w:t>
      </w:r>
      <w:r w:rsidR="005855A9" w:rsidRPr="003E7BDA">
        <w:rPr>
          <w:rFonts w:ascii="Arial" w:hAnsi="Arial" w:cs="Arial"/>
          <w:b w:val="0"/>
          <w:sz w:val="20"/>
          <w:szCs w:val="20"/>
        </w:rPr>
        <w:t>, Investor Relations</w:t>
      </w:r>
    </w:p>
    <w:p w:rsidR="005855A9" w:rsidRPr="003E7BDA" w:rsidRDefault="005855A9">
      <w:pPr>
        <w:rPr>
          <w:rFonts w:ascii="Arial" w:hAnsi="Arial" w:cs="Arial"/>
          <w:sz w:val="20"/>
          <w:szCs w:val="20"/>
        </w:rPr>
      </w:pPr>
      <w:r w:rsidRPr="003E7BDA">
        <w:rPr>
          <w:rFonts w:ascii="Arial" w:hAnsi="Arial" w:cs="Arial"/>
          <w:sz w:val="20"/>
          <w:szCs w:val="20"/>
        </w:rPr>
        <w:tab/>
      </w:r>
      <w:r w:rsidRPr="003E7BDA">
        <w:rPr>
          <w:rFonts w:ascii="Arial" w:hAnsi="Arial" w:cs="Arial"/>
          <w:sz w:val="20"/>
          <w:szCs w:val="20"/>
        </w:rPr>
        <w:tab/>
        <w:t>404-828-</w:t>
      </w:r>
      <w:r w:rsidR="00ED434E" w:rsidRPr="003E7BDA">
        <w:rPr>
          <w:rFonts w:ascii="Arial" w:hAnsi="Arial" w:cs="Arial"/>
          <w:sz w:val="20"/>
          <w:szCs w:val="20"/>
        </w:rPr>
        <w:t>7957</w:t>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p>
    <w:p w:rsidR="0077335C" w:rsidRPr="003E7BDA" w:rsidRDefault="005855A9" w:rsidP="007B357E">
      <w:pPr>
        <w:rPr>
          <w:rFonts w:ascii="Arial" w:hAnsi="Arial" w:cs="Arial"/>
          <w:sz w:val="18"/>
          <w:szCs w:val="22"/>
        </w:rPr>
      </w:pPr>
      <w:r w:rsidRPr="003E7BDA">
        <w:rPr>
          <w:rFonts w:ascii="Arial" w:hAnsi="Arial" w:cs="Arial"/>
          <w:sz w:val="20"/>
          <w:szCs w:val="20"/>
        </w:rPr>
        <w:tab/>
      </w:r>
    </w:p>
    <w:p w:rsidR="00CC13C8" w:rsidRPr="003E7BDA" w:rsidRDefault="00CC13C8" w:rsidP="00CC13C8">
      <w:pPr>
        <w:rPr>
          <w:rFonts w:ascii="Arial" w:hAnsi="Arial" w:cs="Arial"/>
          <w:sz w:val="18"/>
          <w:szCs w:val="22"/>
        </w:rPr>
      </w:pPr>
    </w:p>
    <w:p w:rsidR="008406C0" w:rsidRDefault="00830CA9" w:rsidP="00AB1EB2">
      <w:pPr>
        <w:jc w:val="center"/>
        <w:rPr>
          <w:rFonts w:ascii="Arial" w:hAnsi="Arial" w:cs="Arial"/>
          <w:b/>
          <w:sz w:val="32"/>
          <w:szCs w:val="32"/>
        </w:rPr>
      </w:pPr>
      <w:r>
        <w:rPr>
          <w:rFonts w:ascii="Arial" w:hAnsi="Arial" w:cs="Arial"/>
          <w:b/>
          <w:sz w:val="32"/>
          <w:szCs w:val="32"/>
        </w:rPr>
        <w:t xml:space="preserve">UPS </w:t>
      </w:r>
      <w:r w:rsidR="008406C0">
        <w:rPr>
          <w:rFonts w:ascii="Arial" w:hAnsi="Arial" w:cs="Arial"/>
          <w:b/>
          <w:sz w:val="32"/>
          <w:szCs w:val="32"/>
        </w:rPr>
        <w:t xml:space="preserve">RELEASES </w:t>
      </w:r>
      <w:r w:rsidR="00C914D9">
        <w:rPr>
          <w:rFonts w:ascii="Arial" w:hAnsi="Arial" w:cs="Arial"/>
          <w:b/>
          <w:sz w:val="32"/>
          <w:szCs w:val="32"/>
        </w:rPr>
        <w:t>3</w:t>
      </w:r>
      <w:r w:rsidR="002959D3">
        <w:rPr>
          <w:rFonts w:ascii="Arial" w:hAnsi="Arial" w:cs="Arial"/>
          <w:b/>
          <w:sz w:val="32"/>
          <w:szCs w:val="32"/>
        </w:rPr>
        <w:t>Q 2019 EARNINGS</w:t>
      </w:r>
    </w:p>
    <w:p w:rsidR="00AA6C14" w:rsidRPr="008406C0" w:rsidRDefault="008C1CE5" w:rsidP="008406C0">
      <w:pPr>
        <w:jc w:val="center"/>
        <w:rPr>
          <w:rFonts w:ascii="Arial" w:hAnsi="Arial" w:cs="Arial"/>
          <w:i/>
        </w:rPr>
      </w:pPr>
      <w:r>
        <w:rPr>
          <w:rFonts w:ascii="Arial" w:hAnsi="Arial" w:cs="Arial"/>
          <w:i/>
        </w:rPr>
        <w:t xml:space="preserve">Operating Profit Up More Than </w:t>
      </w:r>
      <w:r w:rsidR="00010E65">
        <w:rPr>
          <w:rFonts w:ascii="Arial" w:hAnsi="Arial" w:cs="Arial"/>
          <w:i/>
        </w:rPr>
        <w:t>20</w:t>
      </w:r>
      <w:r>
        <w:rPr>
          <w:rFonts w:ascii="Arial" w:hAnsi="Arial" w:cs="Arial"/>
          <w:i/>
        </w:rPr>
        <w:t xml:space="preserve">%, with </w:t>
      </w:r>
      <w:r w:rsidR="009B14FE">
        <w:rPr>
          <w:rFonts w:ascii="Arial" w:hAnsi="Arial" w:cs="Arial"/>
          <w:i/>
        </w:rPr>
        <w:t xml:space="preserve">Margin </w:t>
      </w:r>
      <w:r>
        <w:rPr>
          <w:rFonts w:ascii="Arial" w:hAnsi="Arial" w:cs="Arial"/>
          <w:i/>
        </w:rPr>
        <w:t xml:space="preserve">Expansion </w:t>
      </w:r>
      <w:r w:rsidR="009B14FE">
        <w:rPr>
          <w:rFonts w:ascii="Arial" w:hAnsi="Arial" w:cs="Arial"/>
          <w:i/>
        </w:rPr>
        <w:t xml:space="preserve">in </w:t>
      </w:r>
      <w:r w:rsidR="008406C0" w:rsidRPr="008406C0">
        <w:rPr>
          <w:rFonts w:ascii="Arial" w:hAnsi="Arial" w:cs="Arial"/>
          <w:i/>
        </w:rPr>
        <w:t>All Segments</w:t>
      </w:r>
    </w:p>
    <w:p w:rsidR="00964696" w:rsidRDefault="00964696">
      <w:pPr>
        <w:rPr>
          <w:rFonts w:ascii="Arial" w:hAnsi="Arial" w:cs="Arial"/>
          <w:b/>
          <w:sz w:val="28"/>
          <w:szCs w:val="26"/>
        </w:rPr>
      </w:pPr>
    </w:p>
    <w:p w:rsidR="00F611B3" w:rsidRPr="001549E0" w:rsidRDefault="00F611B3">
      <w:pPr>
        <w:rPr>
          <w:rFonts w:ascii="Arial" w:hAnsi="Arial" w:cs="Arial"/>
          <w:b/>
          <w:sz w:val="28"/>
          <w:szCs w:val="26"/>
        </w:rPr>
      </w:pPr>
    </w:p>
    <w:p w:rsidR="00830CA9" w:rsidRPr="00E2610F" w:rsidRDefault="00E5038A" w:rsidP="00242B67">
      <w:pPr>
        <w:pStyle w:val="Odstavecseseznamem"/>
        <w:numPr>
          <w:ilvl w:val="0"/>
          <w:numId w:val="1"/>
        </w:numPr>
        <w:ind w:left="450" w:right="-90"/>
        <w:rPr>
          <w:rFonts w:ascii="Arial" w:hAnsi="Arial" w:cs="Arial"/>
          <w:b/>
          <w:i/>
        </w:rPr>
      </w:pPr>
      <w:r>
        <w:rPr>
          <w:rFonts w:ascii="Arial" w:hAnsi="Arial" w:cs="Arial"/>
          <w:b/>
          <w:i/>
        </w:rPr>
        <w:t>3Q19 EPS of $2.01</w:t>
      </w:r>
      <w:r w:rsidR="00964676">
        <w:rPr>
          <w:rFonts w:ascii="Arial" w:hAnsi="Arial" w:cs="Arial"/>
          <w:b/>
          <w:i/>
        </w:rPr>
        <w:t xml:space="preserve">, Up More Than 16%; </w:t>
      </w:r>
      <w:r w:rsidR="00821B46" w:rsidRPr="00E2610F">
        <w:rPr>
          <w:rFonts w:ascii="Arial" w:hAnsi="Arial" w:cs="Arial"/>
          <w:b/>
          <w:i/>
        </w:rPr>
        <w:t>Adjusted</w:t>
      </w:r>
      <w:r w:rsidR="00D72211" w:rsidRPr="00E2610F">
        <w:rPr>
          <w:rFonts w:ascii="Arial" w:hAnsi="Arial" w:cs="Arial"/>
          <w:b/>
          <w:i/>
        </w:rPr>
        <w:t>*</w:t>
      </w:r>
      <w:r w:rsidR="00821B46" w:rsidRPr="00E2610F">
        <w:rPr>
          <w:rFonts w:ascii="Arial" w:hAnsi="Arial" w:cs="Arial"/>
          <w:b/>
          <w:i/>
        </w:rPr>
        <w:t xml:space="preserve"> </w:t>
      </w:r>
      <w:r>
        <w:rPr>
          <w:rFonts w:ascii="Arial" w:hAnsi="Arial" w:cs="Arial"/>
          <w:b/>
          <w:i/>
        </w:rPr>
        <w:t xml:space="preserve">EPS </w:t>
      </w:r>
      <w:r w:rsidR="00786763">
        <w:rPr>
          <w:rFonts w:ascii="Arial" w:hAnsi="Arial" w:cs="Arial"/>
          <w:b/>
          <w:i/>
        </w:rPr>
        <w:t>U</w:t>
      </w:r>
      <w:r w:rsidR="00964676">
        <w:rPr>
          <w:rFonts w:ascii="Arial" w:hAnsi="Arial" w:cs="Arial"/>
          <w:b/>
          <w:i/>
        </w:rPr>
        <w:t>p 13.7% to $2.0</w:t>
      </w:r>
      <w:r w:rsidR="00267991">
        <w:rPr>
          <w:rFonts w:ascii="Arial" w:hAnsi="Arial" w:cs="Arial"/>
          <w:b/>
          <w:i/>
        </w:rPr>
        <w:t>7</w:t>
      </w:r>
    </w:p>
    <w:p w:rsidR="00FD312D" w:rsidRPr="009B14FE" w:rsidRDefault="001C16EC" w:rsidP="00242B67">
      <w:pPr>
        <w:pStyle w:val="Odstavecseseznamem"/>
        <w:numPr>
          <w:ilvl w:val="0"/>
          <w:numId w:val="7"/>
        </w:numPr>
        <w:ind w:left="450" w:right="-90"/>
        <w:rPr>
          <w:rFonts w:ascii="Arial" w:hAnsi="Arial" w:cs="Arial"/>
          <w:b/>
          <w:i/>
        </w:rPr>
      </w:pPr>
      <w:r w:rsidRPr="009B14FE">
        <w:rPr>
          <w:rFonts w:ascii="Arial" w:hAnsi="Arial" w:cs="Arial"/>
          <w:b/>
          <w:i/>
        </w:rPr>
        <w:t xml:space="preserve">U.S. Daily Volume </w:t>
      </w:r>
      <w:r w:rsidR="00426027" w:rsidRPr="009B14FE">
        <w:rPr>
          <w:rFonts w:ascii="Arial" w:hAnsi="Arial" w:cs="Arial"/>
          <w:b/>
          <w:i/>
        </w:rPr>
        <w:t>Grew</w:t>
      </w:r>
      <w:r w:rsidR="008F79B2" w:rsidRPr="009B14FE">
        <w:rPr>
          <w:rFonts w:ascii="Arial" w:hAnsi="Arial" w:cs="Arial"/>
          <w:b/>
          <w:i/>
        </w:rPr>
        <w:t xml:space="preserve"> </w:t>
      </w:r>
      <w:r w:rsidR="00D601D2">
        <w:rPr>
          <w:rFonts w:ascii="Arial" w:hAnsi="Arial" w:cs="Arial"/>
          <w:b/>
          <w:i/>
        </w:rPr>
        <w:t>Above</w:t>
      </w:r>
      <w:r w:rsidR="00143DBB">
        <w:rPr>
          <w:rFonts w:ascii="Arial" w:hAnsi="Arial" w:cs="Arial"/>
          <w:b/>
          <w:i/>
        </w:rPr>
        <w:t xml:space="preserve"> 9</w:t>
      </w:r>
      <w:r w:rsidRPr="009B14FE">
        <w:rPr>
          <w:rFonts w:ascii="Arial" w:hAnsi="Arial" w:cs="Arial"/>
          <w:b/>
          <w:i/>
        </w:rPr>
        <w:t xml:space="preserve">%; Next Day Air </w:t>
      </w:r>
      <w:r w:rsidR="00B34CA3" w:rsidRPr="009B14FE">
        <w:rPr>
          <w:rFonts w:ascii="Arial" w:hAnsi="Arial" w:cs="Arial"/>
          <w:b/>
          <w:i/>
        </w:rPr>
        <w:t>V</w:t>
      </w:r>
      <w:r w:rsidRPr="009B14FE">
        <w:rPr>
          <w:rFonts w:ascii="Arial" w:hAnsi="Arial" w:cs="Arial"/>
          <w:b/>
          <w:i/>
        </w:rPr>
        <w:t xml:space="preserve">olume </w:t>
      </w:r>
      <w:r w:rsidR="00E2610F" w:rsidRPr="009B14FE">
        <w:rPr>
          <w:rFonts w:ascii="Arial" w:hAnsi="Arial" w:cs="Arial"/>
          <w:b/>
          <w:i/>
        </w:rPr>
        <w:t xml:space="preserve">Jumped </w:t>
      </w:r>
      <w:r w:rsidR="009B14FE" w:rsidRPr="009B14FE">
        <w:rPr>
          <w:rFonts w:ascii="Arial" w:hAnsi="Arial" w:cs="Arial"/>
          <w:b/>
          <w:i/>
        </w:rPr>
        <w:t>Nearly 24%</w:t>
      </w:r>
    </w:p>
    <w:p w:rsidR="00784F27" w:rsidRDefault="00784F27" w:rsidP="00242B67">
      <w:pPr>
        <w:pStyle w:val="Odstavecseseznamem"/>
        <w:numPr>
          <w:ilvl w:val="0"/>
          <w:numId w:val="7"/>
        </w:numPr>
        <w:ind w:left="450" w:right="-90"/>
        <w:rPr>
          <w:rFonts w:ascii="Arial" w:hAnsi="Arial" w:cs="Arial"/>
          <w:b/>
          <w:i/>
        </w:rPr>
      </w:pPr>
      <w:r w:rsidRPr="009B14FE">
        <w:rPr>
          <w:rFonts w:ascii="Arial" w:hAnsi="Arial" w:cs="Arial"/>
          <w:b/>
          <w:i/>
        </w:rPr>
        <w:t xml:space="preserve">U.S. Operating Profit </w:t>
      </w:r>
      <w:r w:rsidR="00526305">
        <w:rPr>
          <w:rFonts w:ascii="Arial" w:hAnsi="Arial" w:cs="Arial"/>
          <w:b/>
          <w:i/>
        </w:rPr>
        <w:t xml:space="preserve">Rose </w:t>
      </w:r>
      <w:r w:rsidR="00D601D2">
        <w:rPr>
          <w:rFonts w:ascii="Arial" w:hAnsi="Arial" w:cs="Arial"/>
          <w:b/>
          <w:i/>
        </w:rPr>
        <w:t xml:space="preserve">Over </w:t>
      </w:r>
      <w:r w:rsidR="00F43C37">
        <w:rPr>
          <w:rFonts w:ascii="Arial" w:hAnsi="Arial" w:cs="Arial"/>
          <w:b/>
          <w:i/>
        </w:rPr>
        <w:t>28</w:t>
      </w:r>
      <w:r w:rsidR="000B5615" w:rsidRPr="009B14FE">
        <w:rPr>
          <w:rFonts w:ascii="Arial" w:hAnsi="Arial" w:cs="Arial"/>
          <w:b/>
          <w:i/>
        </w:rPr>
        <w:t xml:space="preserve">%; </w:t>
      </w:r>
      <w:r w:rsidR="00D601D2">
        <w:rPr>
          <w:rFonts w:ascii="Arial" w:hAnsi="Arial" w:cs="Arial"/>
          <w:b/>
          <w:i/>
        </w:rPr>
        <w:t>Grew</w:t>
      </w:r>
      <w:r w:rsidR="009E24AA" w:rsidRPr="009B14FE">
        <w:rPr>
          <w:rFonts w:ascii="Arial" w:hAnsi="Arial" w:cs="Arial"/>
          <w:b/>
          <w:i/>
        </w:rPr>
        <w:t xml:space="preserve"> </w:t>
      </w:r>
      <w:r w:rsidR="00F43C37">
        <w:rPr>
          <w:rFonts w:ascii="Arial" w:hAnsi="Arial" w:cs="Arial"/>
          <w:b/>
          <w:i/>
        </w:rPr>
        <w:t>Nearly 26</w:t>
      </w:r>
      <w:r w:rsidR="000B5615" w:rsidRPr="009B14FE">
        <w:rPr>
          <w:rFonts w:ascii="Arial" w:hAnsi="Arial" w:cs="Arial"/>
          <w:b/>
          <w:i/>
        </w:rPr>
        <w:t xml:space="preserve">% </w:t>
      </w:r>
      <w:r w:rsidRPr="009B14FE">
        <w:rPr>
          <w:rFonts w:ascii="Arial" w:hAnsi="Arial" w:cs="Arial"/>
          <w:b/>
          <w:i/>
        </w:rPr>
        <w:t xml:space="preserve">on an Adjusted Basis </w:t>
      </w:r>
    </w:p>
    <w:p w:rsidR="00F43C37" w:rsidRPr="009B14FE" w:rsidRDefault="00302B7F" w:rsidP="00242B67">
      <w:pPr>
        <w:pStyle w:val="Odstavecseseznamem"/>
        <w:numPr>
          <w:ilvl w:val="0"/>
          <w:numId w:val="7"/>
        </w:numPr>
        <w:ind w:left="450" w:right="-90"/>
        <w:rPr>
          <w:rFonts w:ascii="Arial" w:hAnsi="Arial" w:cs="Arial"/>
          <w:b/>
          <w:i/>
        </w:rPr>
      </w:pPr>
      <w:r>
        <w:rPr>
          <w:rFonts w:ascii="Arial" w:hAnsi="Arial" w:cs="Arial"/>
          <w:b/>
          <w:i/>
        </w:rPr>
        <w:t xml:space="preserve">Positive Operating Leverage in U.S. Driven </w:t>
      </w:r>
      <w:r w:rsidR="0001608E">
        <w:rPr>
          <w:rFonts w:ascii="Arial" w:hAnsi="Arial" w:cs="Arial"/>
          <w:b/>
          <w:i/>
        </w:rPr>
        <w:t>by</w:t>
      </w:r>
      <w:r>
        <w:rPr>
          <w:rFonts w:ascii="Arial" w:hAnsi="Arial" w:cs="Arial"/>
          <w:b/>
          <w:i/>
        </w:rPr>
        <w:t xml:space="preserve"> Lower Unit Cost</w:t>
      </w:r>
    </w:p>
    <w:p w:rsidR="00F43C37" w:rsidRDefault="00F43C37" w:rsidP="00242B67">
      <w:pPr>
        <w:pStyle w:val="Odstavecseseznamem"/>
        <w:numPr>
          <w:ilvl w:val="0"/>
          <w:numId w:val="7"/>
        </w:numPr>
        <w:ind w:left="450" w:right="-90"/>
        <w:rPr>
          <w:rFonts w:ascii="Arial" w:hAnsi="Arial" w:cs="Arial"/>
          <w:b/>
          <w:i/>
        </w:rPr>
      </w:pPr>
      <w:r>
        <w:rPr>
          <w:rFonts w:ascii="Arial" w:hAnsi="Arial" w:cs="Arial"/>
          <w:b/>
          <w:i/>
        </w:rPr>
        <w:t xml:space="preserve">International Operating Profit </w:t>
      </w:r>
      <w:r w:rsidR="00D601D2">
        <w:rPr>
          <w:rFonts w:ascii="Arial" w:hAnsi="Arial" w:cs="Arial"/>
          <w:b/>
          <w:i/>
        </w:rPr>
        <w:t>Up</w:t>
      </w:r>
      <w:r>
        <w:rPr>
          <w:rFonts w:ascii="Arial" w:hAnsi="Arial" w:cs="Arial"/>
          <w:b/>
          <w:i/>
        </w:rPr>
        <w:t xml:space="preserve"> 24.4%; </w:t>
      </w:r>
      <w:r w:rsidR="00D601D2">
        <w:rPr>
          <w:rFonts w:ascii="Arial" w:hAnsi="Arial" w:cs="Arial"/>
          <w:b/>
          <w:i/>
        </w:rPr>
        <w:t xml:space="preserve">and 20.3% on an </w:t>
      </w:r>
      <w:r>
        <w:rPr>
          <w:rFonts w:ascii="Arial" w:hAnsi="Arial" w:cs="Arial"/>
          <w:b/>
          <w:i/>
        </w:rPr>
        <w:t xml:space="preserve">Adjusted </w:t>
      </w:r>
      <w:r w:rsidR="00D601D2">
        <w:rPr>
          <w:rFonts w:ascii="Arial" w:hAnsi="Arial" w:cs="Arial"/>
          <w:b/>
          <w:i/>
        </w:rPr>
        <w:t>Basis</w:t>
      </w:r>
    </w:p>
    <w:p w:rsidR="00F04CB9" w:rsidRPr="009B14FE" w:rsidRDefault="000E6EAA" w:rsidP="00242B67">
      <w:pPr>
        <w:pStyle w:val="Odstavecseseznamem"/>
        <w:numPr>
          <w:ilvl w:val="0"/>
          <w:numId w:val="7"/>
        </w:numPr>
        <w:ind w:left="450" w:right="-90"/>
        <w:rPr>
          <w:rFonts w:ascii="Arial" w:hAnsi="Arial" w:cs="Arial"/>
          <w:b/>
          <w:i/>
        </w:rPr>
      </w:pPr>
      <w:r w:rsidRPr="009B14FE">
        <w:rPr>
          <w:rFonts w:ascii="Arial" w:hAnsi="Arial" w:cs="Arial"/>
          <w:b/>
          <w:i/>
        </w:rPr>
        <w:t>Supply Chain and Freight</w:t>
      </w:r>
      <w:r w:rsidR="00F04CB9" w:rsidRPr="009B14FE">
        <w:rPr>
          <w:rFonts w:ascii="Arial" w:hAnsi="Arial" w:cs="Arial"/>
          <w:b/>
          <w:i/>
        </w:rPr>
        <w:t xml:space="preserve"> Operating</w:t>
      </w:r>
      <w:r w:rsidR="00484FAD">
        <w:rPr>
          <w:rFonts w:ascii="Arial" w:hAnsi="Arial" w:cs="Arial"/>
          <w:b/>
          <w:i/>
        </w:rPr>
        <w:t xml:space="preserve"> Margin of</w:t>
      </w:r>
      <w:r w:rsidR="009300A4">
        <w:rPr>
          <w:rFonts w:ascii="Arial" w:hAnsi="Arial" w:cs="Arial"/>
          <w:b/>
          <w:i/>
        </w:rPr>
        <w:t xml:space="preserve"> </w:t>
      </w:r>
      <w:r w:rsidR="00C20226">
        <w:rPr>
          <w:rFonts w:ascii="Arial" w:hAnsi="Arial" w:cs="Arial"/>
          <w:b/>
          <w:i/>
        </w:rPr>
        <w:t>7.3</w:t>
      </w:r>
      <w:r w:rsidR="009B14FE" w:rsidRPr="009B14FE">
        <w:rPr>
          <w:rFonts w:ascii="Arial" w:hAnsi="Arial" w:cs="Arial"/>
          <w:b/>
          <w:i/>
        </w:rPr>
        <w:t>%</w:t>
      </w:r>
      <w:r w:rsidR="00C20226">
        <w:rPr>
          <w:rFonts w:ascii="Arial" w:hAnsi="Arial" w:cs="Arial"/>
          <w:b/>
          <w:i/>
        </w:rPr>
        <w:t>;</w:t>
      </w:r>
      <w:r w:rsidR="009B14FE">
        <w:rPr>
          <w:rFonts w:ascii="Arial" w:hAnsi="Arial" w:cs="Arial"/>
          <w:b/>
          <w:i/>
        </w:rPr>
        <w:t xml:space="preserve"> </w:t>
      </w:r>
      <w:r w:rsidR="00C20226">
        <w:rPr>
          <w:rFonts w:ascii="Arial" w:hAnsi="Arial" w:cs="Arial"/>
          <w:b/>
          <w:i/>
        </w:rPr>
        <w:t xml:space="preserve">Adjusted </w:t>
      </w:r>
      <w:r w:rsidR="00484FAD">
        <w:rPr>
          <w:rFonts w:ascii="Arial" w:hAnsi="Arial" w:cs="Arial"/>
          <w:b/>
          <w:i/>
        </w:rPr>
        <w:t>Margin</w:t>
      </w:r>
      <w:r w:rsidR="00C20226" w:rsidRPr="00143DBB">
        <w:rPr>
          <w:rFonts w:ascii="Arial" w:hAnsi="Arial" w:cs="Arial"/>
          <w:b/>
          <w:i/>
        </w:rPr>
        <w:t xml:space="preserve"> </w:t>
      </w:r>
      <w:r w:rsidR="00CB564F">
        <w:rPr>
          <w:rFonts w:ascii="Arial" w:hAnsi="Arial" w:cs="Arial"/>
          <w:b/>
          <w:i/>
        </w:rPr>
        <w:t>of</w:t>
      </w:r>
      <w:r w:rsidR="009300A4">
        <w:rPr>
          <w:rFonts w:ascii="Arial" w:hAnsi="Arial" w:cs="Arial"/>
          <w:b/>
          <w:i/>
        </w:rPr>
        <w:t xml:space="preserve"> </w:t>
      </w:r>
      <w:r w:rsidR="00C20226" w:rsidRPr="00143DBB">
        <w:rPr>
          <w:rFonts w:ascii="Arial" w:hAnsi="Arial" w:cs="Arial"/>
          <w:b/>
          <w:i/>
        </w:rPr>
        <w:t>7.6</w:t>
      </w:r>
      <w:r w:rsidR="009B14FE" w:rsidRPr="00143DBB">
        <w:rPr>
          <w:rFonts w:ascii="Arial" w:hAnsi="Arial" w:cs="Arial"/>
          <w:b/>
          <w:i/>
        </w:rPr>
        <w:t>%</w:t>
      </w:r>
    </w:p>
    <w:p w:rsidR="000E6EAA" w:rsidRPr="00242B67" w:rsidRDefault="00897A00" w:rsidP="00242B67">
      <w:pPr>
        <w:pStyle w:val="Odstavecseseznamem"/>
        <w:numPr>
          <w:ilvl w:val="0"/>
          <w:numId w:val="7"/>
        </w:numPr>
        <w:ind w:left="450" w:right="-90"/>
        <w:rPr>
          <w:rFonts w:ascii="Arial" w:hAnsi="Arial" w:cs="Arial"/>
          <w:szCs w:val="20"/>
        </w:rPr>
      </w:pPr>
      <w:r w:rsidRPr="00242B67">
        <w:rPr>
          <w:rFonts w:ascii="Arial" w:hAnsi="Arial" w:cs="Arial"/>
          <w:b/>
          <w:i/>
        </w:rPr>
        <w:t>Reaffirm</w:t>
      </w:r>
      <w:r w:rsidR="005F68EC">
        <w:rPr>
          <w:rFonts w:ascii="Arial" w:hAnsi="Arial" w:cs="Arial"/>
          <w:b/>
          <w:i/>
        </w:rPr>
        <w:t>s</w:t>
      </w:r>
      <w:r w:rsidRPr="00242B67">
        <w:rPr>
          <w:rFonts w:ascii="Arial" w:hAnsi="Arial" w:cs="Arial"/>
          <w:b/>
          <w:i/>
        </w:rPr>
        <w:t xml:space="preserve"> 2019 Adjusted EPS and Rais</w:t>
      </w:r>
      <w:r w:rsidR="004A06F1">
        <w:rPr>
          <w:rFonts w:ascii="Arial" w:hAnsi="Arial" w:cs="Arial"/>
          <w:b/>
          <w:i/>
        </w:rPr>
        <w:t>es</w:t>
      </w:r>
      <w:r w:rsidRPr="00242B67">
        <w:rPr>
          <w:rFonts w:ascii="Arial" w:hAnsi="Arial" w:cs="Arial"/>
          <w:b/>
          <w:i/>
        </w:rPr>
        <w:t xml:space="preserve"> </w:t>
      </w:r>
      <w:r w:rsidR="00667966" w:rsidRPr="00242B67">
        <w:rPr>
          <w:rFonts w:ascii="Arial" w:hAnsi="Arial" w:cs="Arial"/>
          <w:b/>
          <w:i/>
        </w:rPr>
        <w:t xml:space="preserve">Adjusted </w:t>
      </w:r>
      <w:r w:rsidRPr="00242B67">
        <w:rPr>
          <w:rFonts w:ascii="Arial" w:hAnsi="Arial" w:cs="Arial"/>
          <w:b/>
          <w:i/>
        </w:rPr>
        <w:t xml:space="preserve">FCF </w:t>
      </w:r>
      <w:r w:rsidR="00667966" w:rsidRPr="00242B67">
        <w:rPr>
          <w:rFonts w:ascii="Arial" w:hAnsi="Arial" w:cs="Arial"/>
          <w:b/>
          <w:i/>
        </w:rPr>
        <w:t>Target</w:t>
      </w:r>
      <w:r w:rsidRPr="00242B67">
        <w:rPr>
          <w:rFonts w:ascii="Arial" w:hAnsi="Arial" w:cs="Arial"/>
          <w:b/>
          <w:i/>
        </w:rPr>
        <w:t xml:space="preserve"> to Over $4.0B</w:t>
      </w:r>
    </w:p>
    <w:p w:rsidR="000E6EAA" w:rsidRDefault="000E6EAA" w:rsidP="000E6EAA">
      <w:pPr>
        <w:pStyle w:val="Odstavecseseznamem"/>
        <w:ind w:left="540"/>
        <w:rPr>
          <w:rFonts w:ascii="Arial" w:hAnsi="Arial" w:cs="Arial"/>
          <w:szCs w:val="20"/>
        </w:rPr>
      </w:pPr>
    </w:p>
    <w:p w:rsidR="00F611B3" w:rsidRPr="000D6B1E" w:rsidRDefault="00F611B3" w:rsidP="000E6EAA">
      <w:pPr>
        <w:pStyle w:val="Odstavecseseznamem"/>
        <w:ind w:left="540"/>
        <w:rPr>
          <w:rFonts w:ascii="Arial" w:hAnsi="Arial" w:cs="Arial"/>
          <w:szCs w:val="20"/>
        </w:rPr>
      </w:pPr>
    </w:p>
    <w:p w:rsidR="00BA4900" w:rsidRDefault="004F5DA4" w:rsidP="000E624D">
      <w:pPr>
        <w:rPr>
          <w:rFonts w:ascii="Arial" w:hAnsi="Arial" w:cs="Arial"/>
          <w:sz w:val="22"/>
        </w:rPr>
      </w:pPr>
      <w:r w:rsidRPr="00D352EF">
        <w:rPr>
          <w:rFonts w:ascii="Arial" w:hAnsi="Arial" w:cs="Arial"/>
          <w:b/>
        </w:rPr>
        <w:t>A</w:t>
      </w:r>
      <w:r w:rsidR="006376D6" w:rsidRPr="00D352EF">
        <w:rPr>
          <w:rFonts w:ascii="Arial" w:hAnsi="Arial" w:cs="Arial"/>
          <w:b/>
        </w:rPr>
        <w:t xml:space="preserve">TLANTA </w:t>
      </w:r>
      <w:r w:rsidR="00456224" w:rsidRPr="00D352EF">
        <w:rPr>
          <w:rFonts w:ascii="Arial" w:hAnsi="Arial" w:cs="Arial"/>
          <w:b/>
        </w:rPr>
        <w:t>–</w:t>
      </w:r>
      <w:r w:rsidR="005855A9" w:rsidRPr="00D352EF">
        <w:rPr>
          <w:rFonts w:ascii="Arial" w:hAnsi="Arial" w:cs="Arial"/>
          <w:b/>
        </w:rPr>
        <w:t xml:space="preserve"> </w:t>
      </w:r>
      <w:r w:rsidR="00FE3BBD">
        <w:rPr>
          <w:rFonts w:ascii="Arial" w:hAnsi="Arial" w:cs="Arial"/>
          <w:b/>
        </w:rPr>
        <w:t>October 22</w:t>
      </w:r>
      <w:r w:rsidR="005855A9" w:rsidRPr="00D352EF">
        <w:rPr>
          <w:rFonts w:ascii="Arial" w:hAnsi="Arial" w:cs="Arial"/>
          <w:b/>
        </w:rPr>
        <w:t>, 201</w:t>
      </w:r>
      <w:r w:rsidR="00B53A21" w:rsidRPr="00D352EF">
        <w:rPr>
          <w:rFonts w:ascii="Arial" w:hAnsi="Arial" w:cs="Arial"/>
          <w:b/>
        </w:rPr>
        <w:t>9</w:t>
      </w:r>
      <w:r w:rsidR="005855A9" w:rsidRPr="00D352EF">
        <w:rPr>
          <w:rFonts w:ascii="Arial" w:hAnsi="Arial" w:cs="Arial"/>
          <w:sz w:val="22"/>
        </w:rPr>
        <w:t xml:space="preserve"> – </w:t>
      </w:r>
      <w:r w:rsidR="005855A9" w:rsidRPr="006C44B7">
        <w:rPr>
          <w:rFonts w:ascii="Arial" w:hAnsi="Arial" w:cs="Arial"/>
          <w:sz w:val="22"/>
        </w:rPr>
        <w:t xml:space="preserve">UPS (NYSE:UPS) today </w:t>
      </w:r>
      <w:r w:rsidR="00B47330" w:rsidRPr="006C44B7">
        <w:rPr>
          <w:rFonts w:ascii="Arial" w:hAnsi="Arial" w:cs="Arial"/>
          <w:sz w:val="22"/>
        </w:rPr>
        <w:t xml:space="preserve">announced </w:t>
      </w:r>
      <w:r w:rsidR="00FE3BBD">
        <w:rPr>
          <w:rFonts w:ascii="Arial" w:hAnsi="Arial" w:cs="Arial"/>
          <w:sz w:val="22"/>
        </w:rPr>
        <w:t>third</w:t>
      </w:r>
      <w:r w:rsidR="00A93D14" w:rsidRPr="006C44B7">
        <w:rPr>
          <w:rFonts w:ascii="Arial" w:hAnsi="Arial" w:cs="Arial"/>
          <w:sz w:val="22"/>
        </w:rPr>
        <w:t>-</w:t>
      </w:r>
      <w:r w:rsidR="00C36109" w:rsidRPr="006C44B7">
        <w:rPr>
          <w:rFonts w:ascii="Arial" w:hAnsi="Arial" w:cs="Arial"/>
          <w:sz w:val="22"/>
        </w:rPr>
        <w:t>quarter</w:t>
      </w:r>
      <w:r w:rsidR="000C772F" w:rsidRPr="006C44B7">
        <w:rPr>
          <w:rFonts w:ascii="Arial" w:hAnsi="Arial" w:cs="Arial"/>
          <w:sz w:val="22"/>
        </w:rPr>
        <w:t xml:space="preserve"> </w:t>
      </w:r>
      <w:r w:rsidR="000009AD" w:rsidRPr="006C44B7">
        <w:rPr>
          <w:rFonts w:ascii="Arial" w:hAnsi="Arial" w:cs="Arial"/>
          <w:sz w:val="22"/>
        </w:rPr>
        <w:t>2019</w:t>
      </w:r>
      <w:r w:rsidR="0015541E" w:rsidRPr="006C44B7">
        <w:rPr>
          <w:rFonts w:ascii="Arial" w:hAnsi="Arial" w:cs="Arial"/>
          <w:sz w:val="22"/>
        </w:rPr>
        <w:t xml:space="preserve"> </w:t>
      </w:r>
      <w:r w:rsidR="00B7062A">
        <w:rPr>
          <w:rFonts w:ascii="Arial" w:hAnsi="Arial" w:cs="Arial"/>
          <w:sz w:val="22"/>
        </w:rPr>
        <w:t xml:space="preserve">adjusted </w:t>
      </w:r>
      <w:r w:rsidR="00D55C30">
        <w:rPr>
          <w:rFonts w:ascii="Arial" w:hAnsi="Arial" w:cs="Arial"/>
          <w:sz w:val="22"/>
        </w:rPr>
        <w:t>earning</w:t>
      </w:r>
      <w:r w:rsidR="00143DBB">
        <w:rPr>
          <w:rFonts w:ascii="Arial" w:hAnsi="Arial" w:cs="Arial"/>
          <w:sz w:val="22"/>
        </w:rPr>
        <w:t>s per share of $2.07</w:t>
      </w:r>
      <w:r w:rsidR="00763D9B">
        <w:rPr>
          <w:rFonts w:ascii="Arial" w:hAnsi="Arial" w:cs="Arial"/>
          <w:sz w:val="22"/>
        </w:rPr>
        <w:t>, a 13.7% increase over the same period last year</w:t>
      </w:r>
      <w:r w:rsidR="00B7062A" w:rsidRPr="009B14FE">
        <w:rPr>
          <w:rFonts w:ascii="Arial" w:hAnsi="Arial" w:cs="Arial"/>
          <w:sz w:val="22"/>
        </w:rPr>
        <w:t xml:space="preserve">. </w:t>
      </w:r>
      <w:r w:rsidR="00F04CB9" w:rsidRPr="009B14FE">
        <w:rPr>
          <w:rFonts w:ascii="Arial" w:hAnsi="Arial" w:cs="Arial"/>
          <w:sz w:val="22"/>
        </w:rPr>
        <w:t xml:space="preserve"> </w:t>
      </w:r>
      <w:r w:rsidR="00C27D1C">
        <w:rPr>
          <w:rFonts w:ascii="Arial" w:hAnsi="Arial" w:cs="Arial"/>
          <w:sz w:val="22"/>
        </w:rPr>
        <w:t>The company delivered</w:t>
      </w:r>
      <w:r w:rsidR="00CC6E97">
        <w:rPr>
          <w:rFonts w:ascii="Arial" w:hAnsi="Arial" w:cs="Arial"/>
          <w:sz w:val="22"/>
        </w:rPr>
        <w:t xml:space="preserve"> strong operating profit growth</w:t>
      </w:r>
      <w:r w:rsidR="00296586">
        <w:rPr>
          <w:rFonts w:ascii="Arial" w:hAnsi="Arial" w:cs="Arial"/>
          <w:sz w:val="22"/>
        </w:rPr>
        <w:t xml:space="preserve"> of more than 20%</w:t>
      </w:r>
      <w:r w:rsidR="00CC6E97">
        <w:rPr>
          <w:rFonts w:ascii="Arial" w:hAnsi="Arial" w:cs="Arial"/>
          <w:sz w:val="22"/>
        </w:rPr>
        <w:t>, led by the U.S. Domestic and International segments. U.S. Domestic performed exceptionally well</w:t>
      </w:r>
      <w:r w:rsidR="000F67F5">
        <w:rPr>
          <w:rFonts w:ascii="Arial" w:hAnsi="Arial" w:cs="Arial"/>
          <w:sz w:val="22"/>
        </w:rPr>
        <w:t xml:space="preserve"> year-over-year</w:t>
      </w:r>
      <w:r w:rsidR="00441EEC">
        <w:rPr>
          <w:rFonts w:ascii="Arial" w:hAnsi="Arial" w:cs="Arial"/>
          <w:sz w:val="22"/>
        </w:rPr>
        <w:t>,</w:t>
      </w:r>
      <w:r w:rsidR="00CC6E97">
        <w:rPr>
          <w:rFonts w:ascii="Arial" w:hAnsi="Arial" w:cs="Arial"/>
          <w:sz w:val="22"/>
        </w:rPr>
        <w:t xml:space="preserve"> with volume gains across all products. </w:t>
      </w:r>
      <w:r w:rsidR="00C27D1C">
        <w:rPr>
          <w:rFonts w:ascii="Arial" w:hAnsi="Arial" w:cs="Arial"/>
          <w:sz w:val="22"/>
        </w:rPr>
        <w:t xml:space="preserve"> </w:t>
      </w:r>
    </w:p>
    <w:p w:rsidR="00C27D1C" w:rsidRPr="00C27D1C" w:rsidRDefault="00C27D1C" w:rsidP="000E624D">
      <w:pPr>
        <w:rPr>
          <w:rFonts w:ascii="Arial" w:hAnsi="Arial" w:cs="Arial"/>
          <w:color w:val="FF0000"/>
          <w:sz w:val="22"/>
          <w:szCs w:val="22"/>
        </w:rPr>
      </w:pPr>
    </w:p>
    <w:p w:rsidR="00D55C30" w:rsidRPr="009B14FE" w:rsidRDefault="007C6A90" w:rsidP="000E624D">
      <w:pPr>
        <w:rPr>
          <w:rFonts w:ascii="Arial" w:hAnsi="Arial" w:cs="Arial"/>
          <w:sz w:val="22"/>
        </w:rPr>
      </w:pPr>
      <w:r w:rsidRPr="009B14FE">
        <w:rPr>
          <w:rFonts w:ascii="Arial" w:hAnsi="Arial" w:cs="Arial"/>
          <w:sz w:val="22"/>
        </w:rPr>
        <w:t>“</w:t>
      </w:r>
      <w:r w:rsidR="00740056">
        <w:rPr>
          <w:rFonts w:ascii="Arial" w:hAnsi="Arial" w:cs="Arial"/>
          <w:sz w:val="22"/>
        </w:rPr>
        <w:t xml:space="preserve">Our results reflect </w:t>
      </w:r>
      <w:r w:rsidR="008C1CE5">
        <w:rPr>
          <w:rFonts w:ascii="Arial" w:hAnsi="Arial" w:cs="Arial"/>
          <w:sz w:val="22"/>
        </w:rPr>
        <w:t>significant</w:t>
      </w:r>
      <w:r w:rsidR="00740056">
        <w:rPr>
          <w:rFonts w:ascii="Arial" w:hAnsi="Arial" w:cs="Arial"/>
          <w:sz w:val="22"/>
        </w:rPr>
        <w:t xml:space="preserve"> progress from our </w:t>
      </w:r>
      <w:r w:rsidR="00A010F7">
        <w:rPr>
          <w:rFonts w:ascii="Arial" w:hAnsi="Arial" w:cs="Arial"/>
          <w:sz w:val="22"/>
        </w:rPr>
        <w:t>t</w:t>
      </w:r>
      <w:r w:rsidR="00740056" w:rsidRPr="00695E0B">
        <w:rPr>
          <w:rFonts w:ascii="Arial" w:hAnsi="Arial" w:cs="Arial"/>
          <w:sz w:val="22"/>
        </w:rPr>
        <w:t>ransformation initiatives</w:t>
      </w:r>
      <w:r w:rsidR="00C27D1C" w:rsidRPr="00695E0B">
        <w:rPr>
          <w:rFonts w:ascii="Arial" w:hAnsi="Arial" w:cs="Arial"/>
          <w:sz w:val="22"/>
        </w:rPr>
        <w:t>,</w:t>
      </w:r>
      <w:r w:rsidR="00740056" w:rsidRPr="00695E0B">
        <w:rPr>
          <w:rFonts w:ascii="Arial" w:hAnsi="Arial" w:cs="Arial"/>
          <w:sz w:val="22"/>
        </w:rPr>
        <w:t xml:space="preserve"> </w:t>
      </w:r>
      <w:r w:rsidR="00C27D1C" w:rsidRPr="00695E0B">
        <w:rPr>
          <w:rFonts w:ascii="Arial" w:hAnsi="Arial" w:cs="Arial"/>
          <w:sz w:val="22"/>
        </w:rPr>
        <w:t xml:space="preserve">and our ability </w:t>
      </w:r>
      <w:r w:rsidR="00740056" w:rsidRPr="00695E0B">
        <w:rPr>
          <w:rFonts w:ascii="Arial" w:hAnsi="Arial" w:cs="Arial"/>
          <w:sz w:val="22"/>
        </w:rPr>
        <w:t xml:space="preserve">to generate growth </w:t>
      </w:r>
      <w:r w:rsidR="008C1CE5">
        <w:rPr>
          <w:rFonts w:ascii="Arial" w:hAnsi="Arial" w:cs="Arial"/>
          <w:sz w:val="22"/>
        </w:rPr>
        <w:t>and</w:t>
      </w:r>
      <w:r w:rsidR="00740056" w:rsidRPr="00695E0B">
        <w:rPr>
          <w:rFonts w:ascii="Arial" w:hAnsi="Arial" w:cs="Arial"/>
          <w:sz w:val="22"/>
        </w:rPr>
        <w:t xml:space="preserve"> deliver increased</w:t>
      </w:r>
      <w:r w:rsidR="0061713E" w:rsidRPr="00695E0B">
        <w:rPr>
          <w:rFonts w:ascii="Arial" w:hAnsi="Arial" w:cs="Arial"/>
          <w:sz w:val="22"/>
        </w:rPr>
        <w:t xml:space="preserve"> efficiencies</w:t>
      </w:r>
      <w:r w:rsidR="00740056" w:rsidRPr="00695E0B">
        <w:rPr>
          <w:rFonts w:ascii="Arial" w:hAnsi="Arial" w:cs="Arial"/>
          <w:sz w:val="22"/>
        </w:rPr>
        <w:t xml:space="preserve"> in </w:t>
      </w:r>
      <w:r w:rsidR="005354BA" w:rsidRPr="00695E0B">
        <w:rPr>
          <w:rFonts w:ascii="Arial" w:hAnsi="Arial" w:cs="Arial"/>
          <w:sz w:val="22"/>
        </w:rPr>
        <w:t xml:space="preserve">a dynamic </w:t>
      </w:r>
      <w:r w:rsidR="002618DB" w:rsidRPr="00695E0B">
        <w:rPr>
          <w:rFonts w:ascii="Arial" w:hAnsi="Arial" w:cs="Arial"/>
          <w:sz w:val="22"/>
        </w:rPr>
        <w:t>economic</w:t>
      </w:r>
      <w:r w:rsidR="00740056" w:rsidRPr="00695E0B">
        <w:rPr>
          <w:rFonts w:ascii="Arial" w:hAnsi="Arial" w:cs="Arial"/>
          <w:sz w:val="22"/>
        </w:rPr>
        <w:t xml:space="preserve"> </w:t>
      </w:r>
      <w:r w:rsidR="005354BA" w:rsidRPr="00695E0B">
        <w:rPr>
          <w:rFonts w:ascii="Arial" w:hAnsi="Arial" w:cs="Arial"/>
          <w:sz w:val="22"/>
        </w:rPr>
        <w:t>en</w:t>
      </w:r>
      <w:r w:rsidR="00740056" w:rsidRPr="00695E0B">
        <w:rPr>
          <w:rFonts w:ascii="Arial" w:hAnsi="Arial" w:cs="Arial"/>
          <w:sz w:val="22"/>
        </w:rPr>
        <w:t>vironment</w:t>
      </w:r>
      <w:r w:rsidRPr="00695E0B">
        <w:rPr>
          <w:rFonts w:ascii="Arial" w:hAnsi="Arial" w:cs="Arial"/>
          <w:sz w:val="22"/>
        </w:rPr>
        <w:t>,”</w:t>
      </w:r>
      <w:r w:rsidRPr="009B14FE">
        <w:rPr>
          <w:rFonts w:ascii="Arial" w:hAnsi="Arial" w:cs="Arial"/>
          <w:sz w:val="22"/>
        </w:rPr>
        <w:t xml:space="preserve"> said David Abney, UPS chairman and CEO</w:t>
      </w:r>
      <w:r w:rsidR="00541809" w:rsidRPr="009B14FE">
        <w:rPr>
          <w:rFonts w:ascii="Arial" w:hAnsi="Arial" w:cs="Arial"/>
          <w:sz w:val="22"/>
        </w:rPr>
        <w:t xml:space="preserve">. </w:t>
      </w:r>
      <w:r w:rsidRPr="009B14FE">
        <w:rPr>
          <w:rFonts w:ascii="Arial" w:hAnsi="Arial" w:cs="Arial"/>
          <w:sz w:val="22"/>
        </w:rPr>
        <w:t>“</w:t>
      </w:r>
      <w:r w:rsidR="002618DB">
        <w:rPr>
          <w:rFonts w:ascii="Arial" w:hAnsi="Arial" w:cs="Arial"/>
          <w:sz w:val="22"/>
        </w:rPr>
        <w:t>A</w:t>
      </w:r>
      <w:r w:rsidR="00B744D6">
        <w:rPr>
          <w:rFonts w:ascii="Arial" w:hAnsi="Arial" w:cs="Arial"/>
          <w:sz w:val="22"/>
        </w:rPr>
        <w:t>s we recently announced, we co</w:t>
      </w:r>
      <w:r w:rsidR="002618DB">
        <w:rPr>
          <w:rFonts w:ascii="Arial" w:hAnsi="Arial" w:cs="Arial"/>
          <w:sz w:val="22"/>
        </w:rPr>
        <w:t>ntinue</w:t>
      </w:r>
      <w:r w:rsidR="0057132D">
        <w:rPr>
          <w:rFonts w:ascii="Arial" w:hAnsi="Arial" w:cs="Arial"/>
          <w:sz w:val="22"/>
        </w:rPr>
        <w:t xml:space="preserve"> to </w:t>
      </w:r>
      <w:r w:rsidR="002618DB">
        <w:rPr>
          <w:rFonts w:ascii="Arial" w:hAnsi="Arial" w:cs="Arial"/>
          <w:sz w:val="22"/>
        </w:rPr>
        <w:t>forge</w:t>
      </w:r>
      <w:r w:rsidR="00526305">
        <w:rPr>
          <w:rFonts w:ascii="Arial" w:hAnsi="Arial" w:cs="Arial"/>
          <w:sz w:val="22"/>
        </w:rPr>
        <w:t xml:space="preserve"> new</w:t>
      </w:r>
      <w:r w:rsidR="0057132D">
        <w:rPr>
          <w:rFonts w:ascii="Arial" w:hAnsi="Arial" w:cs="Arial"/>
          <w:sz w:val="22"/>
        </w:rPr>
        <w:t xml:space="preserve"> </w:t>
      </w:r>
      <w:r w:rsidR="00B744D6">
        <w:rPr>
          <w:rFonts w:ascii="Arial" w:hAnsi="Arial" w:cs="Arial"/>
          <w:sz w:val="22"/>
        </w:rPr>
        <w:t xml:space="preserve">partnerships and </w:t>
      </w:r>
      <w:r w:rsidR="002618DB">
        <w:rPr>
          <w:rFonts w:ascii="Arial" w:hAnsi="Arial" w:cs="Arial"/>
          <w:sz w:val="22"/>
        </w:rPr>
        <w:t xml:space="preserve">create innovative </w:t>
      </w:r>
      <w:r w:rsidR="00B744D6">
        <w:rPr>
          <w:rFonts w:ascii="Arial" w:hAnsi="Arial" w:cs="Arial"/>
          <w:sz w:val="22"/>
        </w:rPr>
        <w:t xml:space="preserve">solutions </w:t>
      </w:r>
      <w:r w:rsidR="002618DB">
        <w:rPr>
          <w:rFonts w:ascii="Arial" w:hAnsi="Arial" w:cs="Arial"/>
          <w:sz w:val="22"/>
        </w:rPr>
        <w:t>to accelerate</w:t>
      </w:r>
      <w:r w:rsidR="00B744D6">
        <w:rPr>
          <w:rFonts w:ascii="Arial" w:hAnsi="Arial" w:cs="Arial"/>
          <w:sz w:val="22"/>
        </w:rPr>
        <w:t xml:space="preserve"> grow</w:t>
      </w:r>
      <w:r w:rsidR="00C27D1C">
        <w:rPr>
          <w:rFonts w:ascii="Arial" w:hAnsi="Arial" w:cs="Arial"/>
          <w:sz w:val="22"/>
        </w:rPr>
        <w:t>th</w:t>
      </w:r>
      <w:r w:rsidR="00B744D6">
        <w:rPr>
          <w:rFonts w:ascii="Arial" w:hAnsi="Arial" w:cs="Arial"/>
          <w:sz w:val="22"/>
        </w:rPr>
        <w:t xml:space="preserve"> </w:t>
      </w:r>
      <w:r w:rsidR="002618DB">
        <w:rPr>
          <w:rFonts w:ascii="Arial" w:hAnsi="Arial" w:cs="Arial"/>
          <w:sz w:val="22"/>
        </w:rPr>
        <w:t>in</w:t>
      </w:r>
      <w:r w:rsidR="00526305">
        <w:rPr>
          <w:rFonts w:ascii="Arial" w:hAnsi="Arial" w:cs="Arial"/>
          <w:sz w:val="22"/>
        </w:rPr>
        <w:t xml:space="preserve"> the most attractive </w:t>
      </w:r>
      <w:r w:rsidR="00B744D6">
        <w:rPr>
          <w:rFonts w:ascii="Arial" w:hAnsi="Arial" w:cs="Arial"/>
          <w:sz w:val="22"/>
        </w:rPr>
        <w:t>opportunities</w:t>
      </w:r>
      <w:r w:rsidR="00111F2F" w:rsidRPr="009B14FE">
        <w:rPr>
          <w:rFonts w:ascii="Arial" w:hAnsi="Arial" w:cs="Arial"/>
          <w:sz w:val="22"/>
        </w:rPr>
        <w:t>.”</w:t>
      </w:r>
      <w:r w:rsidR="00AF271E" w:rsidRPr="009B14FE">
        <w:rPr>
          <w:rFonts w:ascii="Arial" w:hAnsi="Arial" w:cs="Arial"/>
          <w:sz w:val="22"/>
        </w:rPr>
        <w:t xml:space="preserve"> </w:t>
      </w:r>
    </w:p>
    <w:p w:rsidR="00B60032" w:rsidRDefault="00B60032" w:rsidP="000E624D">
      <w:pPr>
        <w:rPr>
          <w:rFonts w:ascii="Arial" w:hAnsi="Arial" w:cs="Arial"/>
          <w:sz w:val="22"/>
        </w:rPr>
      </w:pPr>
    </w:p>
    <w:p w:rsidR="00B60032" w:rsidRPr="00B60032" w:rsidRDefault="00A21B5B" w:rsidP="00B60032">
      <w:pPr>
        <w:rPr>
          <w:rFonts w:ascii="Arial" w:hAnsi="Arial" w:cs="Arial"/>
          <w:sz w:val="22"/>
        </w:rPr>
      </w:pPr>
      <w:r>
        <w:rPr>
          <w:rFonts w:ascii="Arial" w:hAnsi="Arial" w:cs="Arial"/>
          <w:sz w:val="22"/>
        </w:rPr>
        <w:t>Transformation strategy costs</w:t>
      </w:r>
      <w:r w:rsidR="0057132D">
        <w:rPr>
          <w:rFonts w:ascii="Arial" w:hAnsi="Arial" w:cs="Arial"/>
          <w:sz w:val="22"/>
        </w:rPr>
        <w:t xml:space="preserve"> are excluded from</w:t>
      </w:r>
      <w:r w:rsidR="00613688">
        <w:rPr>
          <w:rFonts w:ascii="Arial" w:hAnsi="Arial" w:cs="Arial"/>
          <w:sz w:val="22"/>
        </w:rPr>
        <w:t xml:space="preserve"> adjusted </w:t>
      </w:r>
      <w:r w:rsidR="00833324">
        <w:rPr>
          <w:rFonts w:ascii="Arial" w:hAnsi="Arial" w:cs="Arial"/>
          <w:sz w:val="22"/>
        </w:rPr>
        <w:t>results</w:t>
      </w:r>
      <w:r>
        <w:rPr>
          <w:rFonts w:ascii="Arial" w:hAnsi="Arial" w:cs="Arial"/>
          <w:sz w:val="22"/>
        </w:rPr>
        <w:t xml:space="preserve">. </w:t>
      </w:r>
      <w:r w:rsidR="00A010F7">
        <w:rPr>
          <w:rFonts w:ascii="Arial" w:hAnsi="Arial" w:cs="Arial"/>
          <w:sz w:val="22"/>
        </w:rPr>
        <w:t>Adjusted t</w:t>
      </w:r>
      <w:r w:rsidR="00FE3BBD">
        <w:rPr>
          <w:rFonts w:ascii="Arial" w:hAnsi="Arial" w:cs="Arial"/>
          <w:sz w:val="22"/>
        </w:rPr>
        <w:t>hird</w:t>
      </w:r>
      <w:r w:rsidR="00B60032" w:rsidRPr="00B60032">
        <w:rPr>
          <w:rFonts w:ascii="Arial" w:hAnsi="Arial" w:cs="Arial"/>
          <w:sz w:val="22"/>
        </w:rPr>
        <w:t xml:space="preserve">-quarter </w:t>
      </w:r>
      <w:r w:rsidR="00032DEA">
        <w:rPr>
          <w:rFonts w:ascii="Arial" w:hAnsi="Arial" w:cs="Arial"/>
          <w:sz w:val="22"/>
        </w:rPr>
        <w:t xml:space="preserve">2019 </w:t>
      </w:r>
      <w:r w:rsidR="00B60032" w:rsidRPr="00B60032">
        <w:rPr>
          <w:rFonts w:ascii="Arial" w:hAnsi="Arial" w:cs="Arial"/>
          <w:sz w:val="22"/>
        </w:rPr>
        <w:t xml:space="preserve"> results</w:t>
      </w:r>
      <w:r w:rsidR="00FE3BBD">
        <w:rPr>
          <w:rFonts w:ascii="Arial" w:hAnsi="Arial" w:cs="Arial"/>
          <w:sz w:val="22"/>
        </w:rPr>
        <w:t xml:space="preserve"> exclude a pre-tax</w:t>
      </w:r>
      <w:r w:rsidR="008D7AC2">
        <w:rPr>
          <w:rFonts w:ascii="Arial" w:hAnsi="Arial" w:cs="Arial"/>
          <w:sz w:val="22"/>
        </w:rPr>
        <w:t xml:space="preserve"> </w:t>
      </w:r>
      <w:r w:rsidR="00A010F7">
        <w:rPr>
          <w:rFonts w:ascii="Arial" w:hAnsi="Arial" w:cs="Arial"/>
          <w:sz w:val="22"/>
        </w:rPr>
        <w:t xml:space="preserve">transformation </w:t>
      </w:r>
      <w:r w:rsidR="008D7AC2">
        <w:rPr>
          <w:rFonts w:ascii="Arial" w:hAnsi="Arial" w:cs="Arial"/>
          <w:sz w:val="22"/>
        </w:rPr>
        <w:t>charge of $63 million, or $0.06</w:t>
      </w:r>
      <w:r w:rsidR="00B60032" w:rsidRPr="00B60032">
        <w:rPr>
          <w:rFonts w:ascii="Arial" w:hAnsi="Arial" w:cs="Arial"/>
          <w:sz w:val="22"/>
        </w:rPr>
        <w:t xml:space="preserve"> per </w:t>
      </w:r>
      <w:r w:rsidR="008128A1">
        <w:rPr>
          <w:rFonts w:ascii="Arial" w:hAnsi="Arial" w:cs="Arial"/>
          <w:sz w:val="22"/>
        </w:rPr>
        <w:t>diluted</w:t>
      </w:r>
      <w:r w:rsidR="0057132D">
        <w:rPr>
          <w:rFonts w:ascii="Arial" w:hAnsi="Arial" w:cs="Arial"/>
          <w:sz w:val="22"/>
        </w:rPr>
        <w:t xml:space="preserve"> share </w:t>
      </w:r>
      <w:r w:rsidR="00B60032" w:rsidRPr="00B60032">
        <w:rPr>
          <w:rFonts w:ascii="Arial" w:hAnsi="Arial" w:cs="Arial"/>
          <w:sz w:val="22"/>
        </w:rPr>
        <w:t>after tax</w:t>
      </w:r>
      <w:r>
        <w:rPr>
          <w:rFonts w:ascii="Arial" w:hAnsi="Arial" w:cs="Arial"/>
          <w:sz w:val="22"/>
        </w:rPr>
        <w:t>.</w:t>
      </w:r>
      <w:r w:rsidR="00965BCE">
        <w:rPr>
          <w:rFonts w:ascii="Arial" w:hAnsi="Arial" w:cs="Arial"/>
          <w:sz w:val="22"/>
        </w:rPr>
        <w:t xml:space="preserve"> </w:t>
      </w:r>
      <w:r w:rsidR="00B60032" w:rsidRPr="00B60032">
        <w:rPr>
          <w:rFonts w:ascii="Arial" w:hAnsi="Arial" w:cs="Arial"/>
          <w:sz w:val="22"/>
        </w:rPr>
        <w:t xml:space="preserve"> </w:t>
      </w:r>
      <w:r w:rsidR="00A010F7">
        <w:rPr>
          <w:rFonts w:ascii="Arial" w:hAnsi="Arial" w:cs="Arial"/>
          <w:sz w:val="22"/>
        </w:rPr>
        <w:t>Adjusted t</w:t>
      </w:r>
      <w:r w:rsidR="00FE3BBD">
        <w:rPr>
          <w:rFonts w:ascii="Arial" w:hAnsi="Arial" w:cs="Arial"/>
          <w:sz w:val="22"/>
        </w:rPr>
        <w:t>hird</w:t>
      </w:r>
      <w:r w:rsidR="00B60032" w:rsidRPr="00B60032">
        <w:rPr>
          <w:rFonts w:ascii="Arial" w:hAnsi="Arial" w:cs="Arial"/>
          <w:sz w:val="22"/>
        </w:rPr>
        <w:t>-quarter 2018 results e</w:t>
      </w:r>
      <w:r w:rsidR="00FE3BBD">
        <w:rPr>
          <w:rFonts w:ascii="Arial" w:hAnsi="Arial" w:cs="Arial"/>
          <w:sz w:val="22"/>
        </w:rPr>
        <w:t xml:space="preserve">xcluded a pre-tax </w:t>
      </w:r>
      <w:r w:rsidR="00A010F7">
        <w:rPr>
          <w:rFonts w:ascii="Arial" w:hAnsi="Arial" w:cs="Arial"/>
          <w:sz w:val="22"/>
        </w:rPr>
        <w:t xml:space="preserve">transformation </w:t>
      </w:r>
      <w:r w:rsidR="00FE3BBD">
        <w:rPr>
          <w:rFonts w:ascii="Arial" w:hAnsi="Arial" w:cs="Arial"/>
          <w:sz w:val="22"/>
        </w:rPr>
        <w:t>charge of $97</w:t>
      </w:r>
      <w:r w:rsidR="00B60032" w:rsidRPr="00B60032">
        <w:rPr>
          <w:rFonts w:ascii="Arial" w:hAnsi="Arial" w:cs="Arial"/>
          <w:sz w:val="22"/>
        </w:rPr>
        <w:t xml:space="preserve"> million, or $0.</w:t>
      </w:r>
      <w:r w:rsidR="00FE3BBD">
        <w:rPr>
          <w:rFonts w:ascii="Arial" w:hAnsi="Arial" w:cs="Arial"/>
          <w:sz w:val="22"/>
        </w:rPr>
        <w:t>09</w:t>
      </w:r>
      <w:r w:rsidR="00AB429A">
        <w:rPr>
          <w:rFonts w:ascii="Arial" w:hAnsi="Arial" w:cs="Arial"/>
          <w:sz w:val="22"/>
        </w:rPr>
        <w:t xml:space="preserve"> per share after </w:t>
      </w:r>
      <w:r w:rsidR="000E025E">
        <w:rPr>
          <w:rFonts w:ascii="Arial" w:hAnsi="Arial" w:cs="Arial"/>
          <w:sz w:val="22"/>
        </w:rPr>
        <w:t>tax</w:t>
      </w:r>
      <w:r w:rsidR="00E5038A">
        <w:rPr>
          <w:rFonts w:ascii="Arial" w:hAnsi="Arial" w:cs="Arial"/>
          <w:sz w:val="22"/>
        </w:rPr>
        <w:t xml:space="preserve">. </w:t>
      </w:r>
      <w:r w:rsidR="00B60032" w:rsidRPr="00B60032">
        <w:rPr>
          <w:rFonts w:ascii="Arial" w:hAnsi="Arial" w:cs="Arial"/>
          <w:sz w:val="22"/>
        </w:rPr>
        <w:t xml:space="preserve"> </w:t>
      </w:r>
    </w:p>
    <w:p w:rsidR="00E77F05" w:rsidRPr="00005E38" w:rsidRDefault="00E77F05" w:rsidP="00C73DB7">
      <w:pPr>
        <w:rPr>
          <w:rFonts w:ascii="Arial" w:hAnsi="Arial" w:cs="Arial"/>
          <w:sz w:val="22"/>
        </w:rPr>
      </w:pPr>
    </w:p>
    <w:tbl>
      <w:tblPr>
        <w:tblStyle w:val="Mkatabulky"/>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1359"/>
        <w:gridCol w:w="1630"/>
        <w:gridCol w:w="1595"/>
        <w:gridCol w:w="1404"/>
      </w:tblGrid>
      <w:tr w:rsidR="007E52AE" w:rsidRPr="00D352EF" w:rsidTr="00C73DB7">
        <w:trPr>
          <w:trHeight w:val="503"/>
        </w:trPr>
        <w:tc>
          <w:tcPr>
            <w:tcW w:w="3588" w:type="dxa"/>
          </w:tcPr>
          <w:p w:rsidR="007E52AE" w:rsidRPr="00D352EF" w:rsidRDefault="007E52AE" w:rsidP="00723799">
            <w:pPr>
              <w:rPr>
                <w:rFonts w:ascii="Arial" w:hAnsi="Arial" w:cs="Arial"/>
                <w:b/>
                <w:sz w:val="20"/>
                <w:szCs w:val="22"/>
                <w:u w:val="single"/>
              </w:rPr>
            </w:pPr>
            <w:r w:rsidRPr="00D352EF">
              <w:rPr>
                <w:rFonts w:ascii="Arial" w:hAnsi="Arial" w:cs="Arial"/>
                <w:b/>
                <w:sz w:val="20"/>
                <w:szCs w:val="22"/>
                <w:u w:val="single"/>
              </w:rPr>
              <w:t>Consolidated</w:t>
            </w:r>
            <w:r>
              <w:rPr>
                <w:rFonts w:ascii="Arial" w:hAnsi="Arial" w:cs="Arial"/>
                <w:b/>
                <w:sz w:val="20"/>
                <w:szCs w:val="22"/>
                <w:u w:val="single"/>
              </w:rPr>
              <w:t xml:space="preserve"> </w:t>
            </w:r>
            <w:r w:rsidRPr="00D352EF">
              <w:rPr>
                <w:rFonts w:ascii="Arial" w:hAnsi="Arial" w:cs="Arial"/>
                <w:b/>
                <w:sz w:val="20"/>
                <w:szCs w:val="22"/>
                <w:u w:val="single"/>
              </w:rPr>
              <w:t>Results</w:t>
            </w:r>
          </w:p>
        </w:tc>
        <w:tc>
          <w:tcPr>
            <w:tcW w:w="1359" w:type="dxa"/>
          </w:tcPr>
          <w:p w:rsidR="007E52AE" w:rsidRPr="00D352EF" w:rsidRDefault="007E52AE" w:rsidP="005A5BC6">
            <w:pPr>
              <w:jc w:val="right"/>
              <w:rPr>
                <w:rFonts w:ascii="Arial" w:hAnsi="Arial" w:cs="Arial"/>
                <w:b/>
                <w:sz w:val="20"/>
                <w:szCs w:val="22"/>
                <w:u w:val="single"/>
              </w:rPr>
            </w:pPr>
          </w:p>
          <w:p w:rsidR="007E52AE" w:rsidRPr="00D352EF" w:rsidRDefault="00FE3BBD">
            <w:pPr>
              <w:jc w:val="right"/>
              <w:rPr>
                <w:rFonts w:ascii="Arial" w:hAnsi="Arial" w:cs="Arial"/>
                <w:b/>
                <w:sz w:val="20"/>
                <w:szCs w:val="22"/>
                <w:u w:val="single"/>
              </w:rPr>
            </w:pPr>
            <w:r>
              <w:rPr>
                <w:rFonts w:ascii="Arial" w:hAnsi="Arial" w:cs="Arial"/>
                <w:b/>
                <w:sz w:val="20"/>
                <w:szCs w:val="22"/>
                <w:u w:val="single"/>
              </w:rPr>
              <w:t>3</w:t>
            </w:r>
            <w:r w:rsidR="007E52AE" w:rsidRPr="00D352EF">
              <w:rPr>
                <w:rFonts w:ascii="Arial" w:hAnsi="Arial" w:cs="Arial"/>
                <w:b/>
                <w:sz w:val="20"/>
                <w:szCs w:val="22"/>
                <w:u w:val="single"/>
              </w:rPr>
              <w:t>Q 2</w:t>
            </w:r>
            <w:r w:rsidR="007E52AE">
              <w:rPr>
                <w:rFonts w:ascii="Arial" w:hAnsi="Arial" w:cs="Arial"/>
                <w:b/>
                <w:sz w:val="20"/>
                <w:szCs w:val="22"/>
                <w:u w:val="single"/>
              </w:rPr>
              <w:t>019</w:t>
            </w:r>
          </w:p>
        </w:tc>
        <w:tc>
          <w:tcPr>
            <w:tcW w:w="1630" w:type="dxa"/>
          </w:tcPr>
          <w:p w:rsidR="007E52AE" w:rsidRPr="00D352EF" w:rsidRDefault="007E52AE" w:rsidP="005A5BC6">
            <w:pPr>
              <w:jc w:val="right"/>
              <w:rPr>
                <w:rFonts w:ascii="Arial" w:hAnsi="Arial" w:cs="Arial"/>
                <w:b/>
                <w:sz w:val="20"/>
                <w:szCs w:val="22"/>
                <w:u w:val="single"/>
              </w:rPr>
            </w:pPr>
            <w:r w:rsidRPr="00D352EF">
              <w:rPr>
                <w:rFonts w:ascii="Arial" w:hAnsi="Arial" w:cs="Arial"/>
                <w:b/>
                <w:sz w:val="20"/>
                <w:szCs w:val="22"/>
                <w:u w:val="single"/>
              </w:rPr>
              <w:t>Adjusted</w:t>
            </w:r>
          </w:p>
          <w:p w:rsidR="007E52AE" w:rsidRPr="00D352EF" w:rsidRDefault="00FE3BBD">
            <w:pPr>
              <w:jc w:val="right"/>
              <w:rPr>
                <w:rFonts w:ascii="Arial" w:hAnsi="Arial" w:cs="Arial"/>
                <w:b/>
                <w:sz w:val="20"/>
                <w:szCs w:val="22"/>
                <w:u w:val="single"/>
              </w:rPr>
            </w:pPr>
            <w:r>
              <w:rPr>
                <w:rFonts w:ascii="Arial" w:hAnsi="Arial" w:cs="Arial"/>
                <w:b/>
                <w:sz w:val="20"/>
                <w:szCs w:val="22"/>
                <w:u w:val="single"/>
              </w:rPr>
              <w:t>3</w:t>
            </w:r>
            <w:r w:rsidR="007E52AE" w:rsidRPr="00D352EF">
              <w:rPr>
                <w:rFonts w:ascii="Arial" w:hAnsi="Arial" w:cs="Arial"/>
                <w:b/>
                <w:sz w:val="20"/>
                <w:szCs w:val="22"/>
                <w:u w:val="single"/>
              </w:rPr>
              <w:t xml:space="preserve">Q </w:t>
            </w:r>
            <w:r w:rsidR="007E52AE">
              <w:rPr>
                <w:rFonts w:ascii="Arial" w:hAnsi="Arial" w:cs="Arial"/>
                <w:b/>
                <w:sz w:val="20"/>
                <w:szCs w:val="22"/>
                <w:u w:val="single"/>
              </w:rPr>
              <w:t>2019</w:t>
            </w:r>
          </w:p>
        </w:tc>
        <w:tc>
          <w:tcPr>
            <w:tcW w:w="1595" w:type="dxa"/>
          </w:tcPr>
          <w:p w:rsidR="007E52AE" w:rsidRPr="00D352EF" w:rsidRDefault="007E52AE" w:rsidP="005A5BC6">
            <w:pPr>
              <w:jc w:val="right"/>
              <w:rPr>
                <w:rFonts w:ascii="Arial" w:hAnsi="Arial" w:cs="Arial"/>
                <w:b/>
                <w:sz w:val="20"/>
                <w:szCs w:val="22"/>
                <w:u w:val="single"/>
              </w:rPr>
            </w:pPr>
          </w:p>
          <w:p w:rsidR="007E52AE" w:rsidRPr="00D352EF" w:rsidRDefault="00FE3BBD">
            <w:pPr>
              <w:jc w:val="right"/>
              <w:rPr>
                <w:rFonts w:ascii="Arial" w:hAnsi="Arial" w:cs="Arial"/>
                <w:b/>
                <w:sz w:val="20"/>
                <w:szCs w:val="22"/>
                <w:u w:val="single"/>
              </w:rPr>
            </w:pPr>
            <w:r>
              <w:rPr>
                <w:rFonts w:ascii="Arial" w:hAnsi="Arial" w:cs="Arial"/>
                <w:b/>
                <w:sz w:val="20"/>
                <w:szCs w:val="22"/>
                <w:u w:val="single"/>
              </w:rPr>
              <w:t>3</w:t>
            </w:r>
            <w:r w:rsidR="007E52AE" w:rsidRPr="00D352EF">
              <w:rPr>
                <w:rFonts w:ascii="Arial" w:hAnsi="Arial" w:cs="Arial"/>
                <w:b/>
                <w:sz w:val="20"/>
                <w:szCs w:val="22"/>
                <w:u w:val="single"/>
              </w:rPr>
              <w:t xml:space="preserve">Q </w:t>
            </w:r>
            <w:r w:rsidR="007E52AE">
              <w:rPr>
                <w:rFonts w:ascii="Arial" w:hAnsi="Arial" w:cs="Arial"/>
                <w:b/>
                <w:sz w:val="20"/>
                <w:szCs w:val="22"/>
                <w:u w:val="single"/>
              </w:rPr>
              <w:t>2018</w:t>
            </w:r>
          </w:p>
        </w:tc>
        <w:tc>
          <w:tcPr>
            <w:tcW w:w="1404" w:type="dxa"/>
          </w:tcPr>
          <w:p w:rsidR="007E52AE" w:rsidRPr="00D352EF" w:rsidRDefault="007E52AE" w:rsidP="007E52AE">
            <w:pPr>
              <w:jc w:val="right"/>
              <w:rPr>
                <w:rFonts w:ascii="Arial" w:hAnsi="Arial" w:cs="Arial"/>
                <w:b/>
                <w:sz w:val="20"/>
                <w:szCs w:val="22"/>
                <w:u w:val="single"/>
              </w:rPr>
            </w:pPr>
            <w:r w:rsidRPr="00D352EF">
              <w:rPr>
                <w:rFonts w:ascii="Arial" w:hAnsi="Arial" w:cs="Arial"/>
                <w:b/>
                <w:sz w:val="20"/>
                <w:szCs w:val="22"/>
                <w:u w:val="single"/>
              </w:rPr>
              <w:t>Adjusted</w:t>
            </w:r>
          </w:p>
          <w:p w:rsidR="007E52AE" w:rsidRPr="00D352EF" w:rsidRDefault="00FE3BBD" w:rsidP="007E52AE">
            <w:pPr>
              <w:jc w:val="right"/>
              <w:rPr>
                <w:rFonts w:ascii="Arial" w:hAnsi="Arial" w:cs="Arial"/>
                <w:b/>
                <w:sz w:val="20"/>
                <w:szCs w:val="22"/>
                <w:u w:val="single"/>
              </w:rPr>
            </w:pPr>
            <w:r>
              <w:rPr>
                <w:rFonts w:ascii="Arial" w:hAnsi="Arial" w:cs="Arial"/>
                <w:b/>
                <w:sz w:val="20"/>
                <w:szCs w:val="22"/>
                <w:u w:val="single"/>
              </w:rPr>
              <w:t>3</w:t>
            </w:r>
            <w:r w:rsidR="007E52AE" w:rsidRPr="00D352EF">
              <w:rPr>
                <w:rFonts w:ascii="Arial" w:hAnsi="Arial" w:cs="Arial"/>
                <w:b/>
                <w:sz w:val="20"/>
                <w:szCs w:val="22"/>
                <w:u w:val="single"/>
              </w:rPr>
              <w:t xml:space="preserve">Q </w:t>
            </w:r>
            <w:r w:rsidR="007E52AE">
              <w:rPr>
                <w:rFonts w:ascii="Arial" w:hAnsi="Arial" w:cs="Arial"/>
                <w:b/>
                <w:sz w:val="20"/>
                <w:szCs w:val="22"/>
                <w:u w:val="single"/>
              </w:rPr>
              <w:t>2018</w:t>
            </w:r>
          </w:p>
        </w:tc>
      </w:tr>
      <w:tr w:rsidR="007E52AE" w:rsidRPr="00D352EF" w:rsidTr="00C73DB7">
        <w:trPr>
          <w:trHeight w:val="246"/>
        </w:trPr>
        <w:tc>
          <w:tcPr>
            <w:tcW w:w="3588" w:type="dxa"/>
          </w:tcPr>
          <w:p w:rsidR="007E52AE" w:rsidRPr="00D352EF" w:rsidRDefault="007E52AE" w:rsidP="005A5BC6">
            <w:pPr>
              <w:rPr>
                <w:rFonts w:ascii="Arial" w:hAnsi="Arial" w:cs="Arial"/>
                <w:sz w:val="20"/>
                <w:szCs w:val="22"/>
              </w:rPr>
            </w:pPr>
            <w:r w:rsidRPr="00D352EF">
              <w:rPr>
                <w:rFonts w:ascii="Arial" w:hAnsi="Arial" w:cs="Arial"/>
                <w:sz w:val="20"/>
                <w:szCs w:val="22"/>
              </w:rPr>
              <w:t>Revenue</w:t>
            </w:r>
          </w:p>
        </w:tc>
        <w:tc>
          <w:tcPr>
            <w:tcW w:w="1359" w:type="dxa"/>
          </w:tcPr>
          <w:p w:rsidR="007E52AE" w:rsidRPr="00D352EF" w:rsidRDefault="00143DBB">
            <w:pPr>
              <w:jc w:val="right"/>
              <w:rPr>
                <w:rFonts w:ascii="Arial" w:hAnsi="Arial" w:cs="Arial"/>
                <w:sz w:val="20"/>
                <w:szCs w:val="22"/>
              </w:rPr>
            </w:pPr>
            <w:r>
              <w:rPr>
                <w:rFonts w:ascii="Arial" w:hAnsi="Arial" w:cs="Arial"/>
                <w:sz w:val="20"/>
                <w:szCs w:val="22"/>
              </w:rPr>
              <w:t>$18,318</w:t>
            </w:r>
            <w:r w:rsidR="007E52AE">
              <w:rPr>
                <w:rFonts w:ascii="Arial" w:hAnsi="Arial" w:cs="Arial"/>
                <w:sz w:val="20"/>
                <w:szCs w:val="22"/>
              </w:rPr>
              <w:t xml:space="preserve"> M</w:t>
            </w:r>
          </w:p>
        </w:tc>
        <w:tc>
          <w:tcPr>
            <w:tcW w:w="1630" w:type="dxa"/>
          </w:tcPr>
          <w:p w:rsidR="007E52AE" w:rsidRPr="00D352EF" w:rsidRDefault="007E52AE" w:rsidP="005A5BC6">
            <w:pPr>
              <w:jc w:val="right"/>
              <w:rPr>
                <w:rFonts w:ascii="Arial" w:hAnsi="Arial" w:cs="Arial"/>
                <w:sz w:val="20"/>
                <w:szCs w:val="22"/>
              </w:rPr>
            </w:pPr>
          </w:p>
        </w:tc>
        <w:tc>
          <w:tcPr>
            <w:tcW w:w="1595" w:type="dxa"/>
          </w:tcPr>
          <w:p w:rsidR="007E52AE" w:rsidRPr="00D352EF" w:rsidRDefault="00143DBB">
            <w:pPr>
              <w:jc w:val="right"/>
              <w:rPr>
                <w:rFonts w:ascii="Arial" w:hAnsi="Arial" w:cs="Arial"/>
                <w:sz w:val="20"/>
                <w:szCs w:val="22"/>
              </w:rPr>
            </w:pPr>
            <w:r>
              <w:rPr>
                <w:rFonts w:ascii="Arial" w:hAnsi="Arial" w:cs="Arial"/>
                <w:sz w:val="20"/>
                <w:szCs w:val="22"/>
              </w:rPr>
              <w:t>$17,444</w:t>
            </w:r>
            <w:r w:rsidR="007E52AE">
              <w:rPr>
                <w:rFonts w:ascii="Arial" w:hAnsi="Arial" w:cs="Arial"/>
                <w:sz w:val="20"/>
                <w:szCs w:val="22"/>
              </w:rPr>
              <w:t xml:space="preserve"> M</w:t>
            </w:r>
          </w:p>
        </w:tc>
        <w:tc>
          <w:tcPr>
            <w:tcW w:w="1404" w:type="dxa"/>
          </w:tcPr>
          <w:p w:rsidR="007E52AE" w:rsidRDefault="007E52AE">
            <w:pPr>
              <w:jc w:val="right"/>
              <w:rPr>
                <w:rFonts w:ascii="Arial" w:hAnsi="Arial" w:cs="Arial"/>
                <w:sz w:val="20"/>
                <w:szCs w:val="22"/>
              </w:rPr>
            </w:pPr>
          </w:p>
        </w:tc>
      </w:tr>
      <w:tr w:rsidR="007E52AE" w:rsidRPr="00D352EF" w:rsidTr="00C73DB7">
        <w:trPr>
          <w:trHeight w:val="246"/>
        </w:trPr>
        <w:tc>
          <w:tcPr>
            <w:tcW w:w="3588" w:type="dxa"/>
          </w:tcPr>
          <w:p w:rsidR="007E52AE" w:rsidRPr="00D352EF" w:rsidRDefault="007E52AE" w:rsidP="00382368">
            <w:pPr>
              <w:rPr>
                <w:rFonts w:ascii="Arial" w:hAnsi="Arial" w:cs="Arial"/>
                <w:sz w:val="20"/>
                <w:szCs w:val="22"/>
              </w:rPr>
            </w:pPr>
            <w:r w:rsidRPr="00D352EF">
              <w:rPr>
                <w:rFonts w:ascii="Arial" w:hAnsi="Arial" w:cs="Arial"/>
                <w:sz w:val="20"/>
                <w:szCs w:val="22"/>
              </w:rPr>
              <w:t xml:space="preserve">Net Income </w:t>
            </w:r>
          </w:p>
        </w:tc>
        <w:tc>
          <w:tcPr>
            <w:tcW w:w="1359" w:type="dxa"/>
          </w:tcPr>
          <w:p w:rsidR="007E52AE" w:rsidRPr="00D352EF" w:rsidRDefault="00143DBB" w:rsidP="007527B7">
            <w:pPr>
              <w:jc w:val="right"/>
              <w:rPr>
                <w:rFonts w:ascii="Arial" w:hAnsi="Arial" w:cs="Arial"/>
                <w:sz w:val="20"/>
                <w:szCs w:val="22"/>
              </w:rPr>
            </w:pPr>
            <w:r>
              <w:rPr>
                <w:rFonts w:ascii="Arial" w:hAnsi="Arial" w:cs="Arial"/>
                <w:sz w:val="20"/>
                <w:szCs w:val="22"/>
              </w:rPr>
              <w:t>$1,750</w:t>
            </w:r>
            <w:r w:rsidR="007E52AE">
              <w:rPr>
                <w:rFonts w:ascii="Arial" w:hAnsi="Arial" w:cs="Arial"/>
                <w:sz w:val="20"/>
                <w:szCs w:val="22"/>
              </w:rPr>
              <w:t xml:space="preserve"> M</w:t>
            </w:r>
          </w:p>
        </w:tc>
        <w:tc>
          <w:tcPr>
            <w:tcW w:w="1630" w:type="dxa"/>
          </w:tcPr>
          <w:p w:rsidR="007E52AE" w:rsidRPr="00D352EF" w:rsidRDefault="00143DBB" w:rsidP="00723799">
            <w:pPr>
              <w:jc w:val="right"/>
              <w:rPr>
                <w:rFonts w:ascii="Arial" w:hAnsi="Arial" w:cs="Arial"/>
                <w:sz w:val="20"/>
                <w:szCs w:val="22"/>
              </w:rPr>
            </w:pPr>
            <w:r>
              <w:rPr>
                <w:rFonts w:ascii="Arial" w:hAnsi="Arial" w:cs="Arial"/>
                <w:sz w:val="20"/>
                <w:szCs w:val="22"/>
              </w:rPr>
              <w:t>$1,797</w:t>
            </w:r>
            <w:r w:rsidR="007E52AE">
              <w:rPr>
                <w:rFonts w:ascii="Arial" w:hAnsi="Arial" w:cs="Arial"/>
                <w:sz w:val="20"/>
                <w:szCs w:val="22"/>
              </w:rPr>
              <w:t xml:space="preserve"> M</w:t>
            </w:r>
          </w:p>
        </w:tc>
        <w:tc>
          <w:tcPr>
            <w:tcW w:w="1595" w:type="dxa"/>
          </w:tcPr>
          <w:p w:rsidR="007E52AE" w:rsidRPr="00D352EF" w:rsidRDefault="00143DBB" w:rsidP="007527B7">
            <w:pPr>
              <w:jc w:val="right"/>
              <w:rPr>
                <w:rFonts w:ascii="Arial" w:hAnsi="Arial" w:cs="Arial"/>
                <w:sz w:val="20"/>
                <w:szCs w:val="22"/>
              </w:rPr>
            </w:pPr>
            <w:r>
              <w:rPr>
                <w:rFonts w:ascii="Arial" w:hAnsi="Arial" w:cs="Arial"/>
                <w:sz w:val="20"/>
                <w:szCs w:val="22"/>
              </w:rPr>
              <w:t>$1,508</w:t>
            </w:r>
            <w:r w:rsidR="007E52AE">
              <w:rPr>
                <w:rFonts w:ascii="Arial" w:hAnsi="Arial" w:cs="Arial"/>
                <w:sz w:val="20"/>
                <w:szCs w:val="22"/>
              </w:rPr>
              <w:t xml:space="preserve"> M</w:t>
            </w:r>
          </w:p>
        </w:tc>
        <w:tc>
          <w:tcPr>
            <w:tcW w:w="1404" w:type="dxa"/>
          </w:tcPr>
          <w:p w:rsidR="007E52AE" w:rsidRDefault="00143DBB" w:rsidP="007527B7">
            <w:pPr>
              <w:jc w:val="right"/>
              <w:rPr>
                <w:rFonts w:ascii="Arial" w:hAnsi="Arial" w:cs="Arial"/>
                <w:sz w:val="20"/>
                <w:szCs w:val="22"/>
              </w:rPr>
            </w:pPr>
            <w:r>
              <w:rPr>
                <w:rFonts w:ascii="Arial" w:hAnsi="Arial" w:cs="Arial"/>
                <w:sz w:val="20"/>
                <w:szCs w:val="22"/>
              </w:rPr>
              <w:t>$1,581</w:t>
            </w:r>
            <w:r w:rsidR="001E50E1">
              <w:rPr>
                <w:rFonts w:ascii="Arial" w:hAnsi="Arial" w:cs="Arial"/>
                <w:sz w:val="20"/>
                <w:szCs w:val="22"/>
              </w:rPr>
              <w:t xml:space="preserve"> </w:t>
            </w:r>
            <w:r w:rsidR="00B77027">
              <w:rPr>
                <w:rFonts w:ascii="Arial" w:hAnsi="Arial" w:cs="Arial"/>
                <w:sz w:val="20"/>
                <w:szCs w:val="22"/>
              </w:rPr>
              <w:t>M</w:t>
            </w:r>
          </w:p>
        </w:tc>
      </w:tr>
      <w:tr w:rsidR="007E52AE" w:rsidRPr="00D352EF" w:rsidTr="00C73DB7">
        <w:trPr>
          <w:trHeight w:val="246"/>
        </w:trPr>
        <w:tc>
          <w:tcPr>
            <w:tcW w:w="3588" w:type="dxa"/>
          </w:tcPr>
          <w:p w:rsidR="007E52AE" w:rsidRPr="00D352EF" w:rsidRDefault="007E52AE" w:rsidP="0004424A">
            <w:pPr>
              <w:rPr>
                <w:rFonts w:ascii="Arial" w:hAnsi="Arial" w:cs="Arial"/>
                <w:sz w:val="20"/>
                <w:szCs w:val="22"/>
              </w:rPr>
            </w:pPr>
            <w:r w:rsidRPr="00D352EF">
              <w:rPr>
                <w:rFonts w:ascii="Arial" w:hAnsi="Arial" w:cs="Arial"/>
                <w:sz w:val="20"/>
                <w:szCs w:val="22"/>
              </w:rPr>
              <w:t>Diluted Earnings Per Share</w:t>
            </w:r>
          </w:p>
        </w:tc>
        <w:tc>
          <w:tcPr>
            <w:tcW w:w="1359" w:type="dxa"/>
          </w:tcPr>
          <w:p w:rsidR="007E52AE" w:rsidRPr="00D352EF" w:rsidRDefault="00143DBB" w:rsidP="00BD7BA9">
            <w:pPr>
              <w:jc w:val="right"/>
              <w:rPr>
                <w:rFonts w:ascii="Arial" w:hAnsi="Arial" w:cs="Arial"/>
                <w:sz w:val="20"/>
                <w:szCs w:val="22"/>
              </w:rPr>
            </w:pPr>
            <w:r>
              <w:rPr>
                <w:rFonts w:ascii="Arial" w:hAnsi="Arial" w:cs="Arial"/>
                <w:sz w:val="20"/>
                <w:szCs w:val="22"/>
              </w:rPr>
              <w:t>$2.01</w:t>
            </w:r>
          </w:p>
        </w:tc>
        <w:tc>
          <w:tcPr>
            <w:tcW w:w="1630" w:type="dxa"/>
          </w:tcPr>
          <w:p w:rsidR="007E52AE" w:rsidRPr="00D352EF" w:rsidRDefault="00143DBB">
            <w:pPr>
              <w:jc w:val="right"/>
              <w:rPr>
                <w:rFonts w:ascii="Arial" w:hAnsi="Arial" w:cs="Arial"/>
                <w:sz w:val="20"/>
                <w:szCs w:val="22"/>
              </w:rPr>
            </w:pPr>
            <w:r>
              <w:rPr>
                <w:rFonts w:ascii="Arial" w:hAnsi="Arial" w:cs="Arial"/>
                <w:sz w:val="20"/>
                <w:szCs w:val="22"/>
              </w:rPr>
              <w:t>$2.07</w:t>
            </w:r>
          </w:p>
        </w:tc>
        <w:tc>
          <w:tcPr>
            <w:tcW w:w="1595" w:type="dxa"/>
          </w:tcPr>
          <w:p w:rsidR="007E52AE" w:rsidRPr="00D352EF" w:rsidRDefault="00143DBB" w:rsidP="00BD7BA9">
            <w:pPr>
              <w:jc w:val="right"/>
              <w:rPr>
                <w:rFonts w:ascii="Arial" w:hAnsi="Arial" w:cs="Arial"/>
                <w:sz w:val="20"/>
                <w:szCs w:val="22"/>
              </w:rPr>
            </w:pPr>
            <w:r>
              <w:rPr>
                <w:rFonts w:ascii="Arial" w:hAnsi="Arial" w:cs="Arial"/>
                <w:sz w:val="20"/>
                <w:szCs w:val="22"/>
              </w:rPr>
              <w:t>$1.73</w:t>
            </w:r>
          </w:p>
        </w:tc>
        <w:tc>
          <w:tcPr>
            <w:tcW w:w="1404" w:type="dxa"/>
          </w:tcPr>
          <w:p w:rsidR="007E52AE" w:rsidRDefault="00143DBB" w:rsidP="00BD7BA9">
            <w:pPr>
              <w:jc w:val="right"/>
              <w:rPr>
                <w:rFonts w:ascii="Arial" w:hAnsi="Arial" w:cs="Arial"/>
                <w:sz w:val="20"/>
                <w:szCs w:val="22"/>
              </w:rPr>
            </w:pPr>
            <w:r>
              <w:rPr>
                <w:rFonts w:ascii="Arial" w:hAnsi="Arial" w:cs="Arial"/>
                <w:sz w:val="20"/>
                <w:szCs w:val="22"/>
              </w:rPr>
              <w:t>$1.82</w:t>
            </w:r>
          </w:p>
        </w:tc>
      </w:tr>
      <w:tr w:rsidR="007E52AE" w:rsidRPr="00AF2273" w:rsidTr="00C73DB7">
        <w:trPr>
          <w:trHeight w:val="176"/>
        </w:trPr>
        <w:tc>
          <w:tcPr>
            <w:tcW w:w="3588" w:type="dxa"/>
          </w:tcPr>
          <w:p w:rsidR="007E52AE" w:rsidRPr="00AF2273" w:rsidRDefault="007E52AE" w:rsidP="0004424A">
            <w:pPr>
              <w:rPr>
                <w:rFonts w:ascii="Arial" w:hAnsi="Arial" w:cs="Arial"/>
                <w:sz w:val="14"/>
                <w:szCs w:val="14"/>
              </w:rPr>
            </w:pPr>
          </w:p>
        </w:tc>
        <w:tc>
          <w:tcPr>
            <w:tcW w:w="4584" w:type="dxa"/>
            <w:gridSpan w:val="3"/>
          </w:tcPr>
          <w:p w:rsidR="007E52AE" w:rsidRPr="00AF2273" w:rsidRDefault="007E52AE" w:rsidP="00971CED">
            <w:pPr>
              <w:rPr>
                <w:rFonts w:ascii="Arial" w:hAnsi="Arial" w:cs="Arial"/>
                <w:sz w:val="14"/>
                <w:szCs w:val="14"/>
              </w:rPr>
            </w:pPr>
          </w:p>
        </w:tc>
        <w:tc>
          <w:tcPr>
            <w:tcW w:w="1404" w:type="dxa"/>
          </w:tcPr>
          <w:p w:rsidR="007E52AE" w:rsidRPr="00AF2273" w:rsidRDefault="007E52AE" w:rsidP="00971CED">
            <w:pPr>
              <w:rPr>
                <w:rFonts w:ascii="Arial" w:hAnsi="Arial" w:cs="Arial"/>
                <w:sz w:val="14"/>
                <w:szCs w:val="14"/>
              </w:rPr>
            </w:pPr>
          </w:p>
        </w:tc>
      </w:tr>
    </w:tbl>
    <w:p w:rsidR="00087CB9" w:rsidRDefault="00087CB9" w:rsidP="008F286A">
      <w:pPr>
        <w:rPr>
          <w:rFonts w:ascii="Arial" w:hAnsi="Arial" w:cs="Arial"/>
          <w:sz w:val="20"/>
          <w:szCs w:val="20"/>
        </w:rPr>
      </w:pPr>
    </w:p>
    <w:p w:rsidR="00C27D1C" w:rsidRDefault="00C27D1C" w:rsidP="00B53E29">
      <w:pPr>
        <w:rPr>
          <w:rFonts w:ascii="Arial" w:hAnsi="Arial" w:cs="Arial"/>
          <w:sz w:val="22"/>
        </w:rPr>
      </w:pPr>
    </w:p>
    <w:p w:rsidR="00C27D1C" w:rsidRDefault="00C27D1C" w:rsidP="00B53E29">
      <w:pPr>
        <w:rPr>
          <w:rFonts w:ascii="Arial" w:hAnsi="Arial" w:cs="Arial"/>
          <w:sz w:val="22"/>
        </w:rPr>
      </w:pPr>
    </w:p>
    <w:p w:rsidR="00C27D1C" w:rsidRPr="00602E69" w:rsidRDefault="00C27D1C" w:rsidP="00C27D1C">
      <w:pPr>
        <w:rPr>
          <w:rFonts w:ascii="Arial" w:hAnsi="Arial" w:cs="Arial"/>
          <w:sz w:val="20"/>
          <w:szCs w:val="20"/>
          <w:vertAlign w:val="subscript"/>
        </w:rPr>
      </w:pPr>
      <w:r>
        <w:rPr>
          <w:rFonts w:ascii="Arial" w:hAnsi="Arial" w:cs="Arial"/>
          <w:b/>
          <w:sz w:val="20"/>
          <w:szCs w:val="20"/>
          <w:vertAlign w:val="subscript"/>
        </w:rPr>
        <w:t>*</w:t>
      </w:r>
      <w:r w:rsidRPr="003A69AF">
        <w:rPr>
          <w:rFonts w:ascii="Arial" w:hAnsi="Arial" w:cs="Arial"/>
          <w:b/>
          <w:sz w:val="20"/>
          <w:szCs w:val="20"/>
          <w:vertAlign w:val="subscript"/>
        </w:rPr>
        <w:t xml:space="preserve"> “</w:t>
      </w:r>
      <w:r w:rsidRPr="003A69AF">
        <w:rPr>
          <w:rFonts w:ascii="Arial" w:hAnsi="Arial" w:cs="Arial"/>
          <w:sz w:val="20"/>
          <w:szCs w:val="20"/>
          <w:vertAlign w:val="subscript"/>
        </w:rPr>
        <w:t>Adjusted” and amounts presented in this release are non-GAAP financial measures. See the appendix to this release for a discussion of non-GAAP financial metrics, including a reconciliation to the most closely correlated GAAP measure.</w:t>
      </w:r>
    </w:p>
    <w:p w:rsidR="0095043E" w:rsidRDefault="0095043E" w:rsidP="00B53E29">
      <w:pPr>
        <w:rPr>
          <w:rFonts w:ascii="Arial" w:hAnsi="Arial" w:cs="Arial"/>
          <w:sz w:val="22"/>
        </w:rPr>
      </w:pPr>
    </w:p>
    <w:p w:rsidR="0095043E" w:rsidRDefault="0095043E" w:rsidP="00B53E29">
      <w:pPr>
        <w:rPr>
          <w:rFonts w:ascii="Arial" w:hAnsi="Arial" w:cs="Arial"/>
          <w:sz w:val="22"/>
        </w:rPr>
      </w:pPr>
    </w:p>
    <w:p w:rsidR="00514344" w:rsidRDefault="00514344" w:rsidP="00B53E29">
      <w:pPr>
        <w:rPr>
          <w:rFonts w:ascii="Arial" w:hAnsi="Arial" w:cs="Arial"/>
          <w:sz w:val="22"/>
        </w:rPr>
      </w:pPr>
    </w:p>
    <w:p w:rsidR="004A06F1" w:rsidRDefault="004A06F1" w:rsidP="00B53E29">
      <w:pPr>
        <w:rPr>
          <w:rFonts w:ascii="Arial" w:hAnsi="Arial" w:cs="Arial"/>
          <w:sz w:val="22"/>
        </w:rPr>
      </w:pPr>
    </w:p>
    <w:p w:rsidR="00B53E29" w:rsidRDefault="000E02CF" w:rsidP="00B53E29">
      <w:pPr>
        <w:rPr>
          <w:rFonts w:ascii="Arial" w:hAnsi="Arial" w:cs="Arial"/>
          <w:sz w:val="22"/>
        </w:rPr>
      </w:pPr>
      <w:r w:rsidRPr="00D352EF">
        <w:rPr>
          <w:rFonts w:ascii="Arial" w:hAnsi="Arial" w:cs="Arial"/>
          <w:sz w:val="22"/>
        </w:rPr>
        <w:lastRenderedPageBreak/>
        <w:t xml:space="preserve">For the total company in </w:t>
      </w:r>
      <w:r w:rsidR="00FE3BBD">
        <w:rPr>
          <w:rFonts w:ascii="Arial" w:hAnsi="Arial" w:cs="Arial"/>
          <w:sz w:val="22"/>
        </w:rPr>
        <w:t>3</w:t>
      </w:r>
      <w:r w:rsidRPr="00D352EF">
        <w:rPr>
          <w:rFonts w:ascii="Arial" w:hAnsi="Arial" w:cs="Arial"/>
          <w:sz w:val="22"/>
        </w:rPr>
        <w:t xml:space="preserve">Q </w:t>
      </w:r>
      <w:r w:rsidR="000009AD">
        <w:rPr>
          <w:rFonts w:ascii="Arial" w:hAnsi="Arial" w:cs="Arial"/>
          <w:sz w:val="22"/>
        </w:rPr>
        <w:t>2019</w:t>
      </w:r>
      <w:r w:rsidRPr="00D352EF">
        <w:rPr>
          <w:rFonts w:ascii="Arial" w:hAnsi="Arial" w:cs="Arial"/>
          <w:sz w:val="22"/>
        </w:rPr>
        <w:t>:</w:t>
      </w:r>
    </w:p>
    <w:p w:rsidR="008F286A" w:rsidRPr="00D352EF" w:rsidRDefault="008F286A" w:rsidP="00B53E29">
      <w:pPr>
        <w:rPr>
          <w:rFonts w:ascii="Arial" w:hAnsi="Arial" w:cs="Arial"/>
          <w:sz w:val="22"/>
        </w:rPr>
      </w:pPr>
    </w:p>
    <w:p w:rsidR="00B73348" w:rsidRPr="00794A7B" w:rsidRDefault="00EE0794" w:rsidP="005F7EC6">
      <w:pPr>
        <w:pStyle w:val="Odstavecseseznamem"/>
        <w:numPr>
          <w:ilvl w:val="0"/>
          <w:numId w:val="2"/>
        </w:numPr>
        <w:rPr>
          <w:rFonts w:ascii="Arial" w:hAnsi="Arial" w:cs="Arial"/>
          <w:sz w:val="22"/>
        </w:rPr>
      </w:pPr>
      <w:r w:rsidRPr="00794A7B">
        <w:rPr>
          <w:rFonts w:ascii="Arial" w:hAnsi="Arial" w:cs="Arial"/>
          <w:sz w:val="22"/>
        </w:rPr>
        <w:t>C</w:t>
      </w:r>
      <w:r w:rsidR="0001152C" w:rsidRPr="00794A7B">
        <w:rPr>
          <w:rFonts w:ascii="Arial" w:hAnsi="Arial" w:cs="Arial"/>
          <w:sz w:val="22"/>
        </w:rPr>
        <w:t xml:space="preserve">onsolidated </w:t>
      </w:r>
      <w:r w:rsidRPr="00794A7B">
        <w:rPr>
          <w:rFonts w:ascii="Arial" w:hAnsi="Arial" w:cs="Arial"/>
          <w:sz w:val="22"/>
        </w:rPr>
        <w:t>revenue increased</w:t>
      </w:r>
      <w:r w:rsidR="00EA1FCE" w:rsidRPr="00794A7B">
        <w:rPr>
          <w:rFonts w:ascii="Arial" w:hAnsi="Arial" w:cs="Arial"/>
          <w:sz w:val="22"/>
        </w:rPr>
        <w:t xml:space="preserve"> </w:t>
      </w:r>
      <w:r w:rsidR="00794A7B">
        <w:rPr>
          <w:rFonts w:ascii="Arial" w:hAnsi="Arial" w:cs="Arial"/>
          <w:sz w:val="22"/>
        </w:rPr>
        <w:t>5</w:t>
      </w:r>
      <w:r w:rsidR="00D96C9C" w:rsidRPr="00794A7B">
        <w:rPr>
          <w:rFonts w:ascii="Arial" w:hAnsi="Arial" w:cs="Arial"/>
          <w:sz w:val="22"/>
        </w:rPr>
        <w:t xml:space="preserve">% </w:t>
      </w:r>
      <w:r w:rsidR="00794A7B">
        <w:rPr>
          <w:rFonts w:ascii="Arial" w:hAnsi="Arial" w:cs="Arial"/>
          <w:sz w:val="22"/>
        </w:rPr>
        <w:t>to $18.3</w:t>
      </w:r>
      <w:r w:rsidR="005F7EC6" w:rsidRPr="00794A7B">
        <w:rPr>
          <w:rFonts w:ascii="Arial" w:hAnsi="Arial" w:cs="Arial"/>
          <w:sz w:val="22"/>
        </w:rPr>
        <w:t xml:space="preserve"> </w:t>
      </w:r>
      <w:r w:rsidR="0001152C" w:rsidRPr="00794A7B">
        <w:rPr>
          <w:rFonts w:ascii="Arial" w:hAnsi="Arial" w:cs="Arial"/>
          <w:sz w:val="22"/>
        </w:rPr>
        <w:t>billion</w:t>
      </w:r>
      <w:r w:rsidR="00794A7B" w:rsidRPr="00794A7B">
        <w:rPr>
          <w:rFonts w:ascii="Arial" w:hAnsi="Arial" w:cs="Arial"/>
          <w:sz w:val="22"/>
        </w:rPr>
        <w:t xml:space="preserve">, </w:t>
      </w:r>
      <w:r w:rsidR="00613688">
        <w:rPr>
          <w:rFonts w:ascii="Arial" w:hAnsi="Arial" w:cs="Arial"/>
          <w:sz w:val="22"/>
        </w:rPr>
        <w:t>driven by strong average da</w:t>
      </w:r>
      <w:r w:rsidR="0057132D">
        <w:rPr>
          <w:rFonts w:ascii="Arial" w:hAnsi="Arial" w:cs="Arial"/>
          <w:sz w:val="22"/>
        </w:rPr>
        <w:t>ily volume growth in the U</w:t>
      </w:r>
      <w:r w:rsidR="00613688">
        <w:rPr>
          <w:rFonts w:ascii="Arial" w:hAnsi="Arial" w:cs="Arial"/>
          <w:sz w:val="22"/>
        </w:rPr>
        <w:t>.</w:t>
      </w:r>
      <w:r w:rsidR="0057132D">
        <w:rPr>
          <w:rFonts w:ascii="Arial" w:hAnsi="Arial" w:cs="Arial"/>
          <w:sz w:val="22"/>
        </w:rPr>
        <w:t>S.</w:t>
      </w:r>
      <w:r w:rsidR="00613688">
        <w:rPr>
          <w:rFonts w:ascii="Arial" w:hAnsi="Arial" w:cs="Arial"/>
          <w:sz w:val="22"/>
        </w:rPr>
        <w:t xml:space="preserve">  </w:t>
      </w:r>
      <w:r w:rsidR="00794A7B" w:rsidRPr="00794A7B">
        <w:rPr>
          <w:rFonts w:ascii="Arial" w:hAnsi="Arial" w:cs="Arial"/>
          <w:sz w:val="22"/>
        </w:rPr>
        <w:t xml:space="preserve">  </w:t>
      </w:r>
    </w:p>
    <w:p w:rsidR="00B85D96" w:rsidRPr="00C27D1C" w:rsidRDefault="008328FF" w:rsidP="008328FF">
      <w:pPr>
        <w:pStyle w:val="Odstavecseseznamem"/>
        <w:numPr>
          <w:ilvl w:val="0"/>
          <w:numId w:val="2"/>
        </w:numPr>
        <w:rPr>
          <w:rFonts w:ascii="Arial" w:hAnsi="Arial" w:cs="Arial"/>
          <w:sz w:val="22"/>
        </w:rPr>
      </w:pPr>
      <w:r w:rsidRPr="00111E05">
        <w:rPr>
          <w:rFonts w:ascii="Arial" w:hAnsi="Arial" w:cs="Arial"/>
          <w:sz w:val="22"/>
        </w:rPr>
        <w:t>Total o</w:t>
      </w:r>
      <w:r w:rsidR="00A3766C" w:rsidRPr="00111E05">
        <w:rPr>
          <w:rFonts w:ascii="Arial" w:hAnsi="Arial" w:cs="Arial"/>
          <w:sz w:val="22"/>
        </w:rPr>
        <w:t xml:space="preserve">perating profit </w:t>
      </w:r>
      <w:r w:rsidR="005354BA">
        <w:rPr>
          <w:rFonts w:ascii="Arial" w:hAnsi="Arial" w:cs="Arial"/>
          <w:sz w:val="22"/>
        </w:rPr>
        <w:t xml:space="preserve">growth was </w:t>
      </w:r>
      <w:r w:rsidR="000F67F5">
        <w:rPr>
          <w:rFonts w:ascii="Arial" w:hAnsi="Arial" w:cs="Arial"/>
          <w:sz w:val="22"/>
        </w:rPr>
        <w:t xml:space="preserve">very </w:t>
      </w:r>
      <w:r w:rsidR="005354BA">
        <w:rPr>
          <w:rFonts w:ascii="Arial" w:hAnsi="Arial" w:cs="Arial"/>
          <w:sz w:val="22"/>
        </w:rPr>
        <w:t xml:space="preserve">strong at </w:t>
      </w:r>
      <w:r w:rsidR="00E5038A">
        <w:rPr>
          <w:rFonts w:ascii="Arial" w:hAnsi="Arial" w:cs="Arial"/>
          <w:sz w:val="22"/>
        </w:rPr>
        <w:t>more than 23</w:t>
      </w:r>
      <w:r w:rsidR="006057A9" w:rsidRPr="00111E05">
        <w:rPr>
          <w:rFonts w:ascii="Arial" w:hAnsi="Arial" w:cs="Arial"/>
          <w:sz w:val="22"/>
        </w:rPr>
        <w:t xml:space="preserve">%, and </w:t>
      </w:r>
      <w:r w:rsidR="00E5038A">
        <w:rPr>
          <w:rFonts w:ascii="Arial" w:hAnsi="Arial" w:cs="Arial"/>
          <w:sz w:val="22"/>
        </w:rPr>
        <w:t>20</w:t>
      </w:r>
      <w:r w:rsidR="00CB564F">
        <w:rPr>
          <w:rFonts w:ascii="Arial" w:hAnsi="Arial" w:cs="Arial"/>
          <w:sz w:val="22"/>
        </w:rPr>
        <w:t>.1</w:t>
      </w:r>
      <w:r w:rsidR="00B60032" w:rsidRPr="00111E05">
        <w:rPr>
          <w:rFonts w:ascii="Arial" w:hAnsi="Arial" w:cs="Arial"/>
          <w:sz w:val="22"/>
        </w:rPr>
        <w:t xml:space="preserve">% </w:t>
      </w:r>
      <w:r w:rsidR="00B60032" w:rsidRPr="00C27D1C">
        <w:rPr>
          <w:rFonts w:ascii="Arial" w:hAnsi="Arial" w:cs="Arial"/>
          <w:sz w:val="22"/>
        </w:rPr>
        <w:t>on an adjusted basis</w:t>
      </w:r>
      <w:r w:rsidRPr="00C27D1C">
        <w:rPr>
          <w:rFonts w:ascii="Arial" w:hAnsi="Arial" w:cs="Arial"/>
          <w:sz w:val="22"/>
        </w:rPr>
        <w:t xml:space="preserve">, </w:t>
      </w:r>
      <w:r w:rsidR="00111E05" w:rsidRPr="00C27D1C">
        <w:rPr>
          <w:rFonts w:ascii="Arial" w:hAnsi="Arial" w:cs="Arial"/>
          <w:sz w:val="22"/>
        </w:rPr>
        <w:t xml:space="preserve">led by </w:t>
      </w:r>
      <w:r w:rsidR="005F697C">
        <w:rPr>
          <w:rFonts w:ascii="Arial" w:hAnsi="Arial" w:cs="Arial"/>
          <w:sz w:val="22"/>
        </w:rPr>
        <w:t xml:space="preserve">the </w:t>
      </w:r>
      <w:r w:rsidR="00111E05" w:rsidRPr="00C27D1C">
        <w:rPr>
          <w:rFonts w:ascii="Arial" w:hAnsi="Arial" w:cs="Arial"/>
          <w:sz w:val="22"/>
        </w:rPr>
        <w:t>U.S. Domestic and International</w:t>
      </w:r>
      <w:r w:rsidR="005F697C">
        <w:rPr>
          <w:rFonts w:ascii="Arial" w:hAnsi="Arial" w:cs="Arial"/>
          <w:sz w:val="22"/>
        </w:rPr>
        <w:t xml:space="preserve"> segments.</w:t>
      </w:r>
    </w:p>
    <w:p w:rsidR="00B02E4C" w:rsidRPr="00C27D1C" w:rsidRDefault="00B85D96" w:rsidP="005D3070">
      <w:pPr>
        <w:pStyle w:val="Odstavecseseznamem"/>
        <w:numPr>
          <w:ilvl w:val="0"/>
          <w:numId w:val="2"/>
        </w:numPr>
        <w:rPr>
          <w:rFonts w:ascii="Arial" w:hAnsi="Arial" w:cs="Arial"/>
          <w:sz w:val="22"/>
        </w:rPr>
      </w:pPr>
      <w:r w:rsidRPr="00C27D1C">
        <w:rPr>
          <w:rFonts w:ascii="Arial" w:hAnsi="Arial" w:cs="Arial"/>
          <w:sz w:val="22"/>
        </w:rPr>
        <w:t>T</w:t>
      </w:r>
      <w:r w:rsidR="00D96C9C" w:rsidRPr="00C27D1C">
        <w:rPr>
          <w:rFonts w:ascii="Arial" w:hAnsi="Arial" w:cs="Arial"/>
          <w:sz w:val="22"/>
        </w:rPr>
        <w:t xml:space="preserve">otal operating margin expanded </w:t>
      </w:r>
      <w:r w:rsidR="0021108D" w:rsidRPr="00C27D1C">
        <w:rPr>
          <w:rFonts w:ascii="Arial" w:hAnsi="Arial" w:cs="Arial"/>
          <w:sz w:val="22"/>
        </w:rPr>
        <w:t>170</w:t>
      </w:r>
      <w:r w:rsidR="00AB429A" w:rsidRPr="00C27D1C">
        <w:rPr>
          <w:rFonts w:ascii="Arial" w:hAnsi="Arial" w:cs="Arial"/>
          <w:sz w:val="22"/>
        </w:rPr>
        <w:t xml:space="preserve"> basis points</w:t>
      </w:r>
      <w:r w:rsidR="00D658EB">
        <w:rPr>
          <w:rFonts w:ascii="Arial" w:hAnsi="Arial" w:cs="Arial"/>
          <w:sz w:val="22"/>
        </w:rPr>
        <w:t>**</w:t>
      </w:r>
      <w:r w:rsidR="00AB429A" w:rsidRPr="00C27D1C">
        <w:rPr>
          <w:rFonts w:ascii="Arial" w:hAnsi="Arial" w:cs="Arial"/>
          <w:sz w:val="22"/>
        </w:rPr>
        <w:t>;</w:t>
      </w:r>
      <w:r w:rsidR="002A0188" w:rsidRPr="00C27D1C">
        <w:rPr>
          <w:rFonts w:ascii="Arial" w:hAnsi="Arial" w:cs="Arial"/>
          <w:sz w:val="22"/>
        </w:rPr>
        <w:t xml:space="preserve"> adjusted operating margin expanded </w:t>
      </w:r>
      <w:r w:rsidR="00885C20" w:rsidRPr="00C27D1C">
        <w:rPr>
          <w:rFonts w:ascii="Arial" w:hAnsi="Arial" w:cs="Arial"/>
          <w:sz w:val="22"/>
        </w:rPr>
        <w:t xml:space="preserve">150 </w:t>
      </w:r>
      <w:r w:rsidR="00B60032" w:rsidRPr="00C27D1C">
        <w:rPr>
          <w:rFonts w:ascii="Arial" w:hAnsi="Arial" w:cs="Arial"/>
          <w:sz w:val="22"/>
        </w:rPr>
        <w:t>basis points</w:t>
      </w:r>
      <w:r w:rsidR="00C27D1C" w:rsidRPr="00C27D1C">
        <w:rPr>
          <w:rFonts w:ascii="Arial" w:hAnsi="Arial" w:cs="Arial"/>
          <w:sz w:val="22"/>
        </w:rPr>
        <w:t>.</w:t>
      </w:r>
    </w:p>
    <w:p w:rsidR="00D33EC8" w:rsidRPr="00683BE7" w:rsidRDefault="005F68EC" w:rsidP="00D658EB">
      <w:pPr>
        <w:pStyle w:val="Odstavecseseznamem"/>
        <w:numPr>
          <w:ilvl w:val="0"/>
          <w:numId w:val="2"/>
        </w:numPr>
        <w:rPr>
          <w:rFonts w:ascii="Arial" w:hAnsi="Arial" w:cs="Arial"/>
          <w:sz w:val="22"/>
          <w:szCs w:val="22"/>
        </w:rPr>
      </w:pPr>
      <w:r>
        <w:rPr>
          <w:rFonts w:ascii="Arial" w:hAnsi="Arial" w:cs="Arial"/>
          <w:sz w:val="22"/>
        </w:rPr>
        <w:t>Adjusted c</w:t>
      </w:r>
      <w:r w:rsidR="00A57179" w:rsidRPr="00242B67">
        <w:rPr>
          <w:rFonts w:ascii="Arial" w:hAnsi="Arial" w:cs="Arial"/>
          <w:sz w:val="22"/>
        </w:rPr>
        <w:t>apital expenditures for the year are approximately $4.5 billion to support network enhancements</w:t>
      </w:r>
      <w:r w:rsidR="00514344" w:rsidRPr="00683BE7">
        <w:rPr>
          <w:rFonts w:ascii="Arial" w:hAnsi="Arial" w:cs="Arial"/>
          <w:sz w:val="22"/>
          <w:szCs w:val="22"/>
        </w:rPr>
        <w:t>.</w:t>
      </w:r>
      <w:r w:rsidR="005F55E6" w:rsidRPr="00683BE7">
        <w:rPr>
          <w:rFonts w:ascii="Arial" w:hAnsi="Arial" w:cs="Arial"/>
          <w:sz w:val="22"/>
          <w:szCs w:val="22"/>
        </w:rPr>
        <w:t xml:space="preserve"> </w:t>
      </w:r>
    </w:p>
    <w:p w:rsidR="00683BE7" w:rsidRPr="007262CA" w:rsidRDefault="00FE1655" w:rsidP="00206EB7">
      <w:pPr>
        <w:pStyle w:val="Odstavecseseznamem"/>
        <w:numPr>
          <w:ilvl w:val="0"/>
          <w:numId w:val="2"/>
        </w:numPr>
        <w:rPr>
          <w:rFonts w:ascii="Arial" w:hAnsi="Arial" w:cs="Arial"/>
          <w:sz w:val="22"/>
          <w:szCs w:val="22"/>
        </w:rPr>
      </w:pPr>
      <w:r w:rsidRPr="007262CA">
        <w:rPr>
          <w:rFonts w:ascii="Arial" w:hAnsi="Arial" w:cs="Arial"/>
          <w:sz w:val="22"/>
          <w:szCs w:val="22"/>
        </w:rPr>
        <w:t>Year-to-date</w:t>
      </w:r>
      <w:r w:rsidR="00683BE7" w:rsidRPr="007262CA">
        <w:rPr>
          <w:rFonts w:ascii="Arial" w:hAnsi="Arial" w:cs="Arial"/>
          <w:sz w:val="22"/>
          <w:szCs w:val="22"/>
        </w:rPr>
        <w:t xml:space="preserve"> cash from operations was $5.7 billion</w:t>
      </w:r>
      <w:r w:rsidR="006C5D58" w:rsidRPr="007262CA">
        <w:rPr>
          <w:rFonts w:ascii="Arial" w:hAnsi="Arial" w:cs="Arial"/>
          <w:sz w:val="22"/>
          <w:szCs w:val="22"/>
        </w:rPr>
        <w:t xml:space="preserve"> and adjusted free cash flow grew to $3.2 billion.</w:t>
      </w:r>
    </w:p>
    <w:p w:rsidR="00206EB7" w:rsidRPr="00A40049" w:rsidRDefault="00FE1655" w:rsidP="00206EB7">
      <w:pPr>
        <w:pStyle w:val="Odstavecseseznamem"/>
        <w:numPr>
          <w:ilvl w:val="0"/>
          <w:numId w:val="2"/>
        </w:numPr>
        <w:rPr>
          <w:rFonts w:ascii="Arial" w:hAnsi="Arial" w:cs="Arial"/>
          <w:sz w:val="22"/>
        </w:rPr>
      </w:pPr>
      <w:r>
        <w:rPr>
          <w:rFonts w:ascii="Arial" w:hAnsi="Arial" w:cs="Arial"/>
          <w:sz w:val="22"/>
        </w:rPr>
        <w:t>D</w:t>
      </w:r>
      <w:r w:rsidR="00087CB9" w:rsidRPr="00A40049">
        <w:rPr>
          <w:rFonts w:ascii="Arial" w:hAnsi="Arial" w:cs="Arial"/>
          <w:sz w:val="22"/>
        </w:rPr>
        <w:t>ividends per share increased</w:t>
      </w:r>
      <w:r w:rsidR="00A40049" w:rsidRPr="00A40049">
        <w:rPr>
          <w:rFonts w:ascii="Arial" w:hAnsi="Arial" w:cs="Arial"/>
          <w:sz w:val="22"/>
        </w:rPr>
        <w:t xml:space="preserve"> 5.5</w:t>
      </w:r>
      <w:r w:rsidR="00D75BF8" w:rsidRPr="00A40049">
        <w:rPr>
          <w:rFonts w:ascii="Arial" w:hAnsi="Arial" w:cs="Arial"/>
          <w:sz w:val="22"/>
        </w:rPr>
        <w:t>%</w:t>
      </w:r>
      <w:r w:rsidR="00ED7461">
        <w:rPr>
          <w:rFonts w:ascii="Arial" w:hAnsi="Arial" w:cs="Arial"/>
          <w:sz w:val="22"/>
        </w:rPr>
        <w:t>,</w:t>
      </w:r>
      <w:r w:rsidR="00262BB1" w:rsidRPr="00A40049">
        <w:rPr>
          <w:rFonts w:ascii="Arial" w:hAnsi="Arial" w:cs="Arial"/>
          <w:sz w:val="22"/>
        </w:rPr>
        <w:t xml:space="preserve"> and t</w:t>
      </w:r>
      <w:r w:rsidR="00D33EC8" w:rsidRPr="00A40049">
        <w:rPr>
          <w:rFonts w:ascii="Arial" w:hAnsi="Arial" w:cs="Arial"/>
          <w:sz w:val="22"/>
        </w:rPr>
        <w:t xml:space="preserve">he company repurchased </w:t>
      </w:r>
      <w:r w:rsidR="00A40049" w:rsidRPr="00A40049">
        <w:rPr>
          <w:rFonts w:ascii="Arial" w:hAnsi="Arial" w:cs="Arial"/>
          <w:sz w:val="22"/>
        </w:rPr>
        <w:t xml:space="preserve">7 </w:t>
      </w:r>
      <w:r w:rsidR="00D33EC8" w:rsidRPr="00A40049">
        <w:rPr>
          <w:rFonts w:ascii="Arial" w:hAnsi="Arial" w:cs="Arial"/>
          <w:sz w:val="22"/>
        </w:rPr>
        <w:t>million shares for approximately $</w:t>
      </w:r>
      <w:r w:rsidR="00A40049" w:rsidRPr="00A40049">
        <w:rPr>
          <w:rFonts w:ascii="Arial" w:hAnsi="Arial" w:cs="Arial"/>
          <w:sz w:val="22"/>
        </w:rPr>
        <w:t>753</w:t>
      </w:r>
      <w:r w:rsidR="00807017" w:rsidRPr="00A40049">
        <w:rPr>
          <w:rFonts w:ascii="Arial" w:hAnsi="Arial" w:cs="Arial"/>
          <w:sz w:val="22"/>
        </w:rPr>
        <w:t xml:space="preserve"> </w:t>
      </w:r>
      <w:r w:rsidR="00D33EC8" w:rsidRPr="00A40049">
        <w:rPr>
          <w:rFonts w:ascii="Arial" w:hAnsi="Arial" w:cs="Arial"/>
          <w:sz w:val="22"/>
        </w:rPr>
        <w:t>million</w:t>
      </w:r>
      <w:r w:rsidR="00667784">
        <w:rPr>
          <w:rFonts w:ascii="Arial" w:hAnsi="Arial" w:cs="Arial"/>
          <w:sz w:val="22"/>
        </w:rPr>
        <w:t xml:space="preserve"> year-to-date</w:t>
      </w:r>
      <w:r w:rsidR="00D33EC8" w:rsidRPr="00A40049">
        <w:rPr>
          <w:rFonts w:ascii="Arial" w:hAnsi="Arial" w:cs="Arial"/>
          <w:sz w:val="22"/>
        </w:rPr>
        <w:t>.</w:t>
      </w:r>
    </w:p>
    <w:p w:rsidR="005A5BC6" w:rsidRDefault="005A5BC6" w:rsidP="00AA6C14">
      <w:pPr>
        <w:ind w:firstLine="720"/>
        <w:rPr>
          <w:rFonts w:ascii="Arial" w:hAnsi="Arial" w:cs="Arial"/>
          <w:sz w:val="22"/>
        </w:rPr>
      </w:pPr>
    </w:p>
    <w:p w:rsidR="00670138" w:rsidRPr="00670138" w:rsidRDefault="00670138" w:rsidP="00670138">
      <w:pPr>
        <w:rPr>
          <w:rFonts w:ascii="Arial" w:hAnsi="Arial" w:cs="Arial"/>
          <w:b/>
          <w:sz w:val="22"/>
          <w:szCs w:val="22"/>
          <w:u w:val="single"/>
          <w:lang w:val="en"/>
        </w:rPr>
      </w:pPr>
      <w:r>
        <w:rPr>
          <w:rFonts w:ascii="Arial" w:hAnsi="Arial" w:cs="Arial"/>
          <w:b/>
          <w:sz w:val="22"/>
          <w:szCs w:val="22"/>
          <w:u w:val="single"/>
          <w:lang w:val="en"/>
        </w:rPr>
        <w:t>U.S. Domestic Segment</w:t>
      </w:r>
    </w:p>
    <w:p w:rsidR="00670138" w:rsidRDefault="00670138" w:rsidP="00670138">
      <w:pPr>
        <w:rPr>
          <w:rFonts w:ascii="Arial" w:hAnsi="Arial" w:cs="Arial"/>
          <w:sz w:val="22"/>
          <w:szCs w:val="22"/>
          <w:lang w:val="en"/>
        </w:rPr>
      </w:pPr>
    </w:p>
    <w:p w:rsidR="00670138" w:rsidRDefault="00153A74" w:rsidP="00111E05">
      <w:pPr>
        <w:rPr>
          <w:rFonts w:ascii="Arial" w:hAnsi="Arial" w:cs="Arial"/>
          <w:sz w:val="22"/>
          <w:szCs w:val="22"/>
          <w:lang w:val="en"/>
        </w:rPr>
      </w:pPr>
      <w:r>
        <w:rPr>
          <w:rFonts w:ascii="Arial" w:hAnsi="Arial" w:cs="Arial"/>
          <w:sz w:val="22"/>
          <w:szCs w:val="22"/>
          <w:lang w:val="en"/>
        </w:rPr>
        <w:t xml:space="preserve">In the </w:t>
      </w:r>
      <w:r w:rsidR="001D7E4C">
        <w:rPr>
          <w:rFonts w:ascii="Arial" w:hAnsi="Arial" w:cs="Arial"/>
          <w:sz w:val="22"/>
          <w:szCs w:val="22"/>
          <w:lang w:val="en"/>
        </w:rPr>
        <w:t>U.S. Domestic segment</w:t>
      </w:r>
      <w:r>
        <w:rPr>
          <w:rFonts w:ascii="Arial" w:hAnsi="Arial" w:cs="Arial"/>
          <w:sz w:val="22"/>
          <w:szCs w:val="22"/>
          <w:lang w:val="en"/>
        </w:rPr>
        <w:t xml:space="preserve">, total </w:t>
      </w:r>
      <w:r w:rsidRPr="00153A74">
        <w:rPr>
          <w:rFonts w:ascii="Arial" w:hAnsi="Arial" w:cs="Arial"/>
          <w:sz w:val="22"/>
          <w:szCs w:val="22"/>
          <w:lang w:val="en"/>
        </w:rPr>
        <w:t>volume across all products grew more than 9%</w:t>
      </w:r>
      <w:r w:rsidR="00EE4537">
        <w:rPr>
          <w:rFonts w:ascii="Arial" w:hAnsi="Arial" w:cs="Arial"/>
          <w:sz w:val="22"/>
          <w:szCs w:val="22"/>
          <w:lang w:val="en"/>
        </w:rPr>
        <w:t xml:space="preserve">.  </w:t>
      </w:r>
      <w:r w:rsidR="001D7E4C">
        <w:rPr>
          <w:rFonts w:ascii="Arial" w:hAnsi="Arial" w:cs="Arial"/>
          <w:sz w:val="22"/>
          <w:szCs w:val="22"/>
          <w:lang w:val="en"/>
        </w:rPr>
        <w:t xml:space="preserve">Next Day Air </w:t>
      </w:r>
      <w:r w:rsidR="00696167">
        <w:rPr>
          <w:rFonts w:ascii="Arial" w:hAnsi="Arial" w:cs="Arial"/>
          <w:sz w:val="22"/>
          <w:szCs w:val="22"/>
          <w:lang w:val="en"/>
        </w:rPr>
        <w:t>increase</w:t>
      </w:r>
      <w:r w:rsidR="00EE4537">
        <w:rPr>
          <w:rFonts w:ascii="Arial" w:hAnsi="Arial" w:cs="Arial"/>
          <w:sz w:val="22"/>
          <w:szCs w:val="22"/>
          <w:lang w:val="en"/>
        </w:rPr>
        <w:t>d</w:t>
      </w:r>
      <w:r w:rsidR="00696167">
        <w:rPr>
          <w:rFonts w:ascii="Arial" w:hAnsi="Arial" w:cs="Arial"/>
          <w:sz w:val="22"/>
          <w:szCs w:val="22"/>
          <w:lang w:val="en"/>
        </w:rPr>
        <w:t xml:space="preserve"> nearly 24%</w:t>
      </w:r>
      <w:r w:rsidR="00ED7461">
        <w:rPr>
          <w:rFonts w:ascii="Arial" w:hAnsi="Arial" w:cs="Arial"/>
          <w:sz w:val="22"/>
          <w:szCs w:val="22"/>
          <w:lang w:val="en"/>
        </w:rPr>
        <w:t>;</w:t>
      </w:r>
      <w:r w:rsidR="00EE4537">
        <w:rPr>
          <w:rFonts w:ascii="Arial" w:hAnsi="Arial" w:cs="Arial"/>
          <w:sz w:val="22"/>
          <w:szCs w:val="22"/>
          <w:lang w:val="en"/>
        </w:rPr>
        <w:t xml:space="preserve"> Deferred </w:t>
      </w:r>
      <w:r w:rsidR="00E618BE">
        <w:rPr>
          <w:rFonts w:ascii="Arial" w:hAnsi="Arial" w:cs="Arial"/>
          <w:sz w:val="22"/>
          <w:szCs w:val="22"/>
          <w:lang w:val="en"/>
        </w:rPr>
        <w:t xml:space="preserve">Air </w:t>
      </w:r>
      <w:r w:rsidR="00EE4537">
        <w:rPr>
          <w:rFonts w:ascii="Arial" w:hAnsi="Arial" w:cs="Arial"/>
          <w:sz w:val="22"/>
          <w:szCs w:val="22"/>
          <w:lang w:val="en"/>
        </w:rPr>
        <w:t>grew more than 17%</w:t>
      </w:r>
      <w:r w:rsidR="00ED7461">
        <w:rPr>
          <w:rFonts w:ascii="Arial" w:hAnsi="Arial" w:cs="Arial"/>
          <w:sz w:val="22"/>
          <w:szCs w:val="22"/>
          <w:lang w:val="en"/>
        </w:rPr>
        <w:t>;</w:t>
      </w:r>
      <w:r w:rsidR="00EE4537">
        <w:rPr>
          <w:rFonts w:ascii="Arial" w:hAnsi="Arial" w:cs="Arial"/>
          <w:sz w:val="22"/>
          <w:szCs w:val="22"/>
          <w:lang w:val="en"/>
        </w:rPr>
        <w:t xml:space="preserve"> and Ground volume rose nearly 7%</w:t>
      </w:r>
      <w:r w:rsidR="00696167">
        <w:rPr>
          <w:rFonts w:ascii="Arial" w:hAnsi="Arial" w:cs="Arial"/>
          <w:sz w:val="22"/>
          <w:szCs w:val="22"/>
          <w:lang w:val="en"/>
        </w:rPr>
        <w:t xml:space="preserve">. </w:t>
      </w:r>
      <w:r w:rsidR="00514344">
        <w:rPr>
          <w:rFonts w:ascii="Arial" w:hAnsi="Arial" w:cs="Arial"/>
          <w:sz w:val="22"/>
          <w:szCs w:val="22"/>
          <w:lang w:val="en"/>
        </w:rPr>
        <w:t xml:space="preserve"> Growth </w:t>
      </w:r>
      <w:r w:rsidR="00ED7461">
        <w:rPr>
          <w:rFonts w:ascii="Arial" w:hAnsi="Arial" w:cs="Arial"/>
          <w:sz w:val="22"/>
          <w:szCs w:val="22"/>
          <w:lang w:val="en"/>
        </w:rPr>
        <w:t xml:space="preserve">came </w:t>
      </w:r>
      <w:r w:rsidR="00514344">
        <w:rPr>
          <w:rFonts w:ascii="Arial" w:hAnsi="Arial" w:cs="Arial"/>
          <w:sz w:val="22"/>
          <w:szCs w:val="22"/>
          <w:lang w:val="en"/>
        </w:rPr>
        <w:t>from both B2C and B2B shippers, led by the r</w:t>
      </w:r>
      <w:r w:rsidR="00514344" w:rsidRPr="0057132D">
        <w:rPr>
          <w:rFonts w:ascii="Arial" w:hAnsi="Arial" w:cs="Arial"/>
          <w:sz w:val="22"/>
          <w:szCs w:val="22"/>
          <w:lang w:val="en"/>
        </w:rPr>
        <w:t xml:space="preserve">etail, healthcare and </w:t>
      </w:r>
      <w:r w:rsidR="00514344">
        <w:rPr>
          <w:rFonts w:ascii="Arial" w:hAnsi="Arial" w:cs="Arial"/>
          <w:sz w:val="22"/>
          <w:szCs w:val="22"/>
          <w:lang w:val="en"/>
        </w:rPr>
        <w:t>high-</w:t>
      </w:r>
      <w:r w:rsidR="00514344" w:rsidRPr="0057132D">
        <w:rPr>
          <w:rFonts w:ascii="Arial" w:hAnsi="Arial" w:cs="Arial"/>
          <w:sz w:val="22"/>
          <w:szCs w:val="22"/>
          <w:lang w:val="en"/>
        </w:rPr>
        <w:t xml:space="preserve">tech </w:t>
      </w:r>
      <w:r w:rsidR="00514344">
        <w:rPr>
          <w:rFonts w:ascii="Arial" w:hAnsi="Arial" w:cs="Arial"/>
          <w:sz w:val="22"/>
          <w:szCs w:val="22"/>
          <w:lang w:val="en"/>
        </w:rPr>
        <w:t>sectors.</w:t>
      </w:r>
    </w:p>
    <w:p w:rsidR="0021108D" w:rsidRDefault="0021108D" w:rsidP="00111E05">
      <w:pPr>
        <w:rPr>
          <w:rFonts w:ascii="Arial" w:hAnsi="Arial" w:cs="Arial"/>
          <w:sz w:val="22"/>
          <w:szCs w:val="22"/>
          <w:lang w:val="en"/>
        </w:rPr>
      </w:pPr>
    </w:p>
    <w:p w:rsidR="0021108D" w:rsidRPr="00111E05" w:rsidRDefault="00484FAD" w:rsidP="00111E05">
      <w:pPr>
        <w:rPr>
          <w:rFonts w:ascii="Arial" w:hAnsi="Arial" w:cs="Arial"/>
          <w:sz w:val="22"/>
          <w:szCs w:val="22"/>
          <w:lang w:val="en"/>
        </w:rPr>
      </w:pPr>
      <w:r>
        <w:rPr>
          <w:rFonts w:ascii="Arial" w:hAnsi="Arial" w:cs="Arial"/>
          <w:sz w:val="22"/>
          <w:szCs w:val="22"/>
          <w:lang w:val="en"/>
        </w:rPr>
        <w:t>“</w:t>
      </w:r>
      <w:r w:rsidR="00776FC6">
        <w:rPr>
          <w:rFonts w:ascii="Arial" w:hAnsi="Arial" w:cs="Arial"/>
          <w:sz w:val="22"/>
          <w:szCs w:val="22"/>
          <w:lang w:val="en"/>
        </w:rPr>
        <w:t xml:space="preserve">The </w:t>
      </w:r>
      <w:r w:rsidR="001D7E4C">
        <w:rPr>
          <w:rFonts w:ascii="Arial" w:hAnsi="Arial" w:cs="Arial"/>
          <w:sz w:val="22"/>
          <w:szCs w:val="22"/>
          <w:lang w:val="en"/>
        </w:rPr>
        <w:t xml:space="preserve">investments </w:t>
      </w:r>
      <w:r w:rsidR="005102CD">
        <w:rPr>
          <w:rFonts w:ascii="Arial" w:hAnsi="Arial" w:cs="Arial"/>
          <w:sz w:val="22"/>
          <w:szCs w:val="22"/>
          <w:lang w:val="en"/>
        </w:rPr>
        <w:t xml:space="preserve">we are making </w:t>
      </w:r>
      <w:r w:rsidR="001D7E4C">
        <w:rPr>
          <w:rFonts w:ascii="Arial" w:hAnsi="Arial" w:cs="Arial"/>
          <w:sz w:val="22"/>
          <w:szCs w:val="22"/>
          <w:lang w:val="en"/>
        </w:rPr>
        <w:t>in new facilitie</w:t>
      </w:r>
      <w:r>
        <w:rPr>
          <w:rFonts w:ascii="Arial" w:hAnsi="Arial" w:cs="Arial"/>
          <w:sz w:val="22"/>
          <w:szCs w:val="22"/>
          <w:lang w:val="en"/>
        </w:rPr>
        <w:t>s and automation in our network</w:t>
      </w:r>
      <w:r w:rsidR="00776FC6">
        <w:rPr>
          <w:rFonts w:ascii="Arial" w:hAnsi="Arial" w:cs="Arial"/>
          <w:sz w:val="22"/>
          <w:szCs w:val="22"/>
          <w:lang w:val="en"/>
        </w:rPr>
        <w:t xml:space="preserve">, coupled with </w:t>
      </w:r>
      <w:r w:rsidR="000F67F5">
        <w:rPr>
          <w:rFonts w:ascii="Arial" w:hAnsi="Arial" w:cs="Arial"/>
          <w:sz w:val="22"/>
          <w:szCs w:val="22"/>
          <w:lang w:val="en"/>
        </w:rPr>
        <w:t xml:space="preserve">solid </w:t>
      </w:r>
      <w:r w:rsidR="00776FC6">
        <w:rPr>
          <w:rFonts w:ascii="Arial" w:hAnsi="Arial" w:cs="Arial"/>
          <w:sz w:val="22"/>
          <w:szCs w:val="22"/>
          <w:lang w:val="en"/>
        </w:rPr>
        <w:t>execution of our strategies,</w:t>
      </w:r>
      <w:r w:rsidR="001D7E4C">
        <w:rPr>
          <w:rFonts w:ascii="Arial" w:hAnsi="Arial" w:cs="Arial"/>
          <w:sz w:val="22"/>
          <w:szCs w:val="22"/>
          <w:lang w:val="en"/>
        </w:rPr>
        <w:t xml:space="preserve"> are producing </w:t>
      </w:r>
      <w:r w:rsidR="005102CD">
        <w:rPr>
          <w:rFonts w:ascii="Arial" w:hAnsi="Arial" w:cs="Arial"/>
          <w:sz w:val="22"/>
          <w:szCs w:val="22"/>
          <w:lang w:val="en"/>
        </w:rPr>
        <w:t>strong results</w:t>
      </w:r>
      <w:r>
        <w:rPr>
          <w:rFonts w:ascii="Arial" w:hAnsi="Arial" w:cs="Arial"/>
          <w:sz w:val="22"/>
          <w:szCs w:val="22"/>
          <w:lang w:val="en"/>
        </w:rPr>
        <w:t xml:space="preserve">, including </w:t>
      </w:r>
      <w:r w:rsidR="000F67F5">
        <w:rPr>
          <w:rFonts w:ascii="Arial" w:hAnsi="Arial" w:cs="Arial"/>
          <w:sz w:val="22"/>
          <w:szCs w:val="22"/>
          <w:lang w:val="en"/>
        </w:rPr>
        <w:t xml:space="preserve">strong, </w:t>
      </w:r>
      <w:r>
        <w:rPr>
          <w:rFonts w:ascii="Arial" w:hAnsi="Arial" w:cs="Arial"/>
          <w:sz w:val="22"/>
          <w:szCs w:val="22"/>
          <w:lang w:val="en"/>
        </w:rPr>
        <w:t>positive operating leverage</w:t>
      </w:r>
      <w:r w:rsidR="005102CD">
        <w:rPr>
          <w:rFonts w:ascii="Arial" w:hAnsi="Arial" w:cs="Arial"/>
          <w:sz w:val="22"/>
          <w:szCs w:val="22"/>
          <w:lang w:val="en"/>
        </w:rPr>
        <w:t xml:space="preserve">,” said Abney. </w:t>
      </w:r>
      <w:r w:rsidR="008C1CE5">
        <w:rPr>
          <w:rFonts w:ascii="Arial" w:hAnsi="Arial" w:cs="Arial"/>
          <w:sz w:val="22"/>
          <w:szCs w:val="22"/>
          <w:lang w:val="en"/>
        </w:rPr>
        <w:t xml:space="preserve"> </w:t>
      </w:r>
      <w:r w:rsidR="005102CD">
        <w:rPr>
          <w:rFonts w:ascii="Arial" w:hAnsi="Arial" w:cs="Arial"/>
          <w:sz w:val="22"/>
          <w:szCs w:val="22"/>
          <w:lang w:val="en"/>
        </w:rPr>
        <w:t xml:space="preserve">“We see </w:t>
      </w:r>
      <w:r w:rsidR="00D41E73">
        <w:rPr>
          <w:rFonts w:ascii="Arial" w:hAnsi="Arial" w:cs="Arial"/>
          <w:sz w:val="22"/>
          <w:szCs w:val="22"/>
          <w:lang w:val="en"/>
        </w:rPr>
        <w:t>significant</w:t>
      </w:r>
      <w:r w:rsidR="000B4A03">
        <w:rPr>
          <w:rFonts w:ascii="Arial" w:hAnsi="Arial" w:cs="Arial"/>
          <w:sz w:val="22"/>
          <w:szCs w:val="22"/>
          <w:lang w:val="en"/>
        </w:rPr>
        <w:t xml:space="preserve"> </w:t>
      </w:r>
      <w:r w:rsidR="008C1CE5">
        <w:rPr>
          <w:rFonts w:ascii="Arial" w:hAnsi="Arial" w:cs="Arial"/>
          <w:sz w:val="22"/>
          <w:szCs w:val="22"/>
          <w:lang w:val="en"/>
        </w:rPr>
        <w:t xml:space="preserve">near-term </w:t>
      </w:r>
      <w:r w:rsidR="00E618BE">
        <w:rPr>
          <w:rFonts w:ascii="Arial" w:hAnsi="Arial" w:cs="Arial"/>
          <w:sz w:val="22"/>
          <w:szCs w:val="22"/>
          <w:lang w:val="en"/>
        </w:rPr>
        <w:t>benefits</w:t>
      </w:r>
      <w:r w:rsidR="005102CD">
        <w:rPr>
          <w:rFonts w:ascii="Arial" w:hAnsi="Arial" w:cs="Arial"/>
          <w:sz w:val="22"/>
          <w:szCs w:val="22"/>
          <w:lang w:val="en"/>
        </w:rPr>
        <w:t xml:space="preserve"> </w:t>
      </w:r>
      <w:r w:rsidR="00CA2D22">
        <w:rPr>
          <w:rFonts w:ascii="Arial" w:hAnsi="Arial" w:cs="Arial"/>
          <w:sz w:val="22"/>
          <w:szCs w:val="22"/>
          <w:lang w:val="en"/>
        </w:rPr>
        <w:t xml:space="preserve">to </w:t>
      </w:r>
      <w:r w:rsidR="00E618BE">
        <w:rPr>
          <w:rFonts w:ascii="Arial" w:hAnsi="Arial" w:cs="Arial"/>
          <w:sz w:val="22"/>
          <w:szCs w:val="22"/>
          <w:lang w:val="en"/>
        </w:rPr>
        <w:t>both</w:t>
      </w:r>
      <w:r w:rsidR="00776FC6">
        <w:rPr>
          <w:rFonts w:ascii="Arial" w:hAnsi="Arial" w:cs="Arial"/>
          <w:sz w:val="22"/>
          <w:szCs w:val="22"/>
          <w:lang w:val="en"/>
        </w:rPr>
        <w:t xml:space="preserve"> </w:t>
      </w:r>
      <w:r w:rsidR="005102CD">
        <w:rPr>
          <w:rFonts w:ascii="Arial" w:hAnsi="Arial" w:cs="Arial"/>
          <w:sz w:val="22"/>
          <w:szCs w:val="22"/>
          <w:lang w:val="en"/>
        </w:rPr>
        <w:t>top- and bottom-line results</w:t>
      </w:r>
      <w:r w:rsidR="008C1CE5">
        <w:rPr>
          <w:rFonts w:ascii="Arial" w:hAnsi="Arial" w:cs="Arial"/>
          <w:sz w:val="22"/>
          <w:szCs w:val="22"/>
          <w:lang w:val="en"/>
        </w:rPr>
        <w:t xml:space="preserve"> in the U.S. and continued momentum into the future.</w:t>
      </w:r>
      <w:r w:rsidR="005102CD">
        <w:rPr>
          <w:rFonts w:ascii="Arial" w:hAnsi="Arial" w:cs="Arial"/>
          <w:sz w:val="22"/>
          <w:szCs w:val="22"/>
          <w:lang w:val="en"/>
        </w:rPr>
        <w:t>”</w:t>
      </w:r>
    </w:p>
    <w:p w:rsidR="00670138" w:rsidRPr="00D352EF" w:rsidRDefault="00670138" w:rsidP="00AA6C14">
      <w:pPr>
        <w:ind w:firstLine="720"/>
        <w:rPr>
          <w:rFonts w:ascii="Arial" w:hAnsi="Arial" w:cs="Arial"/>
          <w:sz w:val="22"/>
        </w:rPr>
      </w:pPr>
    </w:p>
    <w:tbl>
      <w:tblPr>
        <w:tblStyle w:val="Mkatabulky"/>
        <w:tblW w:w="919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1616"/>
        <w:gridCol w:w="1652"/>
        <w:gridCol w:w="1617"/>
        <w:gridCol w:w="1428"/>
      </w:tblGrid>
      <w:tr w:rsidR="00AF39AB" w:rsidRPr="002A6649" w:rsidTr="00C73DB7">
        <w:trPr>
          <w:trHeight w:val="476"/>
        </w:trPr>
        <w:tc>
          <w:tcPr>
            <w:tcW w:w="2885" w:type="dxa"/>
          </w:tcPr>
          <w:p w:rsidR="00AF39AB" w:rsidRPr="002A6649" w:rsidRDefault="00AF39AB" w:rsidP="0082624B">
            <w:pPr>
              <w:rPr>
                <w:rFonts w:ascii="Arial" w:hAnsi="Arial" w:cs="Arial"/>
                <w:b/>
                <w:sz w:val="20"/>
                <w:szCs w:val="22"/>
                <w:u w:val="single"/>
              </w:rPr>
            </w:pPr>
          </w:p>
          <w:p w:rsidR="00AF39AB" w:rsidRPr="002A6649" w:rsidRDefault="00AF39AB" w:rsidP="0082624B">
            <w:pPr>
              <w:rPr>
                <w:rFonts w:ascii="Arial" w:hAnsi="Arial" w:cs="Arial"/>
                <w:b/>
                <w:sz w:val="20"/>
                <w:szCs w:val="22"/>
                <w:u w:val="single"/>
              </w:rPr>
            </w:pPr>
          </w:p>
        </w:tc>
        <w:tc>
          <w:tcPr>
            <w:tcW w:w="1616" w:type="dxa"/>
          </w:tcPr>
          <w:p w:rsidR="00AF39AB" w:rsidRPr="00D352EF" w:rsidRDefault="00AF39AB" w:rsidP="0082624B">
            <w:pPr>
              <w:jc w:val="right"/>
              <w:rPr>
                <w:rFonts w:ascii="Arial" w:hAnsi="Arial" w:cs="Arial"/>
                <w:b/>
                <w:sz w:val="20"/>
                <w:szCs w:val="22"/>
                <w:u w:val="single"/>
              </w:rPr>
            </w:pPr>
          </w:p>
          <w:p w:rsidR="00AF39AB" w:rsidRPr="002A6649" w:rsidRDefault="00FE3BBD" w:rsidP="0082624B">
            <w:pPr>
              <w:jc w:val="right"/>
              <w:rPr>
                <w:rFonts w:ascii="Arial" w:hAnsi="Arial" w:cs="Arial"/>
                <w:b/>
                <w:sz w:val="20"/>
                <w:szCs w:val="22"/>
                <w:u w:val="single"/>
              </w:rPr>
            </w:pPr>
            <w:r>
              <w:rPr>
                <w:rFonts w:ascii="Arial" w:hAnsi="Arial" w:cs="Arial"/>
                <w:b/>
                <w:sz w:val="20"/>
                <w:szCs w:val="22"/>
                <w:u w:val="single"/>
              </w:rPr>
              <w:t>3</w:t>
            </w:r>
            <w:r w:rsidR="00AF39AB">
              <w:rPr>
                <w:rFonts w:ascii="Arial" w:hAnsi="Arial" w:cs="Arial"/>
                <w:b/>
                <w:sz w:val="20"/>
                <w:szCs w:val="22"/>
                <w:u w:val="single"/>
              </w:rPr>
              <w:t>Q 2019</w:t>
            </w:r>
          </w:p>
        </w:tc>
        <w:tc>
          <w:tcPr>
            <w:tcW w:w="1652" w:type="dxa"/>
          </w:tcPr>
          <w:p w:rsidR="00AF39AB" w:rsidRPr="002A6649" w:rsidRDefault="00AF39AB" w:rsidP="0082624B">
            <w:pPr>
              <w:jc w:val="right"/>
              <w:rPr>
                <w:rFonts w:ascii="Arial" w:hAnsi="Arial" w:cs="Arial"/>
                <w:b/>
                <w:sz w:val="20"/>
                <w:szCs w:val="22"/>
                <w:u w:val="single"/>
              </w:rPr>
            </w:pPr>
            <w:r w:rsidRPr="002A6649">
              <w:rPr>
                <w:rFonts w:ascii="Arial" w:hAnsi="Arial" w:cs="Arial"/>
                <w:b/>
                <w:sz w:val="20"/>
                <w:szCs w:val="22"/>
                <w:u w:val="single"/>
              </w:rPr>
              <w:t>Adjusted</w:t>
            </w:r>
          </w:p>
          <w:p w:rsidR="00AF39AB" w:rsidRPr="002A6649" w:rsidRDefault="00FE3BBD" w:rsidP="0082624B">
            <w:pPr>
              <w:jc w:val="right"/>
              <w:rPr>
                <w:rFonts w:ascii="Arial" w:hAnsi="Arial" w:cs="Arial"/>
                <w:b/>
                <w:sz w:val="20"/>
                <w:szCs w:val="22"/>
                <w:u w:val="single"/>
              </w:rPr>
            </w:pPr>
            <w:r>
              <w:rPr>
                <w:rFonts w:ascii="Arial" w:hAnsi="Arial" w:cs="Arial"/>
                <w:b/>
                <w:sz w:val="20"/>
                <w:szCs w:val="22"/>
                <w:u w:val="single"/>
              </w:rPr>
              <w:t>3</w:t>
            </w:r>
            <w:r w:rsidR="00AF39AB">
              <w:rPr>
                <w:rFonts w:ascii="Arial" w:hAnsi="Arial" w:cs="Arial"/>
                <w:b/>
                <w:sz w:val="20"/>
                <w:szCs w:val="22"/>
                <w:u w:val="single"/>
              </w:rPr>
              <w:t>Q 2019</w:t>
            </w:r>
          </w:p>
        </w:tc>
        <w:tc>
          <w:tcPr>
            <w:tcW w:w="1617" w:type="dxa"/>
          </w:tcPr>
          <w:p w:rsidR="00AF39AB" w:rsidRPr="00D352EF" w:rsidRDefault="00AF39AB" w:rsidP="0082624B">
            <w:pPr>
              <w:jc w:val="right"/>
              <w:rPr>
                <w:rFonts w:ascii="Arial" w:hAnsi="Arial" w:cs="Arial"/>
                <w:b/>
                <w:sz w:val="20"/>
                <w:szCs w:val="22"/>
                <w:u w:val="single"/>
              </w:rPr>
            </w:pPr>
          </w:p>
          <w:p w:rsidR="00AF39AB" w:rsidRPr="002A6649" w:rsidRDefault="00FE3BBD" w:rsidP="0082624B">
            <w:pPr>
              <w:jc w:val="right"/>
              <w:rPr>
                <w:rFonts w:ascii="Arial" w:hAnsi="Arial" w:cs="Arial"/>
                <w:b/>
                <w:sz w:val="20"/>
                <w:szCs w:val="22"/>
                <w:u w:val="single"/>
              </w:rPr>
            </w:pPr>
            <w:r>
              <w:rPr>
                <w:rFonts w:ascii="Arial" w:hAnsi="Arial" w:cs="Arial"/>
                <w:b/>
                <w:sz w:val="20"/>
                <w:szCs w:val="22"/>
                <w:u w:val="single"/>
              </w:rPr>
              <w:t>3</w:t>
            </w:r>
            <w:r w:rsidR="00AF39AB">
              <w:rPr>
                <w:rFonts w:ascii="Arial" w:hAnsi="Arial" w:cs="Arial"/>
                <w:b/>
                <w:sz w:val="20"/>
                <w:szCs w:val="22"/>
                <w:u w:val="single"/>
              </w:rPr>
              <w:t>Q 2018</w:t>
            </w:r>
          </w:p>
        </w:tc>
        <w:tc>
          <w:tcPr>
            <w:tcW w:w="1428" w:type="dxa"/>
          </w:tcPr>
          <w:p w:rsidR="00AF39AB" w:rsidRPr="002A6649" w:rsidRDefault="00AF39AB" w:rsidP="00AF39AB">
            <w:pPr>
              <w:jc w:val="right"/>
              <w:rPr>
                <w:rFonts w:ascii="Arial" w:hAnsi="Arial" w:cs="Arial"/>
                <w:b/>
                <w:sz w:val="20"/>
                <w:szCs w:val="22"/>
                <w:u w:val="single"/>
              </w:rPr>
            </w:pPr>
            <w:r w:rsidRPr="002A6649">
              <w:rPr>
                <w:rFonts w:ascii="Arial" w:hAnsi="Arial" w:cs="Arial"/>
                <w:b/>
                <w:sz w:val="20"/>
                <w:szCs w:val="22"/>
                <w:u w:val="single"/>
              </w:rPr>
              <w:t>Adjusted</w:t>
            </w:r>
          </w:p>
          <w:p w:rsidR="00AF39AB" w:rsidRPr="00D352EF" w:rsidRDefault="00FE3BBD" w:rsidP="00AF39AB">
            <w:pPr>
              <w:jc w:val="right"/>
              <w:rPr>
                <w:rFonts w:ascii="Arial" w:hAnsi="Arial" w:cs="Arial"/>
                <w:b/>
                <w:sz w:val="20"/>
                <w:szCs w:val="22"/>
                <w:u w:val="single"/>
              </w:rPr>
            </w:pPr>
            <w:r>
              <w:rPr>
                <w:rFonts w:ascii="Arial" w:hAnsi="Arial" w:cs="Arial"/>
                <w:b/>
                <w:sz w:val="20"/>
                <w:szCs w:val="22"/>
                <w:u w:val="single"/>
              </w:rPr>
              <w:t>3</w:t>
            </w:r>
            <w:r w:rsidR="00AF39AB">
              <w:rPr>
                <w:rFonts w:ascii="Arial" w:hAnsi="Arial" w:cs="Arial"/>
                <w:b/>
                <w:sz w:val="20"/>
                <w:szCs w:val="22"/>
                <w:u w:val="single"/>
              </w:rPr>
              <w:t>Q 2018</w:t>
            </w:r>
          </w:p>
        </w:tc>
      </w:tr>
      <w:tr w:rsidR="00AF39AB" w:rsidRPr="002A6649" w:rsidTr="00C73DB7">
        <w:trPr>
          <w:trHeight w:val="227"/>
        </w:trPr>
        <w:tc>
          <w:tcPr>
            <w:tcW w:w="2885" w:type="dxa"/>
          </w:tcPr>
          <w:p w:rsidR="00AF39AB" w:rsidRPr="002A6649" w:rsidRDefault="00AF39AB" w:rsidP="0082624B">
            <w:pPr>
              <w:rPr>
                <w:rFonts w:ascii="Arial" w:hAnsi="Arial" w:cs="Arial"/>
                <w:sz w:val="20"/>
                <w:szCs w:val="22"/>
              </w:rPr>
            </w:pPr>
            <w:r w:rsidRPr="002A6649">
              <w:rPr>
                <w:rFonts w:ascii="Arial" w:hAnsi="Arial" w:cs="Arial"/>
                <w:sz w:val="20"/>
                <w:szCs w:val="22"/>
              </w:rPr>
              <w:t>Revenue</w:t>
            </w:r>
          </w:p>
        </w:tc>
        <w:tc>
          <w:tcPr>
            <w:tcW w:w="1616" w:type="dxa"/>
          </w:tcPr>
          <w:p w:rsidR="00AF39AB" w:rsidRPr="002A6649" w:rsidRDefault="00885C20" w:rsidP="0082624B">
            <w:pPr>
              <w:jc w:val="right"/>
              <w:rPr>
                <w:rFonts w:ascii="Arial" w:hAnsi="Arial" w:cs="Arial"/>
                <w:sz w:val="20"/>
                <w:szCs w:val="22"/>
              </w:rPr>
            </w:pPr>
            <w:r>
              <w:rPr>
                <w:rFonts w:ascii="Arial" w:hAnsi="Arial" w:cs="Arial"/>
                <w:sz w:val="20"/>
                <w:szCs w:val="22"/>
              </w:rPr>
              <w:t xml:space="preserve">$11,455 </w:t>
            </w:r>
            <w:r w:rsidR="00AF39AB">
              <w:rPr>
                <w:rFonts w:ascii="Arial" w:hAnsi="Arial" w:cs="Arial"/>
                <w:sz w:val="20"/>
                <w:szCs w:val="22"/>
              </w:rPr>
              <w:t>M</w:t>
            </w:r>
          </w:p>
        </w:tc>
        <w:tc>
          <w:tcPr>
            <w:tcW w:w="1652" w:type="dxa"/>
          </w:tcPr>
          <w:p w:rsidR="00AF39AB" w:rsidRPr="002A6649" w:rsidRDefault="00AF39AB" w:rsidP="0082624B">
            <w:pPr>
              <w:jc w:val="right"/>
              <w:rPr>
                <w:rFonts w:ascii="Arial" w:hAnsi="Arial" w:cs="Arial"/>
                <w:sz w:val="20"/>
                <w:szCs w:val="22"/>
              </w:rPr>
            </w:pPr>
          </w:p>
        </w:tc>
        <w:tc>
          <w:tcPr>
            <w:tcW w:w="1617" w:type="dxa"/>
          </w:tcPr>
          <w:p w:rsidR="00AF39AB" w:rsidRPr="002A6649" w:rsidRDefault="00885C20" w:rsidP="0082624B">
            <w:pPr>
              <w:jc w:val="right"/>
              <w:rPr>
                <w:rFonts w:ascii="Arial" w:hAnsi="Arial" w:cs="Arial"/>
                <w:sz w:val="20"/>
                <w:szCs w:val="22"/>
              </w:rPr>
            </w:pPr>
            <w:r>
              <w:rPr>
                <w:rFonts w:ascii="Arial" w:hAnsi="Arial" w:cs="Arial"/>
                <w:sz w:val="20"/>
                <w:szCs w:val="22"/>
              </w:rPr>
              <w:t>$10,437</w:t>
            </w:r>
            <w:r w:rsidR="00AF39AB">
              <w:rPr>
                <w:rFonts w:ascii="Arial" w:hAnsi="Arial" w:cs="Arial"/>
                <w:sz w:val="20"/>
                <w:szCs w:val="22"/>
              </w:rPr>
              <w:t xml:space="preserve"> M</w:t>
            </w:r>
          </w:p>
        </w:tc>
        <w:tc>
          <w:tcPr>
            <w:tcW w:w="1428" w:type="dxa"/>
          </w:tcPr>
          <w:p w:rsidR="00AF39AB" w:rsidRDefault="00AF39AB" w:rsidP="0082624B">
            <w:pPr>
              <w:jc w:val="right"/>
              <w:rPr>
                <w:rFonts w:ascii="Arial" w:hAnsi="Arial" w:cs="Arial"/>
                <w:sz w:val="20"/>
                <w:szCs w:val="22"/>
              </w:rPr>
            </w:pPr>
          </w:p>
        </w:tc>
      </w:tr>
      <w:tr w:rsidR="00AF39AB" w:rsidRPr="002A6649" w:rsidTr="00C73DB7">
        <w:trPr>
          <w:trHeight w:val="227"/>
        </w:trPr>
        <w:tc>
          <w:tcPr>
            <w:tcW w:w="2885" w:type="dxa"/>
          </w:tcPr>
          <w:p w:rsidR="00AF39AB" w:rsidRPr="002A6649" w:rsidRDefault="00AF39AB" w:rsidP="0082624B">
            <w:pPr>
              <w:rPr>
                <w:rFonts w:ascii="Arial" w:hAnsi="Arial" w:cs="Arial"/>
                <w:sz w:val="20"/>
                <w:szCs w:val="22"/>
              </w:rPr>
            </w:pPr>
            <w:r w:rsidRPr="002A6649">
              <w:rPr>
                <w:rFonts w:ascii="Arial" w:hAnsi="Arial" w:cs="Arial"/>
                <w:sz w:val="20"/>
                <w:szCs w:val="22"/>
              </w:rPr>
              <w:t>Operating profit</w:t>
            </w:r>
          </w:p>
        </w:tc>
        <w:tc>
          <w:tcPr>
            <w:tcW w:w="1616" w:type="dxa"/>
          </w:tcPr>
          <w:p w:rsidR="00AF39AB" w:rsidRPr="002A6649" w:rsidRDefault="00885C20" w:rsidP="0082624B">
            <w:pPr>
              <w:jc w:val="right"/>
              <w:rPr>
                <w:rFonts w:ascii="Arial" w:hAnsi="Arial" w:cs="Arial"/>
                <w:sz w:val="20"/>
                <w:szCs w:val="22"/>
              </w:rPr>
            </w:pPr>
            <w:r>
              <w:rPr>
                <w:rFonts w:ascii="Arial" w:hAnsi="Arial" w:cs="Arial"/>
                <w:sz w:val="20"/>
                <w:szCs w:val="22"/>
              </w:rPr>
              <w:t>$1,216</w:t>
            </w:r>
            <w:r w:rsidR="00AF39AB">
              <w:rPr>
                <w:rFonts w:ascii="Arial" w:hAnsi="Arial" w:cs="Arial"/>
                <w:sz w:val="20"/>
                <w:szCs w:val="22"/>
              </w:rPr>
              <w:t xml:space="preserve"> M</w:t>
            </w:r>
          </w:p>
        </w:tc>
        <w:tc>
          <w:tcPr>
            <w:tcW w:w="1652" w:type="dxa"/>
          </w:tcPr>
          <w:p w:rsidR="00AF39AB" w:rsidRPr="002A6649" w:rsidRDefault="00AF39AB" w:rsidP="0082624B">
            <w:pPr>
              <w:jc w:val="right"/>
              <w:rPr>
                <w:rFonts w:ascii="Arial" w:hAnsi="Arial" w:cs="Arial"/>
                <w:sz w:val="20"/>
                <w:szCs w:val="22"/>
              </w:rPr>
            </w:pPr>
            <w:r w:rsidRPr="002A6649">
              <w:rPr>
                <w:rFonts w:ascii="Arial" w:hAnsi="Arial" w:cs="Arial"/>
                <w:sz w:val="20"/>
                <w:szCs w:val="22"/>
              </w:rPr>
              <w:t>$</w:t>
            </w:r>
            <w:r w:rsidR="00885C20">
              <w:rPr>
                <w:rFonts w:ascii="Arial" w:hAnsi="Arial" w:cs="Arial"/>
                <w:sz w:val="20"/>
                <w:szCs w:val="22"/>
              </w:rPr>
              <w:t>1,242</w:t>
            </w:r>
            <w:r>
              <w:rPr>
                <w:rFonts w:ascii="Arial" w:hAnsi="Arial" w:cs="Arial"/>
                <w:sz w:val="20"/>
                <w:szCs w:val="22"/>
              </w:rPr>
              <w:t xml:space="preserve"> </w:t>
            </w:r>
            <w:r w:rsidRPr="002A6649">
              <w:rPr>
                <w:rFonts w:ascii="Arial" w:hAnsi="Arial" w:cs="Arial"/>
                <w:sz w:val="20"/>
                <w:szCs w:val="22"/>
              </w:rPr>
              <w:t>M</w:t>
            </w:r>
          </w:p>
        </w:tc>
        <w:tc>
          <w:tcPr>
            <w:tcW w:w="1617" w:type="dxa"/>
          </w:tcPr>
          <w:p w:rsidR="00AF39AB" w:rsidRPr="002A6649" w:rsidRDefault="00885C20" w:rsidP="0082624B">
            <w:pPr>
              <w:jc w:val="right"/>
              <w:rPr>
                <w:rFonts w:ascii="Arial" w:hAnsi="Arial" w:cs="Arial"/>
                <w:sz w:val="20"/>
                <w:szCs w:val="22"/>
              </w:rPr>
            </w:pPr>
            <w:r>
              <w:rPr>
                <w:rFonts w:ascii="Arial" w:hAnsi="Arial" w:cs="Arial"/>
                <w:sz w:val="20"/>
                <w:szCs w:val="22"/>
              </w:rPr>
              <w:t>$949</w:t>
            </w:r>
            <w:r w:rsidR="00AF39AB">
              <w:rPr>
                <w:rFonts w:ascii="Arial" w:hAnsi="Arial" w:cs="Arial"/>
                <w:sz w:val="20"/>
                <w:szCs w:val="22"/>
              </w:rPr>
              <w:t xml:space="preserve"> M</w:t>
            </w:r>
          </w:p>
        </w:tc>
        <w:tc>
          <w:tcPr>
            <w:tcW w:w="1428" w:type="dxa"/>
          </w:tcPr>
          <w:p w:rsidR="00AF39AB" w:rsidRDefault="00885C20" w:rsidP="0082624B">
            <w:pPr>
              <w:jc w:val="right"/>
              <w:rPr>
                <w:rFonts w:ascii="Arial" w:hAnsi="Arial" w:cs="Arial"/>
                <w:sz w:val="20"/>
                <w:szCs w:val="22"/>
              </w:rPr>
            </w:pPr>
            <w:r>
              <w:rPr>
                <w:rFonts w:ascii="Arial" w:hAnsi="Arial" w:cs="Arial"/>
                <w:sz w:val="20"/>
                <w:szCs w:val="22"/>
              </w:rPr>
              <w:t>$988</w:t>
            </w:r>
            <w:r w:rsidR="00804E7D">
              <w:rPr>
                <w:rFonts w:ascii="Arial" w:hAnsi="Arial" w:cs="Arial"/>
                <w:sz w:val="20"/>
                <w:szCs w:val="22"/>
              </w:rPr>
              <w:t xml:space="preserve"> M</w:t>
            </w:r>
          </w:p>
        </w:tc>
      </w:tr>
      <w:tr w:rsidR="00AF39AB" w:rsidRPr="002A6649" w:rsidTr="00C73DB7">
        <w:trPr>
          <w:trHeight w:val="142"/>
        </w:trPr>
        <w:tc>
          <w:tcPr>
            <w:tcW w:w="2885" w:type="dxa"/>
          </w:tcPr>
          <w:p w:rsidR="00AF39AB" w:rsidRPr="002A6649" w:rsidRDefault="00AF39AB" w:rsidP="0082624B">
            <w:pPr>
              <w:rPr>
                <w:rFonts w:ascii="Arial" w:hAnsi="Arial" w:cs="Arial"/>
                <w:sz w:val="20"/>
                <w:szCs w:val="22"/>
              </w:rPr>
            </w:pPr>
          </w:p>
        </w:tc>
        <w:tc>
          <w:tcPr>
            <w:tcW w:w="4885" w:type="dxa"/>
            <w:gridSpan w:val="3"/>
          </w:tcPr>
          <w:p w:rsidR="00AF39AB" w:rsidRDefault="00AF39AB" w:rsidP="00971CED">
            <w:pPr>
              <w:rPr>
                <w:rFonts w:ascii="Arial" w:hAnsi="Arial" w:cs="Arial"/>
                <w:sz w:val="20"/>
                <w:szCs w:val="22"/>
              </w:rPr>
            </w:pPr>
          </w:p>
        </w:tc>
        <w:tc>
          <w:tcPr>
            <w:tcW w:w="1428" w:type="dxa"/>
          </w:tcPr>
          <w:p w:rsidR="00AF39AB" w:rsidRDefault="00AF39AB" w:rsidP="00971CED">
            <w:pPr>
              <w:rPr>
                <w:rFonts w:ascii="Arial" w:hAnsi="Arial" w:cs="Arial"/>
                <w:sz w:val="20"/>
                <w:szCs w:val="22"/>
              </w:rPr>
            </w:pPr>
          </w:p>
        </w:tc>
      </w:tr>
    </w:tbl>
    <w:p w:rsidR="009243FA" w:rsidRPr="00D352EF" w:rsidRDefault="009243FA" w:rsidP="000E624D">
      <w:pPr>
        <w:rPr>
          <w:rFonts w:ascii="Arial" w:hAnsi="Arial" w:cs="Arial"/>
          <w:sz w:val="22"/>
        </w:rPr>
      </w:pPr>
    </w:p>
    <w:p w:rsidR="00615614" w:rsidRPr="00F71D1E" w:rsidRDefault="00F71D1E" w:rsidP="00E068F2">
      <w:pPr>
        <w:pStyle w:val="Odstavecseseznamem"/>
        <w:numPr>
          <w:ilvl w:val="0"/>
          <w:numId w:val="2"/>
        </w:numPr>
        <w:rPr>
          <w:rFonts w:ascii="Arial" w:hAnsi="Arial" w:cs="Arial"/>
          <w:sz w:val="22"/>
        </w:rPr>
      </w:pPr>
      <w:r w:rsidRPr="00F71D1E">
        <w:rPr>
          <w:rFonts w:ascii="Arial" w:hAnsi="Arial" w:cs="Arial"/>
          <w:sz w:val="22"/>
        </w:rPr>
        <w:t xml:space="preserve">Revenue </w:t>
      </w:r>
      <w:r w:rsidR="00BD4141">
        <w:rPr>
          <w:rFonts w:ascii="Arial" w:hAnsi="Arial" w:cs="Arial"/>
          <w:sz w:val="22"/>
        </w:rPr>
        <w:t>grew</w:t>
      </w:r>
      <w:r w:rsidRPr="00F71D1E">
        <w:rPr>
          <w:rFonts w:ascii="Arial" w:hAnsi="Arial" w:cs="Arial"/>
          <w:sz w:val="22"/>
        </w:rPr>
        <w:t xml:space="preserve"> </w:t>
      </w:r>
      <w:r w:rsidR="00BD4141">
        <w:rPr>
          <w:rFonts w:ascii="Arial" w:hAnsi="Arial" w:cs="Arial"/>
          <w:sz w:val="22"/>
        </w:rPr>
        <w:t xml:space="preserve">more than $1 billion, a </w:t>
      </w:r>
      <w:r w:rsidR="00794A7B" w:rsidRPr="00F71D1E">
        <w:rPr>
          <w:rFonts w:ascii="Arial" w:hAnsi="Arial" w:cs="Arial"/>
          <w:sz w:val="22"/>
        </w:rPr>
        <w:t>nearly 10</w:t>
      </w:r>
      <w:r w:rsidRPr="00F71D1E">
        <w:rPr>
          <w:rFonts w:ascii="Arial" w:hAnsi="Arial" w:cs="Arial"/>
          <w:sz w:val="22"/>
        </w:rPr>
        <w:t>%</w:t>
      </w:r>
      <w:r w:rsidR="00BD4141">
        <w:rPr>
          <w:rFonts w:ascii="Arial" w:hAnsi="Arial" w:cs="Arial"/>
          <w:sz w:val="22"/>
        </w:rPr>
        <w:t xml:space="preserve"> increase</w:t>
      </w:r>
      <w:r w:rsidR="007E25BE">
        <w:rPr>
          <w:rFonts w:ascii="Arial" w:hAnsi="Arial" w:cs="Arial"/>
          <w:sz w:val="22"/>
        </w:rPr>
        <w:t>.</w:t>
      </w:r>
    </w:p>
    <w:p w:rsidR="00C66981" w:rsidRPr="00F71D1E" w:rsidRDefault="009243FA" w:rsidP="00972995">
      <w:pPr>
        <w:pStyle w:val="Odstavecseseznamem"/>
        <w:numPr>
          <w:ilvl w:val="0"/>
          <w:numId w:val="2"/>
        </w:numPr>
        <w:rPr>
          <w:rFonts w:ascii="Arial" w:hAnsi="Arial" w:cs="Arial"/>
          <w:sz w:val="22"/>
        </w:rPr>
      </w:pPr>
      <w:r w:rsidRPr="00F71D1E">
        <w:rPr>
          <w:rFonts w:ascii="Arial" w:hAnsi="Arial" w:cs="Arial"/>
          <w:sz w:val="22"/>
          <w:szCs w:val="22"/>
        </w:rPr>
        <w:t xml:space="preserve">Operating profit increased </w:t>
      </w:r>
      <w:r w:rsidR="00E5038A" w:rsidRPr="00F71D1E">
        <w:rPr>
          <w:rFonts w:ascii="Arial" w:hAnsi="Arial" w:cs="Arial"/>
          <w:sz w:val="22"/>
          <w:szCs w:val="22"/>
        </w:rPr>
        <w:t>28</w:t>
      </w:r>
      <w:r w:rsidR="00BD4141">
        <w:rPr>
          <w:rFonts w:ascii="Arial" w:hAnsi="Arial" w:cs="Arial"/>
          <w:sz w:val="22"/>
          <w:szCs w:val="22"/>
        </w:rPr>
        <w:t>.1</w:t>
      </w:r>
      <w:r w:rsidR="00F71D1E">
        <w:rPr>
          <w:rFonts w:ascii="Arial" w:hAnsi="Arial" w:cs="Arial"/>
          <w:sz w:val="22"/>
          <w:szCs w:val="22"/>
        </w:rPr>
        <w:t>%,</w:t>
      </w:r>
      <w:r w:rsidR="00E5038A" w:rsidRPr="00F71D1E">
        <w:rPr>
          <w:rFonts w:ascii="Arial" w:hAnsi="Arial" w:cs="Arial"/>
          <w:sz w:val="22"/>
          <w:szCs w:val="22"/>
        </w:rPr>
        <w:t xml:space="preserve"> </w:t>
      </w:r>
      <w:r w:rsidR="00056264">
        <w:rPr>
          <w:rFonts w:ascii="Arial" w:hAnsi="Arial" w:cs="Arial"/>
          <w:sz w:val="22"/>
          <w:szCs w:val="22"/>
        </w:rPr>
        <w:t xml:space="preserve">and </w:t>
      </w:r>
      <w:r w:rsidR="00E5038A" w:rsidRPr="00F71D1E">
        <w:rPr>
          <w:rFonts w:ascii="Arial" w:hAnsi="Arial" w:cs="Arial"/>
          <w:sz w:val="22"/>
          <w:szCs w:val="22"/>
        </w:rPr>
        <w:t>nearly 26</w:t>
      </w:r>
      <w:r w:rsidR="00B60032" w:rsidRPr="00F71D1E">
        <w:rPr>
          <w:rFonts w:ascii="Arial" w:hAnsi="Arial" w:cs="Arial"/>
          <w:sz w:val="22"/>
          <w:szCs w:val="22"/>
        </w:rPr>
        <w:t>% on an adjusted basis</w:t>
      </w:r>
      <w:r w:rsidR="00CA7DF7" w:rsidRPr="00F71D1E">
        <w:rPr>
          <w:rFonts w:ascii="Arial" w:hAnsi="Arial" w:cs="Arial"/>
          <w:sz w:val="22"/>
          <w:szCs w:val="22"/>
        </w:rPr>
        <w:t>.</w:t>
      </w:r>
    </w:p>
    <w:p w:rsidR="000E328E" w:rsidRPr="004360A5" w:rsidRDefault="000E328E" w:rsidP="00972995">
      <w:pPr>
        <w:pStyle w:val="Odstavecseseznamem"/>
        <w:numPr>
          <w:ilvl w:val="0"/>
          <w:numId w:val="2"/>
        </w:numPr>
        <w:rPr>
          <w:rFonts w:ascii="Arial" w:hAnsi="Arial" w:cs="Arial"/>
          <w:sz w:val="22"/>
        </w:rPr>
      </w:pPr>
      <w:r w:rsidRPr="004360A5">
        <w:rPr>
          <w:rFonts w:ascii="Arial" w:hAnsi="Arial" w:cs="Arial"/>
          <w:sz w:val="22"/>
          <w:szCs w:val="22"/>
        </w:rPr>
        <w:t>Operating m</w:t>
      </w:r>
      <w:r w:rsidR="0066686D" w:rsidRPr="004360A5">
        <w:rPr>
          <w:rFonts w:ascii="Arial" w:hAnsi="Arial" w:cs="Arial"/>
          <w:sz w:val="22"/>
          <w:szCs w:val="22"/>
        </w:rPr>
        <w:t>argin</w:t>
      </w:r>
      <w:r w:rsidR="009400C9">
        <w:rPr>
          <w:rFonts w:ascii="Arial" w:hAnsi="Arial" w:cs="Arial"/>
          <w:sz w:val="22"/>
          <w:szCs w:val="22"/>
        </w:rPr>
        <w:t xml:space="preserve"> was</w:t>
      </w:r>
      <w:r w:rsidR="00F71D1E">
        <w:rPr>
          <w:rFonts w:ascii="Arial" w:hAnsi="Arial" w:cs="Arial"/>
          <w:sz w:val="22"/>
          <w:szCs w:val="22"/>
        </w:rPr>
        <w:t xml:space="preserve"> 10.6</w:t>
      </w:r>
      <w:r w:rsidR="009400C9">
        <w:rPr>
          <w:rFonts w:ascii="Arial" w:hAnsi="Arial" w:cs="Arial"/>
          <w:sz w:val="22"/>
          <w:szCs w:val="22"/>
        </w:rPr>
        <w:t>%; adjusted operating margin</w:t>
      </w:r>
      <w:r w:rsidR="00ED51D4">
        <w:rPr>
          <w:rFonts w:ascii="Arial" w:hAnsi="Arial" w:cs="Arial"/>
          <w:sz w:val="22"/>
          <w:szCs w:val="22"/>
        </w:rPr>
        <w:t xml:space="preserve"> expanded 130 basis points</w:t>
      </w:r>
      <w:r w:rsidR="00AB06B1" w:rsidRPr="00F71D1E">
        <w:rPr>
          <w:rFonts w:ascii="Arial" w:hAnsi="Arial" w:cs="Arial"/>
          <w:sz w:val="22"/>
          <w:szCs w:val="22"/>
        </w:rPr>
        <w:t>.</w:t>
      </w:r>
      <w:r w:rsidR="002A0188" w:rsidRPr="004360A5">
        <w:rPr>
          <w:rFonts w:ascii="Arial" w:hAnsi="Arial" w:cs="Arial"/>
          <w:sz w:val="22"/>
          <w:szCs w:val="22"/>
        </w:rPr>
        <w:t xml:space="preserve"> </w:t>
      </w:r>
    </w:p>
    <w:p w:rsidR="00DF1B8F" w:rsidRPr="0021108D" w:rsidRDefault="00022360" w:rsidP="00972995">
      <w:pPr>
        <w:pStyle w:val="Odstavecseseznamem"/>
        <w:numPr>
          <w:ilvl w:val="0"/>
          <w:numId w:val="2"/>
        </w:numPr>
        <w:rPr>
          <w:rFonts w:ascii="Arial" w:hAnsi="Arial" w:cs="Arial"/>
          <w:sz w:val="22"/>
        </w:rPr>
      </w:pPr>
      <w:r>
        <w:rPr>
          <w:rFonts w:ascii="Arial" w:hAnsi="Arial" w:cs="Arial"/>
          <w:sz w:val="22"/>
          <w:szCs w:val="22"/>
        </w:rPr>
        <w:t xml:space="preserve">Unit costs were lower by </w:t>
      </w:r>
      <w:r w:rsidR="00F31B2F">
        <w:rPr>
          <w:rFonts w:ascii="Arial" w:hAnsi="Arial" w:cs="Arial"/>
          <w:sz w:val="22"/>
          <w:szCs w:val="22"/>
        </w:rPr>
        <w:t xml:space="preserve">2.7%; on an adjusted basis, down </w:t>
      </w:r>
      <w:r>
        <w:rPr>
          <w:rFonts w:ascii="Arial" w:hAnsi="Arial" w:cs="Arial"/>
          <w:sz w:val="22"/>
          <w:szCs w:val="22"/>
        </w:rPr>
        <w:t xml:space="preserve">2.5%, contributing to positive operating leverage. </w:t>
      </w:r>
      <w:r w:rsidR="00D32B80" w:rsidRPr="00F71D1E">
        <w:rPr>
          <w:rFonts w:ascii="Arial" w:hAnsi="Arial" w:cs="Arial"/>
          <w:sz w:val="22"/>
          <w:szCs w:val="22"/>
        </w:rPr>
        <w:t xml:space="preserve"> </w:t>
      </w:r>
    </w:p>
    <w:p w:rsidR="00DA3680" w:rsidRDefault="00DA3680" w:rsidP="009140E6">
      <w:pPr>
        <w:rPr>
          <w:rFonts w:ascii="Arial" w:hAnsi="Arial" w:cs="Arial"/>
          <w:b/>
          <w:sz w:val="22"/>
          <w:szCs w:val="22"/>
          <w:u w:val="single"/>
          <w:lang w:val="en"/>
        </w:rPr>
      </w:pPr>
    </w:p>
    <w:p w:rsidR="009140E6" w:rsidRPr="00670138" w:rsidRDefault="009140E6" w:rsidP="009140E6">
      <w:pPr>
        <w:rPr>
          <w:rFonts w:ascii="Arial" w:hAnsi="Arial" w:cs="Arial"/>
          <w:b/>
          <w:sz w:val="22"/>
          <w:szCs w:val="22"/>
          <w:u w:val="single"/>
          <w:lang w:val="en"/>
        </w:rPr>
      </w:pPr>
      <w:r>
        <w:rPr>
          <w:rFonts w:ascii="Arial" w:hAnsi="Arial" w:cs="Arial"/>
          <w:b/>
          <w:sz w:val="22"/>
          <w:szCs w:val="22"/>
          <w:u w:val="single"/>
          <w:lang w:val="en"/>
        </w:rPr>
        <w:t>International Segment</w:t>
      </w:r>
    </w:p>
    <w:p w:rsidR="00E77F05" w:rsidRDefault="00E77F05" w:rsidP="007769A9">
      <w:pPr>
        <w:ind w:firstLine="720"/>
        <w:rPr>
          <w:rFonts w:ascii="Arial" w:hAnsi="Arial" w:cs="Arial"/>
          <w:sz w:val="22"/>
        </w:rPr>
      </w:pPr>
    </w:p>
    <w:p w:rsidR="006C0702" w:rsidRPr="00E2610F" w:rsidRDefault="00443B83" w:rsidP="00745549">
      <w:pPr>
        <w:rPr>
          <w:rFonts w:ascii="Arial" w:hAnsi="Arial" w:cs="Arial"/>
          <w:sz w:val="22"/>
        </w:rPr>
      </w:pPr>
      <w:r>
        <w:rPr>
          <w:rFonts w:ascii="Arial" w:hAnsi="Arial" w:cs="Arial"/>
          <w:sz w:val="22"/>
        </w:rPr>
        <w:t>Th</w:t>
      </w:r>
      <w:r w:rsidR="007C38AC">
        <w:rPr>
          <w:rFonts w:ascii="Arial" w:hAnsi="Arial" w:cs="Arial"/>
          <w:sz w:val="22"/>
        </w:rPr>
        <w:t xml:space="preserve">e </w:t>
      </w:r>
      <w:r w:rsidR="007C38AC" w:rsidRPr="00695E0B">
        <w:rPr>
          <w:rFonts w:ascii="Arial" w:hAnsi="Arial" w:cs="Arial"/>
          <w:sz w:val="22"/>
        </w:rPr>
        <w:t xml:space="preserve">International segment reported strong operating profit and </w:t>
      </w:r>
      <w:r w:rsidR="00514344" w:rsidRPr="00695E0B">
        <w:rPr>
          <w:rFonts w:ascii="Arial" w:hAnsi="Arial" w:cs="Arial"/>
          <w:sz w:val="22"/>
        </w:rPr>
        <w:t xml:space="preserve">expanded operating </w:t>
      </w:r>
      <w:r w:rsidR="008C1CE5">
        <w:rPr>
          <w:rFonts w:ascii="Arial" w:hAnsi="Arial" w:cs="Arial"/>
          <w:sz w:val="22"/>
        </w:rPr>
        <w:t>margin</w:t>
      </w:r>
      <w:r w:rsidR="005C2E34" w:rsidRPr="00695E0B">
        <w:rPr>
          <w:rFonts w:ascii="Arial" w:hAnsi="Arial" w:cs="Arial"/>
          <w:sz w:val="22"/>
        </w:rPr>
        <w:t>. The company’s</w:t>
      </w:r>
      <w:r w:rsidR="005C2E34">
        <w:rPr>
          <w:rFonts w:ascii="Arial" w:hAnsi="Arial" w:cs="Arial"/>
          <w:sz w:val="22"/>
        </w:rPr>
        <w:t xml:space="preserve"> performance is the result </w:t>
      </w:r>
      <w:r w:rsidR="00056264">
        <w:rPr>
          <w:rFonts w:ascii="Arial" w:hAnsi="Arial" w:cs="Arial"/>
          <w:sz w:val="22"/>
        </w:rPr>
        <w:t xml:space="preserve">of </w:t>
      </w:r>
      <w:r w:rsidR="008C1CE5">
        <w:rPr>
          <w:rFonts w:ascii="Arial" w:hAnsi="Arial" w:cs="Arial"/>
          <w:sz w:val="22"/>
        </w:rPr>
        <w:t xml:space="preserve">a number of items in the quarter, including </w:t>
      </w:r>
      <w:r w:rsidR="00A010F7">
        <w:rPr>
          <w:rFonts w:ascii="Arial" w:hAnsi="Arial" w:cs="Arial"/>
          <w:sz w:val="22"/>
        </w:rPr>
        <w:t>strong cost control</w:t>
      </w:r>
      <w:r w:rsidR="005C2E34">
        <w:rPr>
          <w:rFonts w:ascii="Arial" w:hAnsi="Arial" w:cs="Arial"/>
          <w:sz w:val="22"/>
        </w:rPr>
        <w:t xml:space="preserve">, </w:t>
      </w:r>
      <w:r w:rsidR="00D41E73">
        <w:rPr>
          <w:rFonts w:ascii="Arial" w:hAnsi="Arial" w:cs="Arial"/>
          <w:sz w:val="22"/>
        </w:rPr>
        <w:t>good</w:t>
      </w:r>
      <w:r w:rsidR="000B4A03">
        <w:rPr>
          <w:rFonts w:ascii="Arial" w:hAnsi="Arial" w:cs="Arial"/>
          <w:sz w:val="22"/>
        </w:rPr>
        <w:t xml:space="preserve"> </w:t>
      </w:r>
      <w:r w:rsidR="005C2E34">
        <w:rPr>
          <w:rFonts w:ascii="Arial" w:hAnsi="Arial" w:cs="Arial"/>
          <w:sz w:val="22"/>
        </w:rPr>
        <w:t xml:space="preserve">execution and targeted domestic </w:t>
      </w:r>
      <w:r w:rsidR="00514344">
        <w:rPr>
          <w:rFonts w:ascii="Arial" w:hAnsi="Arial" w:cs="Arial"/>
          <w:sz w:val="22"/>
        </w:rPr>
        <w:t>and export growth.</w:t>
      </w:r>
      <w:r w:rsidR="005C2E34">
        <w:rPr>
          <w:rFonts w:ascii="Arial" w:hAnsi="Arial" w:cs="Arial"/>
          <w:sz w:val="22"/>
        </w:rPr>
        <w:t xml:space="preserve"> </w:t>
      </w:r>
    </w:p>
    <w:p w:rsidR="00CC7E18" w:rsidRPr="00D352EF" w:rsidRDefault="00CC7E18" w:rsidP="00745549">
      <w:pPr>
        <w:rPr>
          <w:rFonts w:ascii="Arial" w:hAnsi="Arial" w:cs="Arial"/>
          <w:sz w:val="22"/>
        </w:rPr>
      </w:pPr>
    </w:p>
    <w:tbl>
      <w:tblPr>
        <w:tblStyle w:val="Mkatabulky"/>
        <w:tblW w:w="9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621"/>
        <w:gridCol w:w="1539"/>
        <w:gridCol w:w="1539"/>
        <w:gridCol w:w="1539"/>
      </w:tblGrid>
      <w:tr w:rsidR="00AF39AB" w:rsidRPr="00F84BDD" w:rsidTr="00C73DB7">
        <w:trPr>
          <w:trHeight w:val="395"/>
        </w:trPr>
        <w:tc>
          <w:tcPr>
            <w:tcW w:w="2150" w:type="dxa"/>
          </w:tcPr>
          <w:p w:rsidR="00AF39AB" w:rsidRPr="00D352EF" w:rsidRDefault="00AF39AB" w:rsidP="007769A9">
            <w:pPr>
              <w:rPr>
                <w:rFonts w:ascii="Arial" w:hAnsi="Arial" w:cs="Arial"/>
                <w:b/>
                <w:sz w:val="22"/>
                <w:szCs w:val="20"/>
                <w:u w:val="single"/>
              </w:rPr>
            </w:pPr>
          </w:p>
          <w:p w:rsidR="00AF39AB" w:rsidRPr="00C313D5" w:rsidRDefault="00AF39AB" w:rsidP="002651E6">
            <w:pPr>
              <w:rPr>
                <w:rFonts w:ascii="Arial" w:hAnsi="Arial" w:cs="Arial"/>
                <w:b/>
                <w:sz w:val="20"/>
                <w:szCs w:val="22"/>
                <w:u w:val="single"/>
              </w:rPr>
            </w:pPr>
          </w:p>
        </w:tc>
        <w:tc>
          <w:tcPr>
            <w:tcW w:w="2621" w:type="dxa"/>
          </w:tcPr>
          <w:p w:rsidR="00AF39AB" w:rsidRPr="00C313D5" w:rsidRDefault="00AF39AB" w:rsidP="002651E6">
            <w:pPr>
              <w:jc w:val="right"/>
              <w:rPr>
                <w:rFonts w:ascii="Arial" w:hAnsi="Arial" w:cs="Arial"/>
                <w:b/>
                <w:sz w:val="20"/>
                <w:szCs w:val="22"/>
                <w:u w:val="single"/>
              </w:rPr>
            </w:pPr>
          </w:p>
          <w:p w:rsidR="00AF39AB" w:rsidRPr="002A57D6" w:rsidRDefault="00FE3BBD" w:rsidP="002651E6">
            <w:pPr>
              <w:jc w:val="right"/>
              <w:rPr>
                <w:rFonts w:ascii="Arial" w:hAnsi="Arial" w:cs="Arial"/>
                <w:b/>
                <w:sz w:val="20"/>
                <w:szCs w:val="22"/>
                <w:u w:val="single"/>
              </w:rPr>
            </w:pPr>
            <w:r>
              <w:rPr>
                <w:rFonts w:ascii="Arial" w:hAnsi="Arial" w:cs="Arial"/>
                <w:b/>
                <w:sz w:val="20"/>
                <w:szCs w:val="22"/>
                <w:u w:val="single"/>
              </w:rPr>
              <w:t>3</w:t>
            </w:r>
            <w:r w:rsidR="00AF39AB">
              <w:rPr>
                <w:rFonts w:ascii="Arial" w:hAnsi="Arial" w:cs="Arial"/>
                <w:b/>
                <w:sz w:val="20"/>
                <w:szCs w:val="22"/>
                <w:u w:val="single"/>
              </w:rPr>
              <w:t>Q 2019</w:t>
            </w:r>
          </w:p>
        </w:tc>
        <w:tc>
          <w:tcPr>
            <w:tcW w:w="1539" w:type="dxa"/>
          </w:tcPr>
          <w:p w:rsidR="00AF39AB" w:rsidRPr="002A57D6" w:rsidRDefault="00AF39AB" w:rsidP="002651E6">
            <w:pPr>
              <w:jc w:val="right"/>
              <w:rPr>
                <w:rFonts w:ascii="Arial" w:hAnsi="Arial" w:cs="Arial"/>
                <w:b/>
                <w:sz w:val="20"/>
                <w:szCs w:val="22"/>
                <w:u w:val="single"/>
              </w:rPr>
            </w:pPr>
            <w:r w:rsidRPr="002A57D6">
              <w:rPr>
                <w:rFonts w:ascii="Arial" w:hAnsi="Arial" w:cs="Arial"/>
                <w:b/>
                <w:sz w:val="20"/>
                <w:szCs w:val="22"/>
                <w:u w:val="single"/>
              </w:rPr>
              <w:t>Adjusted</w:t>
            </w:r>
          </w:p>
          <w:p w:rsidR="00AF39AB" w:rsidRPr="00F84BDD" w:rsidRDefault="00FE3BBD" w:rsidP="002651E6">
            <w:pPr>
              <w:jc w:val="right"/>
              <w:rPr>
                <w:rFonts w:ascii="Arial" w:hAnsi="Arial" w:cs="Arial"/>
                <w:b/>
                <w:sz w:val="20"/>
                <w:szCs w:val="22"/>
                <w:u w:val="single"/>
              </w:rPr>
            </w:pPr>
            <w:r>
              <w:rPr>
                <w:rFonts w:ascii="Arial" w:hAnsi="Arial" w:cs="Arial"/>
                <w:b/>
                <w:sz w:val="20"/>
                <w:szCs w:val="22"/>
                <w:u w:val="single"/>
              </w:rPr>
              <w:t>3</w:t>
            </w:r>
            <w:r w:rsidR="00AF39AB">
              <w:rPr>
                <w:rFonts w:ascii="Arial" w:hAnsi="Arial" w:cs="Arial"/>
                <w:b/>
                <w:sz w:val="20"/>
                <w:szCs w:val="22"/>
                <w:u w:val="single"/>
              </w:rPr>
              <w:t>Q 2019</w:t>
            </w:r>
          </w:p>
        </w:tc>
        <w:tc>
          <w:tcPr>
            <w:tcW w:w="1539" w:type="dxa"/>
          </w:tcPr>
          <w:p w:rsidR="00AF39AB" w:rsidRPr="00F84BDD" w:rsidRDefault="00AF39AB" w:rsidP="002651E6">
            <w:pPr>
              <w:jc w:val="right"/>
              <w:rPr>
                <w:rFonts w:ascii="Arial" w:hAnsi="Arial" w:cs="Arial"/>
                <w:b/>
                <w:sz w:val="20"/>
                <w:szCs w:val="22"/>
                <w:u w:val="single"/>
              </w:rPr>
            </w:pPr>
          </w:p>
          <w:p w:rsidR="00AF39AB" w:rsidRPr="00F84BDD" w:rsidRDefault="00FE3BBD" w:rsidP="002651E6">
            <w:pPr>
              <w:jc w:val="right"/>
              <w:rPr>
                <w:rFonts w:ascii="Arial" w:hAnsi="Arial" w:cs="Arial"/>
                <w:b/>
                <w:sz w:val="20"/>
                <w:szCs w:val="22"/>
                <w:u w:val="single"/>
              </w:rPr>
            </w:pPr>
            <w:r>
              <w:rPr>
                <w:rFonts w:ascii="Arial" w:hAnsi="Arial" w:cs="Arial"/>
                <w:b/>
                <w:sz w:val="20"/>
                <w:szCs w:val="22"/>
                <w:u w:val="single"/>
              </w:rPr>
              <w:t>3</w:t>
            </w:r>
            <w:r w:rsidR="00AF39AB">
              <w:rPr>
                <w:rFonts w:ascii="Arial" w:hAnsi="Arial" w:cs="Arial"/>
                <w:b/>
                <w:sz w:val="20"/>
                <w:szCs w:val="22"/>
                <w:u w:val="single"/>
              </w:rPr>
              <w:t>Q 2018</w:t>
            </w:r>
          </w:p>
        </w:tc>
        <w:tc>
          <w:tcPr>
            <w:tcW w:w="1539" w:type="dxa"/>
          </w:tcPr>
          <w:p w:rsidR="00AF39AB" w:rsidRPr="002A57D6" w:rsidRDefault="00AF39AB" w:rsidP="00AF39AB">
            <w:pPr>
              <w:jc w:val="right"/>
              <w:rPr>
                <w:rFonts w:ascii="Arial" w:hAnsi="Arial" w:cs="Arial"/>
                <w:b/>
                <w:sz w:val="20"/>
                <w:szCs w:val="22"/>
                <w:u w:val="single"/>
              </w:rPr>
            </w:pPr>
            <w:r w:rsidRPr="002A57D6">
              <w:rPr>
                <w:rFonts w:ascii="Arial" w:hAnsi="Arial" w:cs="Arial"/>
                <w:b/>
                <w:sz w:val="20"/>
                <w:szCs w:val="22"/>
                <w:u w:val="single"/>
              </w:rPr>
              <w:t>Adjusted</w:t>
            </w:r>
          </w:p>
          <w:p w:rsidR="00AF39AB" w:rsidRPr="00F84BDD" w:rsidRDefault="00FE3BBD" w:rsidP="00AF39AB">
            <w:pPr>
              <w:jc w:val="right"/>
              <w:rPr>
                <w:rFonts w:ascii="Arial" w:hAnsi="Arial" w:cs="Arial"/>
                <w:b/>
                <w:sz w:val="20"/>
                <w:szCs w:val="22"/>
                <w:u w:val="single"/>
              </w:rPr>
            </w:pPr>
            <w:r>
              <w:rPr>
                <w:rFonts w:ascii="Arial" w:hAnsi="Arial" w:cs="Arial"/>
                <w:b/>
                <w:sz w:val="20"/>
                <w:szCs w:val="22"/>
                <w:u w:val="single"/>
              </w:rPr>
              <w:t>3</w:t>
            </w:r>
            <w:r w:rsidR="00AF39AB">
              <w:rPr>
                <w:rFonts w:ascii="Arial" w:hAnsi="Arial" w:cs="Arial"/>
                <w:b/>
                <w:sz w:val="20"/>
                <w:szCs w:val="22"/>
                <w:u w:val="single"/>
              </w:rPr>
              <w:t>Q 201</w:t>
            </w:r>
            <w:r w:rsidR="00DE11F8">
              <w:rPr>
                <w:rFonts w:ascii="Arial" w:hAnsi="Arial" w:cs="Arial"/>
                <w:b/>
                <w:sz w:val="20"/>
                <w:szCs w:val="22"/>
                <w:u w:val="single"/>
              </w:rPr>
              <w:t>8</w:t>
            </w:r>
          </w:p>
        </w:tc>
      </w:tr>
      <w:tr w:rsidR="00AF39AB" w:rsidRPr="00F84BDD" w:rsidTr="00C73DB7">
        <w:trPr>
          <w:trHeight w:val="184"/>
        </w:trPr>
        <w:tc>
          <w:tcPr>
            <w:tcW w:w="2150" w:type="dxa"/>
          </w:tcPr>
          <w:p w:rsidR="00AF39AB" w:rsidRPr="00F84BDD" w:rsidRDefault="00AF39AB" w:rsidP="002651E6">
            <w:pPr>
              <w:rPr>
                <w:rFonts w:ascii="Arial" w:hAnsi="Arial" w:cs="Arial"/>
                <w:sz w:val="20"/>
                <w:szCs w:val="22"/>
              </w:rPr>
            </w:pPr>
            <w:r w:rsidRPr="00F84BDD">
              <w:rPr>
                <w:rFonts w:ascii="Arial" w:hAnsi="Arial" w:cs="Arial"/>
                <w:sz w:val="20"/>
                <w:szCs w:val="22"/>
              </w:rPr>
              <w:t>Revenue</w:t>
            </w:r>
          </w:p>
        </w:tc>
        <w:tc>
          <w:tcPr>
            <w:tcW w:w="2621" w:type="dxa"/>
          </w:tcPr>
          <w:p w:rsidR="00AF39AB" w:rsidRPr="00F84BDD" w:rsidRDefault="001E50E1" w:rsidP="002651E6">
            <w:pPr>
              <w:jc w:val="right"/>
              <w:rPr>
                <w:rFonts w:ascii="Arial" w:hAnsi="Arial" w:cs="Arial"/>
                <w:sz w:val="20"/>
                <w:szCs w:val="22"/>
              </w:rPr>
            </w:pPr>
            <w:r>
              <w:rPr>
                <w:rFonts w:ascii="Arial" w:hAnsi="Arial" w:cs="Arial"/>
                <w:sz w:val="20"/>
                <w:szCs w:val="22"/>
              </w:rPr>
              <w:t>$3,494</w:t>
            </w:r>
            <w:r w:rsidR="00AF39AB" w:rsidRPr="00F84BDD">
              <w:rPr>
                <w:rFonts w:ascii="Arial" w:hAnsi="Arial" w:cs="Arial"/>
                <w:sz w:val="20"/>
                <w:szCs w:val="22"/>
              </w:rPr>
              <w:t xml:space="preserve"> M</w:t>
            </w:r>
          </w:p>
        </w:tc>
        <w:tc>
          <w:tcPr>
            <w:tcW w:w="1539" w:type="dxa"/>
          </w:tcPr>
          <w:p w:rsidR="00AF39AB" w:rsidRPr="00F84BDD" w:rsidRDefault="00AF39AB" w:rsidP="002651E6">
            <w:pPr>
              <w:jc w:val="right"/>
              <w:rPr>
                <w:rFonts w:ascii="Arial" w:hAnsi="Arial" w:cs="Arial"/>
                <w:sz w:val="20"/>
                <w:szCs w:val="22"/>
              </w:rPr>
            </w:pPr>
          </w:p>
        </w:tc>
        <w:tc>
          <w:tcPr>
            <w:tcW w:w="1539" w:type="dxa"/>
          </w:tcPr>
          <w:p w:rsidR="00AF39AB" w:rsidRPr="00F84BDD" w:rsidRDefault="001E50E1" w:rsidP="002651E6">
            <w:pPr>
              <w:jc w:val="right"/>
              <w:rPr>
                <w:rFonts w:ascii="Arial" w:hAnsi="Arial" w:cs="Arial"/>
                <w:sz w:val="20"/>
                <w:szCs w:val="22"/>
              </w:rPr>
            </w:pPr>
            <w:r>
              <w:rPr>
                <w:rFonts w:ascii="Arial" w:hAnsi="Arial" w:cs="Arial"/>
                <w:sz w:val="20"/>
                <w:szCs w:val="22"/>
              </w:rPr>
              <w:t>$3,478</w:t>
            </w:r>
            <w:r w:rsidR="00AF39AB" w:rsidRPr="00F84BDD">
              <w:rPr>
                <w:rFonts w:ascii="Arial" w:hAnsi="Arial" w:cs="Arial"/>
                <w:sz w:val="20"/>
                <w:szCs w:val="22"/>
              </w:rPr>
              <w:t xml:space="preserve"> M</w:t>
            </w:r>
          </w:p>
        </w:tc>
        <w:tc>
          <w:tcPr>
            <w:tcW w:w="1539" w:type="dxa"/>
          </w:tcPr>
          <w:p w:rsidR="00AF39AB" w:rsidRDefault="00AF39AB" w:rsidP="002651E6">
            <w:pPr>
              <w:jc w:val="right"/>
              <w:rPr>
                <w:rFonts w:ascii="Arial" w:hAnsi="Arial" w:cs="Arial"/>
                <w:sz w:val="20"/>
                <w:szCs w:val="22"/>
              </w:rPr>
            </w:pPr>
          </w:p>
        </w:tc>
      </w:tr>
      <w:tr w:rsidR="00AF39AB" w:rsidRPr="00F84BDD" w:rsidTr="00C73DB7">
        <w:trPr>
          <w:trHeight w:val="184"/>
        </w:trPr>
        <w:tc>
          <w:tcPr>
            <w:tcW w:w="2150" w:type="dxa"/>
          </w:tcPr>
          <w:p w:rsidR="00AF39AB" w:rsidRPr="00F84BDD" w:rsidRDefault="00AF39AB" w:rsidP="002651E6">
            <w:pPr>
              <w:rPr>
                <w:rFonts w:ascii="Arial" w:hAnsi="Arial" w:cs="Arial"/>
                <w:sz w:val="20"/>
                <w:szCs w:val="22"/>
              </w:rPr>
            </w:pPr>
            <w:r w:rsidRPr="00F84BDD">
              <w:rPr>
                <w:rFonts w:ascii="Arial" w:hAnsi="Arial" w:cs="Arial"/>
                <w:sz w:val="20"/>
                <w:szCs w:val="22"/>
              </w:rPr>
              <w:t>Operating profit</w:t>
            </w:r>
          </w:p>
        </w:tc>
        <w:tc>
          <w:tcPr>
            <w:tcW w:w="2621" w:type="dxa"/>
          </w:tcPr>
          <w:p w:rsidR="00AF39AB" w:rsidRPr="00F84BDD" w:rsidRDefault="00AF39AB" w:rsidP="002651E6">
            <w:pPr>
              <w:jc w:val="right"/>
              <w:rPr>
                <w:rFonts w:ascii="Arial" w:hAnsi="Arial" w:cs="Arial"/>
                <w:sz w:val="20"/>
                <w:szCs w:val="22"/>
              </w:rPr>
            </w:pPr>
            <w:r w:rsidRPr="00F84BDD">
              <w:rPr>
                <w:rFonts w:ascii="Arial" w:hAnsi="Arial" w:cs="Arial"/>
                <w:sz w:val="20"/>
                <w:szCs w:val="22"/>
              </w:rPr>
              <w:t>$</w:t>
            </w:r>
            <w:r w:rsidR="001E50E1">
              <w:rPr>
                <w:rFonts w:ascii="Arial" w:hAnsi="Arial" w:cs="Arial"/>
                <w:sz w:val="20"/>
                <w:szCs w:val="22"/>
              </w:rPr>
              <w:t>667</w:t>
            </w:r>
            <w:r w:rsidRPr="00F84BDD">
              <w:rPr>
                <w:rFonts w:ascii="Arial" w:hAnsi="Arial" w:cs="Arial"/>
                <w:sz w:val="20"/>
                <w:szCs w:val="22"/>
              </w:rPr>
              <w:t xml:space="preserve"> M</w:t>
            </w:r>
          </w:p>
        </w:tc>
        <w:tc>
          <w:tcPr>
            <w:tcW w:w="1539" w:type="dxa"/>
          </w:tcPr>
          <w:p w:rsidR="00AF39AB" w:rsidRPr="00F84BDD" w:rsidRDefault="00AF39AB" w:rsidP="002651E6">
            <w:pPr>
              <w:jc w:val="right"/>
              <w:rPr>
                <w:rFonts w:ascii="Arial" w:hAnsi="Arial" w:cs="Arial"/>
                <w:sz w:val="20"/>
                <w:szCs w:val="22"/>
              </w:rPr>
            </w:pPr>
            <w:r w:rsidRPr="00F84BDD">
              <w:rPr>
                <w:rFonts w:ascii="Arial" w:hAnsi="Arial" w:cs="Arial"/>
                <w:sz w:val="20"/>
                <w:szCs w:val="22"/>
              </w:rPr>
              <w:t>$</w:t>
            </w:r>
            <w:r w:rsidR="001E50E1">
              <w:rPr>
                <w:rFonts w:ascii="Arial" w:hAnsi="Arial" w:cs="Arial"/>
                <w:sz w:val="20"/>
                <w:szCs w:val="22"/>
              </w:rPr>
              <w:t>693</w:t>
            </w:r>
            <w:r w:rsidRPr="00F84BDD">
              <w:rPr>
                <w:rFonts w:ascii="Arial" w:hAnsi="Arial" w:cs="Arial"/>
                <w:sz w:val="20"/>
                <w:szCs w:val="22"/>
              </w:rPr>
              <w:t xml:space="preserve"> M</w:t>
            </w:r>
          </w:p>
        </w:tc>
        <w:tc>
          <w:tcPr>
            <w:tcW w:w="1539" w:type="dxa"/>
          </w:tcPr>
          <w:p w:rsidR="00AF39AB" w:rsidRPr="00F84BDD" w:rsidRDefault="00AF39AB" w:rsidP="002651E6">
            <w:pPr>
              <w:jc w:val="right"/>
              <w:rPr>
                <w:rFonts w:ascii="Arial" w:hAnsi="Arial" w:cs="Arial"/>
                <w:sz w:val="20"/>
                <w:szCs w:val="22"/>
              </w:rPr>
            </w:pPr>
            <w:r w:rsidRPr="00F84BDD">
              <w:rPr>
                <w:rFonts w:ascii="Arial" w:hAnsi="Arial" w:cs="Arial"/>
                <w:sz w:val="20"/>
                <w:szCs w:val="22"/>
              </w:rPr>
              <w:t>$</w:t>
            </w:r>
            <w:r w:rsidR="001E50E1">
              <w:rPr>
                <w:rFonts w:ascii="Arial" w:hAnsi="Arial" w:cs="Arial"/>
                <w:sz w:val="20"/>
                <w:szCs w:val="22"/>
              </w:rPr>
              <w:t>536</w:t>
            </w:r>
            <w:r w:rsidRPr="00F84BDD">
              <w:rPr>
                <w:rFonts w:ascii="Arial" w:hAnsi="Arial" w:cs="Arial"/>
                <w:sz w:val="20"/>
                <w:szCs w:val="22"/>
              </w:rPr>
              <w:t xml:space="preserve"> M</w:t>
            </w:r>
          </w:p>
        </w:tc>
        <w:tc>
          <w:tcPr>
            <w:tcW w:w="1539" w:type="dxa"/>
          </w:tcPr>
          <w:p w:rsidR="00AF39AB" w:rsidRPr="00F84BDD" w:rsidRDefault="001E50E1" w:rsidP="002651E6">
            <w:pPr>
              <w:jc w:val="right"/>
              <w:rPr>
                <w:rFonts w:ascii="Arial" w:hAnsi="Arial" w:cs="Arial"/>
                <w:sz w:val="20"/>
                <w:szCs w:val="22"/>
              </w:rPr>
            </w:pPr>
            <w:r>
              <w:rPr>
                <w:rFonts w:ascii="Arial" w:hAnsi="Arial" w:cs="Arial"/>
                <w:sz w:val="20"/>
                <w:szCs w:val="22"/>
              </w:rPr>
              <w:t xml:space="preserve">$576 </w:t>
            </w:r>
            <w:r w:rsidR="00AF39AB">
              <w:rPr>
                <w:rFonts w:ascii="Arial" w:hAnsi="Arial" w:cs="Arial"/>
                <w:sz w:val="20"/>
                <w:szCs w:val="22"/>
              </w:rPr>
              <w:t>M</w:t>
            </w:r>
          </w:p>
        </w:tc>
      </w:tr>
    </w:tbl>
    <w:p w:rsidR="00733459" w:rsidRDefault="00733459" w:rsidP="00512620">
      <w:pPr>
        <w:ind w:left="720" w:hanging="720"/>
        <w:rPr>
          <w:rFonts w:ascii="Arial" w:hAnsi="Arial" w:cs="Arial"/>
          <w:szCs w:val="22"/>
        </w:rPr>
      </w:pPr>
    </w:p>
    <w:p w:rsidR="009E24AA" w:rsidRDefault="00D83CF6" w:rsidP="00E05800">
      <w:pPr>
        <w:pStyle w:val="Odstavecseseznamem"/>
        <w:numPr>
          <w:ilvl w:val="0"/>
          <w:numId w:val="2"/>
        </w:numPr>
        <w:rPr>
          <w:rFonts w:ascii="Arial" w:hAnsi="Arial" w:cs="Arial"/>
          <w:sz w:val="22"/>
        </w:rPr>
      </w:pPr>
      <w:r w:rsidRPr="0059117F">
        <w:rPr>
          <w:rFonts w:ascii="Arial" w:hAnsi="Arial" w:cs="Arial"/>
          <w:sz w:val="22"/>
        </w:rPr>
        <w:t xml:space="preserve">International </w:t>
      </w:r>
      <w:r w:rsidR="004638E0" w:rsidRPr="0059117F">
        <w:rPr>
          <w:rFonts w:ascii="Arial" w:hAnsi="Arial" w:cs="Arial"/>
          <w:sz w:val="22"/>
        </w:rPr>
        <w:t xml:space="preserve">saw </w:t>
      </w:r>
      <w:r w:rsidR="000C3D93" w:rsidRPr="0059117F">
        <w:rPr>
          <w:rFonts w:ascii="Arial" w:hAnsi="Arial" w:cs="Arial"/>
          <w:sz w:val="22"/>
        </w:rPr>
        <w:t>export volume growth on i</w:t>
      </w:r>
      <w:r w:rsidR="00E05800">
        <w:rPr>
          <w:rFonts w:ascii="Arial" w:hAnsi="Arial" w:cs="Arial"/>
          <w:sz w:val="22"/>
        </w:rPr>
        <w:t>ntra-European trade lanes and virtually all A</w:t>
      </w:r>
      <w:r w:rsidR="00E2710D">
        <w:rPr>
          <w:rFonts w:ascii="Arial" w:hAnsi="Arial" w:cs="Arial"/>
          <w:sz w:val="22"/>
        </w:rPr>
        <w:t>sia trade lanes except Asia-U.S.</w:t>
      </w:r>
    </w:p>
    <w:p w:rsidR="007D134A" w:rsidRDefault="007D134A" w:rsidP="000F484E">
      <w:pPr>
        <w:pStyle w:val="Odstavecseseznamem"/>
        <w:ind w:left="360"/>
        <w:rPr>
          <w:rFonts w:ascii="Arial" w:hAnsi="Arial" w:cs="Arial"/>
          <w:sz w:val="22"/>
        </w:rPr>
      </w:pPr>
    </w:p>
    <w:p w:rsidR="00A739F1" w:rsidRPr="00A739F1" w:rsidRDefault="00A739F1" w:rsidP="00A739F1">
      <w:pPr>
        <w:rPr>
          <w:rFonts w:ascii="Arial" w:hAnsi="Arial" w:cs="Arial"/>
          <w:sz w:val="20"/>
          <w:szCs w:val="20"/>
          <w:vertAlign w:val="subscript"/>
        </w:rPr>
      </w:pPr>
      <w:r w:rsidRPr="00A739F1">
        <w:rPr>
          <w:rFonts w:ascii="Arial" w:hAnsi="Arial" w:cs="Arial"/>
          <w:sz w:val="20"/>
          <w:szCs w:val="20"/>
          <w:vertAlign w:val="subscript"/>
        </w:rPr>
        <w:t>**One basis point equals one-hundredth of a percentage point.</w:t>
      </w:r>
    </w:p>
    <w:p w:rsidR="00A739F1" w:rsidRPr="00A739F1" w:rsidRDefault="00A739F1" w:rsidP="00A739F1">
      <w:pPr>
        <w:rPr>
          <w:rFonts w:ascii="Arial" w:hAnsi="Arial" w:cs="Arial"/>
          <w:sz w:val="22"/>
        </w:rPr>
      </w:pPr>
    </w:p>
    <w:p w:rsidR="00BD4141" w:rsidRDefault="00BD4141" w:rsidP="008218FA">
      <w:pPr>
        <w:pStyle w:val="Odstavecseseznamem"/>
        <w:numPr>
          <w:ilvl w:val="0"/>
          <w:numId w:val="2"/>
        </w:numPr>
        <w:rPr>
          <w:rFonts w:ascii="Arial" w:hAnsi="Arial" w:cs="Arial"/>
          <w:sz w:val="22"/>
          <w:szCs w:val="22"/>
        </w:rPr>
      </w:pPr>
      <w:r>
        <w:rPr>
          <w:rFonts w:ascii="Arial" w:hAnsi="Arial" w:cs="Arial"/>
          <w:sz w:val="22"/>
          <w:szCs w:val="22"/>
        </w:rPr>
        <w:lastRenderedPageBreak/>
        <w:t xml:space="preserve">International domestic revenue per piece fell less than 1%, but grew 2.3% when adjusting for currency. </w:t>
      </w:r>
    </w:p>
    <w:p w:rsidR="002D1BA3" w:rsidRDefault="00A3766C" w:rsidP="008218FA">
      <w:pPr>
        <w:pStyle w:val="Odstavecseseznamem"/>
        <w:numPr>
          <w:ilvl w:val="0"/>
          <w:numId w:val="2"/>
        </w:numPr>
        <w:rPr>
          <w:rFonts w:ascii="Arial" w:hAnsi="Arial" w:cs="Arial"/>
          <w:sz w:val="22"/>
          <w:szCs w:val="22"/>
        </w:rPr>
      </w:pPr>
      <w:r w:rsidRPr="004360A5">
        <w:rPr>
          <w:rFonts w:ascii="Arial" w:hAnsi="Arial" w:cs="Arial"/>
          <w:sz w:val="22"/>
          <w:szCs w:val="22"/>
        </w:rPr>
        <w:t>O</w:t>
      </w:r>
      <w:r w:rsidR="002A0188" w:rsidRPr="004360A5">
        <w:rPr>
          <w:rFonts w:ascii="Arial" w:hAnsi="Arial" w:cs="Arial"/>
          <w:sz w:val="22"/>
          <w:szCs w:val="22"/>
        </w:rPr>
        <w:t xml:space="preserve">perating profit increased </w:t>
      </w:r>
      <w:r w:rsidR="00817143">
        <w:rPr>
          <w:rFonts w:ascii="Arial" w:hAnsi="Arial" w:cs="Arial"/>
          <w:sz w:val="22"/>
          <w:szCs w:val="22"/>
        </w:rPr>
        <w:t>more than 24</w:t>
      </w:r>
      <w:r w:rsidR="00D83CF6" w:rsidRPr="004360A5">
        <w:rPr>
          <w:rFonts w:ascii="Arial" w:hAnsi="Arial" w:cs="Arial"/>
          <w:sz w:val="22"/>
          <w:szCs w:val="22"/>
        </w:rPr>
        <w:t>%</w:t>
      </w:r>
      <w:r w:rsidR="00BD4141">
        <w:rPr>
          <w:rFonts w:ascii="Arial" w:hAnsi="Arial" w:cs="Arial"/>
          <w:sz w:val="22"/>
          <w:szCs w:val="22"/>
        </w:rPr>
        <w:t>, or by</w:t>
      </w:r>
      <w:r w:rsidR="00817143">
        <w:rPr>
          <w:rFonts w:ascii="Arial" w:hAnsi="Arial" w:cs="Arial"/>
          <w:sz w:val="22"/>
          <w:szCs w:val="22"/>
        </w:rPr>
        <w:t xml:space="preserve"> 20</w:t>
      </w:r>
      <w:r w:rsidR="00BD4141">
        <w:rPr>
          <w:rFonts w:ascii="Arial" w:hAnsi="Arial" w:cs="Arial"/>
          <w:sz w:val="22"/>
          <w:szCs w:val="22"/>
        </w:rPr>
        <w:t>.3</w:t>
      </w:r>
      <w:r w:rsidR="00D83CF6" w:rsidRPr="004360A5">
        <w:rPr>
          <w:rFonts w:ascii="Arial" w:hAnsi="Arial" w:cs="Arial"/>
          <w:sz w:val="22"/>
          <w:szCs w:val="22"/>
        </w:rPr>
        <w:t xml:space="preserve">% </w:t>
      </w:r>
      <w:r w:rsidR="00C03A16" w:rsidRPr="004360A5">
        <w:rPr>
          <w:rFonts w:ascii="Arial" w:hAnsi="Arial" w:cs="Arial"/>
          <w:sz w:val="22"/>
          <w:szCs w:val="22"/>
        </w:rPr>
        <w:t xml:space="preserve">on an </w:t>
      </w:r>
      <w:r w:rsidR="002A0188" w:rsidRPr="004360A5">
        <w:rPr>
          <w:rFonts w:ascii="Arial" w:hAnsi="Arial" w:cs="Arial"/>
          <w:sz w:val="22"/>
          <w:szCs w:val="22"/>
        </w:rPr>
        <w:t>adjusted basis</w:t>
      </w:r>
      <w:r w:rsidR="00C00956">
        <w:rPr>
          <w:rFonts w:ascii="Arial" w:hAnsi="Arial" w:cs="Arial"/>
          <w:sz w:val="22"/>
          <w:szCs w:val="22"/>
        </w:rPr>
        <w:t>.</w:t>
      </w:r>
    </w:p>
    <w:p w:rsidR="004360A5" w:rsidRDefault="004360A5" w:rsidP="008218FA">
      <w:pPr>
        <w:pStyle w:val="Odstavecseseznamem"/>
        <w:numPr>
          <w:ilvl w:val="0"/>
          <w:numId w:val="2"/>
        </w:numPr>
        <w:rPr>
          <w:rFonts w:ascii="Arial" w:hAnsi="Arial" w:cs="Arial"/>
          <w:sz w:val="22"/>
          <w:szCs w:val="22"/>
        </w:rPr>
      </w:pPr>
      <w:r>
        <w:rPr>
          <w:rFonts w:ascii="Arial" w:hAnsi="Arial" w:cs="Arial"/>
          <w:sz w:val="22"/>
          <w:szCs w:val="22"/>
        </w:rPr>
        <w:t>Industry</w:t>
      </w:r>
      <w:r w:rsidR="00ED7461">
        <w:rPr>
          <w:rFonts w:ascii="Arial" w:hAnsi="Arial" w:cs="Arial"/>
          <w:sz w:val="22"/>
          <w:szCs w:val="22"/>
        </w:rPr>
        <w:t>-</w:t>
      </w:r>
      <w:r>
        <w:rPr>
          <w:rFonts w:ascii="Arial" w:hAnsi="Arial" w:cs="Arial"/>
          <w:sz w:val="22"/>
          <w:szCs w:val="22"/>
        </w:rPr>
        <w:t xml:space="preserve">leading </w:t>
      </w:r>
      <w:r w:rsidR="001E50E1">
        <w:rPr>
          <w:rFonts w:ascii="Arial" w:hAnsi="Arial" w:cs="Arial"/>
          <w:sz w:val="22"/>
          <w:szCs w:val="22"/>
        </w:rPr>
        <w:t xml:space="preserve">operating </w:t>
      </w:r>
      <w:r>
        <w:rPr>
          <w:rFonts w:ascii="Arial" w:hAnsi="Arial" w:cs="Arial"/>
          <w:sz w:val="22"/>
          <w:szCs w:val="22"/>
        </w:rPr>
        <w:t xml:space="preserve">margin </w:t>
      </w:r>
      <w:r w:rsidR="00056264">
        <w:rPr>
          <w:rFonts w:ascii="Arial" w:hAnsi="Arial" w:cs="Arial"/>
          <w:sz w:val="22"/>
          <w:szCs w:val="22"/>
        </w:rPr>
        <w:t>remained</w:t>
      </w:r>
      <w:r w:rsidR="001E50E1">
        <w:rPr>
          <w:rFonts w:ascii="Arial" w:hAnsi="Arial" w:cs="Arial"/>
          <w:sz w:val="22"/>
          <w:szCs w:val="22"/>
        </w:rPr>
        <w:t xml:space="preserve"> strong at 19</w:t>
      </w:r>
      <w:r w:rsidR="00ED51D4">
        <w:rPr>
          <w:rFonts w:ascii="Arial" w:hAnsi="Arial" w:cs="Arial"/>
          <w:sz w:val="22"/>
          <w:szCs w:val="22"/>
        </w:rPr>
        <w:t>.1</w:t>
      </w:r>
      <w:r w:rsidR="00E2710D">
        <w:rPr>
          <w:rFonts w:ascii="Arial" w:hAnsi="Arial" w:cs="Arial"/>
          <w:sz w:val="22"/>
          <w:szCs w:val="22"/>
        </w:rPr>
        <w:t>%; adjusted operating margin expanded 320 basis points**</w:t>
      </w:r>
      <w:r w:rsidR="001E50E1">
        <w:rPr>
          <w:rFonts w:ascii="Arial" w:hAnsi="Arial" w:cs="Arial"/>
          <w:sz w:val="22"/>
          <w:szCs w:val="22"/>
        </w:rPr>
        <w:t xml:space="preserve">. </w:t>
      </w:r>
    </w:p>
    <w:p w:rsidR="0061713E" w:rsidRDefault="0061713E" w:rsidP="004914AA">
      <w:pPr>
        <w:rPr>
          <w:rFonts w:ascii="Arial" w:hAnsi="Arial" w:cs="Arial"/>
          <w:b/>
          <w:sz w:val="22"/>
          <w:szCs w:val="22"/>
          <w:u w:val="single"/>
        </w:rPr>
      </w:pPr>
    </w:p>
    <w:p w:rsidR="009140E6" w:rsidRDefault="009140E6" w:rsidP="009140E6">
      <w:pPr>
        <w:rPr>
          <w:rFonts w:ascii="Arial" w:hAnsi="Arial" w:cs="Arial"/>
          <w:b/>
          <w:sz w:val="22"/>
          <w:szCs w:val="22"/>
          <w:u w:val="single"/>
          <w:lang w:val="en"/>
        </w:rPr>
      </w:pPr>
      <w:r>
        <w:rPr>
          <w:rFonts w:ascii="Arial" w:hAnsi="Arial" w:cs="Arial"/>
          <w:b/>
          <w:sz w:val="22"/>
          <w:szCs w:val="22"/>
          <w:u w:val="single"/>
          <w:lang w:val="en"/>
        </w:rPr>
        <w:t>Supply Chain and Freight Segment</w:t>
      </w:r>
    </w:p>
    <w:p w:rsidR="008C72A1" w:rsidRDefault="008C72A1" w:rsidP="009140E6">
      <w:pPr>
        <w:rPr>
          <w:rFonts w:ascii="Arial" w:hAnsi="Arial" w:cs="Arial"/>
          <w:b/>
          <w:sz w:val="22"/>
          <w:szCs w:val="22"/>
          <w:u w:val="single"/>
          <w:lang w:val="en"/>
        </w:rPr>
      </w:pPr>
    </w:p>
    <w:p w:rsidR="008C72A1" w:rsidRPr="00E2610F" w:rsidRDefault="001872B5" w:rsidP="009140E6">
      <w:pPr>
        <w:rPr>
          <w:rFonts w:ascii="Arial" w:hAnsi="Arial" w:cs="Arial"/>
          <w:sz w:val="22"/>
          <w:szCs w:val="22"/>
          <w:lang w:val="en"/>
        </w:rPr>
      </w:pPr>
      <w:r>
        <w:rPr>
          <w:rFonts w:ascii="Arial" w:hAnsi="Arial" w:cs="Arial"/>
          <w:sz w:val="22"/>
          <w:szCs w:val="22"/>
          <w:lang w:val="en"/>
        </w:rPr>
        <w:t>The Supply Chain and Freight segment</w:t>
      </w:r>
      <w:r w:rsidR="005F697C">
        <w:rPr>
          <w:rFonts w:ascii="Arial" w:hAnsi="Arial" w:cs="Arial"/>
          <w:sz w:val="22"/>
          <w:szCs w:val="22"/>
          <w:lang w:val="en"/>
        </w:rPr>
        <w:t>’s</w:t>
      </w:r>
      <w:r>
        <w:rPr>
          <w:rFonts w:ascii="Arial" w:hAnsi="Arial" w:cs="Arial"/>
          <w:sz w:val="22"/>
          <w:szCs w:val="22"/>
          <w:lang w:val="en"/>
        </w:rPr>
        <w:t xml:space="preserve"> </w:t>
      </w:r>
      <w:r w:rsidR="005F697C">
        <w:rPr>
          <w:rFonts w:ascii="Arial" w:hAnsi="Arial" w:cs="Arial"/>
          <w:sz w:val="22"/>
          <w:szCs w:val="22"/>
          <w:lang w:val="en"/>
        </w:rPr>
        <w:t xml:space="preserve">performance was </w:t>
      </w:r>
      <w:r w:rsidR="001A21C4">
        <w:rPr>
          <w:rFonts w:ascii="Arial" w:hAnsi="Arial" w:cs="Arial"/>
          <w:sz w:val="22"/>
          <w:szCs w:val="22"/>
          <w:lang w:val="en"/>
        </w:rPr>
        <w:t>driven by</w:t>
      </w:r>
      <w:r w:rsidR="00E2710D">
        <w:rPr>
          <w:rFonts w:ascii="Arial" w:hAnsi="Arial" w:cs="Arial"/>
          <w:sz w:val="22"/>
          <w:szCs w:val="22"/>
          <w:lang w:val="en"/>
        </w:rPr>
        <w:t xml:space="preserve"> small and medium-sized customers that gener</w:t>
      </w:r>
      <w:r w:rsidR="005F697C">
        <w:rPr>
          <w:rFonts w:ascii="Arial" w:hAnsi="Arial" w:cs="Arial"/>
          <w:sz w:val="22"/>
          <w:szCs w:val="22"/>
          <w:lang w:val="en"/>
        </w:rPr>
        <w:t>ate higher-quality revenue,</w:t>
      </w:r>
      <w:r w:rsidR="00E2710D">
        <w:rPr>
          <w:rFonts w:ascii="Arial" w:hAnsi="Arial" w:cs="Arial"/>
          <w:sz w:val="22"/>
          <w:szCs w:val="22"/>
          <w:lang w:val="en"/>
        </w:rPr>
        <w:t xml:space="preserve"> </w:t>
      </w:r>
      <w:r w:rsidR="005F697C">
        <w:rPr>
          <w:rFonts w:ascii="Arial" w:hAnsi="Arial" w:cs="Arial"/>
          <w:sz w:val="22"/>
          <w:szCs w:val="22"/>
          <w:lang w:val="en"/>
        </w:rPr>
        <w:t>as well as</w:t>
      </w:r>
      <w:r w:rsidR="00E2710D">
        <w:rPr>
          <w:rFonts w:ascii="Arial" w:hAnsi="Arial" w:cs="Arial"/>
          <w:sz w:val="22"/>
          <w:szCs w:val="22"/>
          <w:lang w:val="en"/>
        </w:rPr>
        <w:t xml:space="preserve"> cost </w:t>
      </w:r>
      <w:r w:rsidR="00E2710D" w:rsidRPr="00695E0B">
        <w:rPr>
          <w:rFonts w:ascii="Arial" w:hAnsi="Arial" w:cs="Arial"/>
          <w:sz w:val="22"/>
          <w:szCs w:val="22"/>
          <w:lang w:val="en"/>
        </w:rPr>
        <w:t>management actions throughout the network</w:t>
      </w:r>
      <w:r w:rsidR="00C92D8C" w:rsidRPr="00695E0B">
        <w:rPr>
          <w:rFonts w:ascii="Arial" w:hAnsi="Arial" w:cs="Arial"/>
          <w:sz w:val="22"/>
          <w:szCs w:val="22"/>
          <w:lang w:val="en"/>
        </w:rPr>
        <w:t xml:space="preserve">. </w:t>
      </w:r>
    </w:p>
    <w:p w:rsidR="009140E6" w:rsidRPr="00602E69" w:rsidRDefault="009140E6" w:rsidP="004914AA">
      <w:pPr>
        <w:rPr>
          <w:rFonts w:ascii="Arial" w:hAnsi="Arial" w:cs="Arial"/>
          <w:b/>
          <w:sz w:val="22"/>
          <w:szCs w:val="22"/>
          <w:u w:val="single"/>
        </w:rPr>
      </w:pPr>
    </w:p>
    <w:tbl>
      <w:tblPr>
        <w:tblStyle w:val="Mkatabulky"/>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1648"/>
        <w:gridCol w:w="1667"/>
        <w:gridCol w:w="1605"/>
        <w:gridCol w:w="1450"/>
      </w:tblGrid>
      <w:tr w:rsidR="00AF39AB" w:rsidRPr="002A6649" w:rsidTr="00C73DB7">
        <w:trPr>
          <w:trHeight w:val="495"/>
        </w:trPr>
        <w:tc>
          <w:tcPr>
            <w:tcW w:w="3206" w:type="dxa"/>
          </w:tcPr>
          <w:p w:rsidR="00AF39AB" w:rsidRPr="002A6649" w:rsidRDefault="00AF39AB" w:rsidP="002651E6">
            <w:pPr>
              <w:rPr>
                <w:rFonts w:ascii="Arial" w:hAnsi="Arial" w:cs="Arial"/>
                <w:b/>
                <w:sz w:val="20"/>
                <w:szCs w:val="22"/>
                <w:u w:val="single"/>
              </w:rPr>
            </w:pPr>
          </w:p>
        </w:tc>
        <w:tc>
          <w:tcPr>
            <w:tcW w:w="1648" w:type="dxa"/>
          </w:tcPr>
          <w:p w:rsidR="00AF39AB" w:rsidRPr="002A6649" w:rsidRDefault="00AF39AB" w:rsidP="002651E6">
            <w:pPr>
              <w:jc w:val="right"/>
              <w:rPr>
                <w:rFonts w:ascii="Arial" w:hAnsi="Arial" w:cs="Arial"/>
                <w:b/>
                <w:sz w:val="20"/>
                <w:szCs w:val="22"/>
                <w:u w:val="single"/>
              </w:rPr>
            </w:pPr>
          </w:p>
          <w:p w:rsidR="00AF39AB" w:rsidRPr="002A6649" w:rsidRDefault="00FE3BBD" w:rsidP="002651E6">
            <w:pPr>
              <w:jc w:val="right"/>
              <w:rPr>
                <w:rFonts w:ascii="Arial" w:hAnsi="Arial" w:cs="Arial"/>
                <w:b/>
                <w:sz w:val="20"/>
                <w:szCs w:val="22"/>
                <w:u w:val="single"/>
              </w:rPr>
            </w:pPr>
            <w:r>
              <w:rPr>
                <w:rFonts w:ascii="Arial" w:hAnsi="Arial" w:cs="Arial"/>
                <w:b/>
                <w:sz w:val="20"/>
                <w:szCs w:val="22"/>
                <w:u w:val="single"/>
              </w:rPr>
              <w:t>3</w:t>
            </w:r>
            <w:r w:rsidR="00AF39AB">
              <w:rPr>
                <w:rFonts w:ascii="Arial" w:hAnsi="Arial" w:cs="Arial"/>
                <w:b/>
                <w:sz w:val="20"/>
                <w:szCs w:val="22"/>
                <w:u w:val="single"/>
              </w:rPr>
              <w:t>Q 2019</w:t>
            </w:r>
          </w:p>
        </w:tc>
        <w:tc>
          <w:tcPr>
            <w:tcW w:w="1667" w:type="dxa"/>
          </w:tcPr>
          <w:p w:rsidR="00AF39AB" w:rsidRPr="002A6649" w:rsidRDefault="00AF39AB" w:rsidP="002651E6">
            <w:pPr>
              <w:jc w:val="right"/>
              <w:rPr>
                <w:rFonts w:ascii="Arial" w:hAnsi="Arial" w:cs="Arial"/>
                <w:b/>
                <w:sz w:val="20"/>
                <w:szCs w:val="22"/>
                <w:u w:val="single"/>
              </w:rPr>
            </w:pPr>
            <w:r w:rsidRPr="002A6649">
              <w:rPr>
                <w:rFonts w:ascii="Arial" w:hAnsi="Arial" w:cs="Arial"/>
                <w:b/>
                <w:sz w:val="20"/>
                <w:szCs w:val="22"/>
                <w:u w:val="single"/>
              </w:rPr>
              <w:t>Adjusted</w:t>
            </w:r>
          </w:p>
          <w:p w:rsidR="00AF39AB" w:rsidRPr="002A6649" w:rsidRDefault="00FE3BBD" w:rsidP="002651E6">
            <w:pPr>
              <w:jc w:val="right"/>
              <w:rPr>
                <w:rFonts w:ascii="Arial" w:hAnsi="Arial" w:cs="Arial"/>
                <w:b/>
                <w:sz w:val="20"/>
                <w:szCs w:val="22"/>
                <w:u w:val="single"/>
              </w:rPr>
            </w:pPr>
            <w:r>
              <w:rPr>
                <w:rFonts w:ascii="Arial" w:hAnsi="Arial" w:cs="Arial"/>
                <w:b/>
                <w:sz w:val="20"/>
                <w:szCs w:val="22"/>
                <w:u w:val="single"/>
              </w:rPr>
              <w:t>3</w:t>
            </w:r>
            <w:r w:rsidR="00AF39AB">
              <w:rPr>
                <w:rFonts w:ascii="Arial" w:hAnsi="Arial" w:cs="Arial"/>
                <w:b/>
                <w:sz w:val="20"/>
                <w:szCs w:val="22"/>
                <w:u w:val="single"/>
              </w:rPr>
              <w:t>Q 2019</w:t>
            </w:r>
          </w:p>
        </w:tc>
        <w:tc>
          <w:tcPr>
            <w:tcW w:w="1605" w:type="dxa"/>
          </w:tcPr>
          <w:p w:rsidR="00AF39AB" w:rsidRPr="002A6649" w:rsidRDefault="00AF39AB" w:rsidP="002651E6">
            <w:pPr>
              <w:jc w:val="right"/>
              <w:rPr>
                <w:rFonts w:ascii="Arial" w:hAnsi="Arial" w:cs="Arial"/>
                <w:b/>
                <w:sz w:val="20"/>
                <w:szCs w:val="22"/>
                <w:u w:val="single"/>
              </w:rPr>
            </w:pPr>
          </w:p>
          <w:p w:rsidR="00AF39AB" w:rsidRPr="002A6649" w:rsidRDefault="00FE3BBD" w:rsidP="002651E6">
            <w:pPr>
              <w:jc w:val="right"/>
              <w:rPr>
                <w:rFonts w:ascii="Arial" w:hAnsi="Arial" w:cs="Arial"/>
                <w:b/>
                <w:sz w:val="20"/>
                <w:szCs w:val="22"/>
                <w:u w:val="single"/>
              </w:rPr>
            </w:pPr>
            <w:r>
              <w:rPr>
                <w:rFonts w:ascii="Arial" w:hAnsi="Arial" w:cs="Arial"/>
                <w:b/>
                <w:sz w:val="20"/>
                <w:szCs w:val="22"/>
                <w:u w:val="single"/>
              </w:rPr>
              <w:t>3</w:t>
            </w:r>
            <w:r w:rsidR="00AF39AB">
              <w:rPr>
                <w:rFonts w:ascii="Arial" w:hAnsi="Arial" w:cs="Arial"/>
                <w:b/>
                <w:sz w:val="20"/>
                <w:szCs w:val="22"/>
                <w:u w:val="single"/>
              </w:rPr>
              <w:t>Q 2018</w:t>
            </w:r>
          </w:p>
        </w:tc>
        <w:tc>
          <w:tcPr>
            <w:tcW w:w="1450" w:type="dxa"/>
          </w:tcPr>
          <w:p w:rsidR="00AF39AB" w:rsidRPr="002A6649" w:rsidRDefault="00AF39AB" w:rsidP="00AF39AB">
            <w:pPr>
              <w:jc w:val="right"/>
              <w:rPr>
                <w:rFonts w:ascii="Arial" w:hAnsi="Arial" w:cs="Arial"/>
                <w:b/>
                <w:sz w:val="20"/>
                <w:szCs w:val="22"/>
                <w:u w:val="single"/>
              </w:rPr>
            </w:pPr>
            <w:r w:rsidRPr="002A6649">
              <w:rPr>
                <w:rFonts w:ascii="Arial" w:hAnsi="Arial" w:cs="Arial"/>
                <w:b/>
                <w:sz w:val="20"/>
                <w:szCs w:val="22"/>
                <w:u w:val="single"/>
              </w:rPr>
              <w:t>Adjusted</w:t>
            </w:r>
          </w:p>
          <w:p w:rsidR="00AF39AB" w:rsidRPr="002A6649" w:rsidRDefault="00FE3BBD" w:rsidP="00AF39AB">
            <w:pPr>
              <w:jc w:val="right"/>
              <w:rPr>
                <w:rFonts w:ascii="Arial" w:hAnsi="Arial" w:cs="Arial"/>
                <w:b/>
                <w:sz w:val="20"/>
                <w:szCs w:val="22"/>
                <w:u w:val="single"/>
              </w:rPr>
            </w:pPr>
            <w:r>
              <w:rPr>
                <w:rFonts w:ascii="Arial" w:hAnsi="Arial" w:cs="Arial"/>
                <w:b/>
                <w:sz w:val="20"/>
                <w:szCs w:val="22"/>
                <w:u w:val="single"/>
              </w:rPr>
              <w:t>3</w:t>
            </w:r>
            <w:r w:rsidR="00AF39AB">
              <w:rPr>
                <w:rFonts w:ascii="Arial" w:hAnsi="Arial" w:cs="Arial"/>
                <w:b/>
                <w:sz w:val="20"/>
                <w:szCs w:val="22"/>
                <w:u w:val="single"/>
              </w:rPr>
              <w:t>Q 2018</w:t>
            </w:r>
          </w:p>
        </w:tc>
      </w:tr>
      <w:tr w:rsidR="00AF39AB" w:rsidRPr="002A6649" w:rsidTr="00C73DB7">
        <w:trPr>
          <w:trHeight w:val="221"/>
        </w:trPr>
        <w:tc>
          <w:tcPr>
            <w:tcW w:w="3206" w:type="dxa"/>
          </w:tcPr>
          <w:p w:rsidR="00AF39AB" w:rsidRPr="002A6649" w:rsidRDefault="00AF39AB" w:rsidP="002651E6">
            <w:pPr>
              <w:rPr>
                <w:rFonts w:ascii="Arial" w:hAnsi="Arial" w:cs="Arial"/>
                <w:sz w:val="20"/>
                <w:szCs w:val="22"/>
              </w:rPr>
            </w:pPr>
            <w:r w:rsidRPr="002A6649">
              <w:rPr>
                <w:rFonts w:ascii="Arial" w:hAnsi="Arial" w:cs="Arial"/>
                <w:sz w:val="20"/>
                <w:szCs w:val="22"/>
              </w:rPr>
              <w:t>Revenue</w:t>
            </w:r>
          </w:p>
        </w:tc>
        <w:tc>
          <w:tcPr>
            <w:tcW w:w="1648" w:type="dxa"/>
          </w:tcPr>
          <w:p w:rsidR="00AF39AB" w:rsidRPr="002A6649" w:rsidRDefault="00916C0B" w:rsidP="002651E6">
            <w:pPr>
              <w:jc w:val="right"/>
              <w:rPr>
                <w:rFonts w:ascii="Arial" w:hAnsi="Arial" w:cs="Arial"/>
                <w:sz w:val="20"/>
                <w:szCs w:val="22"/>
              </w:rPr>
            </w:pPr>
            <w:r>
              <w:rPr>
                <w:rFonts w:ascii="Arial" w:hAnsi="Arial" w:cs="Arial"/>
                <w:sz w:val="20"/>
                <w:szCs w:val="22"/>
              </w:rPr>
              <w:t xml:space="preserve">$3,369 </w:t>
            </w:r>
            <w:r w:rsidR="00AF39AB" w:rsidRPr="002A6649">
              <w:rPr>
                <w:rFonts w:ascii="Arial" w:hAnsi="Arial" w:cs="Arial"/>
                <w:sz w:val="20"/>
                <w:szCs w:val="22"/>
              </w:rPr>
              <w:t>M</w:t>
            </w:r>
          </w:p>
        </w:tc>
        <w:tc>
          <w:tcPr>
            <w:tcW w:w="1667" w:type="dxa"/>
          </w:tcPr>
          <w:p w:rsidR="00AF39AB" w:rsidRPr="002A6649" w:rsidRDefault="00AF39AB" w:rsidP="002651E6">
            <w:pPr>
              <w:jc w:val="right"/>
              <w:rPr>
                <w:rFonts w:ascii="Arial" w:hAnsi="Arial" w:cs="Arial"/>
                <w:sz w:val="20"/>
                <w:szCs w:val="22"/>
              </w:rPr>
            </w:pPr>
          </w:p>
        </w:tc>
        <w:tc>
          <w:tcPr>
            <w:tcW w:w="1605" w:type="dxa"/>
          </w:tcPr>
          <w:p w:rsidR="00AF39AB" w:rsidRPr="002A6649" w:rsidRDefault="00916C0B" w:rsidP="002651E6">
            <w:pPr>
              <w:jc w:val="right"/>
              <w:rPr>
                <w:rFonts w:ascii="Arial" w:hAnsi="Arial" w:cs="Arial"/>
                <w:sz w:val="20"/>
                <w:szCs w:val="22"/>
              </w:rPr>
            </w:pPr>
            <w:r>
              <w:rPr>
                <w:rFonts w:ascii="Arial" w:hAnsi="Arial" w:cs="Arial"/>
                <w:sz w:val="20"/>
                <w:szCs w:val="22"/>
              </w:rPr>
              <w:t>$3,529</w:t>
            </w:r>
            <w:r w:rsidR="00AF39AB" w:rsidRPr="002A6649">
              <w:rPr>
                <w:rFonts w:ascii="Arial" w:hAnsi="Arial" w:cs="Arial"/>
                <w:sz w:val="20"/>
                <w:szCs w:val="22"/>
              </w:rPr>
              <w:t xml:space="preserve"> M</w:t>
            </w:r>
          </w:p>
        </w:tc>
        <w:tc>
          <w:tcPr>
            <w:tcW w:w="1450" w:type="dxa"/>
          </w:tcPr>
          <w:p w:rsidR="00AF39AB" w:rsidRPr="002A6649" w:rsidRDefault="00AF39AB" w:rsidP="002651E6">
            <w:pPr>
              <w:jc w:val="right"/>
              <w:rPr>
                <w:rFonts w:ascii="Arial" w:hAnsi="Arial" w:cs="Arial"/>
                <w:sz w:val="20"/>
                <w:szCs w:val="22"/>
              </w:rPr>
            </w:pPr>
          </w:p>
        </w:tc>
      </w:tr>
      <w:tr w:rsidR="00AF39AB" w:rsidRPr="002A6649" w:rsidTr="00C73DB7">
        <w:trPr>
          <w:trHeight w:val="221"/>
        </w:trPr>
        <w:tc>
          <w:tcPr>
            <w:tcW w:w="3206" w:type="dxa"/>
          </w:tcPr>
          <w:p w:rsidR="00AF39AB" w:rsidRPr="002A6649" w:rsidRDefault="00AF39AB" w:rsidP="002651E6">
            <w:pPr>
              <w:rPr>
                <w:rFonts w:ascii="Arial" w:hAnsi="Arial" w:cs="Arial"/>
                <w:sz w:val="20"/>
                <w:szCs w:val="22"/>
              </w:rPr>
            </w:pPr>
            <w:r w:rsidRPr="002A6649">
              <w:rPr>
                <w:rFonts w:ascii="Arial" w:hAnsi="Arial" w:cs="Arial"/>
                <w:sz w:val="20"/>
                <w:szCs w:val="22"/>
              </w:rPr>
              <w:t>Operating profit</w:t>
            </w:r>
          </w:p>
        </w:tc>
        <w:tc>
          <w:tcPr>
            <w:tcW w:w="1648" w:type="dxa"/>
          </w:tcPr>
          <w:p w:rsidR="00AF39AB" w:rsidRPr="002A6649" w:rsidRDefault="00916C0B" w:rsidP="002651E6">
            <w:pPr>
              <w:jc w:val="right"/>
              <w:rPr>
                <w:rFonts w:ascii="Arial" w:hAnsi="Arial" w:cs="Arial"/>
                <w:sz w:val="20"/>
                <w:szCs w:val="22"/>
              </w:rPr>
            </w:pPr>
            <w:r>
              <w:rPr>
                <w:rFonts w:ascii="Arial" w:hAnsi="Arial" w:cs="Arial"/>
                <w:sz w:val="20"/>
                <w:szCs w:val="22"/>
              </w:rPr>
              <w:t>$245</w:t>
            </w:r>
            <w:r w:rsidR="00AF39AB" w:rsidRPr="002A6649">
              <w:rPr>
                <w:rFonts w:ascii="Arial" w:hAnsi="Arial" w:cs="Arial"/>
                <w:sz w:val="20"/>
                <w:szCs w:val="22"/>
              </w:rPr>
              <w:t xml:space="preserve"> M</w:t>
            </w:r>
          </w:p>
        </w:tc>
        <w:tc>
          <w:tcPr>
            <w:tcW w:w="1667" w:type="dxa"/>
          </w:tcPr>
          <w:p w:rsidR="00AF39AB" w:rsidRPr="002A6649" w:rsidRDefault="00916C0B" w:rsidP="002651E6">
            <w:pPr>
              <w:jc w:val="right"/>
              <w:rPr>
                <w:rFonts w:ascii="Arial" w:hAnsi="Arial" w:cs="Arial"/>
                <w:sz w:val="20"/>
                <w:szCs w:val="22"/>
              </w:rPr>
            </w:pPr>
            <w:r>
              <w:rPr>
                <w:rFonts w:ascii="Arial" w:hAnsi="Arial" w:cs="Arial"/>
                <w:sz w:val="20"/>
                <w:szCs w:val="22"/>
              </w:rPr>
              <w:t>$256</w:t>
            </w:r>
            <w:r w:rsidR="00AF39AB" w:rsidRPr="002A6649">
              <w:rPr>
                <w:rFonts w:ascii="Arial" w:hAnsi="Arial" w:cs="Arial"/>
                <w:sz w:val="20"/>
                <w:szCs w:val="22"/>
              </w:rPr>
              <w:t xml:space="preserve"> M</w:t>
            </w:r>
          </w:p>
        </w:tc>
        <w:tc>
          <w:tcPr>
            <w:tcW w:w="1605" w:type="dxa"/>
          </w:tcPr>
          <w:p w:rsidR="00AF39AB" w:rsidRPr="002A6649" w:rsidRDefault="00AF39AB" w:rsidP="002651E6">
            <w:pPr>
              <w:jc w:val="right"/>
              <w:rPr>
                <w:rFonts w:ascii="Arial" w:hAnsi="Arial" w:cs="Arial"/>
                <w:sz w:val="20"/>
                <w:szCs w:val="22"/>
              </w:rPr>
            </w:pPr>
            <w:r w:rsidRPr="002A6649">
              <w:rPr>
                <w:rFonts w:ascii="Arial" w:hAnsi="Arial" w:cs="Arial"/>
                <w:sz w:val="20"/>
                <w:szCs w:val="22"/>
              </w:rPr>
              <w:t>$</w:t>
            </w:r>
            <w:r w:rsidR="00916C0B">
              <w:rPr>
                <w:rFonts w:ascii="Arial" w:hAnsi="Arial" w:cs="Arial"/>
                <w:sz w:val="20"/>
                <w:szCs w:val="22"/>
              </w:rPr>
              <w:t>242</w:t>
            </w:r>
            <w:r w:rsidRPr="002A6649">
              <w:rPr>
                <w:rFonts w:ascii="Arial" w:hAnsi="Arial" w:cs="Arial"/>
                <w:sz w:val="20"/>
                <w:szCs w:val="22"/>
              </w:rPr>
              <w:t xml:space="preserve"> M</w:t>
            </w:r>
          </w:p>
        </w:tc>
        <w:tc>
          <w:tcPr>
            <w:tcW w:w="1450" w:type="dxa"/>
          </w:tcPr>
          <w:p w:rsidR="00AF39AB" w:rsidRPr="002A6649" w:rsidRDefault="00916C0B" w:rsidP="002651E6">
            <w:pPr>
              <w:jc w:val="right"/>
              <w:rPr>
                <w:rFonts w:ascii="Arial" w:hAnsi="Arial" w:cs="Arial"/>
                <w:sz w:val="20"/>
                <w:szCs w:val="22"/>
              </w:rPr>
            </w:pPr>
            <w:r>
              <w:rPr>
                <w:rFonts w:ascii="Arial" w:hAnsi="Arial" w:cs="Arial"/>
                <w:sz w:val="20"/>
                <w:szCs w:val="22"/>
              </w:rPr>
              <w:t xml:space="preserve">$260 </w:t>
            </w:r>
            <w:r w:rsidR="008F03B6">
              <w:rPr>
                <w:rFonts w:ascii="Arial" w:hAnsi="Arial" w:cs="Arial"/>
                <w:sz w:val="20"/>
                <w:szCs w:val="22"/>
              </w:rPr>
              <w:t>M</w:t>
            </w:r>
          </w:p>
        </w:tc>
      </w:tr>
    </w:tbl>
    <w:p w:rsidR="00B85D96" w:rsidRPr="00B85D96" w:rsidRDefault="00B85D96" w:rsidP="00B85D96">
      <w:pPr>
        <w:rPr>
          <w:rFonts w:ascii="Arial" w:hAnsi="Arial" w:cs="Arial"/>
          <w:sz w:val="22"/>
          <w:szCs w:val="22"/>
        </w:rPr>
      </w:pPr>
    </w:p>
    <w:p w:rsidR="00373CA6" w:rsidRPr="00E77A41" w:rsidRDefault="00A3766C" w:rsidP="00BC4D81">
      <w:pPr>
        <w:pStyle w:val="Odstavecseseznamem"/>
        <w:numPr>
          <w:ilvl w:val="0"/>
          <w:numId w:val="2"/>
        </w:numPr>
        <w:rPr>
          <w:rFonts w:ascii="Arial" w:hAnsi="Arial" w:cs="Arial"/>
          <w:iCs/>
          <w:sz w:val="22"/>
          <w:szCs w:val="22"/>
        </w:rPr>
      </w:pPr>
      <w:r w:rsidRPr="00E77A41">
        <w:rPr>
          <w:rFonts w:ascii="Arial" w:hAnsi="Arial" w:cs="Arial"/>
          <w:iCs/>
          <w:sz w:val="22"/>
          <w:szCs w:val="22"/>
        </w:rPr>
        <w:t>Operating</w:t>
      </w:r>
      <w:r w:rsidR="00F27262" w:rsidRPr="00E77A41">
        <w:rPr>
          <w:rFonts w:ascii="Arial" w:hAnsi="Arial" w:cs="Arial"/>
          <w:iCs/>
          <w:sz w:val="22"/>
          <w:szCs w:val="22"/>
        </w:rPr>
        <w:t xml:space="preserve"> m</w:t>
      </w:r>
      <w:r w:rsidR="009400C9">
        <w:rPr>
          <w:rFonts w:ascii="Arial" w:hAnsi="Arial" w:cs="Arial"/>
          <w:iCs/>
          <w:sz w:val="22"/>
          <w:szCs w:val="22"/>
        </w:rPr>
        <w:t>argin</w:t>
      </w:r>
      <w:r w:rsidR="00BA5950" w:rsidRPr="00E77A41">
        <w:rPr>
          <w:rFonts w:ascii="Arial" w:hAnsi="Arial" w:cs="Arial"/>
          <w:iCs/>
          <w:sz w:val="22"/>
          <w:szCs w:val="22"/>
        </w:rPr>
        <w:t xml:space="preserve"> </w:t>
      </w:r>
      <w:r w:rsidR="00817143" w:rsidRPr="00E77A41">
        <w:rPr>
          <w:rFonts w:ascii="Arial" w:hAnsi="Arial" w:cs="Arial"/>
          <w:iCs/>
          <w:sz w:val="22"/>
          <w:szCs w:val="22"/>
        </w:rPr>
        <w:t xml:space="preserve">expanded </w:t>
      </w:r>
      <w:r w:rsidR="007C38AC" w:rsidRPr="00E77A41">
        <w:rPr>
          <w:rFonts w:ascii="Arial" w:hAnsi="Arial" w:cs="Arial"/>
          <w:iCs/>
          <w:sz w:val="22"/>
          <w:szCs w:val="22"/>
        </w:rPr>
        <w:t xml:space="preserve">to 7.3%, and </w:t>
      </w:r>
      <w:r w:rsidR="00056264" w:rsidRPr="00E77A41">
        <w:rPr>
          <w:rFonts w:ascii="Arial" w:hAnsi="Arial" w:cs="Arial"/>
          <w:iCs/>
          <w:sz w:val="22"/>
          <w:szCs w:val="22"/>
        </w:rPr>
        <w:t xml:space="preserve">to 7.6% </w:t>
      </w:r>
      <w:r w:rsidR="00A05C12" w:rsidRPr="00E77A41">
        <w:rPr>
          <w:rFonts w:ascii="Arial" w:hAnsi="Arial" w:cs="Arial"/>
          <w:iCs/>
          <w:sz w:val="22"/>
          <w:szCs w:val="22"/>
        </w:rPr>
        <w:t>on an adjusted basis.</w:t>
      </w:r>
    </w:p>
    <w:p w:rsidR="00900C8B" w:rsidRDefault="00780A4A" w:rsidP="00900C8B">
      <w:pPr>
        <w:pStyle w:val="Odstavecseseznamem"/>
        <w:numPr>
          <w:ilvl w:val="0"/>
          <w:numId w:val="2"/>
        </w:numPr>
        <w:rPr>
          <w:rFonts w:ascii="Arial" w:hAnsi="Arial" w:cs="Arial"/>
          <w:sz w:val="22"/>
          <w:szCs w:val="22"/>
        </w:rPr>
      </w:pPr>
      <w:r w:rsidRPr="00E77A41">
        <w:rPr>
          <w:rFonts w:ascii="Arial" w:hAnsi="Arial" w:cs="Arial"/>
          <w:sz w:val="22"/>
          <w:szCs w:val="22"/>
        </w:rPr>
        <w:t xml:space="preserve">Logistics </w:t>
      </w:r>
      <w:r w:rsidR="00C41355" w:rsidRPr="00E77A41">
        <w:rPr>
          <w:rFonts w:ascii="Arial" w:hAnsi="Arial" w:cs="Arial"/>
          <w:sz w:val="22"/>
          <w:szCs w:val="22"/>
        </w:rPr>
        <w:t xml:space="preserve">revenue </w:t>
      </w:r>
      <w:r w:rsidR="000A1361" w:rsidRPr="00E77A41">
        <w:rPr>
          <w:rFonts w:ascii="Arial" w:hAnsi="Arial" w:cs="Arial"/>
          <w:sz w:val="22"/>
          <w:szCs w:val="22"/>
        </w:rPr>
        <w:t>increased more than 7</w:t>
      </w:r>
      <w:r w:rsidRPr="00E77A41">
        <w:rPr>
          <w:rFonts w:ascii="Arial" w:hAnsi="Arial" w:cs="Arial"/>
          <w:sz w:val="22"/>
          <w:szCs w:val="22"/>
        </w:rPr>
        <w:t>% from growth in the healthcare, retail and manufacturing sectors.</w:t>
      </w:r>
    </w:p>
    <w:p w:rsidR="007769A9" w:rsidRPr="00E2710D" w:rsidRDefault="00900C8B" w:rsidP="00900C8B">
      <w:pPr>
        <w:pStyle w:val="Odstavecseseznamem"/>
        <w:numPr>
          <w:ilvl w:val="0"/>
          <w:numId w:val="2"/>
        </w:numPr>
        <w:rPr>
          <w:rFonts w:ascii="Arial" w:hAnsi="Arial" w:cs="Arial"/>
          <w:sz w:val="22"/>
          <w:szCs w:val="22"/>
        </w:rPr>
      </w:pPr>
      <w:r w:rsidRPr="00900C8B">
        <w:rPr>
          <w:rFonts w:ascii="Arial" w:hAnsi="Arial" w:cs="Arial"/>
          <w:sz w:val="22"/>
          <w:szCs w:val="22"/>
          <w:lang w:val="en"/>
        </w:rPr>
        <w:t>UPS Freight produced an increase in revenue per LTL (less-than-truckload) hundredweight of nearly 4%, driven by i</w:t>
      </w:r>
      <w:r w:rsidR="00C92D8C">
        <w:rPr>
          <w:rFonts w:ascii="Arial" w:hAnsi="Arial" w:cs="Arial"/>
          <w:sz w:val="22"/>
          <w:szCs w:val="22"/>
          <w:lang w:val="en"/>
        </w:rPr>
        <w:t>ts focus on</w:t>
      </w:r>
      <w:r w:rsidR="00E05800">
        <w:rPr>
          <w:rFonts w:ascii="Arial" w:hAnsi="Arial" w:cs="Arial"/>
          <w:sz w:val="22"/>
          <w:szCs w:val="22"/>
          <w:lang w:val="en"/>
        </w:rPr>
        <w:t xml:space="preserve"> small</w:t>
      </w:r>
      <w:r w:rsidRPr="00900C8B">
        <w:rPr>
          <w:rFonts w:ascii="Arial" w:hAnsi="Arial" w:cs="Arial"/>
          <w:sz w:val="22"/>
          <w:szCs w:val="22"/>
          <w:lang w:val="en"/>
        </w:rPr>
        <w:t xml:space="preserve"> and medium-sized business</w:t>
      </w:r>
      <w:r w:rsidR="00C92D8C">
        <w:rPr>
          <w:rFonts w:ascii="Arial" w:hAnsi="Arial" w:cs="Arial"/>
          <w:sz w:val="22"/>
          <w:szCs w:val="22"/>
          <w:lang w:val="en"/>
        </w:rPr>
        <w:t>es</w:t>
      </w:r>
      <w:r w:rsidRPr="00900C8B">
        <w:rPr>
          <w:rFonts w:ascii="Arial" w:hAnsi="Arial" w:cs="Arial"/>
          <w:sz w:val="22"/>
          <w:szCs w:val="22"/>
          <w:lang w:val="en"/>
        </w:rPr>
        <w:t>.</w:t>
      </w:r>
    </w:p>
    <w:p w:rsidR="00E2710D" w:rsidRPr="00695E0B" w:rsidRDefault="00E2710D" w:rsidP="00900C8B">
      <w:pPr>
        <w:pStyle w:val="Odstavecseseznamem"/>
        <w:numPr>
          <w:ilvl w:val="0"/>
          <w:numId w:val="2"/>
        </w:numPr>
        <w:rPr>
          <w:rFonts w:ascii="Arial" w:hAnsi="Arial" w:cs="Arial"/>
          <w:sz w:val="22"/>
          <w:szCs w:val="22"/>
        </w:rPr>
      </w:pPr>
      <w:r>
        <w:rPr>
          <w:rFonts w:ascii="Arial" w:hAnsi="Arial" w:cs="Arial"/>
          <w:sz w:val="22"/>
          <w:szCs w:val="22"/>
          <w:lang w:val="en"/>
        </w:rPr>
        <w:t xml:space="preserve">The Forwarding unit adjusted costs </w:t>
      </w:r>
      <w:r w:rsidR="008C1CE5">
        <w:rPr>
          <w:rFonts w:ascii="Arial" w:hAnsi="Arial" w:cs="Arial"/>
          <w:sz w:val="22"/>
          <w:szCs w:val="22"/>
          <w:lang w:val="en"/>
        </w:rPr>
        <w:t>and partially</w:t>
      </w:r>
      <w:r>
        <w:rPr>
          <w:rFonts w:ascii="Arial" w:hAnsi="Arial" w:cs="Arial"/>
          <w:sz w:val="22"/>
          <w:szCs w:val="22"/>
          <w:lang w:val="en"/>
        </w:rPr>
        <w:t xml:space="preserve"> offset the negative revenue impact </w:t>
      </w:r>
      <w:r w:rsidRPr="00695E0B">
        <w:rPr>
          <w:rFonts w:ascii="Arial" w:hAnsi="Arial" w:cs="Arial"/>
          <w:sz w:val="22"/>
          <w:szCs w:val="22"/>
          <w:lang w:val="en"/>
        </w:rPr>
        <w:t>of trade uncertainty.</w:t>
      </w:r>
    </w:p>
    <w:p w:rsidR="00A44025" w:rsidRDefault="00A44025" w:rsidP="00A44025">
      <w:pPr>
        <w:jc w:val="center"/>
        <w:rPr>
          <w:rFonts w:ascii="Arial" w:hAnsi="Arial" w:cs="Arial"/>
          <w:sz w:val="20"/>
          <w:szCs w:val="20"/>
        </w:rPr>
      </w:pPr>
    </w:p>
    <w:p w:rsidR="005A5BC6" w:rsidRPr="00D352EF" w:rsidRDefault="005A5BC6" w:rsidP="005A5BC6">
      <w:pPr>
        <w:rPr>
          <w:rFonts w:ascii="Arial" w:hAnsi="Arial" w:cs="Arial"/>
          <w:b/>
          <w:u w:val="single"/>
        </w:rPr>
      </w:pPr>
      <w:r w:rsidRPr="00D352EF">
        <w:rPr>
          <w:rFonts w:ascii="Arial" w:hAnsi="Arial" w:cs="Arial"/>
          <w:b/>
          <w:u w:val="single"/>
        </w:rPr>
        <w:t>Outlook</w:t>
      </w:r>
    </w:p>
    <w:p w:rsidR="005A5BC6" w:rsidRPr="00D352EF" w:rsidRDefault="005A5BC6" w:rsidP="005A5BC6">
      <w:pPr>
        <w:ind w:firstLine="720"/>
        <w:rPr>
          <w:rFonts w:ascii="Arial" w:hAnsi="Arial" w:cs="Arial"/>
        </w:rPr>
      </w:pPr>
    </w:p>
    <w:p w:rsidR="003A69AF" w:rsidRPr="00D352EF" w:rsidRDefault="005A5BC6" w:rsidP="00AB429A">
      <w:pPr>
        <w:rPr>
          <w:rFonts w:ascii="Arial" w:hAnsi="Arial" w:cs="Arial"/>
          <w:sz w:val="22"/>
          <w:szCs w:val="22"/>
        </w:rPr>
      </w:pPr>
      <w:r w:rsidRPr="00DF39F0">
        <w:rPr>
          <w:rFonts w:ascii="Arial" w:hAnsi="Arial" w:cs="Arial"/>
          <w:sz w:val="22"/>
          <w:szCs w:val="22"/>
        </w:rPr>
        <w:t>The company provides guidance on an adjusted (non-GAAP) basis because it is not possible to predict or provide a reconciliation reflecting the impact of future pension mark-to-market adjustments</w:t>
      </w:r>
      <w:r w:rsidR="001D1E65" w:rsidRPr="00DF39F0">
        <w:rPr>
          <w:rFonts w:ascii="Arial" w:hAnsi="Arial" w:cs="Arial"/>
          <w:sz w:val="22"/>
          <w:szCs w:val="22"/>
        </w:rPr>
        <w:t xml:space="preserve"> or other unanticipated events</w:t>
      </w:r>
      <w:r w:rsidRPr="00DF39F0">
        <w:rPr>
          <w:rFonts w:ascii="Arial" w:hAnsi="Arial" w:cs="Arial"/>
          <w:sz w:val="22"/>
          <w:szCs w:val="22"/>
        </w:rPr>
        <w:t>, which would be included in reported (GAAP) results and could be material.</w:t>
      </w:r>
    </w:p>
    <w:p w:rsidR="006C0702" w:rsidRDefault="006C0702" w:rsidP="00EB1D47">
      <w:pPr>
        <w:ind w:firstLine="720"/>
        <w:rPr>
          <w:rFonts w:ascii="Arial" w:hAnsi="Arial" w:cs="Arial"/>
          <w:sz w:val="22"/>
          <w:szCs w:val="22"/>
        </w:rPr>
      </w:pPr>
    </w:p>
    <w:p w:rsidR="004C46DD" w:rsidRPr="00111E05" w:rsidRDefault="002501ED" w:rsidP="00CC1777">
      <w:pPr>
        <w:rPr>
          <w:rFonts w:ascii="Arial" w:hAnsi="Arial" w:cs="Arial"/>
          <w:sz w:val="22"/>
          <w:szCs w:val="22"/>
        </w:rPr>
      </w:pPr>
      <w:r>
        <w:rPr>
          <w:rFonts w:ascii="Arial" w:hAnsi="Arial"/>
          <w:sz w:val="22"/>
          <w:szCs w:val="22"/>
        </w:rPr>
        <w:t xml:space="preserve">“UPS delivered </w:t>
      </w:r>
      <w:r w:rsidR="000B4A03">
        <w:rPr>
          <w:rFonts w:ascii="Arial" w:hAnsi="Arial"/>
          <w:sz w:val="22"/>
          <w:szCs w:val="22"/>
        </w:rPr>
        <w:t xml:space="preserve">solid </w:t>
      </w:r>
      <w:r w:rsidR="00900C8B">
        <w:rPr>
          <w:rFonts w:ascii="Arial" w:hAnsi="Arial"/>
          <w:sz w:val="22"/>
          <w:szCs w:val="22"/>
        </w:rPr>
        <w:t>performance for the third quarter</w:t>
      </w:r>
      <w:r w:rsidR="00AA6C14" w:rsidRPr="00111E05">
        <w:rPr>
          <w:rFonts w:ascii="Arial" w:hAnsi="Arial" w:cs="Arial"/>
          <w:sz w:val="22"/>
          <w:szCs w:val="22"/>
        </w:rPr>
        <w:t>,</w:t>
      </w:r>
      <w:r w:rsidR="004C46DD" w:rsidRPr="00111E05">
        <w:rPr>
          <w:rFonts w:ascii="Arial" w:hAnsi="Arial" w:cs="Arial"/>
          <w:sz w:val="22"/>
          <w:szCs w:val="22"/>
        </w:rPr>
        <w:t>”</w:t>
      </w:r>
      <w:r w:rsidR="00E05800">
        <w:rPr>
          <w:rFonts w:ascii="Arial" w:hAnsi="Arial"/>
          <w:sz w:val="22"/>
          <w:szCs w:val="22"/>
        </w:rPr>
        <w:t xml:space="preserve"> said Brian Newman</w:t>
      </w:r>
      <w:r w:rsidR="004C46DD" w:rsidRPr="00111E05">
        <w:rPr>
          <w:rFonts w:ascii="Arial" w:hAnsi="Arial"/>
          <w:sz w:val="22"/>
          <w:szCs w:val="22"/>
        </w:rPr>
        <w:t xml:space="preserve">, </w:t>
      </w:r>
      <w:r w:rsidR="00E05800">
        <w:rPr>
          <w:rFonts w:ascii="Arial" w:hAnsi="Arial"/>
          <w:sz w:val="22"/>
          <w:szCs w:val="22"/>
        </w:rPr>
        <w:t>UPS’s</w:t>
      </w:r>
      <w:r w:rsidR="00833324">
        <w:rPr>
          <w:rFonts w:ascii="Arial" w:hAnsi="Arial"/>
          <w:sz w:val="22"/>
          <w:szCs w:val="22"/>
        </w:rPr>
        <w:t xml:space="preserve"> </w:t>
      </w:r>
      <w:r w:rsidR="00E815CD" w:rsidRPr="00111E05">
        <w:rPr>
          <w:rFonts w:ascii="Arial" w:hAnsi="Arial"/>
          <w:sz w:val="22"/>
          <w:szCs w:val="22"/>
        </w:rPr>
        <w:t>chief financial officer. “</w:t>
      </w:r>
      <w:r>
        <w:rPr>
          <w:rFonts w:ascii="Arial" w:hAnsi="Arial"/>
          <w:sz w:val="22"/>
          <w:szCs w:val="22"/>
        </w:rPr>
        <w:t xml:space="preserve">Positive impacts from our </w:t>
      </w:r>
      <w:r w:rsidR="00412DCF">
        <w:rPr>
          <w:rFonts w:ascii="Arial" w:hAnsi="Arial"/>
          <w:sz w:val="22"/>
          <w:szCs w:val="22"/>
        </w:rPr>
        <w:t>t</w:t>
      </w:r>
      <w:r>
        <w:rPr>
          <w:rFonts w:ascii="Arial" w:hAnsi="Arial"/>
          <w:sz w:val="22"/>
          <w:szCs w:val="22"/>
        </w:rPr>
        <w:t xml:space="preserve">ransformation initiatives are visible in our results as we continue to improve network efficiencies and create new solutions </w:t>
      </w:r>
      <w:r w:rsidR="003A6564">
        <w:rPr>
          <w:rFonts w:ascii="Arial" w:hAnsi="Arial"/>
          <w:sz w:val="22"/>
          <w:szCs w:val="22"/>
        </w:rPr>
        <w:t>that will open more growth opportunit</w:t>
      </w:r>
      <w:r w:rsidR="008128A1">
        <w:rPr>
          <w:rFonts w:ascii="Arial" w:hAnsi="Arial"/>
          <w:sz w:val="22"/>
          <w:szCs w:val="22"/>
        </w:rPr>
        <w:t>ies</w:t>
      </w:r>
      <w:r w:rsidR="00900C8B">
        <w:rPr>
          <w:rFonts w:ascii="Arial" w:hAnsi="Arial"/>
          <w:sz w:val="22"/>
          <w:szCs w:val="22"/>
        </w:rPr>
        <w:t xml:space="preserve"> </w:t>
      </w:r>
      <w:r w:rsidR="00D17D80">
        <w:rPr>
          <w:rFonts w:ascii="Arial" w:hAnsi="Arial"/>
          <w:sz w:val="22"/>
          <w:szCs w:val="22"/>
        </w:rPr>
        <w:t xml:space="preserve">well </w:t>
      </w:r>
      <w:r w:rsidR="00900C8B">
        <w:rPr>
          <w:rFonts w:ascii="Arial" w:hAnsi="Arial"/>
          <w:sz w:val="22"/>
          <w:szCs w:val="22"/>
        </w:rPr>
        <w:t>into the future</w:t>
      </w:r>
      <w:r w:rsidR="00A3766C" w:rsidRPr="00111E05">
        <w:rPr>
          <w:rFonts w:ascii="Arial" w:hAnsi="Arial" w:cs="Arial"/>
          <w:sz w:val="22"/>
          <w:szCs w:val="22"/>
        </w:rPr>
        <w:t>.</w:t>
      </w:r>
      <w:r w:rsidR="004C46DD" w:rsidRPr="00111E05">
        <w:rPr>
          <w:rFonts w:ascii="Arial" w:hAnsi="Arial" w:cs="Arial"/>
          <w:sz w:val="22"/>
          <w:szCs w:val="22"/>
        </w:rPr>
        <w:t>”</w:t>
      </w:r>
    </w:p>
    <w:p w:rsidR="006B626C" w:rsidRPr="00FE3BBD" w:rsidRDefault="006B626C" w:rsidP="002501ED">
      <w:pPr>
        <w:rPr>
          <w:rFonts w:ascii="Arial" w:hAnsi="Arial"/>
          <w:color w:val="FF0000"/>
          <w:sz w:val="22"/>
        </w:rPr>
      </w:pPr>
    </w:p>
    <w:p w:rsidR="005775F1" w:rsidRDefault="00D76B30" w:rsidP="001279AB">
      <w:pPr>
        <w:pStyle w:val="Odstavecseseznamem"/>
        <w:numPr>
          <w:ilvl w:val="0"/>
          <w:numId w:val="3"/>
        </w:numPr>
        <w:spacing w:after="160" w:line="259" w:lineRule="auto"/>
        <w:ind w:left="360"/>
        <w:rPr>
          <w:rFonts w:ascii="Arial" w:hAnsi="Arial"/>
          <w:sz w:val="22"/>
        </w:rPr>
      </w:pPr>
      <w:r w:rsidRPr="00FE3BBD">
        <w:rPr>
          <w:rFonts w:ascii="Arial" w:hAnsi="Arial"/>
          <w:sz w:val="22"/>
        </w:rPr>
        <w:t xml:space="preserve">The </w:t>
      </w:r>
      <w:r w:rsidRPr="00FE3BBD">
        <w:rPr>
          <w:rFonts w:ascii="Arial" w:hAnsi="Arial" w:cs="Arial"/>
          <w:sz w:val="22"/>
          <w:szCs w:val="22"/>
        </w:rPr>
        <w:t>company</w:t>
      </w:r>
      <w:r w:rsidR="00F611B3">
        <w:rPr>
          <w:rFonts w:ascii="Arial" w:hAnsi="Arial" w:cs="Arial"/>
          <w:sz w:val="22"/>
          <w:szCs w:val="22"/>
        </w:rPr>
        <w:t xml:space="preserve"> reaffirms</w:t>
      </w:r>
      <w:r w:rsidR="005775F1" w:rsidRPr="00FE3BBD">
        <w:rPr>
          <w:rFonts w:ascii="Arial" w:hAnsi="Arial"/>
          <w:sz w:val="22"/>
        </w:rPr>
        <w:t xml:space="preserve"> </w:t>
      </w:r>
      <w:r w:rsidR="00FD312D" w:rsidRPr="00FE3BBD">
        <w:rPr>
          <w:rFonts w:ascii="Arial" w:hAnsi="Arial"/>
          <w:sz w:val="22"/>
        </w:rPr>
        <w:t>full-year</w:t>
      </w:r>
      <w:r w:rsidR="00AF066F" w:rsidRPr="00FE3BBD">
        <w:rPr>
          <w:rFonts w:ascii="Arial" w:hAnsi="Arial"/>
          <w:sz w:val="22"/>
        </w:rPr>
        <w:t xml:space="preserve"> </w:t>
      </w:r>
      <w:r w:rsidR="00630C05" w:rsidRPr="00FE3BBD">
        <w:rPr>
          <w:rFonts w:ascii="Arial" w:hAnsi="Arial"/>
          <w:sz w:val="22"/>
        </w:rPr>
        <w:t xml:space="preserve">adjusted </w:t>
      </w:r>
      <w:r w:rsidR="00AF066F" w:rsidRPr="00FE3BBD">
        <w:rPr>
          <w:rFonts w:ascii="Arial" w:hAnsi="Arial"/>
          <w:sz w:val="22"/>
        </w:rPr>
        <w:t xml:space="preserve">diluted </w:t>
      </w:r>
      <w:r w:rsidR="005775F1" w:rsidRPr="00FE3BBD">
        <w:rPr>
          <w:rFonts w:ascii="Arial" w:hAnsi="Arial"/>
          <w:sz w:val="22"/>
        </w:rPr>
        <w:t>EPS</w:t>
      </w:r>
      <w:r w:rsidR="003F065F" w:rsidRPr="00FE3BBD">
        <w:rPr>
          <w:rFonts w:ascii="Arial" w:hAnsi="Arial"/>
          <w:sz w:val="22"/>
        </w:rPr>
        <w:t xml:space="preserve"> </w:t>
      </w:r>
      <w:r w:rsidR="00AF066F" w:rsidRPr="00FE3BBD">
        <w:rPr>
          <w:rFonts w:ascii="Arial" w:hAnsi="Arial"/>
          <w:sz w:val="22"/>
        </w:rPr>
        <w:t xml:space="preserve">in </w:t>
      </w:r>
      <w:r w:rsidR="00DB2677" w:rsidRPr="00FE3BBD">
        <w:rPr>
          <w:rFonts w:ascii="Arial" w:hAnsi="Arial"/>
          <w:sz w:val="22"/>
        </w:rPr>
        <w:t xml:space="preserve">the </w:t>
      </w:r>
      <w:r w:rsidR="00AF066F" w:rsidRPr="00FE3BBD">
        <w:rPr>
          <w:rFonts w:ascii="Arial" w:hAnsi="Arial"/>
          <w:sz w:val="22"/>
        </w:rPr>
        <w:t xml:space="preserve">range </w:t>
      </w:r>
      <w:r w:rsidR="00AF066F" w:rsidRPr="008954BC">
        <w:rPr>
          <w:rFonts w:ascii="Arial" w:hAnsi="Arial"/>
          <w:sz w:val="22"/>
        </w:rPr>
        <w:t xml:space="preserve">of </w:t>
      </w:r>
      <w:r w:rsidR="003F065F" w:rsidRPr="00242B67">
        <w:rPr>
          <w:rFonts w:ascii="Arial" w:hAnsi="Arial"/>
          <w:sz w:val="22"/>
        </w:rPr>
        <w:t>$</w:t>
      </w:r>
      <w:r w:rsidR="00296586" w:rsidRPr="00242B67">
        <w:rPr>
          <w:rFonts w:ascii="Arial" w:hAnsi="Arial"/>
          <w:sz w:val="22"/>
        </w:rPr>
        <w:t>7.45</w:t>
      </w:r>
      <w:r w:rsidR="003F065F" w:rsidRPr="00242B67">
        <w:rPr>
          <w:rFonts w:ascii="Arial" w:hAnsi="Arial"/>
          <w:sz w:val="22"/>
        </w:rPr>
        <w:t xml:space="preserve"> to $</w:t>
      </w:r>
      <w:r w:rsidR="00296586" w:rsidRPr="00242B67">
        <w:rPr>
          <w:rFonts w:ascii="Arial" w:hAnsi="Arial"/>
          <w:sz w:val="22"/>
        </w:rPr>
        <w:t>7.75</w:t>
      </w:r>
      <w:r w:rsidR="00C3177D" w:rsidRPr="008954BC">
        <w:rPr>
          <w:rFonts w:ascii="Arial" w:hAnsi="Arial"/>
          <w:sz w:val="22"/>
        </w:rPr>
        <w:t>.</w:t>
      </w:r>
    </w:p>
    <w:p w:rsidR="008954BC" w:rsidRPr="005714EF" w:rsidRDefault="00476023" w:rsidP="005714EF">
      <w:pPr>
        <w:pStyle w:val="Odstavecseseznamem"/>
        <w:numPr>
          <w:ilvl w:val="0"/>
          <w:numId w:val="3"/>
        </w:numPr>
        <w:spacing w:after="160" w:line="259" w:lineRule="auto"/>
        <w:ind w:left="360"/>
        <w:rPr>
          <w:rFonts w:ascii="Arial" w:hAnsi="Arial"/>
          <w:sz w:val="22"/>
        </w:rPr>
      </w:pPr>
      <w:r w:rsidRPr="005714EF">
        <w:rPr>
          <w:rFonts w:ascii="Arial" w:hAnsi="Arial"/>
          <w:sz w:val="22"/>
        </w:rPr>
        <w:t xml:space="preserve">Guidance assumes </w:t>
      </w:r>
      <w:r w:rsidRPr="00476023">
        <w:rPr>
          <w:rFonts w:ascii="Arial" w:hAnsi="Arial"/>
          <w:sz w:val="22"/>
        </w:rPr>
        <w:t xml:space="preserve">no further </w:t>
      </w:r>
      <w:r w:rsidR="009C4333">
        <w:rPr>
          <w:rFonts w:ascii="Arial" w:hAnsi="Arial"/>
          <w:sz w:val="22"/>
        </w:rPr>
        <w:t>deterioration</w:t>
      </w:r>
      <w:r w:rsidR="009C4333" w:rsidRPr="00476023">
        <w:rPr>
          <w:rFonts w:ascii="Arial" w:hAnsi="Arial"/>
          <w:sz w:val="22"/>
        </w:rPr>
        <w:t xml:space="preserve"> </w:t>
      </w:r>
      <w:r w:rsidRPr="00476023">
        <w:rPr>
          <w:rFonts w:ascii="Arial" w:hAnsi="Arial"/>
          <w:sz w:val="22"/>
        </w:rPr>
        <w:t>regarding global trade uncertainty</w:t>
      </w:r>
      <w:r w:rsidR="004435EC">
        <w:rPr>
          <w:rFonts w:ascii="Arial" w:hAnsi="Arial"/>
          <w:sz w:val="22"/>
        </w:rPr>
        <w:t xml:space="preserve"> or</w:t>
      </w:r>
      <w:r w:rsidRPr="00476023">
        <w:rPr>
          <w:rFonts w:ascii="Arial" w:hAnsi="Arial"/>
          <w:sz w:val="22"/>
        </w:rPr>
        <w:t xml:space="preserve"> U.S. industrial weakness.</w:t>
      </w:r>
    </w:p>
    <w:p w:rsidR="005775F1" w:rsidRDefault="005775F1" w:rsidP="005775F1">
      <w:pPr>
        <w:pStyle w:val="Odstavecseseznamem"/>
        <w:numPr>
          <w:ilvl w:val="0"/>
          <w:numId w:val="3"/>
        </w:numPr>
        <w:spacing w:after="160" w:line="259" w:lineRule="auto"/>
        <w:ind w:left="360"/>
        <w:rPr>
          <w:rFonts w:ascii="Arial" w:hAnsi="Arial"/>
          <w:sz w:val="22"/>
        </w:rPr>
      </w:pPr>
      <w:r w:rsidRPr="00296586">
        <w:rPr>
          <w:rFonts w:ascii="Arial" w:hAnsi="Arial"/>
          <w:sz w:val="22"/>
        </w:rPr>
        <w:t xml:space="preserve">Adjusted free cash flow </w:t>
      </w:r>
      <w:r w:rsidR="00516D1A" w:rsidRPr="00296586">
        <w:rPr>
          <w:rFonts w:ascii="Arial" w:hAnsi="Arial"/>
          <w:sz w:val="22"/>
        </w:rPr>
        <w:t>for the year is projected to be over</w:t>
      </w:r>
      <w:r w:rsidR="008C1CE5" w:rsidRPr="00296586">
        <w:rPr>
          <w:rFonts w:ascii="Arial" w:hAnsi="Arial"/>
          <w:sz w:val="22"/>
        </w:rPr>
        <w:t xml:space="preserve"> </w:t>
      </w:r>
      <w:r w:rsidR="00F7338C" w:rsidRPr="00296586">
        <w:rPr>
          <w:rFonts w:ascii="Arial" w:hAnsi="Arial"/>
          <w:sz w:val="22"/>
        </w:rPr>
        <w:t xml:space="preserve">$4.0 </w:t>
      </w:r>
      <w:r w:rsidR="008C1CE5" w:rsidRPr="00296586">
        <w:rPr>
          <w:rFonts w:ascii="Arial" w:hAnsi="Arial"/>
          <w:sz w:val="22"/>
        </w:rPr>
        <w:t>billion.</w:t>
      </w:r>
    </w:p>
    <w:p w:rsidR="000F67F5" w:rsidRPr="00296586" w:rsidRDefault="000F67F5" w:rsidP="005775F1">
      <w:pPr>
        <w:pStyle w:val="Odstavecseseznamem"/>
        <w:numPr>
          <w:ilvl w:val="0"/>
          <w:numId w:val="3"/>
        </w:numPr>
        <w:spacing w:after="160" w:line="259" w:lineRule="auto"/>
        <w:ind w:left="360"/>
        <w:rPr>
          <w:rFonts w:ascii="Arial" w:hAnsi="Arial"/>
          <w:sz w:val="22"/>
        </w:rPr>
      </w:pPr>
      <w:r>
        <w:rPr>
          <w:rFonts w:ascii="Arial" w:hAnsi="Arial"/>
          <w:sz w:val="22"/>
        </w:rPr>
        <w:t>Capital investments have been reduced in both 2019 and 2020 by about $500 million</w:t>
      </w:r>
      <w:r w:rsidR="00370199">
        <w:rPr>
          <w:rFonts w:ascii="Arial" w:hAnsi="Arial"/>
          <w:sz w:val="22"/>
        </w:rPr>
        <w:t xml:space="preserve"> each year</w:t>
      </w:r>
      <w:r>
        <w:rPr>
          <w:rFonts w:ascii="Arial" w:hAnsi="Arial"/>
          <w:sz w:val="22"/>
        </w:rPr>
        <w:t>.</w:t>
      </w:r>
      <w:r w:rsidR="00627089">
        <w:rPr>
          <w:rFonts w:ascii="Arial" w:hAnsi="Arial"/>
          <w:sz w:val="22"/>
        </w:rPr>
        <w:t xml:space="preserve"> Network automation targets and other </w:t>
      </w:r>
      <w:r w:rsidR="00412DCF">
        <w:rPr>
          <w:rFonts w:ascii="Arial" w:hAnsi="Arial"/>
          <w:sz w:val="22"/>
        </w:rPr>
        <w:t>t</w:t>
      </w:r>
      <w:r w:rsidR="00627089">
        <w:rPr>
          <w:rFonts w:ascii="Arial" w:hAnsi="Arial"/>
          <w:sz w:val="22"/>
        </w:rPr>
        <w:t>ransformation goals remain unchanged.</w:t>
      </w:r>
    </w:p>
    <w:p w:rsidR="007063C2" w:rsidRPr="00FE3BBD" w:rsidRDefault="007063C2" w:rsidP="007063C2">
      <w:pPr>
        <w:pStyle w:val="Odstavecseseznamem"/>
        <w:numPr>
          <w:ilvl w:val="0"/>
          <w:numId w:val="3"/>
        </w:numPr>
        <w:spacing w:after="160" w:line="259" w:lineRule="auto"/>
        <w:ind w:left="360"/>
        <w:rPr>
          <w:rFonts w:ascii="Arial" w:hAnsi="Arial"/>
          <w:sz w:val="22"/>
        </w:rPr>
      </w:pPr>
      <w:r w:rsidRPr="00FE3BBD">
        <w:rPr>
          <w:rFonts w:ascii="Arial" w:hAnsi="Arial"/>
          <w:sz w:val="22"/>
        </w:rPr>
        <w:t xml:space="preserve">The effective tax rate for </w:t>
      </w:r>
      <w:r w:rsidR="00EB0BE3" w:rsidRPr="00FE3BBD">
        <w:rPr>
          <w:rFonts w:ascii="Arial" w:hAnsi="Arial" w:cs="Arial"/>
          <w:sz w:val="22"/>
          <w:szCs w:val="22"/>
        </w:rPr>
        <w:t>the full</w:t>
      </w:r>
      <w:r w:rsidR="00ED7461">
        <w:rPr>
          <w:rFonts w:ascii="Arial" w:hAnsi="Arial" w:cs="Arial"/>
          <w:sz w:val="22"/>
          <w:szCs w:val="22"/>
        </w:rPr>
        <w:t xml:space="preserve"> </w:t>
      </w:r>
      <w:r w:rsidR="00EB0BE3" w:rsidRPr="00FE3BBD">
        <w:rPr>
          <w:rFonts w:ascii="Arial" w:hAnsi="Arial" w:cs="Arial"/>
          <w:sz w:val="22"/>
          <w:szCs w:val="22"/>
        </w:rPr>
        <w:t xml:space="preserve">year </w:t>
      </w:r>
      <w:r w:rsidRPr="00FE3BBD">
        <w:rPr>
          <w:rFonts w:ascii="Arial" w:hAnsi="Arial"/>
          <w:sz w:val="22"/>
        </w:rPr>
        <w:t>20</w:t>
      </w:r>
      <w:r w:rsidR="00F7338C">
        <w:rPr>
          <w:rFonts w:ascii="Arial" w:hAnsi="Arial"/>
          <w:sz w:val="22"/>
        </w:rPr>
        <w:t xml:space="preserve">19 is estimated to be </w:t>
      </w:r>
      <w:r w:rsidR="00F7338C" w:rsidRPr="00F611B3">
        <w:rPr>
          <w:rFonts w:ascii="Arial" w:hAnsi="Arial"/>
          <w:sz w:val="22"/>
        </w:rPr>
        <w:t xml:space="preserve">between </w:t>
      </w:r>
      <w:r w:rsidR="00A40049" w:rsidRPr="00242B67">
        <w:rPr>
          <w:rFonts w:ascii="Arial" w:hAnsi="Arial"/>
          <w:sz w:val="22"/>
        </w:rPr>
        <w:t>22% and 23</w:t>
      </w:r>
      <w:r w:rsidRPr="00242B67">
        <w:rPr>
          <w:rFonts w:ascii="Arial" w:hAnsi="Arial"/>
          <w:sz w:val="22"/>
        </w:rPr>
        <w:t>%.</w:t>
      </w:r>
    </w:p>
    <w:p w:rsidR="00B25481" w:rsidRPr="00FE3BBD" w:rsidRDefault="00743F05" w:rsidP="00B53E29">
      <w:pPr>
        <w:pStyle w:val="Odstavecseseznamem"/>
        <w:numPr>
          <w:ilvl w:val="0"/>
          <w:numId w:val="3"/>
        </w:numPr>
        <w:spacing w:after="160" w:line="259" w:lineRule="auto"/>
        <w:ind w:left="360"/>
        <w:rPr>
          <w:rFonts w:ascii="Arial" w:hAnsi="Arial"/>
          <w:sz w:val="22"/>
        </w:rPr>
      </w:pPr>
      <w:r w:rsidRPr="00FE3BBD">
        <w:rPr>
          <w:rFonts w:ascii="Arial" w:hAnsi="Arial"/>
          <w:sz w:val="22"/>
        </w:rPr>
        <w:t xml:space="preserve">Transformation </w:t>
      </w:r>
      <w:r w:rsidR="00C402F6" w:rsidRPr="00FE3BBD">
        <w:rPr>
          <w:rFonts w:ascii="Arial" w:hAnsi="Arial"/>
          <w:sz w:val="22"/>
        </w:rPr>
        <w:t>charges</w:t>
      </w:r>
      <w:r w:rsidR="008128A1">
        <w:rPr>
          <w:rFonts w:ascii="Arial" w:hAnsi="Arial"/>
          <w:sz w:val="22"/>
        </w:rPr>
        <w:t xml:space="preserve"> </w:t>
      </w:r>
      <w:r w:rsidRPr="00FE3BBD">
        <w:rPr>
          <w:rFonts w:ascii="Arial" w:hAnsi="Arial"/>
          <w:sz w:val="22"/>
        </w:rPr>
        <w:t xml:space="preserve">are not included in </w:t>
      </w:r>
      <w:r w:rsidR="006605AF" w:rsidRPr="00FE3BBD">
        <w:rPr>
          <w:rFonts w:ascii="Arial" w:hAnsi="Arial"/>
          <w:sz w:val="22"/>
        </w:rPr>
        <w:t xml:space="preserve">the adjusted </w:t>
      </w:r>
      <w:r w:rsidRPr="00FE3BBD">
        <w:rPr>
          <w:rFonts w:ascii="Arial" w:hAnsi="Arial"/>
          <w:sz w:val="22"/>
        </w:rPr>
        <w:t>guidance.</w:t>
      </w:r>
    </w:p>
    <w:p w:rsidR="00E2710D" w:rsidRPr="00E2710D" w:rsidRDefault="00E2710D" w:rsidP="00E2710D">
      <w:pPr>
        <w:jc w:val="both"/>
        <w:rPr>
          <w:rFonts w:ascii="Arial" w:hAnsi="Arial" w:cs="Arial"/>
          <w:sz w:val="20"/>
          <w:szCs w:val="20"/>
          <w:vertAlign w:val="subscript"/>
        </w:rPr>
      </w:pPr>
    </w:p>
    <w:p w:rsidR="00E2710D" w:rsidRPr="00E2710D" w:rsidRDefault="00E2710D" w:rsidP="00E2710D">
      <w:pPr>
        <w:jc w:val="both"/>
        <w:rPr>
          <w:rFonts w:ascii="Arial" w:hAnsi="Arial" w:cs="Arial"/>
          <w:sz w:val="20"/>
          <w:szCs w:val="20"/>
          <w:vertAlign w:val="subscript"/>
        </w:rPr>
      </w:pPr>
    </w:p>
    <w:p w:rsidR="00E2710D" w:rsidRPr="00E2710D" w:rsidRDefault="00E2710D" w:rsidP="00E2710D">
      <w:pPr>
        <w:jc w:val="both"/>
        <w:rPr>
          <w:rFonts w:ascii="Arial" w:hAnsi="Arial" w:cs="Arial"/>
          <w:sz w:val="20"/>
          <w:szCs w:val="20"/>
          <w:vertAlign w:val="subscript"/>
        </w:rPr>
      </w:pPr>
      <w:r w:rsidRPr="00E2710D">
        <w:rPr>
          <w:rFonts w:ascii="Arial" w:hAnsi="Arial" w:cs="Arial"/>
          <w:sz w:val="20"/>
          <w:szCs w:val="20"/>
          <w:vertAlign w:val="subscript"/>
        </w:rPr>
        <w:t>**One basis point equals one-hundredth of a percentage point.</w:t>
      </w:r>
    </w:p>
    <w:p w:rsidR="00E2710D" w:rsidRDefault="00E2710D" w:rsidP="00E2710D">
      <w:pPr>
        <w:rPr>
          <w:sz w:val="20"/>
          <w:szCs w:val="20"/>
          <w:vertAlign w:val="subscript"/>
        </w:rPr>
      </w:pPr>
    </w:p>
    <w:p w:rsidR="00B25481" w:rsidRDefault="00136137" w:rsidP="00B25481">
      <w:pPr>
        <w:rPr>
          <w:rFonts w:ascii="Arial" w:hAnsi="Arial" w:cs="Arial"/>
          <w:b/>
          <w:sz w:val="20"/>
          <w:szCs w:val="20"/>
          <w:vertAlign w:val="subscript"/>
        </w:rPr>
      </w:pPr>
      <w:r w:rsidRPr="003B6732">
        <w:rPr>
          <w:sz w:val="20"/>
          <w:szCs w:val="20"/>
          <w:vertAlign w:val="subscript"/>
        </w:rPr>
        <w:t> </w:t>
      </w:r>
    </w:p>
    <w:p w:rsidR="00B0128F" w:rsidRDefault="0092416D" w:rsidP="006D4C14">
      <w:pPr>
        <w:jc w:val="center"/>
        <w:rPr>
          <w:rFonts w:ascii="Arial" w:hAnsi="Arial" w:cs="Arial"/>
          <w:color w:val="003436"/>
          <w:sz w:val="22"/>
          <w:szCs w:val="22"/>
        </w:rPr>
      </w:pPr>
      <w:r w:rsidRPr="00867759">
        <w:rPr>
          <w:rFonts w:ascii="Arial" w:hAnsi="Arial" w:cs="Arial"/>
          <w:color w:val="003436"/>
          <w:sz w:val="22"/>
          <w:szCs w:val="22"/>
        </w:rPr>
        <w:t># # #</w:t>
      </w:r>
    </w:p>
    <w:p w:rsidR="008F286A" w:rsidRDefault="008F286A" w:rsidP="00A3766C">
      <w:pPr>
        <w:rPr>
          <w:rFonts w:ascii="Arial" w:hAnsi="Arial" w:cs="Arial"/>
          <w:b/>
          <w:sz w:val="22"/>
          <w:szCs w:val="22"/>
          <w:u w:val="single"/>
        </w:rPr>
      </w:pPr>
    </w:p>
    <w:p w:rsidR="000F484E" w:rsidRDefault="000F484E" w:rsidP="000F484E">
      <w:pPr>
        <w:rPr>
          <w:rFonts w:ascii="Arial" w:hAnsi="Arial" w:cs="Arial"/>
          <w:b/>
          <w:sz w:val="22"/>
          <w:szCs w:val="22"/>
          <w:u w:val="single"/>
        </w:rPr>
      </w:pPr>
    </w:p>
    <w:p w:rsidR="000F484E" w:rsidRPr="00D352EF" w:rsidRDefault="000F484E" w:rsidP="000F484E">
      <w:pPr>
        <w:rPr>
          <w:rFonts w:ascii="Arial" w:hAnsi="Arial" w:cs="Arial"/>
          <w:sz w:val="22"/>
          <w:szCs w:val="22"/>
          <w:u w:val="single"/>
        </w:rPr>
      </w:pPr>
      <w:r w:rsidRPr="00D352EF">
        <w:rPr>
          <w:rFonts w:ascii="Arial" w:hAnsi="Arial" w:cs="Arial"/>
          <w:b/>
          <w:sz w:val="22"/>
          <w:szCs w:val="22"/>
          <w:u w:val="single"/>
        </w:rPr>
        <w:lastRenderedPageBreak/>
        <w:t>Conference Call Information</w:t>
      </w:r>
    </w:p>
    <w:p w:rsidR="000F484E" w:rsidRPr="00D352EF" w:rsidRDefault="000F484E" w:rsidP="000F484E">
      <w:pPr>
        <w:rPr>
          <w:rFonts w:ascii="Arial" w:hAnsi="Arial" w:cs="Arial"/>
          <w:sz w:val="22"/>
          <w:szCs w:val="22"/>
        </w:rPr>
      </w:pPr>
      <w:r w:rsidRPr="00D352EF">
        <w:rPr>
          <w:rFonts w:ascii="Arial" w:hAnsi="Arial" w:cs="Arial"/>
          <w:sz w:val="22"/>
          <w:szCs w:val="22"/>
        </w:rPr>
        <w:tab/>
      </w:r>
    </w:p>
    <w:p w:rsidR="000F484E" w:rsidRDefault="000F484E" w:rsidP="000F484E">
      <w:pPr>
        <w:rPr>
          <w:rFonts w:ascii="Arial" w:hAnsi="Arial" w:cs="Arial"/>
          <w:sz w:val="22"/>
          <w:szCs w:val="22"/>
        </w:rPr>
      </w:pPr>
      <w:r>
        <w:rPr>
          <w:rFonts w:ascii="Arial" w:hAnsi="Arial" w:cs="Arial"/>
          <w:sz w:val="22"/>
          <w:szCs w:val="22"/>
        </w:rPr>
        <w:t>UPS CEO David Abney, CFO Brian Newman and former</w:t>
      </w:r>
      <w:r w:rsidRPr="00D352EF">
        <w:rPr>
          <w:rFonts w:ascii="Arial" w:hAnsi="Arial" w:cs="Arial"/>
          <w:sz w:val="22"/>
          <w:szCs w:val="22"/>
        </w:rPr>
        <w:t xml:space="preserve"> CFO Richard Peretz will discuss </w:t>
      </w:r>
      <w:r>
        <w:rPr>
          <w:rFonts w:ascii="Arial" w:hAnsi="Arial" w:cs="Arial"/>
          <w:sz w:val="22"/>
          <w:szCs w:val="22"/>
        </w:rPr>
        <w:t>third</w:t>
      </w:r>
      <w:r w:rsidRPr="00D352EF">
        <w:rPr>
          <w:rFonts w:ascii="Arial" w:hAnsi="Arial" w:cs="Arial"/>
          <w:sz w:val="22"/>
          <w:szCs w:val="22"/>
        </w:rPr>
        <w:t xml:space="preserve">-quarter results with investors and analysts during a conference call at 8:30 a.m. ET, </w:t>
      </w:r>
      <w:r>
        <w:rPr>
          <w:rFonts w:ascii="Arial" w:hAnsi="Arial" w:cs="Arial"/>
          <w:sz w:val="22"/>
          <w:szCs w:val="22"/>
        </w:rPr>
        <w:t>October 22</w:t>
      </w:r>
      <w:r w:rsidRPr="00D352EF">
        <w:rPr>
          <w:rFonts w:ascii="Arial" w:hAnsi="Arial" w:cs="Arial"/>
          <w:sz w:val="22"/>
          <w:szCs w:val="22"/>
        </w:rPr>
        <w:t xml:space="preserve">, 2019.  That call will be open to others through a live Webcast.  To access the call, go to </w:t>
      </w:r>
      <w:hyperlink r:id="rId8" w:history="1">
        <w:r w:rsidRPr="00D352EF">
          <w:rPr>
            <w:rStyle w:val="Hypertextovodkaz"/>
            <w:rFonts w:ascii="Arial" w:hAnsi="Arial" w:cs="Arial"/>
            <w:sz w:val="22"/>
            <w:szCs w:val="22"/>
          </w:rPr>
          <w:t>www.investors.ups.com</w:t>
        </w:r>
      </w:hyperlink>
      <w:r w:rsidRPr="00D352EF">
        <w:rPr>
          <w:rFonts w:ascii="Arial" w:hAnsi="Arial" w:cs="Arial"/>
          <w:sz w:val="22"/>
          <w:szCs w:val="22"/>
          <w:u w:val="single"/>
        </w:rPr>
        <w:t xml:space="preserve"> </w:t>
      </w:r>
      <w:r w:rsidRPr="00D352EF">
        <w:rPr>
          <w:rFonts w:ascii="Arial" w:hAnsi="Arial" w:cs="Arial"/>
          <w:sz w:val="22"/>
          <w:szCs w:val="22"/>
        </w:rPr>
        <w:t>and click on “Earnings Webcast.”</w:t>
      </w:r>
      <w:r>
        <w:rPr>
          <w:rFonts w:ascii="Arial" w:hAnsi="Arial" w:cs="Arial"/>
          <w:sz w:val="22"/>
          <w:szCs w:val="22"/>
        </w:rPr>
        <w:t xml:space="preserve"> Additional financial information is included in the detailed financial schedules being posted on </w:t>
      </w:r>
      <w:hyperlink r:id="rId9" w:history="1">
        <w:r w:rsidRPr="00BA6445">
          <w:rPr>
            <w:rStyle w:val="Hypertextovodkaz"/>
            <w:rFonts w:ascii="Arial" w:hAnsi="Arial" w:cs="Arial"/>
            <w:sz w:val="22"/>
            <w:szCs w:val="22"/>
          </w:rPr>
          <w:t>www.investors.ups.com</w:t>
        </w:r>
      </w:hyperlink>
      <w:r>
        <w:rPr>
          <w:rFonts w:ascii="Arial" w:hAnsi="Arial" w:cs="Arial"/>
          <w:sz w:val="22"/>
          <w:szCs w:val="22"/>
        </w:rPr>
        <w:t xml:space="preserve"> under “Financials” and as filed with the SEC as an exhibit to our Current Report on Form 8-K.</w:t>
      </w:r>
    </w:p>
    <w:p w:rsidR="000F484E" w:rsidRDefault="000F484E" w:rsidP="000F484E">
      <w:pPr>
        <w:rPr>
          <w:rFonts w:ascii="Arial" w:hAnsi="Arial" w:cs="Arial"/>
          <w:sz w:val="22"/>
          <w:szCs w:val="22"/>
        </w:rPr>
      </w:pPr>
    </w:p>
    <w:p w:rsidR="000F484E" w:rsidRPr="00E05C21" w:rsidRDefault="000F484E" w:rsidP="000F484E">
      <w:pPr>
        <w:spacing w:after="240"/>
        <w:rPr>
          <w:rFonts w:ascii="Arial" w:hAnsi="Arial" w:cs="Arial"/>
          <w:color w:val="000000"/>
          <w:sz w:val="22"/>
          <w:szCs w:val="22"/>
          <w:u w:val="single"/>
        </w:rPr>
      </w:pPr>
      <w:r w:rsidRPr="00E05C21">
        <w:rPr>
          <w:rFonts w:ascii="Arial" w:hAnsi="Arial" w:cs="Arial"/>
          <w:b/>
          <w:bCs/>
          <w:color w:val="000000"/>
          <w:sz w:val="22"/>
          <w:szCs w:val="22"/>
          <w:u w:val="single"/>
        </w:rPr>
        <w:t>About UPS</w:t>
      </w:r>
    </w:p>
    <w:p w:rsidR="000F484E" w:rsidRPr="00010E65" w:rsidRDefault="000F484E" w:rsidP="000F484E">
      <w:pPr>
        <w:rPr>
          <w:rFonts w:ascii="Arial" w:hAnsi="Arial" w:cs="Arial"/>
          <w:sz w:val="22"/>
          <w:szCs w:val="22"/>
        </w:rPr>
      </w:pPr>
      <w:r w:rsidRPr="00010E65">
        <w:rPr>
          <w:rFonts w:ascii="Arial" w:hAnsi="Arial" w:cs="Arial"/>
          <w:sz w:val="22"/>
          <w:szCs w:val="22"/>
        </w:rPr>
        <w:t xml:space="preserve">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UPS was awarded </w:t>
      </w:r>
      <w:hyperlink r:id="rId10" w:history="1">
        <w:r w:rsidRPr="00010E65">
          <w:rPr>
            <w:rFonts w:ascii="Arial" w:hAnsi="Arial" w:cs="Arial"/>
            <w:color w:val="0000FF"/>
            <w:sz w:val="22"/>
            <w:szCs w:val="22"/>
            <w:u w:val="single"/>
          </w:rPr>
          <w:t>America’s Best Customer Service</w:t>
        </w:r>
      </w:hyperlink>
      <w:r w:rsidRPr="00010E65">
        <w:rPr>
          <w:rFonts w:ascii="Arial" w:hAnsi="Arial" w:cs="Arial"/>
          <w:sz w:val="22"/>
          <w:szCs w:val="22"/>
        </w:rPr>
        <w:t xml:space="preserve"> company for Shipping and Delivery services by Newsweek magazine; Forbes </w:t>
      </w:r>
      <w:hyperlink r:id="rId11" w:anchor="tab:rank_industry:Transportation" w:history="1">
        <w:r w:rsidRPr="00010E65">
          <w:rPr>
            <w:rFonts w:ascii="Arial" w:hAnsi="Arial" w:cs="Arial"/>
            <w:color w:val="0000FF"/>
            <w:sz w:val="22"/>
            <w:szCs w:val="22"/>
            <w:u w:val="single"/>
          </w:rPr>
          <w:t>Most Valuable Brand in Transportation</w:t>
        </w:r>
      </w:hyperlink>
      <w:r w:rsidRPr="00010E65">
        <w:rPr>
          <w:rFonts w:ascii="Arial" w:hAnsi="Arial" w:cs="Arial"/>
          <w:sz w:val="22"/>
          <w:szCs w:val="22"/>
        </w:rPr>
        <w:t xml:space="preserve">; and top rankings on the </w:t>
      </w:r>
      <w:hyperlink r:id="rId12" w:anchor="4309ad3b2bf0" w:history="1">
        <w:r w:rsidRPr="00010E65">
          <w:rPr>
            <w:rFonts w:ascii="Arial" w:hAnsi="Arial" w:cs="Arial"/>
            <w:color w:val="0000FF"/>
            <w:sz w:val="22"/>
            <w:szCs w:val="22"/>
            <w:u w:val="single"/>
          </w:rPr>
          <w:t>JUST 100</w:t>
        </w:r>
      </w:hyperlink>
      <w:r w:rsidRPr="00010E65">
        <w:rPr>
          <w:rFonts w:ascii="Arial" w:hAnsi="Arial" w:cs="Arial"/>
          <w:sz w:val="22"/>
          <w:szCs w:val="22"/>
        </w:rPr>
        <w:t xml:space="preserve"> list for social responsibility, the Dow Jones Sustainability World Index, and the Harris Poll Reputation Quotient, among other prestigious rankings and awards. The company can be found on the web at </w:t>
      </w:r>
      <w:hyperlink r:id="rId13" w:tgtFrame="_blank" w:history="1">
        <w:r w:rsidRPr="00010E65">
          <w:rPr>
            <w:rFonts w:ascii="Arial" w:hAnsi="Arial" w:cs="Arial"/>
            <w:color w:val="0000FF"/>
            <w:sz w:val="22"/>
            <w:szCs w:val="22"/>
            <w:u w:val="single"/>
          </w:rPr>
          <w:t>ups.com</w:t>
        </w:r>
      </w:hyperlink>
      <w:r w:rsidRPr="00010E65">
        <w:rPr>
          <w:rFonts w:ascii="Arial" w:hAnsi="Arial" w:cs="Arial"/>
          <w:sz w:val="22"/>
          <w:szCs w:val="22"/>
        </w:rPr>
        <w:t xml:space="preserve"> or </w:t>
      </w:r>
      <w:hyperlink r:id="rId14" w:tgtFrame="_blank" w:history="1">
        <w:r w:rsidRPr="00010E65">
          <w:rPr>
            <w:rFonts w:ascii="Arial" w:hAnsi="Arial" w:cs="Arial"/>
            <w:color w:val="0000FF"/>
            <w:sz w:val="22"/>
            <w:szCs w:val="22"/>
            <w:u w:val="single"/>
          </w:rPr>
          <w:t>pressroom.ups.com</w:t>
        </w:r>
      </w:hyperlink>
      <w:r w:rsidRPr="00010E65">
        <w:rPr>
          <w:rFonts w:ascii="Arial" w:hAnsi="Arial" w:cs="Arial"/>
          <w:sz w:val="22"/>
          <w:szCs w:val="22"/>
        </w:rPr>
        <w:t xml:space="preserve"> and its corporate blog can be found at </w:t>
      </w:r>
      <w:hyperlink r:id="rId15" w:tgtFrame="_blank" w:history="1">
        <w:r w:rsidRPr="00010E65">
          <w:rPr>
            <w:rFonts w:ascii="Arial" w:hAnsi="Arial" w:cs="Arial"/>
            <w:color w:val="0000FF"/>
            <w:sz w:val="22"/>
            <w:szCs w:val="22"/>
            <w:u w:val="single"/>
          </w:rPr>
          <w:t>ups.com/longitudes</w:t>
        </w:r>
      </w:hyperlink>
      <w:r w:rsidRPr="00010E65">
        <w:rPr>
          <w:rFonts w:ascii="Arial" w:hAnsi="Arial" w:cs="Arial"/>
          <w:sz w:val="22"/>
          <w:szCs w:val="22"/>
        </w:rPr>
        <w:t xml:space="preserve"> </w:t>
      </w:r>
      <w:r w:rsidRPr="00010E65">
        <w:rPr>
          <w:rFonts w:ascii="Arial" w:hAnsi="Arial" w:cs="Arial"/>
          <w:color w:val="340500"/>
          <w:sz w:val="22"/>
          <w:szCs w:val="22"/>
        </w:rPr>
        <w:t xml:space="preserve">The company’s sustainability </w:t>
      </w:r>
      <w:proofErr w:type="spellStart"/>
      <w:r w:rsidRPr="00010E65">
        <w:rPr>
          <w:rFonts w:ascii="Arial" w:hAnsi="Arial" w:cs="Arial"/>
          <w:color w:val="340500"/>
          <w:sz w:val="22"/>
          <w:szCs w:val="22"/>
        </w:rPr>
        <w:t>eNewsletter</w:t>
      </w:r>
      <w:proofErr w:type="spellEnd"/>
      <w:r w:rsidRPr="00010E65">
        <w:rPr>
          <w:rFonts w:ascii="Arial" w:hAnsi="Arial" w:cs="Arial"/>
          <w:color w:val="340500"/>
          <w:sz w:val="22"/>
          <w:szCs w:val="22"/>
        </w:rPr>
        <w:t>, </w:t>
      </w:r>
      <w:r w:rsidRPr="00010E65">
        <w:rPr>
          <w:rFonts w:ascii="Arial" w:hAnsi="Arial" w:cs="Arial"/>
          <w:bCs/>
          <w:color w:val="340500"/>
          <w:sz w:val="22"/>
          <w:szCs w:val="22"/>
        </w:rPr>
        <w:t>UPS Horizons</w:t>
      </w:r>
      <w:r w:rsidRPr="00010E65">
        <w:rPr>
          <w:rFonts w:ascii="Arial" w:hAnsi="Arial" w:cs="Arial"/>
          <w:color w:val="340500"/>
          <w:sz w:val="22"/>
          <w:szCs w:val="22"/>
        </w:rPr>
        <w:t xml:space="preserve">, can be found at </w:t>
      </w:r>
      <w:hyperlink r:id="rId16" w:history="1">
        <w:r w:rsidRPr="00010E65">
          <w:rPr>
            <w:rFonts w:ascii="Arial" w:hAnsi="Arial" w:cs="Arial"/>
            <w:color w:val="0000FF"/>
            <w:sz w:val="22"/>
            <w:szCs w:val="22"/>
            <w:u w:val="single"/>
          </w:rPr>
          <w:t>ups.com/</w:t>
        </w:r>
        <w:proofErr w:type="spellStart"/>
        <w:r w:rsidRPr="00010E65">
          <w:rPr>
            <w:rFonts w:ascii="Arial" w:hAnsi="Arial" w:cs="Arial"/>
            <w:color w:val="0000FF"/>
            <w:sz w:val="22"/>
            <w:szCs w:val="22"/>
            <w:u w:val="single"/>
          </w:rPr>
          <w:t>sustainabilitynewsletter</w:t>
        </w:r>
        <w:proofErr w:type="spellEnd"/>
        <w:r w:rsidRPr="00010E65">
          <w:rPr>
            <w:rFonts w:ascii="Arial" w:hAnsi="Arial" w:cs="Arial"/>
            <w:color w:val="0000FF"/>
            <w:sz w:val="22"/>
            <w:szCs w:val="22"/>
            <w:u w:val="single"/>
          </w:rPr>
          <w:t>.</w:t>
        </w:r>
      </w:hyperlink>
      <w:r w:rsidRPr="00010E65">
        <w:rPr>
          <w:rFonts w:ascii="Arial" w:hAnsi="Arial" w:cs="Arial"/>
          <w:color w:val="340500"/>
          <w:sz w:val="22"/>
          <w:szCs w:val="22"/>
        </w:rPr>
        <w:t xml:space="preserve"> </w:t>
      </w:r>
      <w:r w:rsidRPr="00010E65">
        <w:rPr>
          <w:rFonts w:ascii="Arial" w:hAnsi="Arial" w:cs="Arial"/>
          <w:sz w:val="22"/>
          <w:szCs w:val="22"/>
        </w:rPr>
        <w:t>To get UPS news direct, follow </w:t>
      </w:r>
      <w:hyperlink r:id="rId17" w:tgtFrame="_blank" w:tooltip="@UPS_News" w:history="1">
        <w:r w:rsidRPr="00010E65">
          <w:rPr>
            <w:rFonts w:ascii="Arial" w:hAnsi="Arial" w:cs="Arial"/>
            <w:color w:val="0000FF"/>
            <w:sz w:val="22"/>
            <w:szCs w:val="22"/>
            <w:u w:val="single"/>
          </w:rPr>
          <w:t>@</w:t>
        </w:r>
        <w:proofErr w:type="spellStart"/>
        <w:r w:rsidRPr="00010E65">
          <w:rPr>
            <w:rFonts w:ascii="Arial" w:hAnsi="Arial" w:cs="Arial"/>
            <w:color w:val="0000FF"/>
            <w:sz w:val="22"/>
            <w:szCs w:val="22"/>
            <w:u w:val="single"/>
          </w:rPr>
          <w:t>UPS_News</w:t>
        </w:r>
        <w:proofErr w:type="spellEnd"/>
      </w:hyperlink>
      <w:r w:rsidRPr="00010E65">
        <w:rPr>
          <w:rFonts w:ascii="Arial" w:hAnsi="Arial" w:cs="Arial"/>
          <w:sz w:val="22"/>
          <w:szCs w:val="22"/>
        </w:rPr>
        <w:t xml:space="preserve"> on Twitter. To ship with UPS, visit </w:t>
      </w:r>
      <w:hyperlink r:id="rId18" w:history="1">
        <w:r w:rsidRPr="00010E65">
          <w:rPr>
            <w:rFonts w:ascii="Arial" w:hAnsi="Arial" w:cs="Arial"/>
            <w:color w:val="0000FF"/>
            <w:sz w:val="22"/>
            <w:szCs w:val="22"/>
            <w:u w:val="single"/>
          </w:rPr>
          <w:t>ups.com/ship</w:t>
        </w:r>
      </w:hyperlink>
      <w:r w:rsidRPr="00010E65">
        <w:rPr>
          <w:rFonts w:ascii="Arial" w:hAnsi="Arial" w:cs="Arial"/>
          <w:sz w:val="22"/>
          <w:szCs w:val="22"/>
        </w:rPr>
        <w:t>.</w:t>
      </w:r>
    </w:p>
    <w:p w:rsidR="000F484E" w:rsidRDefault="000F484E" w:rsidP="00A3766C">
      <w:pPr>
        <w:rPr>
          <w:rFonts w:ascii="Arial" w:hAnsi="Arial" w:cs="Arial"/>
          <w:b/>
          <w:sz w:val="22"/>
          <w:szCs w:val="22"/>
          <w:u w:val="single"/>
        </w:rPr>
      </w:pPr>
    </w:p>
    <w:p w:rsidR="000341DE" w:rsidRPr="009E5710" w:rsidRDefault="000341DE" w:rsidP="000341DE">
      <w:pPr>
        <w:spacing w:line="288" w:lineRule="auto"/>
        <w:rPr>
          <w:rFonts w:ascii="Arial" w:eastAsia="Arial" w:hAnsi="Arial"/>
          <w:b/>
          <w:sz w:val="22"/>
        </w:rPr>
      </w:pPr>
      <w:r w:rsidRPr="009E5710">
        <w:rPr>
          <w:rFonts w:ascii="Arial" w:eastAsia="Arial" w:hAnsi="Arial"/>
          <w:b/>
          <w:color w:val="000000"/>
          <w:sz w:val="22"/>
          <w:u w:val="single" w:color="000000"/>
        </w:rPr>
        <w:t>Forward-Looking Statements</w:t>
      </w:r>
    </w:p>
    <w:p w:rsidR="000341DE" w:rsidRPr="009E5710" w:rsidRDefault="000341DE" w:rsidP="000341DE">
      <w:pPr>
        <w:spacing w:line="288" w:lineRule="auto"/>
      </w:pPr>
    </w:p>
    <w:p w:rsidR="000341DE" w:rsidRDefault="000341DE" w:rsidP="000341DE">
      <w:pPr>
        <w:spacing w:after="240" w:line="288" w:lineRule="auto"/>
        <w:ind w:firstLine="720"/>
        <w:rPr>
          <w:rFonts w:ascii="Arial" w:eastAsia="Arial" w:hAnsi="Arial" w:cs="Arial"/>
          <w:sz w:val="22"/>
        </w:rPr>
      </w:pPr>
      <w:r>
        <w:rPr>
          <w:rFonts w:ascii="Arial" w:eastAsia="Arial" w:hAnsi="Arial" w:cs="Arial"/>
          <w:sz w:val="22"/>
        </w:rPr>
        <w:t>Except for historical information contained herein, the statements made in this release constitute forward-looking statements within the meaning of Section 27A of the Securities Act of 1933 and Section 21E of the Securities Exchange Act of 1934. Such forward-looking statements, including statements regarding the intent, belief or current expectations of UPS and its management regarding the company's strategic direction, prospects and future results, involve certain risks and uncertainties.</w:t>
      </w:r>
    </w:p>
    <w:p w:rsidR="000341DE" w:rsidRPr="000341DE" w:rsidRDefault="000341DE" w:rsidP="000341DE">
      <w:pPr>
        <w:spacing w:after="240" w:line="288" w:lineRule="auto"/>
        <w:ind w:firstLine="720"/>
        <w:rPr>
          <w:rFonts w:ascii="Arial" w:eastAsia="Arial" w:hAnsi="Arial"/>
          <w:sz w:val="22"/>
        </w:rPr>
      </w:pPr>
      <w:r>
        <w:rPr>
          <w:rFonts w:ascii="Arial" w:eastAsia="Arial" w:hAnsi="Arial" w:cs="Arial"/>
          <w:sz w:val="22"/>
        </w:rPr>
        <w:t>Certain factors may cause actual results to differ materially from those contemplated by the forward-looking statements, including changes in economic and other conditions in the markets in which we operate, governmental regulations (including tax laws and regulations), our competitive environment, the facts or assumptions underlying our health and pension benefit funding obligations, the results of negotiation and ratification of labor contracts, the impact of any strikes, work stoppages or slowdowns, changes in aviation and motor fuel prices, cyclical and seasonal fluctuations in our operating results, and other risks discussed in the company's Form 10-K and other filings with the Securities and Exchange Commission, which discussions are incorporated herein by reference.</w:t>
      </w:r>
    </w:p>
    <w:p w:rsidR="000341DE" w:rsidRPr="009E5710" w:rsidRDefault="000341DE" w:rsidP="000341DE">
      <w:pPr>
        <w:spacing w:line="288" w:lineRule="auto"/>
        <w:rPr>
          <w:rFonts w:ascii="Arial" w:eastAsia="Arial" w:hAnsi="Arial"/>
          <w:b/>
          <w:sz w:val="22"/>
        </w:rPr>
      </w:pPr>
      <w:r w:rsidRPr="009E5710">
        <w:rPr>
          <w:rFonts w:ascii="Arial" w:eastAsia="Arial" w:hAnsi="Arial"/>
          <w:b/>
          <w:color w:val="000000"/>
          <w:sz w:val="22"/>
          <w:u w:val="single" w:color="000000"/>
        </w:rPr>
        <w:t>Reconciliation of GAAP and non-GAAP Financial Measures</w:t>
      </w:r>
    </w:p>
    <w:p w:rsidR="000341DE" w:rsidRPr="009E5710" w:rsidRDefault="000341DE" w:rsidP="000341DE">
      <w:pPr>
        <w:spacing w:line="288" w:lineRule="auto"/>
      </w:pPr>
    </w:p>
    <w:p w:rsidR="000341DE" w:rsidRDefault="000341DE" w:rsidP="000341DE">
      <w:pPr>
        <w:spacing w:line="288" w:lineRule="auto"/>
        <w:ind w:firstLine="720"/>
        <w:rPr>
          <w:rFonts w:ascii="Arial" w:eastAsia="Arial" w:hAnsi="Arial" w:cs="Arial"/>
          <w:sz w:val="22"/>
        </w:rPr>
      </w:pPr>
      <w:r>
        <w:rPr>
          <w:rFonts w:ascii="Arial" w:eastAsia="Arial" w:hAnsi="Arial" w:cs="Arial"/>
          <w:sz w:val="22"/>
        </w:rPr>
        <w:t xml:space="preserve">We supplement the reporting of our financial information determined under generally accepted accounting principles ("GAAP") with certain non-GAAP financial measures, including, as applicable, "as adjusted" operating profit, operating margin, other income (expense), pre-tax income, net income and earnings per </w:t>
      </w:r>
      <w:r w:rsidRPr="0024655C">
        <w:rPr>
          <w:rFonts w:ascii="Arial" w:eastAsia="Arial" w:hAnsi="Arial" w:cs="Arial"/>
          <w:sz w:val="22"/>
        </w:rPr>
        <w:t>share.</w:t>
      </w:r>
      <w:r w:rsidRPr="00CF3F20">
        <w:rPr>
          <w:rFonts w:ascii="Arial" w:eastAsia="Arial" w:hAnsi="Arial" w:cs="Arial"/>
          <w:sz w:val="22"/>
        </w:rPr>
        <w:t xml:space="preserve"> </w:t>
      </w:r>
      <w:r>
        <w:rPr>
          <w:rFonts w:ascii="Arial" w:eastAsia="Arial" w:hAnsi="Arial" w:cs="Arial"/>
          <w:sz w:val="22"/>
        </w:rPr>
        <w:t xml:space="preserve">Additionally, we periodically disclose free cash flow, free cash flow excluding discretionary pension contributions, and capital expenditures </w:t>
      </w:r>
      <w:r>
        <w:rPr>
          <w:rFonts w:ascii="Arial" w:eastAsia="Arial" w:hAnsi="Arial" w:cs="Arial"/>
          <w:sz w:val="22"/>
        </w:rPr>
        <w:lastRenderedPageBreak/>
        <w:t xml:space="preserve">including principal repayments of capital lease obligations. </w:t>
      </w:r>
      <w:r w:rsidRPr="00FE05F6">
        <w:rPr>
          <w:rFonts w:ascii="Arial" w:eastAsia="Arial" w:hAnsi="Arial" w:cs="Arial"/>
          <w:sz w:val="22"/>
        </w:rPr>
        <w:t>The equivalent measures determined in accordance with GAAP are also referred to as "reported" or</w:t>
      </w:r>
      <w:r>
        <w:rPr>
          <w:rFonts w:ascii="Arial" w:eastAsia="Arial" w:hAnsi="Arial" w:cs="Arial"/>
          <w:sz w:val="22"/>
        </w:rPr>
        <w:t xml:space="preserve"> "unadjusted.” </w:t>
      </w:r>
    </w:p>
    <w:p w:rsidR="000341DE" w:rsidRPr="009E5710" w:rsidRDefault="000341DE" w:rsidP="000341DE">
      <w:pPr>
        <w:spacing w:line="288" w:lineRule="auto"/>
        <w:ind w:firstLine="720"/>
      </w:pPr>
    </w:p>
    <w:p w:rsidR="000341DE" w:rsidRPr="009E5710" w:rsidRDefault="000341DE" w:rsidP="000341DE">
      <w:pPr>
        <w:spacing w:line="288" w:lineRule="auto"/>
      </w:pPr>
      <w:r w:rsidRPr="009E5710">
        <w:tab/>
      </w:r>
      <w:r>
        <w:rPr>
          <w:rFonts w:ascii="Arial" w:eastAsia="Arial" w:hAnsi="Arial" w:cs="Arial"/>
          <w:sz w:val="22"/>
        </w:rPr>
        <w:t>We consider quantitative and qualitative factors in assessing whether to adjust for the impact of items that may be significant or that could affect an understanding of our ongoing financial and business performance or trends. Examples of items for which we may make adjustments include but are not limited to: amounts related to mark-to-market gains or losses (non-cash); settlement of contingencies; gains or losses associated with mergers, acquisitions, divestitures and other structural changes; charges related to restructuring programs such as the implementation of our Transformation strategy; asset impairments (non-cash); amounts related to changes in tax regulations or positions; amounts related to changes in foreign currency exchange rates and the impact of any hedging activities; other pension and postretirement related items; and debt modifications.</w:t>
      </w:r>
    </w:p>
    <w:p w:rsidR="000341DE" w:rsidRPr="009E5710" w:rsidRDefault="000341DE" w:rsidP="000341DE">
      <w:pPr>
        <w:spacing w:line="288" w:lineRule="auto"/>
      </w:pPr>
    </w:p>
    <w:p w:rsidR="000341DE" w:rsidRDefault="000341DE" w:rsidP="000341DE">
      <w:pPr>
        <w:spacing w:line="288" w:lineRule="auto"/>
        <w:ind w:firstLine="720"/>
        <w:rPr>
          <w:rFonts w:ascii="Arial" w:eastAsia="Arial" w:hAnsi="Arial" w:cs="Arial"/>
          <w:sz w:val="22"/>
        </w:rPr>
      </w:pPr>
      <w:r>
        <w:rPr>
          <w:rFonts w:ascii="Arial" w:eastAsia="Arial" w:hAnsi="Arial" w:cs="Arial"/>
          <w:sz w:val="22"/>
        </w:rPr>
        <w:t>We believe that these non-GAAP measures provide additional meaningful information to assist users of our financial statements in understanding our financial results, cash flows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incentive compensation awards.</w:t>
      </w:r>
    </w:p>
    <w:p w:rsidR="000341DE" w:rsidRPr="009E5710" w:rsidRDefault="000341DE" w:rsidP="000341DE">
      <w:pPr>
        <w:spacing w:line="288" w:lineRule="auto"/>
        <w:ind w:firstLine="720"/>
      </w:pPr>
    </w:p>
    <w:p w:rsidR="000341DE" w:rsidRDefault="000341DE" w:rsidP="000341DE">
      <w:pPr>
        <w:spacing w:line="288" w:lineRule="auto"/>
        <w:ind w:firstLine="720"/>
        <w:rPr>
          <w:rFonts w:ascii="Arial" w:eastAsia="Arial" w:hAnsi="Arial" w:cs="Arial"/>
          <w:sz w:val="22"/>
        </w:rPr>
      </w:pPr>
      <w:r>
        <w:rPr>
          <w:rFonts w:ascii="Arial" w:eastAsia="Arial" w:hAnsi="Arial" w:cs="Arial"/>
          <w:sz w:val="22"/>
        </w:rPr>
        <w:t>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w:t>
      </w:r>
    </w:p>
    <w:p w:rsidR="000341DE" w:rsidRPr="009E5710" w:rsidRDefault="000341DE" w:rsidP="000341DE">
      <w:pPr>
        <w:spacing w:line="288" w:lineRule="auto"/>
      </w:pPr>
    </w:p>
    <w:p w:rsidR="000341DE" w:rsidRDefault="000341DE" w:rsidP="000341DE">
      <w:pPr>
        <w:spacing w:line="288" w:lineRule="auto"/>
        <w:rPr>
          <w:rFonts w:ascii="Arial" w:eastAsia="Arial" w:hAnsi="Arial" w:cs="Arial"/>
          <w:i/>
          <w:sz w:val="22"/>
        </w:rPr>
      </w:pPr>
      <w:r>
        <w:rPr>
          <w:rFonts w:ascii="Arial" w:eastAsia="Arial" w:hAnsi="Arial" w:cs="Arial"/>
          <w:i/>
          <w:sz w:val="22"/>
        </w:rPr>
        <w:t>Costs Related to Restructuring Programs; Transformation Strategy Costs</w:t>
      </w:r>
    </w:p>
    <w:p w:rsidR="000341DE" w:rsidRPr="009E5710" w:rsidRDefault="000341DE" w:rsidP="000341DE">
      <w:pPr>
        <w:spacing w:line="288" w:lineRule="auto"/>
      </w:pPr>
    </w:p>
    <w:p w:rsidR="000341DE" w:rsidRDefault="000341DE" w:rsidP="000341DE">
      <w:pPr>
        <w:spacing w:line="288" w:lineRule="auto"/>
        <w:ind w:firstLine="720"/>
        <w:rPr>
          <w:rFonts w:ascii="Arial" w:eastAsia="Arial" w:hAnsi="Arial" w:cs="Arial"/>
          <w:sz w:val="22"/>
        </w:rPr>
      </w:pPr>
      <w:r>
        <w:rPr>
          <w:rFonts w:ascii="Arial" w:eastAsia="Arial" w:hAnsi="Arial" w:cs="Arial"/>
          <w:sz w:val="22"/>
        </w:rPr>
        <w:t>We supplement the presentation of our operating profit, operating margin, pre-tax income, net income and earnings per share with similar non-GAAP measures that exclude the impact of costs related to restructuring programs, including Transformation strategy costs.  We believe this adjusted information provides a useful comparison of year-to-year financial performance without considering the short-term impact of restructuring costs. We evaluate our performance on this adjusted basis.</w:t>
      </w:r>
    </w:p>
    <w:p w:rsidR="000341DE" w:rsidRPr="009E5710" w:rsidRDefault="000341DE" w:rsidP="000341DE">
      <w:pPr>
        <w:spacing w:line="288" w:lineRule="auto"/>
        <w:ind w:firstLine="720"/>
      </w:pPr>
    </w:p>
    <w:p w:rsidR="000341DE" w:rsidRDefault="000341DE" w:rsidP="000341DE">
      <w:pPr>
        <w:spacing w:line="288" w:lineRule="auto"/>
        <w:rPr>
          <w:rFonts w:ascii="Arial" w:eastAsia="Arial" w:hAnsi="Arial" w:cs="Arial"/>
          <w:i/>
          <w:sz w:val="22"/>
        </w:rPr>
      </w:pPr>
      <w:r>
        <w:rPr>
          <w:rFonts w:ascii="Arial" w:eastAsia="Arial" w:hAnsi="Arial" w:cs="Arial"/>
          <w:i/>
          <w:sz w:val="22"/>
        </w:rPr>
        <w:t>Impact of Changes in Foreign Currency Exchange Rates and Hedging Activities</w:t>
      </w:r>
    </w:p>
    <w:p w:rsidR="000341DE" w:rsidRPr="009E5710" w:rsidRDefault="000341DE" w:rsidP="000341DE">
      <w:pPr>
        <w:spacing w:line="288" w:lineRule="auto"/>
      </w:pPr>
    </w:p>
    <w:p w:rsidR="000341DE" w:rsidRDefault="000341DE" w:rsidP="000341DE">
      <w:pPr>
        <w:spacing w:line="288" w:lineRule="auto"/>
        <w:ind w:firstLine="720"/>
        <w:rPr>
          <w:rFonts w:ascii="Arial" w:eastAsia="Arial" w:hAnsi="Arial" w:cs="Arial"/>
          <w:sz w:val="22"/>
        </w:rPr>
      </w:pPr>
      <w:r>
        <w:rPr>
          <w:rFonts w:ascii="Arial" w:eastAsia="Arial" w:hAnsi="Arial" w:cs="Arial"/>
          <w:sz w:val="22"/>
        </w:rPr>
        <w:t>We supplement the reporting of our revenue, revenue per piece and operating profit with non-GAAP measures that exclude the period-over-period impact of foreign currency exchange rate changes and hedging activities. We believe currency-neutral revenue, revenue per piece and operating profit information allows users of our financial statements to understand growth trends in our products and results. We evaluate the performance of our International Package and Supply Chain and Freight segments on this currency-neutral basis.</w:t>
      </w:r>
    </w:p>
    <w:p w:rsidR="000341DE" w:rsidRDefault="000341DE" w:rsidP="000341DE">
      <w:pPr>
        <w:spacing w:line="288" w:lineRule="auto"/>
        <w:ind w:firstLine="720"/>
        <w:rPr>
          <w:rFonts w:ascii="Arial" w:eastAsia="Arial" w:hAnsi="Arial" w:cs="Arial"/>
          <w:sz w:val="22"/>
        </w:rPr>
      </w:pPr>
    </w:p>
    <w:p w:rsidR="000341DE" w:rsidRDefault="000341DE" w:rsidP="000341DE">
      <w:pPr>
        <w:spacing w:line="288" w:lineRule="auto"/>
        <w:ind w:firstLine="720"/>
        <w:rPr>
          <w:rFonts w:ascii="Arial" w:eastAsia="Arial" w:hAnsi="Arial" w:cs="Arial"/>
          <w:sz w:val="22"/>
        </w:rPr>
      </w:pPr>
      <w:r>
        <w:rPr>
          <w:rFonts w:ascii="Arial" w:eastAsia="Arial" w:hAnsi="Arial" w:cs="Arial"/>
          <w:sz w:val="22"/>
        </w:rPr>
        <w:t>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period over period impact of foreign currency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p>
    <w:p w:rsidR="000341DE" w:rsidRPr="009E5710" w:rsidRDefault="000341DE" w:rsidP="000341DE">
      <w:pPr>
        <w:spacing w:line="288" w:lineRule="auto"/>
        <w:rPr>
          <w:rFonts w:ascii="Arial" w:eastAsia="Arial" w:hAnsi="Arial"/>
          <w:i/>
          <w:sz w:val="22"/>
        </w:rPr>
      </w:pPr>
    </w:p>
    <w:p w:rsidR="000341DE" w:rsidRPr="003B639B" w:rsidRDefault="000341DE" w:rsidP="000341DE">
      <w:pPr>
        <w:spacing w:line="288" w:lineRule="auto"/>
        <w:rPr>
          <w:rFonts w:ascii="Arial" w:eastAsia="Arial" w:hAnsi="Arial" w:cs="Arial"/>
          <w:i/>
          <w:sz w:val="22"/>
        </w:rPr>
      </w:pPr>
      <w:r w:rsidRPr="003B639B">
        <w:rPr>
          <w:rFonts w:ascii="Arial" w:eastAsia="Arial" w:hAnsi="Arial" w:cs="Arial"/>
          <w:i/>
          <w:sz w:val="22"/>
        </w:rPr>
        <w:t>Free Cash Flow and Adjusted Capital Expenditures</w:t>
      </w:r>
    </w:p>
    <w:p w:rsidR="000341DE" w:rsidRPr="009E5710" w:rsidRDefault="000341DE" w:rsidP="000341DE">
      <w:pPr>
        <w:spacing w:line="288" w:lineRule="auto"/>
        <w:rPr>
          <w:rFonts w:ascii="Arial" w:eastAsia="Arial" w:hAnsi="Arial"/>
          <w:sz w:val="22"/>
        </w:rPr>
      </w:pPr>
    </w:p>
    <w:p w:rsidR="000341DE" w:rsidRPr="009E5710" w:rsidRDefault="000341DE" w:rsidP="000341DE">
      <w:pPr>
        <w:spacing w:line="288" w:lineRule="auto"/>
        <w:ind w:firstLine="720"/>
        <w:rPr>
          <w:i/>
          <w:sz w:val="16"/>
        </w:rPr>
      </w:pPr>
      <w:r w:rsidRPr="003B639B">
        <w:rPr>
          <w:rFonts w:ascii="Arial" w:eastAsia="Arial" w:hAnsi="Arial" w:cs="Arial"/>
          <w:sz w:val="22"/>
        </w:rPr>
        <w:t xml:space="preserve">We supplement the reporting of cash flows from operating activities with free cash flow, free cash flow excluding discretionary pension contributions and free cash flow plus principal repayments of capital lease obligations, non-GAAP liquidity measures. We believe </w:t>
      </w:r>
      <w:r>
        <w:rPr>
          <w:rFonts w:ascii="Arial" w:eastAsia="Arial" w:hAnsi="Arial" w:cs="Arial"/>
          <w:sz w:val="22"/>
        </w:rPr>
        <w:t xml:space="preserve">these </w:t>
      </w:r>
      <w:r w:rsidRPr="003B639B">
        <w:rPr>
          <w:rFonts w:ascii="Arial" w:eastAsia="Arial" w:hAnsi="Arial" w:cs="Arial"/>
          <w:sz w:val="22"/>
        </w:rPr>
        <w:t xml:space="preserve">free cash flow </w:t>
      </w:r>
      <w:r>
        <w:rPr>
          <w:rFonts w:ascii="Arial" w:eastAsia="Arial" w:hAnsi="Arial" w:cs="Arial"/>
          <w:sz w:val="22"/>
        </w:rPr>
        <w:t>measures are</w:t>
      </w:r>
      <w:r w:rsidRPr="003B639B">
        <w:rPr>
          <w:rFonts w:ascii="Arial" w:eastAsia="Arial" w:hAnsi="Arial" w:cs="Arial"/>
          <w:sz w:val="22"/>
        </w:rPr>
        <w:t xml:space="preserve"> important indicator</w:t>
      </w:r>
      <w:r>
        <w:rPr>
          <w:rFonts w:ascii="Arial" w:eastAsia="Arial" w:hAnsi="Arial" w:cs="Arial"/>
          <w:sz w:val="22"/>
        </w:rPr>
        <w:t>s</w:t>
      </w:r>
      <w:r w:rsidRPr="003B639B">
        <w:rPr>
          <w:rFonts w:ascii="Arial" w:eastAsia="Arial" w:hAnsi="Arial" w:cs="Arial"/>
          <w:sz w:val="22"/>
        </w:rPr>
        <w:t xml:space="preserve"> of how much cash is generated by regular business operations and we use </w:t>
      </w:r>
      <w:r>
        <w:rPr>
          <w:rFonts w:ascii="Arial" w:eastAsia="Arial" w:hAnsi="Arial" w:cs="Arial"/>
          <w:sz w:val="22"/>
        </w:rPr>
        <w:t>them</w:t>
      </w:r>
      <w:r w:rsidRPr="003B639B">
        <w:rPr>
          <w:rFonts w:ascii="Arial" w:eastAsia="Arial" w:hAnsi="Arial" w:cs="Arial"/>
          <w:sz w:val="22"/>
        </w:rPr>
        <w:t xml:space="preserve"> as a measure of incremental cash available to invest in our business, meet our debt obligations and return cash to shareowners. Additionally, we believe that adjusting ca</w:t>
      </w:r>
      <w:r>
        <w:rPr>
          <w:rFonts w:ascii="Arial" w:eastAsia="Arial" w:hAnsi="Arial" w:cs="Arial"/>
          <w:sz w:val="22"/>
        </w:rPr>
        <w:t>pital expenditures for principal</w:t>
      </w:r>
      <w:r w:rsidRPr="003B639B">
        <w:rPr>
          <w:rFonts w:ascii="Arial" w:eastAsia="Arial" w:hAnsi="Arial" w:cs="Arial"/>
          <w:sz w:val="22"/>
        </w:rPr>
        <w:t xml:space="preserve"> repayments of capital lease obligations </w:t>
      </w:r>
      <w:r>
        <w:rPr>
          <w:rFonts w:ascii="Arial" w:eastAsia="Arial" w:hAnsi="Arial" w:cs="Arial"/>
          <w:sz w:val="22"/>
        </w:rPr>
        <w:t xml:space="preserve">more appropriately </w:t>
      </w:r>
      <w:r w:rsidRPr="003B639B">
        <w:rPr>
          <w:rFonts w:ascii="Arial" w:eastAsia="Arial" w:hAnsi="Arial" w:cs="Arial"/>
          <w:sz w:val="22"/>
        </w:rPr>
        <w:t>reflects the overall cash that we have invested in capital assets.</w:t>
      </w:r>
      <w:r>
        <w:rPr>
          <w:i/>
          <w:sz w:val="16"/>
        </w:rPr>
        <w:t xml:space="preserve">   </w:t>
      </w:r>
      <w:r w:rsidRPr="003B639B">
        <w:rPr>
          <w:rFonts w:ascii="Arial" w:eastAsia="Arial" w:hAnsi="Arial" w:cs="Arial"/>
          <w:sz w:val="22"/>
        </w:rPr>
        <w:t xml:space="preserve">We calculate free cash flow as cash flows from operating activities less capital expenditures, proceeds from disposals of property, plant and equipment, and plus or minus the net changes in finance receivables </w:t>
      </w:r>
      <w:r>
        <w:rPr>
          <w:rFonts w:ascii="Arial" w:eastAsia="Arial" w:hAnsi="Arial" w:cs="Arial"/>
          <w:sz w:val="22"/>
        </w:rPr>
        <w:t>and other investing activities</w:t>
      </w:r>
      <w:r w:rsidRPr="003B639B">
        <w:rPr>
          <w:rFonts w:ascii="Arial" w:eastAsia="Arial" w:hAnsi="Arial" w:cs="Arial"/>
          <w:sz w:val="22"/>
        </w:rPr>
        <w:t xml:space="preserve">. </w:t>
      </w:r>
      <w:r>
        <w:rPr>
          <w:rFonts w:ascii="Arial" w:eastAsia="Arial" w:hAnsi="Arial" w:cs="Arial"/>
          <w:sz w:val="22"/>
        </w:rPr>
        <w:t xml:space="preserve">Free cash flow excluding discretionary pension contributions adds back any discretionary pension contributions made during the period.  </w:t>
      </w:r>
    </w:p>
    <w:p w:rsidR="000341DE" w:rsidRDefault="000341DE" w:rsidP="000341DE">
      <w:pPr>
        <w:spacing w:line="288" w:lineRule="auto"/>
        <w:rPr>
          <w:sz w:val="15"/>
        </w:rPr>
      </w:pPr>
    </w:p>
    <w:p w:rsidR="000341DE" w:rsidRDefault="000341DE">
      <w:pPr>
        <w:rPr>
          <w:sz w:val="15"/>
        </w:rPr>
      </w:pPr>
      <w:r>
        <w:rPr>
          <w:sz w:val="15"/>
        </w:rPr>
        <w:br w:type="page"/>
      </w:r>
    </w:p>
    <w:p w:rsidR="000341DE" w:rsidRPr="000341DE" w:rsidRDefault="002A415C" w:rsidP="000341DE">
      <w:pPr>
        <w:spacing w:line="288" w:lineRule="auto"/>
        <w:rPr>
          <w:rFonts w:ascii="Arial" w:hAnsi="Arial" w:cs="Arial"/>
          <w:sz w:val="22"/>
          <w:szCs w:val="22"/>
        </w:rPr>
      </w:pPr>
      <w:r w:rsidRPr="002A415C">
        <w:rPr>
          <w:noProof/>
        </w:rPr>
        <w:lastRenderedPageBreak/>
        <w:drawing>
          <wp:inline distT="0" distB="0" distL="0" distR="0">
            <wp:extent cx="5723890" cy="6898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3890" cy="6898640"/>
                    </a:xfrm>
                    <a:prstGeom prst="rect">
                      <a:avLst/>
                    </a:prstGeom>
                    <a:noFill/>
                    <a:ln>
                      <a:noFill/>
                    </a:ln>
                  </pic:spPr>
                </pic:pic>
              </a:graphicData>
            </a:graphic>
          </wp:inline>
        </w:drawing>
      </w:r>
    </w:p>
    <w:p w:rsidR="000341DE" w:rsidRDefault="000341DE">
      <w:pPr>
        <w:rPr>
          <w:rFonts w:ascii="Arial" w:hAnsi="Arial" w:cs="Arial"/>
          <w:b/>
          <w:sz w:val="22"/>
          <w:szCs w:val="22"/>
          <w:u w:val="single"/>
        </w:rPr>
      </w:pPr>
      <w:r>
        <w:rPr>
          <w:rFonts w:ascii="Arial" w:hAnsi="Arial" w:cs="Arial"/>
          <w:b/>
          <w:sz w:val="22"/>
          <w:szCs w:val="22"/>
          <w:u w:val="single"/>
        </w:rPr>
        <w:br w:type="page"/>
      </w:r>
    </w:p>
    <w:p w:rsidR="000341DE" w:rsidRDefault="000341DE" w:rsidP="00A3766C">
      <w:pPr>
        <w:rPr>
          <w:rFonts w:ascii="Arial" w:hAnsi="Arial" w:cs="Arial"/>
          <w:b/>
          <w:sz w:val="22"/>
          <w:szCs w:val="22"/>
          <w:u w:val="single"/>
        </w:rPr>
      </w:pPr>
      <w:r w:rsidRPr="000341DE">
        <w:rPr>
          <w:noProof/>
        </w:rPr>
        <w:lastRenderedPageBreak/>
        <w:drawing>
          <wp:inline distT="0" distB="0" distL="0" distR="0">
            <wp:extent cx="5943600" cy="4440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440681"/>
                    </a:xfrm>
                    <a:prstGeom prst="rect">
                      <a:avLst/>
                    </a:prstGeom>
                    <a:noFill/>
                    <a:ln>
                      <a:noFill/>
                    </a:ln>
                  </pic:spPr>
                </pic:pic>
              </a:graphicData>
            </a:graphic>
          </wp:inline>
        </w:drawing>
      </w:r>
    </w:p>
    <w:p w:rsidR="000341DE" w:rsidRDefault="000341DE" w:rsidP="00A3766C">
      <w:pPr>
        <w:rPr>
          <w:rFonts w:ascii="Arial" w:hAnsi="Arial" w:cs="Arial"/>
          <w:b/>
          <w:sz w:val="22"/>
          <w:szCs w:val="22"/>
          <w:u w:val="single"/>
        </w:rPr>
      </w:pPr>
    </w:p>
    <w:p w:rsidR="000341DE" w:rsidRDefault="000341DE">
      <w:pPr>
        <w:rPr>
          <w:rFonts w:ascii="Arial" w:hAnsi="Arial" w:cs="Arial"/>
          <w:b/>
          <w:sz w:val="22"/>
          <w:szCs w:val="22"/>
          <w:u w:val="single"/>
        </w:rPr>
      </w:pPr>
      <w:r>
        <w:rPr>
          <w:rFonts w:ascii="Arial" w:hAnsi="Arial" w:cs="Arial"/>
          <w:b/>
          <w:sz w:val="22"/>
          <w:szCs w:val="22"/>
          <w:u w:val="single"/>
        </w:rPr>
        <w:br w:type="page"/>
      </w:r>
    </w:p>
    <w:p w:rsidR="000341DE" w:rsidRDefault="000341DE" w:rsidP="00A3766C">
      <w:pPr>
        <w:rPr>
          <w:rFonts w:ascii="Arial" w:hAnsi="Arial" w:cs="Arial"/>
          <w:b/>
          <w:sz w:val="22"/>
          <w:szCs w:val="22"/>
          <w:u w:val="single"/>
        </w:rPr>
      </w:pPr>
      <w:r w:rsidRPr="000341DE">
        <w:rPr>
          <w:noProof/>
        </w:rPr>
        <w:lastRenderedPageBreak/>
        <w:drawing>
          <wp:inline distT="0" distB="0" distL="0" distR="0">
            <wp:extent cx="5943600" cy="4371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371695"/>
                    </a:xfrm>
                    <a:prstGeom prst="rect">
                      <a:avLst/>
                    </a:prstGeom>
                    <a:noFill/>
                    <a:ln>
                      <a:noFill/>
                    </a:ln>
                  </pic:spPr>
                </pic:pic>
              </a:graphicData>
            </a:graphic>
          </wp:inline>
        </w:drawing>
      </w:r>
    </w:p>
    <w:p w:rsidR="000341DE" w:rsidRDefault="000341DE">
      <w:pPr>
        <w:rPr>
          <w:rFonts w:ascii="Arial" w:hAnsi="Arial" w:cs="Arial"/>
          <w:b/>
          <w:sz w:val="22"/>
          <w:szCs w:val="22"/>
          <w:u w:val="single"/>
        </w:rPr>
      </w:pPr>
      <w:r>
        <w:rPr>
          <w:rFonts w:ascii="Arial" w:hAnsi="Arial" w:cs="Arial"/>
          <w:b/>
          <w:sz w:val="22"/>
          <w:szCs w:val="22"/>
          <w:u w:val="single"/>
        </w:rPr>
        <w:br w:type="page"/>
      </w:r>
    </w:p>
    <w:p w:rsidR="000341DE" w:rsidRDefault="000341DE" w:rsidP="00A3766C">
      <w:pPr>
        <w:rPr>
          <w:rFonts w:ascii="Arial" w:hAnsi="Arial" w:cs="Arial"/>
          <w:b/>
          <w:sz w:val="22"/>
          <w:szCs w:val="22"/>
          <w:u w:val="single"/>
        </w:rPr>
      </w:pPr>
      <w:r w:rsidRPr="000341DE">
        <w:rPr>
          <w:noProof/>
        </w:rPr>
        <w:lastRenderedPageBreak/>
        <w:drawing>
          <wp:inline distT="0" distB="0" distL="0" distR="0">
            <wp:extent cx="5631180" cy="5852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1180" cy="5852160"/>
                    </a:xfrm>
                    <a:prstGeom prst="rect">
                      <a:avLst/>
                    </a:prstGeom>
                    <a:noFill/>
                    <a:ln>
                      <a:noFill/>
                    </a:ln>
                  </pic:spPr>
                </pic:pic>
              </a:graphicData>
            </a:graphic>
          </wp:inline>
        </w:drawing>
      </w:r>
    </w:p>
    <w:sectPr w:rsidR="000341DE" w:rsidSect="000346B8">
      <w:headerReference w:type="default" r:id="rId23"/>
      <w:headerReference w:type="first" r:id="rId24"/>
      <w:footerReference w:type="first" r:id="rId25"/>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BDA" w:rsidRDefault="007C3BDA">
      <w:r>
        <w:separator/>
      </w:r>
    </w:p>
  </w:endnote>
  <w:endnote w:type="continuationSeparator" w:id="0">
    <w:p w:rsidR="007C3BDA" w:rsidRDefault="007C3BDA">
      <w:r>
        <w:continuationSeparator/>
      </w:r>
    </w:p>
  </w:endnote>
  <w:endnote w:type="continuationNotice" w:id="1">
    <w:p w:rsidR="007C3BDA" w:rsidRDefault="007C3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AC2" w:rsidRPr="00034414" w:rsidRDefault="008D7AC2" w:rsidP="00034414">
    <w:pPr>
      <w:pStyle w:val="Zpat"/>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BDA" w:rsidRDefault="007C3BDA">
      <w:r>
        <w:separator/>
      </w:r>
    </w:p>
  </w:footnote>
  <w:footnote w:type="continuationSeparator" w:id="0">
    <w:p w:rsidR="007C3BDA" w:rsidRDefault="007C3BDA">
      <w:r>
        <w:continuationSeparator/>
      </w:r>
    </w:p>
  </w:footnote>
  <w:footnote w:type="continuationNotice" w:id="1">
    <w:p w:rsidR="007C3BDA" w:rsidRDefault="007C3B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AC2" w:rsidRPr="00602E69" w:rsidRDefault="008D7AC2" w:rsidP="00602E69">
    <w:pPr>
      <w:pStyle w:val="Zhlav"/>
      <w:jc w:val="right"/>
      <w:rPr>
        <w:rFonts w:ascii="Arial" w:hAnsi="Arial" w:cs="Arial"/>
        <w:sz w:val="18"/>
        <w:szCs w:val="18"/>
      </w:rPr>
    </w:pPr>
  </w:p>
  <w:p w:rsidR="008D7AC2" w:rsidRPr="00AC447A" w:rsidRDefault="008D7AC2" w:rsidP="000346B8">
    <w:pPr>
      <w:pStyle w:val="Zhlav"/>
      <w:tabs>
        <w:tab w:val="clear" w:pos="4320"/>
        <w:tab w:val="center" w:pos="0"/>
        <w:tab w:val="left" w:pos="4665"/>
      </w:tabs>
      <w:ind w:left="3240" w:hanging="342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AC2" w:rsidRPr="007C49ED" w:rsidRDefault="008D7AC2" w:rsidP="00F36B0F">
    <w:pPr>
      <w:pStyle w:val="Zhlav"/>
      <w:tabs>
        <w:tab w:val="clear" w:pos="4320"/>
        <w:tab w:val="center" w:pos="0"/>
        <w:tab w:val="left" w:pos="4665"/>
      </w:tabs>
      <w:ind w:left="3240" w:hanging="3420"/>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C63"/>
    <w:multiLevelType w:val="hybridMultilevel"/>
    <w:tmpl w:val="C11273E4"/>
    <w:lvl w:ilvl="0" w:tplc="04090001">
      <w:start w:val="1"/>
      <w:numFmt w:val="bullet"/>
      <w:lvlText w:val=""/>
      <w:lvlJc w:val="left"/>
      <w:pPr>
        <w:ind w:left="48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69D8"/>
    <w:multiLevelType w:val="hybridMultilevel"/>
    <w:tmpl w:val="C3BEF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23D95"/>
    <w:multiLevelType w:val="hybridMultilevel"/>
    <w:tmpl w:val="8BB8812A"/>
    <w:lvl w:ilvl="0" w:tplc="9AB0D03A">
      <w:start w:val="1"/>
      <w:numFmt w:val="bullet"/>
      <w:lvlText w:val="•"/>
      <w:lvlJc w:val="left"/>
      <w:pPr>
        <w:tabs>
          <w:tab w:val="num" w:pos="720"/>
        </w:tabs>
        <w:ind w:left="720" w:hanging="360"/>
      </w:pPr>
      <w:rPr>
        <w:rFonts w:ascii="Arial" w:hAnsi="Arial" w:hint="default"/>
      </w:rPr>
    </w:lvl>
    <w:lvl w:ilvl="1" w:tplc="B89CE722">
      <w:start w:val="1"/>
      <w:numFmt w:val="bullet"/>
      <w:lvlText w:val="•"/>
      <w:lvlJc w:val="left"/>
      <w:pPr>
        <w:tabs>
          <w:tab w:val="num" w:pos="1440"/>
        </w:tabs>
        <w:ind w:left="1440" w:hanging="360"/>
      </w:pPr>
      <w:rPr>
        <w:rFonts w:ascii="Arial" w:hAnsi="Arial" w:hint="default"/>
      </w:rPr>
    </w:lvl>
    <w:lvl w:ilvl="2" w:tplc="BD480FF0" w:tentative="1">
      <w:start w:val="1"/>
      <w:numFmt w:val="bullet"/>
      <w:lvlText w:val="•"/>
      <w:lvlJc w:val="left"/>
      <w:pPr>
        <w:tabs>
          <w:tab w:val="num" w:pos="2160"/>
        </w:tabs>
        <w:ind w:left="2160" w:hanging="360"/>
      </w:pPr>
      <w:rPr>
        <w:rFonts w:ascii="Arial" w:hAnsi="Arial" w:hint="default"/>
      </w:rPr>
    </w:lvl>
    <w:lvl w:ilvl="3" w:tplc="BBC63002" w:tentative="1">
      <w:start w:val="1"/>
      <w:numFmt w:val="bullet"/>
      <w:lvlText w:val="•"/>
      <w:lvlJc w:val="left"/>
      <w:pPr>
        <w:tabs>
          <w:tab w:val="num" w:pos="2880"/>
        </w:tabs>
        <w:ind w:left="2880" w:hanging="360"/>
      </w:pPr>
      <w:rPr>
        <w:rFonts w:ascii="Arial" w:hAnsi="Arial" w:hint="default"/>
      </w:rPr>
    </w:lvl>
    <w:lvl w:ilvl="4" w:tplc="435C868E" w:tentative="1">
      <w:start w:val="1"/>
      <w:numFmt w:val="bullet"/>
      <w:lvlText w:val="•"/>
      <w:lvlJc w:val="left"/>
      <w:pPr>
        <w:tabs>
          <w:tab w:val="num" w:pos="3600"/>
        </w:tabs>
        <w:ind w:left="3600" w:hanging="360"/>
      </w:pPr>
      <w:rPr>
        <w:rFonts w:ascii="Arial" w:hAnsi="Arial" w:hint="default"/>
      </w:rPr>
    </w:lvl>
    <w:lvl w:ilvl="5" w:tplc="93106BDE" w:tentative="1">
      <w:start w:val="1"/>
      <w:numFmt w:val="bullet"/>
      <w:lvlText w:val="•"/>
      <w:lvlJc w:val="left"/>
      <w:pPr>
        <w:tabs>
          <w:tab w:val="num" w:pos="4320"/>
        </w:tabs>
        <w:ind w:left="4320" w:hanging="360"/>
      </w:pPr>
      <w:rPr>
        <w:rFonts w:ascii="Arial" w:hAnsi="Arial" w:hint="default"/>
      </w:rPr>
    </w:lvl>
    <w:lvl w:ilvl="6" w:tplc="A6FC9C5C" w:tentative="1">
      <w:start w:val="1"/>
      <w:numFmt w:val="bullet"/>
      <w:lvlText w:val="•"/>
      <w:lvlJc w:val="left"/>
      <w:pPr>
        <w:tabs>
          <w:tab w:val="num" w:pos="5040"/>
        </w:tabs>
        <w:ind w:left="5040" w:hanging="360"/>
      </w:pPr>
      <w:rPr>
        <w:rFonts w:ascii="Arial" w:hAnsi="Arial" w:hint="default"/>
      </w:rPr>
    </w:lvl>
    <w:lvl w:ilvl="7" w:tplc="165AC364" w:tentative="1">
      <w:start w:val="1"/>
      <w:numFmt w:val="bullet"/>
      <w:lvlText w:val="•"/>
      <w:lvlJc w:val="left"/>
      <w:pPr>
        <w:tabs>
          <w:tab w:val="num" w:pos="5760"/>
        </w:tabs>
        <w:ind w:left="5760" w:hanging="360"/>
      </w:pPr>
      <w:rPr>
        <w:rFonts w:ascii="Arial" w:hAnsi="Arial" w:hint="default"/>
      </w:rPr>
    </w:lvl>
    <w:lvl w:ilvl="8" w:tplc="811203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A6333CD"/>
    <w:multiLevelType w:val="hybridMultilevel"/>
    <w:tmpl w:val="2CDA2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6C5B20F9"/>
    <w:multiLevelType w:val="hybridMultilevel"/>
    <w:tmpl w:val="596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61137"/>
    <w:multiLevelType w:val="hybridMultilevel"/>
    <w:tmpl w:val="1DB621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6DB87A33"/>
    <w:multiLevelType w:val="multilevel"/>
    <w:tmpl w:val="B4D2589C"/>
    <w:lvl w:ilvl="0">
      <w:start w:val="1"/>
      <w:numFmt w:val="bullet"/>
      <w:pStyle w:val="QA1-Bullet-1st-Clear"/>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50"/>
        </w:tabs>
        <w:ind w:left="450" w:hanging="360"/>
      </w:pPr>
      <w:rPr>
        <w:rFonts w:ascii="Symbol" w:hAnsi="Symbol" w:hint="default"/>
        <w:color w:val="000000" w:themeColor="text1"/>
        <w:sz w:val="16"/>
      </w:rPr>
    </w:lvl>
    <w:lvl w:ilvl="2">
      <w:start w:val="1"/>
      <w:numFmt w:val="bullet"/>
      <w:lvlText w:val=""/>
      <w:lvlJc w:val="left"/>
      <w:pPr>
        <w:tabs>
          <w:tab w:val="num" w:pos="720"/>
        </w:tabs>
        <w:ind w:left="720" w:hanging="360"/>
      </w:pPr>
      <w:rPr>
        <w:rFonts w:ascii="Symbol" w:hAnsi="Symbol" w:hint="default"/>
        <w:color w:val="808080"/>
        <w:sz w:val="16"/>
      </w:rPr>
    </w:lvl>
    <w:lvl w:ilvl="3">
      <w:start w:val="1"/>
      <w:numFmt w:val="bullet"/>
      <w:lvlText w:val=""/>
      <w:lvlJc w:val="left"/>
      <w:pPr>
        <w:tabs>
          <w:tab w:val="num" w:pos="540"/>
        </w:tabs>
        <w:ind w:left="540" w:hanging="360"/>
      </w:pPr>
      <w:rPr>
        <w:rFonts w:ascii="Arial" w:hAnsi="Arial" w:hint="default"/>
      </w:rPr>
    </w:lvl>
    <w:lvl w:ilvl="4">
      <w:start w:val="1"/>
      <w:numFmt w:val="bullet"/>
      <w:lvlText w:val=""/>
      <w:lvlJc w:val="left"/>
      <w:pPr>
        <w:tabs>
          <w:tab w:val="num" w:pos="1620"/>
        </w:tabs>
        <w:ind w:left="1620" w:hanging="360"/>
      </w:pPr>
      <w:rPr>
        <w:rFonts w:ascii="Symbol" w:hAnsi="Symbol" w:hint="default"/>
        <w:color w:val="808080"/>
        <w:sz w:val="16"/>
      </w:rPr>
    </w:lvl>
    <w:lvl w:ilvl="5">
      <w:start w:val="1"/>
      <w:numFmt w:val="bullet"/>
      <w:lvlText w:val=""/>
      <w:lvlJc w:val="left"/>
      <w:pPr>
        <w:tabs>
          <w:tab w:val="num" w:pos="1980"/>
        </w:tabs>
        <w:ind w:left="1980" w:hanging="360"/>
      </w:pPr>
      <w:rPr>
        <w:rFonts w:ascii="Wingdings" w:hAnsi="Wingdings" w:hint="default"/>
      </w:rPr>
    </w:lvl>
    <w:lvl w:ilvl="6">
      <w:start w:val="1"/>
      <w:numFmt w:val="bullet"/>
      <w:lvlText w:val=""/>
      <w:lvlJc w:val="left"/>
      <w:pPr>
        <w:tabs>
          <w:tab w:val="num" w:pos="2340"/>
        </w:tabs>
        <w:ind w:left="2340" w:hanging="360"/>
      </w:pPr>
      <w:rPr>
        <w:rFonts w:ascii="Wingdings" w:hAnsi="Wingdings" w:hint="default"/>
      </w:rPr>
    </w:lvl>
    <w:lvl w:ilvl="7">
      <w:start w:val="1"/>
      <w:numFmt w:val="bullet"/>
      <w:lvlText w:val=""/>
      <w:lvlJc w:val="left"/>
      <w:pPr>
        <w:tabs>
          <w:tab w:val="num" w:pos="2700"/>
        </w:tabs>
        <w:ind w:left="2700" w:hanging="360"/>
      </w:pPr>
      <w:rPr>
        <w:rFonts w:ascii="Symbol" w:hAnsi="Symbol" w:hint="default"/>
      </w:rPr>
    </w:lvl>
    <w:lvl w:ilvl="8">
      <w:start w:val="1"/>
      <w:numFmt w:val="bullet"/>
      <w:lvlText w:val=""/>
      <w:lvlJc w:val="left"/>
      <w:pPr>
        <w:tabs>
          <w:tab w:val="num" w:pos="3060"/>
        </w:tabs>
        <w:ind w:left="3060" w:hanging="360"/>
      </w:pPr>
      <w:rPr>
        <w:rFonts w:ascii="Symbol" w:hAnsi="Symbol" w:hint="default"/>
      </w:rPr>
    </w:lvl>
  </w:abstractNum>
  <w:num w:numId="1">
    <w:abstractNumId w:val="2"/>
  </w:num>
  <w:num w:numId="2">
    <w:abstractNumId w:val="4"/>
  </w:num>
  <w:num w:numId="3">
    <w:abstractNumId w:val="0"/>
  </w:num>
  <w:num w:numId="4">
    <w:abstractNumId w:val="5"/>
  </w:num>
  <w:num w:numId="5">
    <w:abstractNumId w:val="7"/>
  </w:num>
  <w:num w:numId="6">
    <w:abstractNumId w:val="1"/>
  </w:num>
  <w:num w:numId="7">
    <w:abstractNumId w:val="6"/>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doNotDisplayPageBoundarie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E9"/>
    <w:rsid w:val="000001AA"/>
    <w:rsid w:val="000009AD"/>
    <w:rsid w:val="000009CE"/>
    <w:rsid w:val="00000BEC"/>
    <w:rsid w:val="00000C78"/>
    <w:rsid w:val="00000CF0"/>
    <w:rsid w:val="00000D48"/>
    <w:rsid w:val="00001817"/>
    <w:rsid w:val="00001EF4"/>
    <w:rsid w:val="00002310"/>
    <w:rsid w:val="0000265D"/>
    <w:rsid w:val="000029E9"/>
    <w:rsid w:val="000036E3"/>
    <w:rsid w:val="000038AB"/>
    <w:rsid w:val="00003F79"/>
    <w:rsid w:val="000046CC"/>
    <w:rsid w:val="00004702"/>
    <w:rsid w:val="000048BC"/>
    <w:rsid w:val="000057C1"/>
    <w:rsid w:val="0000599F"/>
    <w:rsid w:val="00005E38"/>
    <w:rsid w:val="00006B7B"/>
    <w:rsid w:val="00007181"/>
    <w:rsid w:val="0001037D"/>
    <w:rsid w:val="00010E65"/>
    <w:rsid w:val="00010EF6"/>
    <w:rsid w:val="00010EFA"/>
    <w:rsid w:val="0001150F"/>
    <w:rsid w:val="0001152C"/>
    <w:rsid w:val="0001185A"/>
    <w:rsid w:val="00011AEF"/>
    <w:rsid w:val="00012B1F"/>
    <w:rsid w:val="000138EB"/>
    <w:rsid w:val="000139B5"/>
    <w:rsid w:val="00013BB0"/>
    <w:rsid w:val="00013E39"/>
    <w:rsid w:val="00013EA6"/>
    <w:rsid w:val="00014512"/>
    <w:rsid w:val="000145DA"/>
    <w:rsid w:val="000152E7"/>
    <w:rsid w:val="00015BC1"/>
    <w:rsid w:val="0001608E"/>
    <w:rsid w:val="00016177"/>
    <w:rsid w:val="00016298"/>
    <w:rsid w:val="00016A51"/>
    <w:rsid w:val="00017619"/>
    <w:rsid w:val="00017624"/>
    <w:rsid w:val="00020147"/>
    <w:rsid w:val="0002098F"/>
    <w:rsid w:val="000209FE"/>
    <w:rsid w:val="00020EE2"/>
    <w:rsid w:val="00021289"/>
    <w:rsid w:val="0002227F"/>
    <w:rsid w:val="00022360"/>
    <w:rsid w:val="000223B2"/>
    <w:rsid w:val="00023555"/>
    <w:rsid w:val="000238FA"/>
    <w:rsid w:val="00023E74"/>
    <w:rsid w:val="000243F0"/>
    <w:rsid w:val="00024A62"/>
    <w:rsid w:val="00024AC7"/>
    <w:rsid w:val="00025957"/>
    <w:rsid w:val="00025BA7"/>
    <w:rsid w:val="00025ECA"/>
    <w:rsid w:val="000270C6"/>
    <w:rsid w:val="00030419"/>
    <w:rsid w:val="0003069C"/>
    <w:rsid w:val="00030EE2"/>
    <w:rsid w:val="00030F0B"/>
    <w:rsid w:val="000314AD"/>
    <w:rsid w:val="000314D4"/>
    <w:rsid w:val="00031BA6"/>
    <w:rsid w:val="00031E52"/>
    <w:rsid w:val="00031FF1"/>
    <w:rsid w:val="00032756"/>
    <w:rsid w:val="0003277E"/>
    <w:rsid w:val="00032B7A"/>
    <w:rsid w:val="00032DEA"/>
    <w:rsid w:val="00032F33"/>
    <w:rsid w:val="00033409"/>
    <w:rsid w:val="00033412"/>
    <w:rsid w:val="00033574"/>
    <w:rsid w:val="00033990"/>
    <w:rsid w:val="00033BC4"/>
    <w:rsid w:val="00034084"/>
    <w:rsid w:val="000341DE"/>
    <w:rsid w:val="00034414"/>
    <w:rsid w:val="000346A9"/>
    <w:rsid w:val="000346B8"/>
    <w:rsid w:val="00034865"/>
    <w:rsid w:val="00034F95"/>
    <w:rsid w:val="00035AB9"/>
    <w:rsid w:val="00035E68"/>
    <w:rsid w:val="000366A1"/>
    <w:rsid w:val="000368E2"/>
    <w:rsid w:val="00036A2B"/>
    <w:rsid w:val="00036D8B"/>
    <w:rsid w:val="000370F6"/>
    <w:rsid w:val="000378FA"/>
    <w:rsid w:val="00037CBD"/>
    <w:rsid w:val="0004026C"/>
    <w:rsid w:val="000403BB"/>
    <w:rsid w:val="000407A5"/>
    <w:rsid w:val="00040802"/>
    <w:rsid w:val="00041C86"/>
    <w:rsid w:val="0004240D"/>
    <w:rsid w:val="000430CB"/>
    <w:rsid w:val="0004424A"/>
    <w:rsid w:val="00044659"/>
    <w:rsid w:val="00044773"/>
    <w:rsid w:val="00044B0F"/>
    <w:rsid w:val="00044D21"/>
    <w:rsid w:val="00044E4A"/>
    <w:rsid w:val="00044E7A"/>
    <w:rsid w:val="00044EE9"/>
    <w:rsid w:val="0004507D"/>
    <w:rsid w:val="000459E4"/>
    <w:rsid w:val="00046D73"/>
    <w:rsid w:val="00047024"/>
    <w:rsid w:val="00050B3D"/>
    <w:rsid w:val="00050EEC"/>
    <w:rsid w:val="00051155"/>
    <w:rsid w:val="00052042"/>
    <w:rsid w:val="00052501"/>
    <w:rsid w:val="00053814"/>
    <w:rsid w:val="0005470C"/>
    <w:rsid w:val="000555D7"/>
    <w:rsid w:val="00055ABC"/>
    <w:rsid w:val="00055C69"/>
    <w:rsid w:val="00055EAA"/>
    <w:rsid w:val="00056264"/>
    <w:rsid w:val="00056BB6"/>
    <w:rsid w:val="00057025"/>
    <w:rsid w:val="00057381"/>
    <w:rsid w:val="000574CB"/>
    <w:rsid w:val="0005777D"/>
    <w:rsid w:val="00057816"/>
    <w:rsid w:val="00057B46"/>
    <w:rsid w:val="000601AD"/>
    <w:rsid w:val="000605FD"/>
    <w:rsid w:val="00060E93"/>
    <w:rsid w:val="00061559"/>
    <w:rsid w:val="0006242B"/>
    <w:rsid w:val="000625E9"/>
    <w:rsid w:val="00062A32"/>
    <w:rsid w:val="00062C26"/>
    <w:rsid w:val="00062CEA"/>
    <w:rsid w:val="00063266"/>
    <w:rsid w:val="00063957"/>
    <w:rsid w:val="00063A5B"/>
    <w:rsid w:val="0006447B"/>
    <w:rsid w:val="00065DAD"/>
    <w:rsid w:val="00065E6A"/>
    <w:rsid w:val="00066105"/>
    <w:rsid w:val="000665F0"/>
    <w:rsid w:val="00066B00"/>
    <w:rsid w:val="00066B4B"/>
    <w:rsid w:val="00066C39"/>
    <w:rsid w:val="00066E53"/>
    <w:rsid w:val="00066EC9"/>
    <w:rsid w:val="0006734E"/>
    <w:rsid w:val="00070311"/>
    <w:rsid w:val="000703B7"/>
    <w:rsid w:val="0007073D"/>
    <w:rsid w:val="00070906"/>
    <w:rsid w:val="00071848"/>
    <w:rsid w:val="00071CA3"/>
    <w:rsid w:val="00072B36"/>
    <w:rsid w:val="00072D38"/>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2FFE"/>
    <w:rsid w:val="00083090"/>
    <w:rsid w:val="000832F9"/>
    <w:rsid w:val="00083894"/>
    <w:rsid w:val="00084379"/>
    <w:rsid w:val="0008447A"/>
    <w:rsid w:val="00084CBC"/>
    <w:rsid w:val="00085354"/>
    <w:rsid w:val="00085810"/>
    <w:rsid w:val="000866E0"/>
    <w:rsid w:val="00086F86"/>
    <w:rsid w:val="00087CB9"/>
    <w:rsid w:val="000903AC"/>
    <w:rsid w:val="00090852"/>
    <w:rsid w:val="00090BCB"/>
    <w:rsid w:val="00090C7C"/>
    <w:rsid w:val="00090CFB"/>
    <w:rsid w:val="0009111F"/>
    <w:rsid w:val="00091121"/>
    <w:rsid w:val="000913F0"/>
    <w:rsid w:val="00091710"/>
    <w:rsid w:val="00091C9D"/>
    <w:rsid w:val="00093487"/>
    <w:rsid w:val="00094F32"/>
    <w:rsid w:val="0009544A"/>
    <w:rsid w:val="000954C0"/>
    <w:rsid w:val="000959E5"/>
    <w:rsid w:val="00095A24"/>
    <w:rsid w:val="000976B8"/>
    <w:rsid w:val="0009777D"/>
    <w:rsid w:val="00097B4A"/>
    <w:rsid w:val="00097D20"/>
    <w:rsid w:val="00097F41"/>
    <w:rsid w:val="00097FCE"/>
    <w:rsid w:val="000A0456"/>
    <w:rsid w:val="000A053A"/>
    <w:rsid w:val="000A0B78"/>
    <w:rsid w:val="000A1361"/>
    <w:rsid w:val="000A1A16"/>
    <w:rsid w:val="000A1D88"/>
    <w:rsid w:val="000A2085"/>
    <w:rsid w:val="000A2356"/>
    <w:rsid w:val="000A2671"/>
    <w:rsid w:val="000A381B"/>
    <w:rsid w:val="000A3AE6"/>
    <w:rsid w:val="000A505A"/>
    <w:rsid w:val="000A5590"/>
    <w:rsid w:val="000A67E7"/>
    <w:rsid w:val="000A68CB"/>
    <w:rsid w:val="000A6918"/>
    <w:rsid w:val="000A6B8C"/>
    <w:rsid w:val="000A778B"/>
    <w:rsid w:val="000A77DA"/>
    <w:rsid w:val="000A78AC"/>
    <w:rsid w:val="000B0B29"/>
    <w:rsid w:val="000B1EE6"/>
    <w:rsid w:val="000B20CF"/>
    <w:rsid w:val="000B2AE2"/>
    <w:rsid w:val="000B33BD"/>
    <w:rsid w:val="000B3497"/>
    <w:rsid w:val="000B3C08"/>
    <w:rsid w:val="000B3C30"/>
    <w:rsid w:val="000B442C"/>
    <w:rsid w:val="000B4A03"/>
    <w:rsid w:val="000B4CB8"/>
    <w:rsid w:val="000B4CC5"/>
    <w:rsid w:val="000B5615"/>
    <w:rsid w:val="000B5CF8"/>
    <w:rsid w:val="000B7D22"/>
    <w:rsid w:val="000C06F5"/>
    <w:rsid w:val="000C0B9E"/>
    <w:rsid w:val="000C0DDC"/>
    <w:rsid w:val="000C1699"/>
    <w:rsid w:val="000C1966"/>
    <w:rsid w:val="000C1AC5"/>
    <w:rsid w:val="000C1E48"/>
    <w:rsid w:val="000C2BC0"/>
    <w:rsid w:val="000C2F8C"/>
    <w:rsid w:val="000C36E1"/>
    <w:rsid w:val="000C3A24"/>
    <w:rsid w:val="000C3C38"/>
    <w:rsid w:val="000C3CD2"/>
    <w:rsid w:val="000C3D93"/>
    <w:rsid w:val="000C41DE"/>
    <w:rsid w:val="000C46BA"/>
    <w:rsid w:val="000C627C"/>
    <w:rsid w:val="000C63BC"/>
    <w:rsid w:val="000C6BEC"/>
    <w:rsid w:val="000C7151"/>
    <w:rsid w:val="000C744F"/>
    <w:rsid w:val="000C75C2"/>
    <w:rsid w:val="000C772F"/>
    <w:rsid w:val="000D0706"/>
    <w:rsid w:val="000D0E02"/>
    <w:rsid w:val="000D19DD"/>
    <w:rsid w:val="000D1DDA"/>
    <w:rsid w:val="000D2521"/>
    <w:rsid w:val="000D4493"/>
    <w:rsid w:val="000D4587"/>
    <w:rsid w:val="000D584D"/>
    <w:rsid w:val="000D66BE"/>
    <w:rsid w:val="000D6778"/>
    <w:rsid w:val="000D6B1E"/>
    <w:rsid w:val="000D6DF8"/>
    <w:rsid w:val="000D6E39"/>
    <w:rsid w:val="000D7811"/>
    <w:rsid w:val="000D78F7"/>
    <w:rsid w:val="000D7979"/>
    <w:rsid w:val="000D7D48"/>
    <w:rsid w:val="000E025E"/>
    <w:rsid w:val="000E02CF"/>
    <w:rsid w:val="000E0603"/>
    <w:rsid w:val="000E066F"/>
    <w:rsid w:val="000E0F0A"/>
    <w:rsid w:val="000E10CD"/>
    <w:rsid w:val="000E16F8"/>
    <w:rsid w:val="000E1AE0"/>
    <w:rsid w:val="000E26D5"/>
    <w:rsid w:val="000E2A63"/>
    <w:rsid w:val="000E2CAE"/>
    <w:rsid w:val="000E328E"/>
    <w:rsid w:val="000E3F10"/>
    <w:rsid w:val="000E4053"/>
    <w:rsid w:val="000E40E0"/>
    <w:rsid w:val="000E4408"/>
    <w:rsid w:val="000E5379"/>
    <w:rsid w:val="000E624D"/>
    <w:rsid w:val="000E6D0D"/>
    <w:rsid w:val="000E6EAA"/>
    <w:rsid w:val="000E7712"/>
    <w:rsid w:val="000F03F7"/>
    <w:rsid w:val="000F0F70"/>
    <w:rsid w:val="000F1CE4"/>
    <w:rsid w:val="000F2042"/>
    <w:rsid w:val="000F2273"/>
    <w:rsid w:val="000F2933"/>
    <w:rsid w:val="000F2B05"/>
    <w:rsid w:val="000F2FEA"/>
    <w:rsid w:val="000F346D"/>
    <w:rsid w:val="000F383E"/>
    <w:rsid w:val="000F41A5"/>
    <w:rsid w:val="000F484E"/>
    <w:rsid w:val="000F59EF"/>
    <w:rsid w:val="000F5B11"/>
    <w:rsid w:val="000F5B30"/>
    <w:rsid w:val="000F65BC"/>
    <w:rsid w:val="000F67F5"/>
    <w:rsid w:val="000F6837"/>
    <w:rsid w:val="00100269"/>
    <w:rsid w:val="00100F59"/>
    <w:rsid w:val="00101242"/>
    <w:rsid w:val="00101735"/>
    <w:rsid w:val="001022AC"/>
    <w:rsid w:val="0010236F"/>
    <w:rsid w:val="0010313A"/>
    <w:rsid w:val="001031FE"/>
    <w:rsid w:val="0010360F"/>
    <w:rsid w:val="001049FC"/>
    <w:rsid w:val="00105EB9"/>
    <w:rsid w:val="00106029"/>
    <w:rsid w:val="00107994"/>
    <w:rsid w:val="00107CA6"/>
    <w:rsid w:val="00110702"/>
    <w:rsid w:val="00110FB5"/>
    <w:rsid w:val="0011100D"/>
    <w:rsid w:val="00111BC6"/>
    <w:rsid w:val="00111E05"/>
    <w:rsid w:val="00111F2F"/>
    <w:rsid w:val="00112141"/>
    <w:rsid w:val="00112783"/>
    <w:rsid w:val="00112808"/>
    <w:rsid w:val="001136B8"/>
    <w:rsid w:val="00113F78"/>
    <w:rsid w:val="0011448C"/>
    <w:rsid w:val="00114FED"/>
    <w:rsid w:val="00115A17"/>
    <w:rsid w:val="00115FD4"/>
    <w:rsid w:val="0011636A"/>
    <w:rsid w:val="0011639D"/>
    <w:rsid w:val="0011667E"/>
    <w:rsid w:val="001170A5"/>
    <w:rsid w:val="001179E3"/>
    <w:rsid w:val="0012056F"/>
    <w:rsid w:val="00120784"/>
    <w:rsid w:val="0012084A"/>
    <w:rsid w:val="00120BAB"/>
    <w:rsid w:val="00120EF6"/>
    <w:rsid w:val="00121323"/>
    <w:rsid w:val="001214B2"/>
    <w:rsid w:val="001215D4"/>
    <w:rsid w:val="00121A07"/>
    <w:rsid w:val="00122485"/>
    <w:rsid w:val="001228D4"/>
    <w:rsid w:val="00123815"/>
    <w:rsid w:val="00123A5B"/>
    <w:rsid w:val="00124D39"/>
    <w:rsid w:val="00126151"/>
    <w:rsid w:val="001261E7"/>
    <w:rsid w:val="001262B3"/>
    <w:rsid w:val="0012670D"/>
    <w:rsid w:val="00126BB6"/>
    <w:rsid w:val="00126DED"/>
    <w:rsid w:val="00127993"/>
    <w:rsid w:val="001279AB"/>
    <w:rsid w:val="00127D26"/>
    <w:rsid w:val="001303EA"/>
    <w:rsid w:val="00130B44"/>
    <w:rsid w:val="00130DD5"/>
    <w:rsid w:val="00131B97"/>
    <w:rsid w:val="00131BA1"/>
    <w:rsid w:val="00132068"/>
    <w:rsid w:val="00132DF4"/>
    <w:rsid w:val="00133D62"/>
    <w:rsid w:val="0013469F"/>
    <w:rsid w:val="00135D6B"/>
    <w:rsid w:val="00136137"/>
    <w:rsid w:val="001375F9"/>
    <w:rsid w:val="00137C83"/>
    <w:rsid w:val="00137E23"/>
    <w:rsid w:val="00137F73"/>
    <w:rsid w:val="00140166"/>
    <w:rsid w:val="0014055C"/>
    <w:rsid w:val="001406B4"/>
    <w:rsid w:val="001410EB"/>
    <w:rsid w:val="001413D9"/>
    <w:rsid w:val="00141755"/>
    <w:rsid w:val="001423E9"/>
    <w:rsid w:val="00142542"/>
    <w:rsid w:val="001427D7"/>
    <w:rsid w:val="00142850"/>
    <w:rsid w:val="001436B0"/>
    <w:rsid w:val="00143DBB"/>
    <w:rsid w:val="00143EEF"/>
    <w:rsid w:val="0014456D"/>
    <w:rsid w:val="00144BC1"/>
    <w:rsid w:val="00144E1A"/>
    <w:rsid w:val="00144E31"/>
    <w:rsid w:val="0014511D"/>
    <w:rsid w:val="001457EA"/>
    <w:rsid w:val="00145A21"/>
    <w:rsid w:val="00147835"/>
    <w:rsid w:val="001478CF"/>
    <w:rsid w:val="00150193"/>
    <w:rsid w:val="00150D05"/>
    <w:rsid w:val="0015137D"/>
    <w:rsid w:val="00151563"/>
    <w:rsid w:val="00151D74"/>
    <w:rsid w:val="001521FA"/>
    <w:rsid w:val="0015257B"/>
    <w:rsid w:val="00152718"/>
    <w:rsid w:val="00152FBD"/>
    <w:rsid w:val="001532F3"/>
    <w:rsid w:val="00153395"/>
    <w:rsid w:val="00153A74"/>
    <w:rsid w:val="0015414E"/>
    <w:rsid w:val="001542F1"/>
    <w:rsid w:val="001549E0"/>
    <w:rsid w:val="00154BB1"/>
    <w:rsid w:val="0015541E"/>
    <w:rsid w:val="00155EBB"/>
    <w:rsid w:val="00156195"/>
    <w:rsid w:val="00156DF2"/>
    <w:rsid w:val="00156F5B"/>
    <w:rsid w:val="00157767"/>
    <w:rsid w:val="00157A97"/>
    <w:rsid w:val="00160340"/>
    <w:rsid w:val="00160D2D"/>
    <w:rsid w:val="00160D86"/>
    <w:rsid w:val="0016119F"/>
    <w:rsid w:val="001616A3"/>
    <w:rsid w:val="00161B7C"/>
    <w:rsid w:val="00161CF1"/>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BCD"/>
    <w:rsid w:val="00170347"/>
    <w:rsid w:val="001705B2"/>
    <w:rsid w:val="00170B7B"/>
    <w:rsid w:val="00170BE7"/>
    <w:rsid w:val="00171A92"/>
    <w:rsid w:val="00171AB4"/>
    <w:rsid w:val="00171C66"/>
    <w:rsid w:val="001729EB"/>
    <w:rsid w:val="001737D8"/>
    <w:rsid w:val="0017498A"/>
    <w:rsid w:val="00175428"/>
    <w:rsid w:val="00175464"/>
    <w:rsid w:val="00175A11"/>
    <w:rsid w:val="00176343"/>
    <w:rsid w:val="00176DD7"/>
    <w:rsid w:val="0017738D"/>
    <w:rsid w:val="00177766"/>
    <w:rsid w:val="0017790C"/>
    <w:rsid w:val="00177AA7"/>
    <w:rsid w:val="00177F98"/>
    <w:rsid w:val="00180DD5"/>
    <w:rsid w:val="00180F0F"/>
    <w:rsid w:val="00180FDB"/>
    <w:rsid w:val="001818ED"/>
    <w:rsid w:val="0018193E"/>
    <w:rsid w:val="00181C5A"/>
    <w:rsid w:val="00183B0F"/>
    <w:rsid w:val="00183F2F"/>
    <w:rsid w:val="001840E8"/>
    <w:rsid w:val="00184748"/>
    <w:rsid w:val="001847DD"/>
    <w:rsid w:val="00184CC5"/>
    <w:rsid w:val="00185C6D"/>
    <w:rsid w:val="00185F6B"/>
    <w:rsid w:val="001872B5"/>
    <w:rsid w:val="00187E21"/>
    <w:rsid w:val="00190155"/>
    <w:rsid w:val="0019052C"/>
    <w:rsid w:val="00190B42"/>
    <w:rsid w:val="00190C4B"/>
    <w:rsid w:val="00191809"/>
    <w:rsid w:val="00192104"/>
    <w:rsid w:val="00192397"/>
    <w:rsid w:val="0019315A"/>
    <w:rsid w:val="001931AA"/>
    <w:rsid w:val="0019328B"/>
    <w:rsid w:val="001949D1"/>
    <w:rsid w:val="0019514A"/>
    <w:rsid w:val="00195500"/>
    <w:rsid w:val="00195D3E"/>
    <w:rsid w:val="00195F7B"/>
    <w:rsid w:val="0019618E"/>
    <w:rsid w:val="001968AC"/>
    <w:rsid w:val="00197A16"/>
    <w:rsid w:val="001A03CC"/>
    <w:rsid w:val="001A09A1"/>
    <w:rsid w:val="001A0CB0"/>
    <w:rsid w:val="001A10DB"/>
    <w:rsid w:val="001A145F"/>
    <w:rsid w:val="001A1AEF"/>
    <w:rsid w:val="001A2156"/>
    <w:rsid w:val="001A21C4"/>
    <w:rsid w:val="001A2423"/>
    <w:rsid w:val="001A29A7"/>
    <w:rsid w:val="001A31C6"/>
    <w:rsid w:val="001A398E"/>
    <w:rsid w:val="001A3FB9"/>
    <w:rsid w:val="001A4088"/>
    <w:rsid w:val="001A4568"/>
    <w:rsid w:val="001A46F5"/>
    <w:rsid w:val="001A490E"/>
    <w:rsid w:val="001A4B8E"/>
    <w:rsid w:val="001A58DF"/>
    <w:rsid w:val="001A5BBC"/>
    <w:rsid w:val="001A6290"/>
    <w:rsid w:val="001A6E6B"/>
    <w:rsid w:val="001A751B"/>
    <w:rsid w:val="001A7B26"/>
    <w:rsid w:val="001A7DE2"/>
    <w:rsid w:val="001B0391"/>
    <w:rsid w:val="001B091F"/>
    <w:rsid w:val="001B0DE0"/>
    <w:rsid w:val="001B1352"/>
    <w:rsid w:val="001B1513"/>
    <w:rsid w:val="001B1AD3"/>
    <w:rsid w:val="001B2B30"/>
    <w:rsid w:val="001B2EE4"/>
    <w:rsid w:val="001B2EED"/>
    <w:rsid w:val="001B2F0A"/>
    <w:rsid w:val="001B360A"/>
    <w:rsid w:val="001B400D"/>
    <w:rsid w:val="001B4031"/>
    <w:rsid w:val="001B5FF8"/>
    <w:rsid w:val="001B6575"/>
    <w:rsid w:val="001B6FA5"/>
    <w:rsid w:val="001B7B24"/>
    <w:rsid w:val="001C04E5"/>
    <w:rsid w:val="001C076A"/>
    <w:rsid w:val="001C0C20"/>
    <w:rsid w:val="001C0E47"/>
    <w:rsid w:val="001C10FD"/>
    <w:rsid w:val="001C16CF"/>
    <w:rsid w:val="001C16EC"/>
    <w:rsid w:val="001C186B"/>
    <w:rsid w:val="001C21A9"/>
    <w:rsid w:val="001C267F"/>
    <w:rsid w:val="001C437D"/>
    <w:rsid w:val="001C458D"/>
    <w:rsid w:val="001C4621"/>
    <w:rsid w:val="001C4907"/>
    <w:rsid w:val="001C4A87"/>
    <w:rsid w:val="001C525A"/>
    <w:rsid w:val="001C5443"/>
    <w:rsid w:val="001C5786"/>
    <w:rsid w:val="001C5BE1"/>
    <w:rsid w:val="001C5DFB"/>
    <w:rsid w:val="001C6304"/>
    <w:rsid w:val="001C6BD2"/>
    <w:rsid w:val="001C6BFF"/>
    <w:rsid w:val="001C7B5B"/>
    <w:rsid w:val="001C7BB7"/>
    <w:rsid w:val="001C7F78"/>
    <w:rsid w:val="001D0071"/>
    <w:rsid w:val="001D0226"/>
    <w:rsid w:val="001D0C17"/>
    <w:rsid w:val="001D1CA7"/>
    <w:rsid w:val="001D1E65"/>
    <w:rsid w:val="001D2155"/>
    <w:rsid w:val="001D269F"/>
    <w:rsid w:val="001D3A35"/>
    <w:rsid w:val="001D3EDE"/>
    <w:rsid w:val="001D3F51"/>
    <w:rsid w:val="001D476F"/>
    <w:rsid w:val="001D5829"/>
    <w:rsid w:val="001D5B15"/>
    <w:rsid w:val="001D7AAA"/>
    <w:rsid w:val="001D7E4C"/>
    <w:rsid w:val="001E01BC"/>
    <w:rsid w:val="001E0219"/>
    <w:rsid w:val="001E02B0"/>
    <w:rsid w:val="001E0D30"/>
    <w:rsid w:val="001E11B3"/>
    <w:rsid w:val="001E13A3"/>
    <w:rsid w:val="001E1944"/>
    <w:rsid w:val="001E1A7B"/>
    <w:rsid w:val="001E1EB6"/>
    <w:rsid w:val="001E1F8A"/>
    <w:rsid w:val="001E2211"/>
    <w:rsid w:val="001E2751"/>
    <w:rsid w:val="001E2B01"/>
    <w:rsid w:val="001E2BC9"/>
    <w:rsid w:val="001E32CA"/>
    <w:rsid w:val="001E41B0"/>
    <w:rsid w:val="001E4D69"/>
    <w:rsid w:val="001E50E1"/>
    <w:rsid w:val="001E5239"/>
    <w:rsid w:val="001E5309"/>
    <w:rsid w:val="001E5EA1"/>
    <w:rsid w:val="001E6577"/>
    <w:rsid w:val="001E6A24"/>
    <w:rsid w:val="001E70C7"/>
    <w:rsid w:val="001E7684"/>
    <w:rsid w:val="001E77B6"/>
    <w:rsid w:val="001F07B4"/>
    <w:rsid w:val="001F0829"/>
    <w:rsid w:val="001F096A"/>
    <w:rsid w:val="001F0E82"/>
    <w:rsid w:val="001F1A0D"/>
    <w:rsid w:val="001F1EB0"/>
    <w:rsid w:val="001F2391"/>
    <w:rsid w:val="001F242B"/>
    <w:rsid w:val="001F27E5"/>
    <w:rsid w:val="001F2990"/>
    <w:rsid w:val="001F35A2"/>
    <w:rsid w:val="001F3AEF"/>
    <w:rsid w:val="001F405F"/>
    <w:rsid w:val="001F4335"/>
    <w:rsid w:val="001F43C0"/>
    <w:rsid w:val="001F4769"/>
    <w:rsid w:val="001F4A35"/>
    <w:rsid w:val="001F4E0D"/>
    <w:rsid w:val="001F4E4B"/>
    <w:rsid w:val="001F54B8"/>
    <w:rsid w:val="001F58E5"/>
    <w:rsid w:val="001F59B4"/>
    <w:rsid w:val="001F60BC"/>
    <w:rsid w:val="001F6890"/>
    <w:rsid w:val="001F68BC"/>
    <w:rsid w:val="001F6AC8"/>
    <w:rsid w:val="001F7B56"/>
    <w:rsid w:val="001F7F3A"/>
    <w:rsid w:val="0020000E"/>
    <w:rsid w:val="00200C09"/>
    <w:rsid w:val="0020125F"/>
    <w:rsid w:val="00201DAE"/>
    <w:rsid w:val="00202114"/>
    <w:rsid w:val="002028E4"/>
    <w:rsid w:val="00202BFE"/>
    <w:rsid w:val="002034C2"/>
    <w:rsid w:val="00203524"/>
    <w:rsid w:val="00203B9A"/>
    <w:rsid w:val="00203E6F"/>
    <w:rsid w:val="002052A1"/>
    <w:rsid w:val="00205E56"/>
    <w:rsid w:val="002063EE"/>
    <w:rsid w:val="0020682B"/>
    <w:rsid w:val="0020692C"/>
    <w:rsid w:val="00206BE0"/>
    <w:rsid w:val="00206EB7"/>
    <w:rsid w:val="00207482"/>
    <w:rsid w:val="002078DF"/>
    <w:rsid w:val="00207CF3"/>
    <w:rsid w:val="00210463"/>
    <w:rsid w:val="00210B1C"/>
    <w:rsid w:val="00210D12"/>
    <w:rsid w:val="0021108D"/>
    <w:rsid w:val="00211D32"/>
    <w:rsid w:val="0021267B"/>
    <w:rsid w:val="00212D58"/>
    <w:rsid w:val="002131A4"/>
    <w:rsid w:val="0021341B"/>
    <w:rsid w:val="00213A3B"/>
    <w:rsid w:val="00213A8A"/>
    <w:rsid w:val="002147BD"/>
    <w:rsid w:val="00214CFB"/>
    <w:rsid w:val="00214F9F"/>
    <w:rsid w:val="00215286"/>
    <w:rsid w:val="002159CE"/>
    <w:rsid w:val="00215BCB"/>
    <w:rsid w:val="00216582"/>
    <w:rsid w:val="00216AD0"/>
    <w:rsid w:val="00216AFF"/>
    <w:rsid w:val="00216D83"/>
    <w:rsid w:val="002176E7"/>
    <w:rsid w:val="00220CAC"/>
    <w:rsid w:val="002215A6"/>
    <w:rsid w:val="00221A2E"/>
    <w:rsid w:val="00222B1F"/>
    <w:rsid w:val="00223729"/>
    <w:rsid w:val="00223BE5"/>
    <w:rsid w:val="00224F54"/>
    <w:rsid w:val="00224FF8"/>
    <w:rsid w:val="00225428"/>
    <w:rsid w:val="00225C35"/>
    <w:rsid w:val="0022617E"/>
    <w:rsid w:val="00226F3D"/>
    <w:rsid w:val="00227241"/>
    <w:rsid w:val="0022776C"/>
    <w:rsid w:val="00230093"/>
    <w:rsid w:val="0023012C"/>
    <w:rsid w:val="00230357"/>
    <w:rsid w:val="002308E0"/>
    <w:rsid w:val="00232A0D"/>
    <w:rsid w:val="00233258"/>
    <w:rsid w:val="0023345C"/>
    <w:rsid w:val="00233513"/>
    <w:rsid w:val="0023358A"/>
    <w:rsid w:val="0023486D"/>
    <w:rsid w:val="0023562B"/>
    <w:rsid w:val="002367C5"/>
    <w:rsid w:val="002371CB"/>
    <w:rsid w:val="00237EDE"/>
    <w:rsid w:val="002400E2"/>
    <w:rsid w:val="00240E94"/>
    <w:rsid w:val="00240F9D"/>
    <w:rsid w:val="00241228"/>
    <w:rsid w:val="00241657"/>
    <w:rsid w:val="0024184D"/>
    <w:rsid w:val="00241D35"/>
    <w:rsid w:val="00242034"/>
    <w:rsid w:val="002421D3"/>
    <w:rsid w:val="002422D7"/>
    <w:rsid w:val="00242B67"/>
    <w:rsid w:val="002441DE"/>
    <w:rsid w:val="002445FB"/>
    <w:rsid w:val="00244948"/>
    <w:rsid w:val="002449A5"/>
    <w:rsid w:val="00245DCF"/>
    <w:rsid w:val="0024655C"/>
    <w:rsid w:val="00246AB8"/>
    <w:rsid w:val="002501ED"/>
    <w:rsid w:val="002509AF"/>
    <w:rsid w:val="00250B77"/>
    <w:rsid w:val="00250CA1"/>
    <w:rsid w:val="00250D5B"/>
    <w:rsid w:val="0025113B"/>
    <w:rsid w:val="00251176"/>
    <w:rsid w:val="00251597"/>
    <w:rsid w:val="00252201"/>
    <w:rsid w:val="00252AB5"/>
    <w:rsid w:val="00252AF9"/>
    <w:rsid w:val="00252D76"/>
    <w:rsid w:val="00252F9C"/>
    <w:rsid w:val="002532E5"/>
    <w:rsid w:val="002543DD"/>
    <w:rsid w:val="0025556C"/>
    <w:rsid w:val="00255667"/>
    <w:rsid w:val="00256EFF"/>
    <w:rsid w:val="00257056"/>
    <w:rsid w:val="00257193"/>
    <w:rsid w:val="00257FBE"/>
    <w:rsid w:val="002602F0"/>
    <w:rsid w:val="00260BC3"/>
    <w:rsid w:val="0026130C"/>
    <w:rsid w:val="002618DB"/>
    <w:rsid w:val="00262BB1"/>
    <w:rsid w:val="00262E16"/>
    <w:rsid w:val="00263095"/>
    <w:rsid w:val="00263635"/>
    <w:rsid w:val="00263CC4"/>
    <w:rsid w:val="002645E7"/>
    <w:rsid w:val="00264711"/>
    <w:rsid w:val="002651E6"/>
    <w:rsid w:val="00265EC8"/>
    <w:rsid w:val="002660F8"/>
    <w:rsid w:val="00266BBB"/>
    <w:rsid w:val="00266C36"/>
    <w:rsid w:val="0026708F"/>
    <w:rsid w:val="002670A9"/>
    <w:rsid w:val="00267368"/>
    <w:rsid w:val="00267991"/>
    <w:rsid w:val="00267997"/>
    <w:rsid w:val="00267D9B"/>
    <w:rsid w:val="00271904"/>
    <w:rsid w:val="0027286F"/>
    <w:rsid w:val="0027295C"/>
    <w:rsid w:val="00272990"/>
    <w:rsid w:val="0027337C"/>
    <w:rsid w:val="00273BC7"/>
    <w:rsid w:val="00273EF1"/>
    <w:rsid w:val="002740F5"/>
    <w:rsid w:val="00274794"/>
    <w:rsid w:val="00274920"/>
    <w:rsid w:val="0027555C"/>
    <w:rsid w:val="00275B6F"/>
    <w:rsid w:val="002760EE"/>
    <w:rsid w:val="00276347"/>
    <w:rsid w:val="0027664C"/>
    <w:rsid w:val="0027702C"/>
    <w:rsid w:val="00277285"/>
    <w:rsid w:val="00277397"/>
    <w:rsid w:val="00280494"/>
    <w:rsid w:val="0028053D"/>
    <w:rsid w:val="00280787"/>
    <w:rsid w:val="00280BE3"/>
    <w:rsid w:val="002812FA"/>
    <w:rsid w:val="00281492"/>
    <w:rsid w:val="00282A71"/>
    <w:rsid w:val="00282E42"/>
    <w:rsid w:val="0028398B"/>
    <w:rsid w:val="00283D40"/>
    <w:rsid w:val="00284120"/>
    <w:rsid w:val="00284372"/>
    <w:rsid w:val="0028470C"/>
    <w:rsid w:val="00284B16"/>
    <w:rsid w:val="00285167"/>
    <w:rsid w:val="002851AC"/>
    <w:rsid w:val="002856BC"/>
    <w:rsid w:val="00286555"/>
    <w:rsid w:val="00287C0A"/>
    <w:rsid w:val="00290263"/>
    <w:rsid w:val="002903C9"/>
    <w:rsid w:val="0029094C"/>
    <w:rsid w:val="00290C1E"/>
    <w:rsid w:val="00290F5C"/>
    <w:rsid w:val="002910CD"/>
    <w:rsid w:val="00291DB1"/>
    <w:rsid w:val="00291FDA"/>
    <w:rsid w:val="0029234C"/>
    <w:rsid w:val="00292462"/>
    <w:rsid w:val="002925FA"/>
    <w:rsid w:val="0029295E"/>
    <w:rsid w:val="0029301C"/>
    <w:rsid w:val="002936E3"/>
    <w:rsid w:val="002937B7"/>
    <w:rsid w:val="00294857"/>
    <w:rsid w:val="00295586"/>
    <w:rsid w:val="002959D3"/>
    <w:rsid w:val="00296337"/>
    <w:rsid w:val="00296586"/>
    <w:rsid w:val="0029677C"/>
    <w:rsid w:val="00296A00"/>
    <w:rsid w:val="00296D70"/>
    <w:rsid w:val="00296E9C"/>
    <w:rsid w:val="00297045"/>
    <w:rsid w:val="00297048"/>
    <w:rsid w:val="00297BF7"/>
    <w:rsid w:val="002A0188"/>
    <w:rsid w:val="002A0B48"/>
    <w:rsid w:val="002A0FBC"/>
    <w:rsid w:val="002A0FDD"/>
    <w:rsid w:val="002A2042"/>
    <w:rsid w:val="002A2323"/>
    <w:rsid w:val="002A244B"/>
    <w:rsid w:val="002A27F4"/>
    <w:rsid w:val="002A415C"/>
    <w:rsid w:val="002A515E"/>
    <w:rsid w:val="002A5271"/>
    <w:rsid w:val="002A572E"/>
    <w:rsid w:val="002A57D6"/>
    <w:rsid w:val="002A58B2"/>
    <w:rsid w:val="002A6649"/>
    <w:rsid w:val="002A7139"/>
    <w:rsid w:val="002A717C"/>
    <w:rsid w:val="002A7F95"/>
    <w:rsid w:val="002B04DE"/>
    <w:rsid w:val="002B0864"/>
    <w:rsid w:val="002B0A1D"/>
    <w:rsid w:val="002B0D25"/>
    <w:rsid w:val="002B1882"/>
    <w:rsid w:val="002B1C2F"/>
    <w:rsid w:val="002B1E09"/>
    <w:rsid w:val="002B1E47"/>
    <w:rsid w:val="002B2779"/>
    <w:rsid w:val="002B2931"/>
    <w:rsid w:val="002B2F4F"/>
    <w:rsid w:val="002B368D"/>
    <w:rsid w:val="002B3B76"/>
    <w:rsid w:val="002B3B98"/>
    <w:rsid w:val="002B3FA3"/>
    <w:rsid w:val="002B4324"/>
    <w:rsid w:val="002B435A"/>
    <w:rsid w:val="002B4570"/>
    <w:rsid w:val="002B4663"/>
    <w:rsid w:val="002B482C"/>
    <w:rsid w:val="002B5013"/>
    <w:rsid w:val="002B5F30"/>
    <w:rsid w:val="002B6068"/>
    <w:rsid w:val="002B60BC"/>
    <w:rsid w:val="002B66FB"/>
    <w:rsid w:val="002B6C9F"/>
    <w:rsid w:val="002B6D69"/>
    <w:rsid w:val="002B6FC1"/>
    <w:rsid w:val="002B76E5"/>
    <w:rsid w:val="002B7D6A"/>
    <w:rsid w:val="002C0AD0"/>
    <w:rsid w:val="002C0B11"/>
    <w:rsid w:val="002C0D11"/>
    <w:rsid w:val="002C10A9"/>
    <w:rsid w:val="002C1C46"/>
    <w:rsid w:val="002C3A21"/>
    <w:rsid w:val="002C3C90"/>
    <w:rsid w:val="002C3E0A"/>
    <w:rsid w:val="002C4A3E"/>
    <w:rsid w:val="002C59C6"/>
    <w:rsid w:val="002C6F3C"/>
    <w:rsid w:val="002C79D9"/>
    <w:rsid w:val="002C7BAF"/>
    <w:rsid w:val="002C7BF5"/>
    <w:rsid w:val="002C7FEB"/>
    <w:rsid w:val="002D0446"/>
    <w:rsid w:val="002D17C0"/>
    <w:rsid w:val="002D1BA3"/>
    <w:rsid w:val="002D24F9"/>
    <w:rsid w:val="002D25D2"/>
    <w:rsid w:val="002D304B"/>
    <w:rsid w:val="002D462B"/>
    <w:rsid w:val="002D462D"/>
    <w:rsid w:val="002D4C5E"/>
    <w:rsid w:val="002D5A13"/>
    <w:rsid w:val="002D764C"/>
    <w:rsid w:val="002E0FD1"/>
    <w:rsid w:val="002E1477"/>
    <w:rsid w:val="002E177A"/>
    <w:rsid w:val="002E17A1"/>
    <w:rsid w:val="002E1A21"/>
    <w:rsid w:val="002E1A8F"/>
    <w:rsid w:val="002E1ED9"/>
    <w:rsid w:val="002E22C6"/>
    <w:rsid w:val="002E28FC"/>
    <w:rsid w:val="002E2EB6"/>
    <w:rsid w:val="002E308D"/>
    <w:rsid w:val="002E35F0"/>
    <w:rsid w:val="002E39FA"/>
    <w:rsid w:val="002E42F1"/>
    <w:rsid w:val="002E46BE"/>
    <w:rsid w:val="002E4926"/>
    <w:rsid w:val="002E5778"/>
    <w:rsid w:val="002E59AD"/>
    <w:rsid w:val="002E5CA4"/>
    <w:rsid w:val="002E5D3B"/>
    <w:rsid w:val="002E6031"/>
    <w:rsid w:val="002E6F31"/>
    <w:rsid w:val="002E7150"/>
    <w:rsid w:val="002E7388"/>
    <w:rsid w:val="002F06BD"/>
    <w:rsid w:val="002F0707"/>
    <w:rsid w:val="002F0726"/>
    <w:rsid w:val="002F08DC"/>
    <w:rsid w:val="002F0E55"/>
    <w:rsid w:val="002F131C"/>
    <w:rsid w:val="002F13BB"/>
    <w:rsid w:val="002F1507"/>
    <w:rsid w:val="002F1572"/>
    <w:rsid w:val="002F1F0E"/>
    <w:rsid w:val="002F21CA"/>
    <w:rsid w:val="002F2333"/>
    <w:rsid w:val="002F24A8"/>
    <w:rsid w:val="002F2A2D"/>
    <w:rsid w:val="002F36FD"/>
    <w:rsid w:val="002F3B34"/>
    <w:rsid w:val="002F3D64"/>
    <w:rsid w:val="002F3E9C"/>
    <w:rsid w:val="002F4199"/>
    <w:rsid w:val="002F566E"/>
    <w:rsid w:val="002F5894"/>
    <w:rsid w:val="002F6B1D"/>
    <w:rsid w:val="002F6C16"/>
    <w:rsid w:val="002F6DAB"/>
    <w:rsid w:val="002F6ED9"/>
    <w:rsid w:val="002F7190"/>
    <w:rsid w:val="002F757F"/>
    <w:rsid w:val="002F7819"/>
    <w:rsid w:val="002F7C66"/>
    <w:rsid w:val="00300007"/>
    <w:rsid w:val="0030054B"/>
    <w:rsid w:val="003014DB"/>
    <w:rsid w:val="0030157A"/>
    <w:rsid w:val="00301F3A"/>
    <w:rsid w:val="00301FDE"/>
    <w:rsid w:val="003020B8"/>
    <w:rsid w:val="003022D3"/>
    <w:rsid w:val="00302B7F"/>
    <w:rsid w:val="003035F7"/>
    <w:rsid w:val="00303884"/>
    <w:rsid w:val="003038EA"/>
    <w:rsid w:val="00304417"/>
    <w:rsid w:val="00304941"/>
    <w:rsid w:val="003052F6"/>
    <w:rsid w:val="0030549D"/>
    <w:rsid w:val="00305D78"/>
    <w:rsid w:val="00305F6B"/>
    <w:rsid w:val="003064C6"/>
    <w:rsid w:val="00306814"/>
    <w:rsid w:val="00306FF6"/>
    <w:rsid w:val="0030747A"/>
    <w:rsid w:val="003074E3"/>
    <w:rsid w:val="003124EC"/>
    <w:rsid w:val="00312912"/>
    <w:rsid w:val="00312CCC"/>
    <w:rsid w:val="003139BF"/>
    <w:rsid w:val="00314276"/>
    <w:rsid w:val="00315633"/>
    <w:rsid w:val="00315EE8"/>
    <w:rsid w:val="00315FBD"/>
    <w:rsid w:val="00316A2C"/>
    <w:rsid w:val="00317653"/>
    <w:rsid w:val="00317A48"/>
    <w:rsid w:val="00317D0B"/>
    <w:rsid w:val="00317DE0"/>
    <w:rsid w:val="00320495"/>
    <w:rsid w:val="0032096D"/>
    <w:rsid w:val="00320D64"/>
    <w:rsid w:val="00321242"/>
    <w:rsid w:val="0032196C"/>
    <w:rsid w:val="0032198E"/>
    <w:rsid w:val="003224C6"/>
    <w:rsid w:val="003239D1"/>
    <w:rsid w:val="00323C3C"/>
    <w:rsid w:val="00323CB0"/>
    <w:rsid w:val="003243FD"/>
    <w:rsid w:val="00324D15"/>
    <w:rsid w:val="00326231"/>
    <w:rsid w:val="0032645C"/>
    <w:rsid w:val="00326687"/>
    <w:rsid w:val="00327104"/>
    <w:rsid w:val="00327A64"/>
    <w:rsid w:val="00327DB0"/>
    <w:rsid w:val="00330FB1"/>
    <w:rsid w:val="00331927"/>
    <w:rsid w:val="00331983"/>
    <w:rsid w:val="003319EB"/>
    <w:rsid w:val="00331C20"/>
    <w:rsid w:val="00331E66"/>
    <w:rsid w:val="003320A1"/>
    <w:rsid w:val="003321D6"/>
    <w:rsid w:val="0033266A"/>
    <w:rsid w:val="00332AB7"/>
    <w:rsid w:val="003333AB"/>
    <w:rsid w:val="003333AF"/>
    <w:rsid w:val="0033359B"/>
    <w:rsid w:val="00333ABE"/>
    <w:rsid w:val="00333B22"/>
    <w:rsid w:val="00334C0F"/>
    <w:rsid w:val="00334E24"/>
    <w:rsid w:val="00334E79"/>
    <w:rsid w:val="00334FAD"/>
    <w:rsid w:val="003352D3"/>
    <w:rsid w:val="0033532C"/>
    <w:rsid w:val="00335590"/>
    <w:rsid w:val="00335F62"/>
    <w:rsid w:val="003360A5"/>
    <w:rsid w:val="00336C2C"/>
    <w:rsid w:val="00336D32"/>
    <w:rsid w:val="00337139"/>
    <w:rsid w:val="00337592"/>
    <w:rsid w:val="003377F9"/>
    <w:rsid w:val="00341118"/>
    <w:rsid w:val="00341297"/>
    <w:rsid w:val="003420C7"/>
    <w:rsid w:val="00342EEA"/>
    <w:rsid w:val="003436E8"/>
    <w:rsid w:val="003448DF"/>
    <w:rsid w:val="003455D8"/>
    <w:rsid w:val="00345833"/>
    <w:rsid w:val="00346BEE"/>
    <w:rsid w:val="00347610"/>
    <w:rsid w:val="00347E20"/>
    <w:rsid w:val="00347F13"/>
    <w:rsid w:val="00350267"/>
    <w:rsid w:val="00350321"/>
    <w:rsid w:val="00350D66"/>
    <w:rsid w:val="00350F88"/>
    <w:rsid w:val="00351062"/>
    <w:rsid w:val="00351A7E"/>
    <w:rsid w:val="00351AF2"/>
    <w:rsid w:val="00351E15"/>
    <w:rsid w:val="003523FB"/>
    <w:rsid w:val="003535C6"/>
    <w:rsid w:val="0035394A"/>
    <w:rsid w:val="0035428A"/>
    <w:rsid w:val="003546F4"/>
    <w:rsid w:val="0035473D"/>
    <w:rsid w:val="00354DEA"/>
    <w:rsid w:val="00356447"/>
    <w:rsid w:val="003576A7"/>
    <w:rsid w:val="00360006"/>
    <w:rsid w:val="00360288"/>
    <w:rsid w:val="00360A57"/>
    <w:rsid w:val="00360BAE"/>
    <w:rsid w:val="00361A91"/>
    <w:rsid w:val="00361AAE"/>
    <w:rsid w:val="00361D84"/>
    <w:rsid w:val="00362756"/>
    <w:rsid w:val="00362ACC"/>
    <w:rsid w:val="00363073"/>
    <w:rsid w:val="003642C3"/>
    <w:rsid w:val="003644EA"/>
    <w:rsid w:val="0036461C"/>
    <w:rsid w:val="00364A66"/>
    <w:rsid w:val="00364B8F"/>
    <w:rsid w:val="00365000"/>
    <w:rsid w:val="0036726F"/>
    <w:rsid w:val="00367663"/>
    <w:rsid w:val="00367A93"/>
    <w:rsid w:val="00367BDD"/>
    <w:rsid w:val="00370199"/>
    <w:rsid w:val="00370A24"/>
    <w:rsid w:val="00370B43"/>
    <w:rsid w:val="00371983"/>
    <w:rsid w:val="003719E8"/>
    <w:rsid w:val="003728D0"/>
    <w:rsid w:val="00373455"/>
    <w:rsid w:val="003739B9"/>
    <w:rsid w:val="00373CA6"/>
    <w:rsid w:val="00373E6B"/>
    <w:rsid w:val="00374619"/>
    <w:rsid w:val="00374A01"/>
    <w:rsid w:val="00375A12"/>
    <w:rsid w:val="00375C98"/>
    <w:rsid w:val="003760BD"/>
    <w:rsid w:val="00376FCB"/>
    <w:rsid w:val="0037705D"/>
    <w:rsid w:val="003778E4"/>
    <w:rsid w:val="00377CD2"/>
    <w:rsid w:val="00377D3D"/>
    <w:rsid w:val="0038030D"/>
    <w:rsid w:val="0038077D"/>
    <w:rsid w:val="00381158"/>
    <w:rsid w:val="00381175"/>
    <w:rsid w:val="00381A5B"/>
    <w:rsid w:val="0038206B"/>
    <w:rsid w:val="00382368"/>
    <w:rsid w:val="003826C8"/>
    <w:rsid w:val="00382798"/>
    <w:rsid w:val="00382B8D"/>
    <w:rsid w:val="00383269"/>
    <w:rsid w:val="0038342D"/>
    <w:rsid w:val="00383741"/>
    <w:rsid w:val="00383E0B"/>
    <w:rsid w:val="00384599"/>
    <w:rsid w:val="00385BF7"/>
    <w:rsid w:val="00385D23"/>
    <w:rsid w:val="00385E26"/>
    <w:rsid w:val="003862E2"/>
    <w:rsid w:val="003864EA"/>
    <w:rsid w:val="00387E9F"/>
    <w:rsid w:val="003904EC"/>
    <w:rsid w:val="003905B1"/>
    <w:rsid w:val="003910AD"/>
    <w:rsid w:val="0039167B"/>
    <w:rsid w:val="003916CC"/>
    <w:rsid w:val="003919AC"/>
    <w:rsid w:val="00391A97"/>
    <w:rsid w:val="00391E3B"/>
    <w:rsid w:val="00392A12"/>
    <w:rsid w:val="003932B4"/>
    <w:rsid w:val="00393C5B"/>
    <w:rsid w:val="0039403B"/>
    <w:rsid w:val="00394411"/>
    <w:rsid w:val="00394997"/>
    <w:rsid w:val="00395B9E"/>
    <w:rsid w:val="00395E3A"/>
    <w:rsid w:val="0039660C"/>
    <w:rsid w:val="003967E0"/>
    <w:rsid w:val="003968EE"/>
    <w:rsid w:val="003975A3"/>
    <w:rsid w:val="003A010D"/>
    <w:rsid w:val="003A088A"/>
    <w:rsid w:val="003A0A82"/>
    <w:rsid w:val="003A0FBE"/>
    <w:rsid w:val="003A1A61"/>
    <w:rsid w:val="003A2B6E"/>
    <w:rsid w:val="003A3151"/>
    <w:rsid w:val="003A3E50"/>
    <w:rsid w:val="003A4807"/>
    <w:rsid w:val="003A4903"/>
    <w:rsid w:val="003A49ED"/>
    <w:rsid w:val="003A4A4E"/>
    <w:rsid w:val="003A5543"/>
    <w:rsid w:val="003A557E"/>
    <w:rsid w:val="003A6564"/>
    <w:rsid w:val="003A67FF"/>
    <w:rsid w:val="003A69AF"/>
    <w:rsid w:val="003A7154"/>
    <w:rsid w:val="003A768B"/>
    <w:rsid w:val="003A7BD4"/>
    <w:rsid w:val="003B0194"/>
    <w:rsid w:val="003B07EE"/>
    <w:rsid w:val="003B0DF0"/>
    <w:rsid w:val="003B0EAC"/>
    <w:rsid w:val="003B113D"/>
    <w:rsid w:val="003B117B"/>
    <w:rsid w:val="003B1BAE"/>
    <w:rsid w:val="003B1C05"/>
    <w:rsid w:val="003B26AB"/>
    <w:rsid w:val="003B28AD"/>
    <w:rsid w:val="003B30B4"/>
    <w:rsid w:val="003B365C"/>
    <w:rsid w:val="003B3E75"/>
    <w:rsid w:val="003B3F01"/>
    <w:rsid w:val="003B41B2"/>
    <w:rsid w:val="003B4545"/>
    <w:rsid w:val="003B48B6"/>
    <w:rsid w:val="003B4B07"/>
    <w:rsid w:val="003B5DD4"/>
    <w:rsid w:val="003B639B"/>
    <w:rsid w:val="003B6732"/>
    <w:rsid w:val="003B686F"/>
    <w:rsid w:val="003B6974"/>
    <w:rsid w:val="003B6D07"/>
    <w:rsid w:val="003B6D23"/>
    <w:rsid w:val="003B76D7"/>
    <w:rsid w:val="003C04B5"/>
    <w:rsid w:val="003C056B"/>
    <w:rsid w:val="003C0B68"/>
    <w:rsid w:val="003C1BBF"/>
    <w:rsid w:val="003C1E29"/>
    <w:rsid w:val="003C230F"/>
    <w:rsid w:val="003C2475"/>
    <w:rsid w:val="003C2AFF"/>
    <w:rsid w:val="003C4003"/>
    <w:rsid w:val="003C4861"/>
    <w:rsid w:val="003C51E7"/>
    <w:rsid w:val="003C728E"/>
    <w:rsid w:val="003C77B5"/>
    <w:rsid w:val="003C7809"/>
    <w:rsid w:val="003D0115"/>
    <w:rsid w:val="003D0898"/>
    <w:rsid w:val="003D0A86"/>
    <w:rsid w:val="003D0CF0"/>
    <w:rsid w:val="003D13D6"/>
    <w:rsid w:val="003D1430"/>
    <w:rsid w:val="003D1530"/>
    <w:rsid w:val="003D1745"/>
    <w:rsid w:val="003D1774"/>
    <w:rsid w:val="003D1905"/>
    <w:rsid w:val="003D1C68"/>
    <w:rsid w:val="003D2EB3"/>
    <w:rsid w:val="003D344A"/>
    <w:rsid w:val="003D3ADD"/>
    <w:rsid w:val="003D44AB"/>
    <w:rsid w:val="003D49CF"/>
    <w:rsid w:val="003D53A3"/>
    <w:rsid w:val="003D6BD1"/>
    <w:rsid w:val="003D79EE"/>
    <w:rsid w:val="003D7EDB"/>
    <w:rsid w:val="003E0627"/>
    <w:rsid w:val="003E08A7"/>
    <w:rsid w:val="003E0D67"/>
    <w:rsid w:val="003E199F"/>
    <w:rsid w:val="003E20F8"/>
    <w:rsid w:val="003E3D42"/>
    <w:rsid w:val="003E447F"/>
    <w:rsid w:val="003E4E31"/>
    <w:rsid w:val="003E4E43"/>
    <w:rsid w:val="003E55E6"/>
    <w:rsid w:val="003E66C5"/>
    <w:rsid w:val="003E7116"/>
    <w:rsid w:val="003E7BDA"/>
    <w:rsid w:val="003E7E12"/>
    <w:rsid w:val="003F02CC"/>
    <w:rsid w:val="003F0361"/>
    <w:rsid w:val="003F065F"/>
    <w:rsid w:val="003F0A0C"/>
    <w:rsid w:val="003F0D56"/>
    <w:rsid w:val="003F11FF"/>
    <w:rsid w:val="003F1617"/>
    <w:rsid w:val="003F1672"/>
    <w:rsid w:val="003F1BC5"/>
    <w:rsid w:val="003F1E41"/>
    <w:rsid w:val="003F20D3"/>
    <w:rsid w:val="003F3821"/>
    <w:rsid w:val="003F4945"/>
    <w:rsid w:val="003F4A21"/>
    <w:rsid w:val="003F4D95"/>
    <w:rsid w:val="003F5055"/>
    <w:rsid w:val="003F5126"/>
    <w:rsid w:val="003F52DB"/>
    <w:rsid w:val="003F5322"/>
    <w:rsid w:val="003F54D0"/>
    <w:rsid w:val="003F693D"/>
    <w:rsid w:val="003F7B7C"/>
    <w:rsid w:val="0040016C"/>
    <w:rsid w:val="00400311"/>
    <w:rsid w:val="0040098C"/>
    <w:rsid w:val="00400C12"/>
    <w:rsid w:val="00401285"/>
    <w:rsid w:val="00402550"/>
    <w:rsid w:val="00402E49"/>
    <w:rsid w:val="004033E4"/>
    <w:rsid w:val="004036F3"/>
    <w:rsid w:val="00403F0E"/>
    <w:rsid w:val="0040408A"/>
    <w:rsid w:val="00404801"/>
    <w:rsid w:val="00404AFC"/>
    <w:rsid w:val="00404C6B"/>
    <w:rsid w:val="00404C92"/>
    <w:rsid w:val="00404D37"/>
    <w:rsid w:val="00405C9C"/>
    <w:rsid w:val="004068B0"/>
    <w:rsid w:val="00407024"/>
    <w:rsid w:val="00407064"/>
    <w:rsid w:val="00407985"/>
    <w:rsid w:val="004109FD"/>
    <w:rsid w:val="00410B71"/>
    <w:rsid w:val="00411C13"/>
    <w:rsid w:val="00411D2F"/>
    <w:rsid w:val="00412480"/>
    <w:rsid w:val="00412B8D"/>
    <w:rsid w:val="00412C61"/>
    <w:rsid w:val="00412DCF"/>
    <w:rsid w:val="00413860"/>
    <w:rsid w:val="00413A90"/>
    <w:rsid w:val="00413D56"/>
    <w:rsid w:val="00414514"/>
    <w:rsid w:val="00414E86"/>
    <w:rsid w:val="0041506D"/>
    <w:rsid w:val="0041512A"/>
    <w:rsid w:val="004152E9"/>
    <w:rsid w:val="004156FC"/>
    <w:rsid w:val="00415952"/>
    <w:rsid w:val="00415BFE"/>
    <w:rsid w:val="00416389"/>
    <w:rsid w:val="00416812"/>
    <w:rsid w:val="00416A23"/>
    <w:rsid w:val="004179D5"/>
    <w:rsid w:val="00417AFE"/>
    <w:rsid w:val="004206B6"/>
    <w:rsid w:val="00420A55"/>
    <w:rsid w:val="00421757"/>
    <w:rsid w:val="0042187B"/>
    <w:rsid w:val="00422380"/>
    <w:rsid w:val="004226CA"/>
    <w:rsid w:val="00422A2F"/>
    <w:rsid w:val="00423266"/>
    <w:rsid w:val="00423BEC"/>
    <w:rsid w:val="004250D7"/>
    <w:rsid w:val="00425175"/>
    <w:rsid w:val="00425824"/>
    <w:rsid w:val="00426027"/>
    <w:rsid w:val="00426303"/>
    <w:rsid w:val="00426804"/>
    <w:rsid w:val="00426CAB"/>
    <w:rsid w:val="00427516"/>
    <w:rsid w:val="00427ECF"/>
    <w:rsid w:val="004309E0"/>
    <w:rsid w:val="00430C3A"/>
    <w:rsid w:val="00430D60"/>
    <w:rsid w:val="00430F86"/>
    <w:rsid w:val="0043187E"/>
    <w:rsid w:val="00431FD6"/>
    <w:rsid w:val="004320DC"/>
    <w:rsid w:val="00432854"/>
    <w:rsid w:val="00432C40"/>
    <w:rsid w:val="00433270"/>
    <w:rsid w:val="004335E5"/>
    <w:rsid w:val="00433995"/>
    <w:rsid w:val="004348F4"/>
    <w:rsid w:val="004359E0"/>
    <w:rsid w:val="00435A3A"/>
    <w:rsid w:val="00435ABD"/>
    <w:rsid w:val="00435ECF"/>
    <w:rsid w:val="004360A5"/>
    <w:rsid w:val="00436410"/>
    <w:rsid w:val="00436B1F"/>
    <w:rsid w:val="00437ABF"/>
    <w:rsid w:val="00440C3E"/>
    <w:rsid w:val="00440D51"/>
    <w:rsid w:val="00441A0B"/>
    <w:rsid w:val="00441EEC"/>
    <w:rsid w:val="0044304B"/>
    <w:rsid w:val="004430EE"/>
    <w:rsid w:val="00443251"/>
    <w:rsid w:val="004435EC"/>
    <w:rsid w:val="00443631"/>
    <w:rsid w:val="00443B83"/>
    <w:rsid w:val="00443ED4"/>
    <w:rsid w:val="00444A8F"/>
    <w:rsid w:val="004469AC"/>
    <w:rsid w:val="00446ADF"/>
    <w:rsid w:val="00446DA9"/>
    <w:rsid w:val="00446EC6"/>
    <w:rsid w:val="004476F1"/>
    <w:rsid w:val="00447B63"/>
    <w:rsid w:val="00447C76"/>
    <w:rsid w:val="004501E1"/>
    <w:rsid w:val="004503E4"/>
    <w:rsid w:val="00451F11"/>
    <w:rsid w:val="004520D5"/>
    <w:rsid w:val="004528BA"/>
    <w:rsid w:val="00452F5A"/>
    <w:rsid w:val="0045314B"/>
    <w:rsid w:val="00453183"/>
    <w:rsid w:val="00453378"/>
    <w:rsid w:val="00453D67"/>
    <w:rsid w:val="00453DAD"/>
    <w:rsid w:val="00454FC3"/>
    <w:rsid w:val="00455024"/>
    <w:rsid w:val="00456224"/>
    <w:rsid w:val="004562DC"/>
    <w:rsid w:val="00456544"/>
    <w:rsid w:val="00457A87"/>
    <w:rsid w:val="00457C69"/>
    <w:rsid w:val="00457D59"/>
    <w:rsid w:val="00460E1B"/>
    <w:rsid w:val="0046121D"/>
    <w:rsid w:val="00461E52"/>
    <w:rsid w:val="0046290C"/>
    <w:rsid w:val="00463149"/>
    <w:rsid w:val="00463359"/>
    <w:rsid w:val="00463403"/>
    <w:rsid w:val="004634FB"/>
    <w:rsid w:val="0046388B"/>
    <w:rsid w:val="004638E0"/>
    <w:rsid w:val="00464DA7"/>
    <w:rsid w:val="00465270"/>
    <w:rsid w:val="00465AEA"/>
    <w:rsid w:val="00466139"/>
    <w:rsid w:val="0046796D"/>
    <w:rsid w:val="0047064D"/>
    <w:rsid w:val="0047084C"/>
    <w:rsid w:val="00470870"/>
    <w:rsid w:val="00470A45"/>
    <w:rsid w:val="004711BF"/>
    <w:rsid w:val="00471350"/>
    <w:rsid w:val="00471AB2"/>
    <w:rsid w:val="00472B12"/>
    <w:rsid w:val="00472BED"/>
    <w:rsid w:val="00473BC7"/>
    <w:rsid w:val="00473ED3"/>
    <w:rsid w:val="00474C71"/>
    <w:rsid w:val="00475128"/>
    <w:rsid w:val="0047515B"/>
    <w:rsid w:val="00475AFD"/>
    <w:rsid w:val="00475E84"/>
    <w:rsid w:val="00476023"/>
    <w:rsid w:val="00476135"/>
    <w:rsid w:val="0047639A"/>
    <w:rsid w:val="004766E5"/>
    <w:rsid w:val="00476D63"/>
    <w:rsid w:val="00476DE6"/>
    <w:rsid w:val="00477B10"/>
    <w:rsid w:val="0048020E"/>
    <w:rsid w:val="004802A3"/>
    <w:rsid w:val="00480509"/>
    <w:rsid w:val="00480592"/>
    <w:rsid w:val="00480633"/>
    <w:rsid w:val="004806F6"/>
    <w:rsid w:val="004807FE"/>
    <w:rsid w:val="00480AC8"/>
    <w:rsid w:val="00480E3F"/>
    <w:rsid w:val="0048171B"/>
    <w:rsid w:val="004818C9"/>
    <w:rsid w:val="004818E6"/>
    <w:rsid w:val="00481DE5"/>
    <w:rsid w:val="004822D0"/>
    <w:rsid w:val="00482D96"/>
    <w:rsid w:val="004837C0"/>
    <w:rsid w:val="00483908"/>
    <w:rsid w:val="0048454C"/>
    <w:rsid w:val="00484724"/>
    <w:rsid w:val="00484C92"/>
    <w:rsid w:val="00484FAD"/>
    <w:rsid w:val="00485163"/>
    <w:rsid w:val="004858F3"/>
    <w:rsid w:val="004858F7"/>
    <w:rsid w:val="004872C4"/>
    <w:rsid w:val="00491019"/>
    <w:rsid w:val="00491269"/>
    <w:rsid w:val="004914AA"/>
    <w:rsid w:val="00491534"/>
    <w:rsid w:val="004917E0"/>
    <w:rsid w:val="004920BD"/>
    <w:rsid w:val="00492BF7"/>
    <w:rsid w:val="00492F77"/>
    <w:rsid w:val="00494034"/>
    <w:rsid w:val="004940A3"/>
    <w:rsid w:val="00494292"/>
    <w:rsid w:val="00494295"/>
    <w:rsid w:val="00494452"/>
    <w:rsid w:val="00494754"/>
    <w:rsid w:val="00494F43"/>
    <w:rsid w:val="00494F87"/>
    <w:rsid w:val="00495C19"/>
    <w:rsid w:val="00496E59"/>
    <w:rsid w:val="004972A4"/>
    <w:rsid w:val="00497573"/>
    <w:rsid w:val="00497C58"/>
    <w:rsid w:val="004A00C9"/>
    <w:rsid w:val="004A030D"/>
    <w:rsid w:val="004A031D"/>
    <w:rsid w:val="004A06F1"/>
    <w:rsid w:val="004A087D"/>
    <w:rsid w:val="004A08A3"/>
    <w:rsid w:val="004A0D82"/>
    <w:rsid w:val="004A1F71"/>
    <w:rsid w:val="004A235E"/>
    <w:rsid w:val="004A4319"/>
    <w:rsid w:val="004A559B"/>
    <w:rsid w:val="004A601A"/>
    <w:rsid w:val="004A6B01"/>
    <w:rsid w:val="004A6B0F"/>
    <w:rsid w:val="004A747A"/>
    <w:rsid w:val="004A75E8"/>
    <w:rsid w:val="004A7D94"/>
    <w:rsid w:val="004B0F42"/>
    <w:rsid w:val="004B1B99"/>
    <w:rsid w:val="004B1DBB"/>
    <w:rsid w:val="004B2151"/>
    <w:rsid w:val="004B2AB9"/>
    <w:rsid w:val="004B2EC7"/>
    <w:rsid w:val="004B45A3"/>
    <w:rsid w:val="004B488D"/>
    <w:rsid w:val="004B62BA"/>
    <w:rsid w:val="004B63AD"/>
    <w:rsid w:val="004B63D7"/>
    <w:rsid w:val="004B6F72"/>
    <w:rsid w:val="004B71E2"/>
    <w:rsid w:val="004B7E87"/>
    <w:rsid w:val="004B7FD8"/>
    <w:rsid w:val="004C0123"/>
    <w:rsid w:val="004C221A"/>
    <w:rsid w:val="004C3002"/>
    <w:rsid w:val="004C3185"/>
    <w:rsid w:val="004C3DD5"/>
    <w:rsid w:val="004C46DD"/>
    <w:rsid w:val="004C4C9D"/>
    <w:rsid w:val="004C4D90"/>
    <w:rsid w:val="004C5432"/>
    <w:rsid w:val="004C54C6"/>
    <w:rsid w:val="004C5C11"/>
    <w:rsid w:val="004C5DDE"/>
    <w:rsid w:val="004C5DEC"/>
    <w:rsid w:val="004C5F94"/>
    <w:rsid w:val="004C6D15"/>
    <w:rsid w:val="004C7606"/>
    <w:rsid w:val="004C78CC"/>
    <w:rsid w:val="004C7BB8"/>
    <w:rsid w:val="004C7BEC"/>
    <w:rsid w:val="004D0704"/>
    <w:rsid w:val="004D0EFE"/>
    <w:rsid w:val="004D11A1"/>
    <w:rsid w:val="004D127F"/>
    <w:rsid w:val="004D1969"/>
    <w:rsid w:val="004D1B0F"/>
    <w:rsid w:val="004D1DFE"/>
    <w:rsid w:val="004D28E4"/>
    <w:rsid w:val="004D2D33"/>
    <w:rsid w:val="004D3353"/>
    <w:rsid w:val="004D420C"/>
    <w:rsid w:val="004D4EF9"/>
    <w:rsid w:val="004D5AB8"/>
    <w:rsid w:val="004D5C56"/>
    <w:rsid w:val="004D5CD1"/>
    <w:rsid w:val="004D5D65"/>
    <w:rsid w:val="004D666E"/>
    <w:rsid w:val="004D6A86"/>
    <w:rsid w:val="004D6B37"/>
    <w:rsid w:val="004D7BB1"/>
    <w:rsid w:val="004D7DF2"/>
    <w:rsid w:val="004E1433"/>
    <w:rsid w:val="004E1D2C"/>
    <w:rsid w:val="004E1DC2"/>
    <w:rsid w:val="004E1F8B"/>
    <w:rsid w:val="004E22EA"/>
    <w:rsid w:val="004E29EC"/>
    <w:rsid w:val="004E2D9B"/>
    <w:rsid w:val="004E2F2D"/>
    <w:rsid w:val="004E2FFD"/>
    <w:rsid w:val="004E4046"/>
    <w:rsid w:val="004E54BF"/>
    <w:rsid w:val="004E57D3"/>
    <w:rsid w:val="004E5AE0"/>
    <w:rsid w:val="004E66EF"/>
    <w:rsid w:val="004E6A1E"/>
    <w:rsid w:val="004E7682"/>
    <w:rsid w:val="004E76EC"/>
    <w:rsid w:val="004E79DA"/>
    <w:rsid w:val="004F01D4"/>
    <w:rsid w:val="004F149B"/>
    <w:rsid w:val="004F188B"/>
    <w:rsid w:val="004F19C4"/>
    <w:rsid w:val="004F1A8D"/>
    <w:rsid w:val="004F1B33"/>
    <w:rsid w:val="004F2DB0"/>
    <w:rsid w:val="004F41BD"/>
    <w:rsid w:val="004F4B48"/>
    <w:rsid w:val="004F4E4D"/>
    <w:rsid w:val="004F4FA0"/>
    <w:rsid w:val="004F564B"/>
    <w:rsid w:val="004F570B"/>
    <w:rsid w:val="004F58B8"/>
    <w:rsid w:val="004F5D05"/>
    <w:rsid w:val="004F5D76"/>
    <w:rsid w:val="004F5DA4"/>
    <w:rsid w:val="004F66FF"/>
    <w:rsid w:val="004F7544"/>
    <w:rsid w:val="004F7BE1"/>
    <w:rsid w:val="005014FE"/>
    <w:rsid w:val="00501A3B"/>
    <w:rsid w:val="00501B5C"/>
    <w:rsid w:val="005022F2"/>
    <w:rsid w:val="0050295A"/>
    <w:rsid w:val="00502F92"/>
    <w:rsid w:val="0050336C"/>
    <w:rsid w:val="00503AB6"/>
    <w:rsid w:val="00503F57"/>
    <w:rsid w:val="00503F5E"/>
    <w:rsid w:val="00503F67"/>
    <w:rsid w:val="0050471E"/>
    <w:rsid w:val="00504A35"/>
    <w:rsid w:val="00505202"/>
    <w:rsid w:val="00505B9D"/>
    <w:rsid w:val="00505BAE"/>
    <w:rsid w:val="00505C1D"/>
    <w:rsid w:val="0050616F"/>
    <w:rsid w:val="00506254"/>
    <w:rsid w:val="00506661"/>
    <w:rsid w:val="00506831"/>
    <w:rsid w:val="00506E13"/>
    <w:rsid w:val="00506E85"/>
    <w:rsid w:val="0050714C"/>
    <w:rsid w:val="00507229"/>
    <w:rsid w:val="0050729C"/>
    <w:rsid w:val="005100EB"/>
    <w:rsid w:val="005102CD"/>
    <w:rsid w:val="00510B61"/>
    <w:rsid w:val="0051119A"/>
    <w:rsid w:val="00511B17"/>
    <w:rsid w:val="00511CBA"/>
    <w:rsid w:val="005124F9"/>
    <w:rsid w:val="00512620"/>
    <w:rsid w:val="00512699"/>
    <w:rsid w:val="00512D19"/>
    <w:rsid w:val="00512E39"/>
    <w:rsid w:val="005132A6"/>
    <w:rsid w:val="00513898"/>
    <w:rsid w:val="00514344"/>
    <w:rsid w:val="005144E2"/>
    <w:rsid w:val="005147E8"/>
    <w:rsid w:val="00514BC7"/>
    <w:rsid w:val="00514FC2"/>
    <w:rsid w:val="005150D3"/>
    <w:rsid w:val="00515429"/>
    <w:rsid w:val="00515543"/>
    <w:rsid w:val="00515B4E"/>
    <w:rsid w:val="00516C64"/>
    <w:rsid w:val="00516D1A"/>
    <w:rsid w:val="00516FA6"/>
    <w:rsid w:val="005173E7"/>
    <w:rsid w:val="00517AC1"/>
    <w:rsid w:val="00520112"/>
    <w:rsid w:val="00520807"/>
    <w:rsid w:val="00520AAB"/>
    <w:rsid w:val="0052178F"/>
    <w:rsid w:val="005219C6"/>
    <w:rsid w:val="00522046"/>
    <w:rsid w:val="00522425"/>
    <w:rsid w:val="005224AB"/>
    <w:rsid w:val="00522708"/>
    <w:rsid w:val="00522968"/>
    <w:rsid w:val="0052299E"/>
    <w:rsid w:val="0052346A"/>
    <w:rsid w:val="0052364F"/>
    <w:rsid w:val="00523B11"/>
    <w:rsid w:val="00523F35"/>
    <w:rsid w:val="0052417E"/>
    <w:rsid w:val="005243BC"/>
    <w:rsid w:val="0052493D"/>
    <w:rsid w:val="00524BA3"/>
    <w:rsid w:val="005257D2"/>
    <w:rsid w:val="00526305"/>
    <w:rsid w:val="00526752"/>
    <w:rsid w:val="00526F93"/>
    <w:rsid w:val="0052761B"/>
    <w:rsid w:val="00527BC7"/>
    <w:rsid w:val="00530AD9"/>
    <w:rsid w:val="00531124"/>
    <w:rsid w:val="005313A2"/>
    <w:rsid w:val="00531A13"/>
    <w:rsid w:val="005323C4"/>
    <w:rsid w:val="005326E6"/>
    <w:rsid w:val="0053284E"/>
    <w:rsid w:val="0053294F"/>
    <w:rsid w:val="005329AE"/>
    <w:rsid w:val="00534684"/>
    <w:rsid w:val="00534F31"/>
    <w:rsid w:val="005353FB"/>
    <w:rsid w:val="005354BA"/>
    <w:rsid w:val="00535CA2"/>
    <w:rsid w:val="00535D0E"/>
    <w:rsid w:val="00535F99"/>
    <w:rsid w:val="00535FBC"/>
    <w:rsid w:val="005372CD"/>
    <w:rsid w:val="00537344"/>
    <w:rsid w:val="005373EA"/>
    <w:rsid w:val="0054067A"/>
    <w:rsid w:val="005407C2"/>
    <w:rsid w:val="00540AE2"/>
    <w:rsid w:val="00540C50"/>
    <w:rsid w:val="00540EDF"/>
    <w:rsid w:val="005414C3"/>
    <w:rsid w:val="0054150F"/>
    <w:rsid w:val="00541809"/>
    <w:rsid w:val="00541F81"/>
    <w:rsid w:val="00542271"/>
    <w:rsid w:val="00542785"/>
    <w:rsid w:val="005435A8"/>
    <w:rsid w:val="0054369F"/>
    <w:rsid w:val="005436F7"/>
    <w:rsid w:val="00543B13"/>
    <w:rsid w:val="00544423"/>
    <w:rsid w:val="005453FF"/>
    <w:rsid w:val="005460F4"/>
    <w:rsid w:val="005468F6"/>
    <w:rsid w:val="00547011"/>
    <w:rsid w:val="005475BF"/>
    <w:rsid w:val="0054760B"/>
    <w:rsid w:val="00547E57"/>
    <w:rsid w:val="005502B4"/>
    <w:rsid w:val="0055084F"/>
    <w:rsid w:val="005518F1"/>
    <w:rsid w:val="005519E9"/>
    <w:rsid w:val="00551F9F"/>
    <w:rsid w:val="005525C8"/>
    <w:rsid w:val="00552830"/>
    <w:rsid w:val="00552993"/>
    <w:rsid w:val="005533ED"/>
    <w:rsid w:val="005542B0"/>
    <w:rsid w:val="005547D0"/>
    <w:rsid w:val="00554C5D"/>
    <w:rsid w:val="00554EC5"/>
    <w:rsid w:val="005555D5"/>
    <w:rsid w:val="005555D8"/>
    <w:rsid w:val="00555AFB"/>
    <w:rsid w:val="00555BA5"/>
    <w:rsid w:val="00556C3F"/>
    <w:rsid w:val="00556EC5"/>
    <w:rsid w:val="005576FD"/>
    <w:rsid w:val="00557941"/>
    <w:rsid w:val="005579D4"/>
    <w:rsid w:val="00557A55"/>
    <w:rsid w:val="00560592"/>
    <w:rsid w:val="00561166"/>
    <w:rsid w:val="00561212"/>
    <w:rsid w:val="00561798"/>
    <w:rsid w:val="00561D5C"/>
    <w:rsid w:val="0056222E"/>
    <w:rsid w:val="00562E49"/>
    <w:rsid w:val="005630C3"/>
    <w:rsid w:val="00563C57"/>
    <w:rsid w:val="00563C58"/>
    <w:rsid w:val="0056459A"/>
    <w:rsid w:val="005645FE"/>
    <w:rsid w:val="00564ADC"/>
    <w:rsid w:val="00564AFF"/>
    <w:rsid w:val="00565ED7"/>
    <w:rsid w:val="00566241"/>
    <w:rsid w:val="0056667B"/>
    <w:rsid w:val="005667D7"/>
    <w:rsid w:val="00566DC1"/>
    <w:rsid w:val="00566F1A"/>
    <w:rsid w:val="00567547"/>
    <w:rsid w:val="00567612"/>
    <w:rsid w:val="0056764C"/>
    <w:rsid w:val="00567A92"/>
    <w:rsid w:val="00570B2F"/>
    <w:rsid w:val="00570E13"/>
    <w:rsid w:val="00570FDF"/>
    <w:rsid w:val="00571312"/>
    <w:rsid w:val="0057132D"/>
    <w:rsid w:val="005714EF"/>
    <w:rsid w:val="00571798"/>
    <w:rsid w:val="00571CA8"/>
    <w:rsid w:val="00572527"/>
    <w:rsid w:val="00572679"/>
    <w:rsid w:val="00572906"/>
    <w:rsid w:val="00572913"/>
    <w:rsid w:val="00573B50"/>
    <w:rsid w:val="00573DA7"/>
    <w:rsid w:val="00574702"/>
    <w:rsid w:val="005751EE"/>
    <w:rsid w:val="005761EA"/>
    <w:rsid w:val="00576472"/>
    <w:rsid w:val="00576504"/>
    <w:rsid w:val="00576749"/>
    <w:rsid w:val="00576866"/>
    <w:rsid w:val="005775F1"/>
    <w:rsid w:val="0058000E"/>
    <w:rsid w:val="00581821"/>
    <w:rsid w:val="00581C75"/>
    <w:rsid w:val="005833DB"/>
    <w:rsid w:val="005836EA"/>
    <w:rsid w:val="005848E0"/>
    <w:rsid w:val="00584CD5"/>
    <w:rsid w:val="0058509A"/>
    <w:rsid w:val="00585163"/>
    <w:rsid w:val="005855A9"/>
    <w:rsid w:val="005856EE"/>
    <w:rsid w:val="005866B4"/>
    <w:rsid w:val="0058701F"/>
    <w:rsid w:val="00587364"/>
    <w:rsid w:val="0058770A"/>
    <w:rsid w:val="005903B4"/>
    <w:rsid w:val="005903C3"/>
    <w:rsid w:val="0059117F"/>
    <w:rsid w:val="00591F9E"/>
    <w:rsid w:val="005922C4"/>
    <w:rsid w:val="00592718"/>
    <w:rsid w:val="00592836"/>
    <w:rsid w:val="00592E41"/>
    <w:rsid w:val="0059328F"/>
    <w:rsid w:val="005932A3"/>
    <w:rsid w:val="0059344E"/>
    <w:rsid w:val="0059374E"/>
    <w:rsid w:val="005944C5"/>
    <w:rsid w:val="00594601"/>
    <w:rsid w:val="005949CC"/>
    <w:rsid w:val="00594B24"/>
    <w:rsid w:val="00594D25"/>
    <w:rsid w:val="005971B7"/>
    <w:rsid w:val="0059740C"/>
    <w:rsid w:val="00597EF1"/>
    <w:rsid w:val="005A034C"/>
    <w:rsid w:val="005A04FD"/>
    <w:rsid w:val="005A22E1"/>
    <w:rsid w:val="005A2749"/>
    <w:rsid w:val="005A2878"/>
    <w:rsid w:val="005A2CE0"/>
    <w:rsid w:val="005A2D9D"/>
    <w:rsid w:val="005A3B36"/>
    <w:rsid w:val="005A3BE4"/>
    <w:rsid w:val="005A3D45"/>
    <w:rsid w:val="005A4ADF"/>
    <w:rsid w:val="005A50BD"/>
    <w:rsid w:val="005A5A79"/>
    <w:rsid w:val="005A5BC6"/>
    <w:rsid w:val="005A693E"/>
    <w:rsid w:val="005A7296"/>
    <w:rsid w:val="005B0150"/>
    <w:rsid w:val="005B01EE"/>
    <w:rsid w:val="005B02BE"/>
    <w:rsid w:val="005B02F3"/>
    <w:rsid w:val="005B2079"/>
    <w:rsid w:val="005B2E38"/>
    <w:rsid w:val="005B3713"/>
    <w:rsid w:val="005B4779"/>
    <w:rsid w:val="005B551F"/>
    <w:rsid w:val="005B5735"/>
    <w:rsid w:val="005B5E46"/>
    <w:rsid w:val="005B6541"/>
    <w:rsid w:val="005B67E6"/>
    <w:rsid w:val="005B78BB"/>
    <w:rsid w:val="005B7AA7"/>
    <w:rsid w:val="005C005F"/>
    <w:rsid w:val="005C0918"/>
    <w:rsid w:val="005C093E"/>
    <w:rsid w:val="005C0A25"/>
    <w:rsid w:val="005C0C72"/>
    <w:rsid w:val="005C1491"/>
    <w:rsid w:val="005C221D"/>
    <w:rsid w:val="005C266A"/>
    <w:rsid w:val="005C2808"/>
    <w:rsid w:val="005C2957"/>
    <w:rsid w:val="005C2B56"/>
    <w:rsid w:val="005C2E34"/>
    <w:rsid w:val="005C32D7"/>
    <w:rsid w:val="005C3620"/>
    <w:rsid w:val="005C3679"/>
    <w:rsid w:val="005C3695"/>
    <w:rsid w:val="005C3A00"/>
    <w:rsid w:val="005C42B5"/>
    <w:rsid w:val="005C4454"/>
    <w:rsid w:val="005C4897"/>
    <w:rsid w:val="005C4AF6"/>
    <w:rsid w:val="005C5309"/>
    <w:rsid w:val="005C55F1"/>
    <w:rsid w:val="005C56AB"/>
    <w:rsid w:val="005C6632"/>
    <w:rsid w:val="005C6CB6"/>
    <w:rsid w:val="005C6D5D"/>
    <w:rsid w:val="005C6FE0"/>
    <w:rsid w:val="005C70FB"/>
    <w:rsid w:val="005C72A7"/>
    <w:rsid w:val="005C72E4"/>
    <w:rsid w:val="005C730A"/>
    <w:rsid w:val="005C7913"/>
    <w:rsid w:val="005C7CBA"/>
    <w:rsid w:val="005D0301"/>
    <w:rsid w:val="005D0D69"/>
    <w:rsid w:val="005D0DF8"/>
    <w:rsid w:val="005D1240"/>
    <w:rsid w:val="005D162B"/>
    <w:rsid w:val="005D1CD5"/>
    <w:rsid w:val="005D1D0A"/>
    <w:rsid w:val="005D2391"/>
    <w:rsid w:val="005D385D"/>
    <w:rsid w:val="005D3B25"/>
    <w:rsid w:val="005D4337"/>
    <w:rsid w:val="005D5A41"/>
    <w:rsid w:val="005D7342"/>
    <w:rsid w:val="005D7529"/>
    <w:rsid w:val="005D77DE"/>
    <w:rsid w:val="005D7836"/>
    <w:rsid w:val="005D7C5C"/>
    <w:rsid w:val="005E03C5"/>
    <w:rsid w:val="005E0688"/>
    <w:rsid w:val="005E0855"/>
    <w:rsid w:val="005E0B51"/>
    <w:rsid w:val="005E168E"/>
    <w:rsid w:val="005E23A8"/>
    <w:rsid w:val="005E2E01"/>
    <w:rsid w:val="005E364C"/>
    <w:rsid w:val="005E38BD"/>
    <w:rsid w:val="005E3C86"/>
    <w:rsid w:val="005E3FC5"/>
    <w:rsid w:val="005E43B9"/>
    <w:rsid w:val="005E4501"/>
    <w:rsid w:val="005E4608"/>
    <w:rsid w:val="005E4770"/>
    <w:rsid w:val="005E4E94"/>
    <w:rsid w:val="005E5238"/>
    <w:rsid w:val="005E57D8"/>
    <w:rsid w:val="005E5D13"/>
    <w:rsid w:val="005E5E84"/>
    <w:rsid w:val="005E5F7D"/>
    <w:rsid w:val="005E5FAA"/>
    <w:rsid w:val="005E615D"/>
    <w:rsid w:val="005E6AAF"/>
    <w:rsid w:val="005E6CC1"/>
    <w:rsid w:val="005E6EB8"/>
    <w:rsid w:val="005E7028"/>
    <w:rsid w:val="005E7049"/>
    <w:rsid w:val="005E72B0"/>
    <w:rsid w:val="005E784C"/>
    <w:rsid w:val="005E78B4"/>
    <w:rsid w:val="005F1292"/>
    <w:rsid w:val="005F129D"/>
    <w:rsid w:val="005F1ACE"/>
    <w:rsid w:val="005F1C79"/>
    <w:rsid w:val="005F1D44"/>
    <w:rsid w:val="005F2BB9"/>
    <w:rsid w:val="005F3119"/>
    <w:rsid w:val="005F3487"/>
    <w:rsid w:val="005F3585"/>
    <w:rsid w:val="005F3777"/>
    <w:rsid w:val="005F45E8"/>
    <w:rsid w:val="005F4C25"/>
    <w:rsid w:val="005F514B"/>
    <w:rsid w:val="005F55DA"/>
    <w:rsid w:val="005F55E6"/>
    <w:rsid w:val="005F68EC"/>
    <w:rsid w:val="005F697C"/>
    <w:rsid w:val="005F6AE2"/>
    <w:rsid w:val="005F7EC6"/>
    <w:rsid w:val="00600621"/>
    <w:rsid w:val="006010F4"/>
    <w:rsid w:val="006013E6"/>
    <w:rsid w:val="0060142A"/>
    <w:rsid w:val="006015E8"/>
    <w:rsid w:val="006028CB"/>
    <w:rsid w:val="00602B0B"/>
    <w:rsid w:val="00602E69"/>
    <w:rsid w:val="00603824"/>
    <w:rsid w:val="006057A9"/>
    <w:rsid w:val="00605857"/>
    <w:rsid w:val="00605D2F"/>
    <w:rsid w:val="00605F73"/>
    <w:rsid w:val="00606ADB"/>
    <w:rsid w:val="00606C84"/>
    <w:rsid w:val="00606D4B"/>
    <w:rsid w:val="006078B4"/>
    <w:rsid w:val="00607C59"/>
    <w:rsid w:val="00607D89"/>
    <w:rsid w:val="00607F19"/>
    <w:rsid w:val="00607FA2"/>
    <w:rsid w:val="00610124"/>
    <w:rsid w:val="0061073C"/>
    <w:rsid w:val="00610BF9"/>
    <w:rsid w:val="00610DB7"/>
    <w:rsid w:val="006113E1"/>
    <w:rsid w:val="00611EF4"/>
    <w:rsid w:val="00612401"/>
    <w:rsid w:val="00613473"/>
    <w:rsid w:val="00613688"/>
    <w:rsid w:val="00613717"/>
    <w:rsid w:val="00613828"/>
    <w:rsid w:val="0061452D"/>
    <w:rsid w:val="006148E3"/>
    <w:rsid w:val="00615614"/>
    <w:rsid w:val="006156ED"/>
    <w:rsid w:val="006158BB"/>
    <w:rsid w:val="00616171"/>
    <w:rsid w:val="00616561"/>
    <w:rsid w:val="00616B8D"/>
    <w:rsid w:val="0061713E"/>
    <w:rsid w:val="0061785B"/>
    <w:rsid w:val="00617EB2"/>
    <w:rsid w:val="00617F51"/>
    <w:rsid w:val="00617FD9"/>
    <w:rsid w:val="00620D69"/>
    <w:rsid w:val="00620F13"/>
    <w:rsid w:val="006210D4"/>
    <w:rsid w:val="00621180"/>
    <w:rsid w:val="0062150D"/>
    <w:rsid w:val="006215AB"/>
    <w:rsid w:val="00621A24"/>
    <w:rsid w:val="00621F72"/>
    <w:rsid w:val="00622061"/>
    <w:rsid w:val="00622E60"/>
    <w:rsid w:val="00623030"/>
    <w:rsid w:val="00623335"/>
    <w:rsid w:val="006238C0"/>
    <w:rsid w:val="0062392B"/>
    <w:rsid w:val="006255B4"/>
    <w:rsid w:val="006256E7"/>
    <w:rsid w:val="00625945"/>
    <w:rsid w:val="0062623C"/>
    <w:rsid w:val="00626F7F"/>
    <w:rsid w:val="00627089"/>
    <w:rsid w:val="00630170"/>
    <w:rsid w:val="006305F8"/>
    <w:rsid w:val="00630717"/>
    <w:rsid w:val="00630C05"/>
    <w:rsid w:val="00630E22"/>
    <w:rsid w:val="00631159"/>
    <w:rsid w:val="0063196F"/>
    <w:rsid w:val="006325CA"/>
    <w:rsid w:val="00633827"/>
    <w:rsid w:val="00635123"/>
    <w:rsid w:val="00635A36"/>
    <w:rsid w:val="00636013"/>
    <w:rsid w:val="00636496"/>
    <w:rsid w:val="00636CF7"/>
    <w:rsid w:val="00636FC8"/>
    <w:rsid w:val="006376D6"/>
    <w:rsid w:val="0063772E"/>
    <w:rsid w:val="00637754"/>
    <w:rsid w:val="00637C81"/>
    <w:rsid w:val="00637EC2"/>
    <w:rsid w:val="00640B90"/>
    <w:rsid w:val="00640CFF"/>
    <w:rsid w:val="00641C40"/>
    <w:rsid w:val="0064305E"/>
    <w:rsid w:val="00643419"/>
    <w:rsid w:val="006449A0"/>
    <w:rsid w:val="00645689"/>
    <w:rsid w:val="00645D68"/>
    <w:rsid w:val="00645FC4"/>
    <w:rsid w:val="0064713A"/>
    <w:rsid w:val="00647ABF"/>
    <w:rsid w:val="00647C6B"/>
    <w:rsid w:val="00650C5F"/>
    <w:rsid w:val="00651369"/>
    <w:rsid w:val="00651508"/>
    <w:rsid w:val="00651673"/>
    <w:rsid w:val="00651A66"/>
    <w:rsid w:val="00652537"/>
    <w:rsid w:val="006528B8"/>
    <w:rsid w:val="00652A2F"/>
    <w:rsid w:val="00653198"/>
    <w:rsid w:val="00653414"/>
    <w:rsid w:val="00653B2B"/>
    <w:rsid w:val="006542A3"/>
    <w:rsid w:val="006545BC"/>
    <w:rsid w:val="006547F1"/>
    <w:rsid w:val="006549BE"/>
    <w:rsid w:val="00655727"/>
    <w:rsid w:val="006566C8"/>
    <w:rsid w:val="00656F6C"/>
    <w:rsid w:val="00657285"/>
    <w:rsid w:val="006600AD"/>
    <w:rsid w:val="006605AF"/>
    <w:rsid w:val="006608D2"/>
    <w:rsid w:val="00661A5B"/>
    <w:rsid w:val="00662048"/>
    <w:rsid w:val="0066267C"/>
    <w:rsid w:val="00662767"/>
    <w:rsid w:val="006628AF"/>
    <w:rsid w:val="006628EB"/>
    <w:rsid w:val="00662CEB"/>
    <w:rsid w:val="0066300D"/>
    <w:rsid w:val="0066303D"/>
    <w:rsid w:val="00663DAD"/>
    <w:rsid w:val="006641A4"/>
    <w:rsid w:val="006641F2"/>
    <w:rsid w:val="00664B26"/>
    <w:rsid w:val="006657B4"/>
    <w:rsid w:val="006657DF"/>
    <w:rsid w:val="00666830"/>
    <w:rsid w:val="0066686D"/>
    <w:rsid w:val="006669EF"/>
    <w:rsid w:val="00666BDB"/>
    <w:rsid w:val="00666CFA"/>
    <w:rsid w:val="00667784"/>
    <w:rsid w:val="00667966"/>
    <w:rsid w:val="00667D9F"/>
    <w:rsid w:val="00670138"/>
    <w:rsid w:val="00670CAA"/>
    <w:rsid w:val="00672108"/>
    <w:rsid w:val="00672E99"/>
    <w:rsid w:val="00673113"/>
    <w:rsid w:val="00673847"/>
    <w:rsid w:val="00673DB9"/>
    <w:rsid w:val="00676A92"/>
    <w:rsid w:val="0067744C"/>
    <w:rsid w:val="0067751B"/>
    <w:rsid w:val="0067780F"/>
    <w:rsid w:val="00677A1B"/>
    <w:rsid w:val="00677E29"/>
    <w:rsid w:val="0068023F"/>
    <w:rsid w:val="006805D9"/>
    <w:rsid w:val="00680FBC"/>
    <w:rsid w:val="00681246"/>
    <w:rsid w:val="006816E0"/>
    <w:rsid w:val="00681B58"/>
    <w:rsid w:val="00681CA8"/>
    <w:rsid w:val="00682929"/>
    <w:rsid w:val="0068311A"/>
    <w:rsid w:val="006832EC"/>
    <w:rsid w:val="0068386D"/>
    <w:rsid w:val="00683BE7"/>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13E2"/>
    <w:rsid w:val="00692124"/>
    <w:rsid w:val="006922B7"/>
    <w:rsid w:val="006924A0"/>
    <w:rsid w:val="00692B2A"/>
    <w:rsid w:val="00692D42"/>
    <w:rsid w:val="00692FED"/>
    <w:rsid w:val="00693303"/>
    <w:rsid w:val="00693337"/>
    <w:rsid w:val="0069339F"/>
    <w:rsid w:val="006934F0"/>
    <w:rsid w:val="006935C5"/>
    <w:rsid w:val="00693B52"/>
    <w:rsid w:val="00694030"/>
    <w:rsid w:val="00694085"/>
    <w:rsid w:val="00694264"/>
    <w:rsid w:val="00694996"/>
    <w:rsid w:val="0069522D"/>
    <w:rsid w:val="0069573D"/>
    <w:rsid w:val="00695E0B"/>
    <w:rsid w:val="00696167"/>
    <w:rsid w:val="006965E9"/>
    <w:rsid w:val="006967CA"/>
    <w:rsid w:val="00697331"/>
    <w:rsid w:val="00697D1F"/>
    <w:rsid w:val="006A05AD"/>
    <w:rsid w:val="006A0834"/>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570B"/>
    <w:rsid w:val="006A58CA"/>
    <w:rsid w:val="006A6141"/>
    <w:rsid w:val="006A62E7"/>
    <w:rsid w:val="006A64FA"/>
    <w:rsid w:val="006A7037"/>
    <w:rsid w:val="006A71C1"/>
    <w:rsid w:val="006A735C"/>
    <w:rsid w:val="006A744C"/>
    <w:rsid w:val="006A7B24"/>
    <w:rsid w:val="006B0109"/>
    <w:rsid w:val="006B0A83"/>
    <w:rsid w:val="006B1016"/>
    <w:rsid w:val="006B10A2"/>
    <w:rsid w:val="006B12D8"/>
    <w:rsid w:val="006B2780"/>
    <w:rsid w:val="006B2BC6"/>
    <w:rsid w:val="006B339E"/>
    <w:rsid w:val="006B4233"/>
    <w:rsid w:val="006B442C"/>
    <w:rsid w:val="006B4AC3"/>
    <w:rsid w:val="006B4BD1"/>
    <w:rsid w:val="006B4F7E"/>
    <w:rsid w:val="006B50E8"/>
    <w:rsid w:val="006B52CC"/>
    <w:rsid w:val="006B626C"/>
    <w:rsid w:val="006B62D6"/>
    <w:rsid w:val="006B7007"/>
    <w:rsid w:val="006B706B"/>
    <w:rsid w:val="006B75BB"/>
    <w:rsid w:val="006C01C1"/>
    <w:rsid w:val="006C0702"/>
    <w:rsid w:val="006C097A"/>
    <w:rsid w:val="006C1F54"/>
    <w:rsid w:val="006C2872"/>
    <w:rsid w:val="006C29D3"/>
    <w:rsid w:val="006C29DC"/>
    <w:rsid w:val="006C2BBD"/>
    <w:rsid w:val="006C356E"/>
    <w:rsid w:val="006C378F"/>
    <w:rsid w:val="006C3ADE"/>
    <w:rsid w:val="006C44B7"/>
    <w:rsid w:val="006C4BE3"/>
    <w:rsid w:val="006C4EC9"/>
    <w:rsid w:val="006C5142"/>
    <w:rsid w:val="006C53CF"/>
    <w:rsid w:val="006C5790"/>
    <w:rsid w:val="006C5C35"/>
    <w:rsid w:val="006C5C91"/>
    <w:rsid w:val="006C5D58"/>
    <w:rsid w:val="006C6383"/>
    <w:rsid w:val="006C656F"/>
    <w:rsid w:val="006C6D01"/>
    <w:rsid w:val="006C710A"/>
    <w:rsid w:val="006D03C6"/>
    <w:rsid w:val="006D0CE6"/>
    <w:rsid w:val="006D2429"/>
    <w:rsid w:val="006D296C"/>
    <w:rsid w:val="006D31C3"/>
    <w:rsid w:val="006D3682"/>
    <w:rsid w:val="006D3ADE"/>
    <w:rsid w:val="006D4562"/>
    <w:rsid w:val="006D4C14"/>
    <w:rsid w:val="006D4DE7"/>
    <w:rsid w:val="006D4FA4"/>
    <w:rsid w:val="006D599C"/>
    <w:rsid w:val="006D5F5C"/>
    <w:rsid w:val="006D6829"/>
    <w:rsid w:val="006D6ABF"/>
    <w:rsid w:val="006D739A"/>
    <w:rsid w:val="006D7A56"/>
    <w:rsid w:val="006E02CF"/>
    <w:rsid w:val="006E0623"/>
    <w:rsid w:val="006E1183"/>
    <w:rsid w:val="006E122D"/>
    <w:rsid w:val="006E18F7"/>
    <w:rsid w:val="006E1AB4"/>
    <w:rsid w:val="006E1C2A"/>
    <w:rsid w:val="006E1F8F"/>
    <w:rsid w:val="006E26D0"/>
    <w:rsid w:val="006E28E3"/>
    <w:rsid w:val="006E33B3"/>
    <w:rsid w:val="006E4261"/>
    <w:rsid w:val="006E4467"/>
    <w:rsid w:val="006E4971"/>
    <w:rsid w:val="006E4BA1"/>
    <w:rsid w:val="006E550E"/>
    <w:rsid w:val="006E5D34"/>
    <w:rsid w:val="006E5DCC"/>
    <w:rsid w:val="006E6181"/>
    <w:rsid w:val="006E70C4"/>
    <w:rsid w:val="006E74F6"/>
    <w:rsid w:val="006E7D7D"/>
    <w:rsid w:val="006F09D2"/>
    <w:rsid w:val="006F0D0A"/>
    <w:rsid w:val="006F1F10"/>
    <w:rsid w:val="006F2FBF"/>
    <w:rsid w:val="006F36E4"/>
    <w:rsid w:val="006F3D0B"/>
    <w:rsid w:val="006F4227"/>
    <w:rsid w:val="006F46F1"/>
    <w:rsid w:val="006F49F2"/>
    <w:rsid w:val="006F5319"/>
    <w:rsid w:val="006F62C4"/>
    <w:rsid w:val="006F7955"/>
    <w:rsid w:val="006F7D22"/>
    <w:rsid w:val="006F7F7C"/>
    <w:rsid w:val="007007F0"/>
    <w:rsid w:val="00703401"/>
    <w:rsid w:val="007035DD"/>
    <w:rsid w:val="00703F61"/>
    <w:rsid w:val="0070445A"/>
    <w:rsid w:val="007045FC"/>
    <w:rsid w:val="007047F5"/>
    <w:rsid w:val="00705451"/>
    <w:rsid w:val="007059C4"/>
    <w:rsid w:val="00705A4C"/>
    <w:rsid w:val="00705B1E"/>
    <w:rsid w:val="00705E05"/>
    <w:rsid w:val="007060D9"/>
    <w:rsid w:val="007061DF"/>
    <w:rsid w:val="0070624D"/>
    <w:rsid w:val="007063C2"/>
    <w:rsid w:val="007067D2"/>
    <w:rsid w:val="0070738F"/>
    <w:rsid w:val="007074F6"/>
    <w:rsid w:val="0070791D"/>
    <w:rsid w:val="00707A94"/>
    <w:rsid w:val="00707C1E"/>
    <w:rsid w:val="00710D8A"/>
    <w:rsid w:val="00710ECE"/>
    <w:rsid w:val="00710F79"/>
    <w:rsid w:val="00710FAB"/>
    <w:rsid w:val="00711173"/>
    <w:rsid w:val="007112EB"/>
    <w:rsid w:val="007118CF"/>
    <w:rsid w:val="00712826"/>
    <w:rsid w:val="00714096"/>
    <w:rsid w:val="00714357"/>
    <w:rsid w:val="007144B9"/>
    <w:rsid w:val="0071456F"/>
    <w:rsid w:val="00714814"/>
    <w:rsid w:val="00714A4B"/>
    <w:rsid w:val="00715AF3"/>
    <w:rsid w:val="0071664B"/>
    <w:rsid w:val="007168ED"/>
    <w:rsid w:val="00716A08"/>
    <w:rsid w:val="00716C8C"/>
    <w:rsid w:val="0071785D"/>
    <w:rsid w:val="00717C43"/>
    <w:rsid w:val="00720537"/>
    <w:rsid w:val="00720B11"/>
    <w:rsid w:val="00721F83"/>
    <w:rsid w:val="007220B2"/>
    <w:rsid w:val="00722478"/>
    <w:rsid w:val="00722D24"/>
    <w:rsid w:val="0072320E"/>
    <w:rsid w:val="00723799"/>
    <w:rsid w:val="00724149"/>
    <w:rsid w:val="007241CD"/>
    <w:rsid w:val="00725069"/>
    <w:rsid w:val="007250D9"/>
    <w:rsid w:val="00725F95"/>
    <w:rsid w:val="007260C2"/>
    <w:rsid w:val="007262CA"/>
    <w:rsid w:val="00726583"/>
    <w:rsid w:val="00726DB1"/>
    <w:rsid w:val="00727C98"/>
    <w:rsid w:val="00727F83"/>
    <w:rsid w:val="007301C7"/>
    <w:rsid w:val="00730FFA"/>
    <w:rsid w:val="00732696"/>
    <w:rsid w:val="00732A94"/>
    <w:rsid w:val="00732FCE"/>
    <w:rsid w:val="0073314A"/>
    <w:rsid w:val="00733459"/>
    <w:rsid w:val="007337C2"/>
    <w:rsid w:val="007338CE"/>
    <w:rsid w:val="00734501"/>
    <w:rsid w:val="0073474E"/>
    <w:rsid w:val="00734953"/>
    <w:rsid w:val="00735346"/>
    <w:rsid w:val="007357D9"/>
    <w:rsid w:val="00735A3C"/>
    <w:rsid w:val="007366A1"/>
    <w:rsid w:val="0073678C"/>
    <w:rsid w:val="00736BD5"/>
    <w:rsid w:val="00736C1B"/>
    <w:rsid w:val="00740056"/>
    <w:rsid w:val="00740302"/>
    <w:rsid w:val="00740C41"/>
    <w:rsid w:val="00740EF2"/>
    <w:rsid w:val="00741B74"/>
    <w:rsid w:val="00741BDE"/>
    <w:rsid w:val="00742479"/>
    <w:rsid w:val="007433FF"/>
    <w:rsid w:val="00743673"/>
    <w:rsid w:val="007436B6"/>
    <w:rsid w:val="007436CE"/>
    <w:rsid w:val="00743742"/>
    <w:rsid w:val="0074397A"/>
    <w:rsid w:val="00743D43"/>
    <w:rsid w:val="00743F05"/>
    <w:rsid w:val="007444B6"/>
    <w:rsid w:val="00744658"/>
    <w:rsid w:val="00744C36"/>
    <w:rsid w:val="00745549"/>
    <w:rsid w:val="00745839"/>
    <w:rsid w:val="00745F32"/>
    <w:rsid w:val="00746CB8"/>
    <w:rsid w:val="007470DE"/>
    <w:rsid w:val="00747682"/>
    <w:rsid w:val="00747D68"/>
    <w:rsid w:val="00750424"/>
    <w:rsid w:val="00750542"/>
    <w:rsid w:val="00750BF7"/>
    <w:rsid w:val="00750DA4"/>
    <w:rsid w:val="00751000"/>
    <w:rsid w:val="007513BF"/>
    <w:rsid w:val="007515E0"/>
    <w:rsid w:val="00751948"/>
    <w:rsid w:val="0075229F"/>
    <w:rsid w:val="00752589"/>
    <w:rsid w:val="007527B7"/>
    <w:rsid w:val="00752B12"/>
    <w:rsid w:val="0075336D"/>
    <w:rsid w:val="00753AB2"/>
    <w:rsid w:val="00754C98"/>
    <w:rsid w:val="00755E5D"/>
    <w:rsid w:val="0075603B"/>
    <w:rsid w:val="0075654B"/>
    <w:rsid w:val="0076073F"/>
    <w:rsid w:val="00760937"/>
    <w:rsid w:val="0076096B"/>
    <w:rsid w:val="00760A3D"/>
    <w:rsid w:val="007617B4"/>
    <w:rsid w:val="007628DC"/>
    <w:rsid w:val="007630C1"/>
    <w:rsid w:val="0076377D"/>
    <w:rsid w:val="00763D9B"/>
    <w:rsid w:val="00763DE7"/>
    <w:rsid w:val="007640D9"/>
    <w:rsid w:val="007643B4"/>
    <w:rsid w:val="00765295"/>
    <w:rsid w:val="00765FA9"/>
    <w:rsid w:val="007667DB"/>
    <w:rsid w:val="0076734B"/>
    <w:rsid w:val="0076761C"/>
    <w:rsid w:val="00770616"/>
    <w:rsid w:val="00770C08"/>
    <w:rsid w:val="007710B6"/>
    <w:rsid w:val="007717D0"/>
    <w:rsid w:val="007717E7"/>
    <w:rsid w:val="0077218A"/>
    <w:rsid w:val="00772551"/>
    <w:rsid w:val="007728F2"/>
    <w:rsid w:val="0077335C"/>
    <w:rsid w:val="007733D5"/>
    <w:rsid w:val="00773A72"/>
    <w:rsid w:val="00774984"/>
    <w:rsid w:val="00774A2D"/>
    <w:rsid w:val="00774DB9"/>
    <w:rsid w:val="00775806"/>
    <w:rsid w:val="00775D61"/>
    <w:rsid w:val="00776478"/>
    <w:rsid w:val="00776752"/>
    <w:rsid w:val="007769A9"/>
    <w:rsid w:val="00776E96"/>
    <w:rsid w:val="00776F27"/>
    <w:rsid w:val="00776FC6"/>
    <w:rsid w:val="00777B27"/>
    <w:rsid w:val="00777B94"/>
    <w:rsid w:val="00780A4A"/>
    <w:rsid w:val="007822DB"/>
    <w:rsid w:val="0078236D"/>
    <w:rsid w:val="007827B0"/>
    <w:rsid w:val="00783FB0"/>
    <w:rsid w:val="00784F27"/>
    <w:rsid w:val="007854D7"/>
    <w:rsid w:val="00785524"/>
    <w:rsid w:val="00785765"/>
    <w:rsid w:val="007862D6"/>
    <w:rsid w:val="007862FA"/>
    <w:rsid w:val="0078630C"/>
    <w:rsid w:val="00786312"/>
    <w:rsid w:val="00786763"/>
    <w:rsid w:val="007870C4"/>
    <w:rsid w:val="007876BA"/>
    <w:rsid w:val="00787C9D"/>
    <w:rsid w:val="00787DD3"/>
    <w:rsid w:val="007901A4"/>
    <w:rsid w:val="007904E7"/>
    <w:rsid w:val="007905D2"/>
    <w:rsid w:val="0079098A"/>
    <w:rsid w:val="0079376C"/>
    <w:rsid w:val="00793A8B"/>
    <w:rsid w:val="007940DA"/>
    <w:rsid w:val="00794A7B"/>
    <w:rsid w:val="00794F3B"/>
    <w:rsid w:val="0079516C"/>
    <w:rsid w:val="007951D3"/>
    <w:rsid w:val="00795D04"/>
    <w:rsid w:val="00796A5C"/>
    <w:rsid w:val="00796CD2"/>
    <w:rsid w:val="00797DFF"/>
    <w:rsid w:val="00797F7E"/>
    <w:rsid w:val="007A11C8"/>
    <w:rsid w:val="007A19CD"/>
    <w:rsid w:val="007A23CC"/>
    <w:rsid w:val="007A2A3A"/>
    <w:rsid w:val="007A2E5C"/>
    <w:rsid w:val="007A4DA7"/>
    <w:rsid w:val="007A533B"/>
    <w:rsid w:val="007A55B5"/>
    <w:rsid w:val="007A59E2"/>
    <w:rsid w:val="007A5A58"/>
    <w:rsid w:val="007A5BD8"/>
    <w:rsid w:val="007A62C4"/>
    <w:rsid w:val="007A6787"/>
    <w:rsid w:val="007A6A25"/>
    <w:rsid w:val="007A77C9"/>
    <w:rsid w:val="007A78E5"/>
    <w:rsid w:val="007A79A6"/>
    <w:rsid w:val="007A7FD3"/>
    <w:rsid w:val="007B05F1"/>
    <w:rsid w:val="007B0C53"/>
    <w:rsid w:val="007B1F33"/>
    <w:rsid w:val="007B20F6"/>
    <w:rsid w:val="007B2983"/>
    <w:rsid w:val="007B2E3F"/>
    <w:rsid w:val="007B318F"/>
    <w:rsid w:val="007B357E"/>
    <w:rsid w:val="007B38A7"/>
    <w:rsid w:val="007B3A64"/>
    <w:rsid w:val="007B3B00"/>
    <w:rsid w:val="007B3BA0"/>
    <w:rsid w:val="007B3BAD"/>
    <w:rsid w:val="007B3FAB"/>
    <w:rsid w:val="007B4392"/>
    <w:rsid w:val="007B4409"/>
    <w:rsid w:val="007B450A"/>
    <w:rsid w:val="007B4B60"/>
    <w:rsid w:val="007B58E0"/>
    <w:rsid w:val="007B74B0"/>
    <w:rsid w:val="007B7C85"/>
    <w:rsid w:val="007C09CD"/>
    <w:rsid w:val="007C0C6C"/>
    <w:rsid w:val="007C1AFF"/>
    <w:rsid w:val="007C338C"/>
    <w:rsid w:val="007C37EA"/>
    <w:rsid w:val="007C38AC"/>
    <w:rsid w:val="007C3BDA"/>
    <w:rsid w:val="007C49ED"/>
    <w:rsid w:val="007C4BBF"/>
    <w:rsid w:val="007C4D9A"/>
    <w:rsid w:val="007C6789"/>
    <w:rsid w:val="007C6A90"/>
    <w:rsid w:val="007C6C22"/>
    <w:rsid w:val="007C70B5"/>
    <w:rsid w:val="007C70E1"/>
    <w:rsid w:val="007C7992"/>
    <w:rsid w:val="007C7BF2"/>
    <w:rsid w:val="007C7DEE"/>
    <w:rsid w:val="007D0A9F"/>
    <w:rsid w:val="007D134A"/>
    <w:rsid w:val="007D16B9"/>
    <w:rsid w:val="007D3C11"/>
    <w:rsid w:val="007D4ACD"/>
    <w:rsid w:val="007D4D2A"/>
    <w:rsid w:val="007D61EA"/>
    <w:rsid w:val="007D65E4"/>
    <w:rsid w:val="007D744F"/>
    <w:rsid w:val="007D7855"/>
    <w:rsid w:val="007D7949"/>
    <w:rsid w:val="007D7987"/>
    <w:rsid w:val="007D7B04"/>
    <w:rsid w:val="007D7D02"/>
    <w:rsid w:val="007D7F8C"/>
    <w:rsid w:val="007E0B9B"/>
    <w:rsid w:val="007E0CA6"/>
    <w:rsid w:val="007E0CAB"/>
    <w:rsid w:val="007E0DA8"/>
    <w:rsid w:val="007E0E73"/>
    <w:rsid w:val="007E25BE"/>
    <w:rsid w:val="007E2A0B"/>
    <w:rsid w:val="007E2B1A"/>
    <w:rsid w:val="007E3277"/>
    <w:rsid w:val="007E35B2"/>
    <w:rsid w:val="007E36AC"/>
    <w:rsid w:val="007E412A"/>
    <w:rsid w:val="007E502F"/>
    <w:rsid w:val="007E52AE"/>
    <w:rsid w:val="007E53D3"/>
    <w:rsid w:val="007E5640"/>
    <w:rsid w:val="007E5954"/>
    <w:rsid w:val="007E5D88"/>
    <w:rsid w:val="007E5F41"/>
    <w:rsid w:val="007E5F87"/>
    <w:rsid w:val="007E733A"/>
    <w:rsid w:val="007E7B92"/>
    <w:rsid w:val="007F0036"/>
    <w:rsid w:val="007F1341"/>
    <w:rsid w:val="007F1A03"/>
    <w:rsid w:val="007F2DD4"/>
    <w:rsid w:val="007F35A6"/>
    <w:rsid w:val="007F3889"/>
    <w:rsid w:val="007F3DFA"/>
    <w:rsid w:val="007F3F5A"/>
    <w:rsid w:val="007F4495"/>
    <w:rsid w:val="007F4A58"/>
    <w:rsid w:val="007F4B4C"/>
    <w:rsid w:val="007F4DCD"/>
    <w:rsid w:val="007F516D"/>
    <w:rsid w:val="007F53CA"/>
    <w:rsid w:val="007F553D"/>
    <w:rsid w:val="007F59C2"/>
    <w:rsid w:val="007F68DB"/>
    <w:rsid w:val="007F6AC4"/>
    <w:rsid w:val="007F6CB5"/>
    <w:rsid w:val="008003D4"/>
    <w:rsid w:val="008019F4"/>
    <w:rsid w:val="00801EED"/>
    <w:rsid w:val="00801F1D"/>
    <w:rsid w:val="00802178"/>
    <w:rsid w:val="0080233A"/>
    <w:rsid w:val="00802517"/>
    <w:rsid w:val="0080274A"/>
    <w:rsid w:val="008035E5"/>
    <w:rsid w:val="0080362E"/>
    <w:rsid w:val="00803770"/>
    <w:rsid w:val="00804E7D"/>
    <w:rsid w:val="00805EF1"/>
    <w:rsid w:val="008063F3"/>
    <w:rsid w:val="00807017"/>
    <w:rsid w:val="00807497"/>
    <w:rsid w:val="0081004B"/>
    <w:rsid w:val="008101D3"/>
    <w:rsid w:val="008101EC"/>
    <w:rsid w:val="00810F3E"/>
    <w:rsid w:val="00811D29"/>
    <w:rsid w:val="00811F89"/>
    <w:rsid w:val="008125A0"/>
    <w:rsid w:val="00812865"/>
    <w:rsid w:val="008128A1"/>
    <w:rsid w:val="00814946"/>
    <w:rsid w:val="00815345"/>
    <w:rsid w:val="00815CF9"/>
    <w:rsid w:val="0081647B"/>
    <w:rsid w:val="008169A2"/>
    <w:rsid w:val="00816BAD"/>
    <w:rsid w:val="00817143"/>
    <w:rsid w:val="0081777B"/>
    <w:rsid w:val="008179B5"/>
    <w:rsid w:val="008218FA"/>
    <w:rsid w:val="00821927"/>
    <w:rsid w:val="00821B46"/>
    <w:rsid w:val="00821BD4"/>
    <w:rsid w:val="00821C26"/>
    <w:rsid w:val="00822684"/>
    <w:rsid w:val="008227A7"/>
    <w:rsid w:val="00822E8A"/>
    <w:rsid w:val="008244D3"/>
    <w:rsid w:val="00824905"/>
    <w:rsid w:val="00824AD9"/>
    <w:rsid w:val="00825A62"/>
    <w:rsid w:val="0082624B"/>
    <w:rsid w:val="00826BE1"/>
    <w:rsid w:val="008271EE"/>
    <w:rsid w:val="00827D31"/>
    <w:rsid w:val="00827E85"/>
    <w:rsid w:val="00827EFA"/>
    <w:rsid w:val="00830145"/>
    <w:rsid w:val="00830CA9"/>
    <w:rsid w:val="0083138F"/>
    <w:rsid w:val="00832233"/>
    <w:rsid w:val="00832759"/>
    <w:rsid w:val="008328FF"/>
    <w:rsid w:val="00832CB9"/>
    <w:rsid w:val="00832F1A"/>
    <w:rsid w:val="00833324"/>
    <w:rsid w:val="008333BA"/>
    <w:rsid w:val="00835AC6"/>
    <w:rsid w:val="00836A9E"/>
    <w:rsid w:val="00836C5C"/>
    <w:rsid w:val="00840123"/>
    <w:rsid w:val="00840669"/>
    <w:rsid w:val="008406C0"/>
    <w:rsid w:val="00840CCA"/>
    <w:rsid w:val="00841142"/>
    <w:rsid w:val="00841B13"/>
    <w:rsid w:val="00842BC0"/>
    <w:rsid w:val="00843713"/>
    <w:rsid w:val="00843AE2"/>
    <w:rsid w:val="00843C62"/>
    <w:rsid w:val="00843C6B"/>
    <w:rsid w:val="0084458B"/>
    <w:rsid w:val="00844779"/>
    <w:rsid w:val="00845EE2"/>
    <w:rsid w:val="008461E4"/>
    <w:rsid w:val="0084675F"/>
    <w:rsid w:val="0084706C"/>
    <w:rsid w:val="00847218"/>
    <w:rsid w:val="008474E9"/>
    <w:rsid w:val="008478C1"/>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266"/>
    <w:rsid w:val="00860722"/>
    <w:rsid w:val="00860723"/>
    <w:rsid w:val="00861461"/>
    <w:rsid w:val="00861BEC"/>
    <w:rsid w:val="008621F6"/>
    <w:rsid w:val="00862640"/>
    <w:rsid w:val="008632C2"/>
    <w:rsid w:val="00863344"/>
    <w:rsid w:val="00863491"/>
    <w:rsid w:val="00863593"/>
    <w:rsid w:val="00864188"/>
    <w:rsid w:val="008642CF"/>
    <w:rsid w:val="0086564C"/>
    <w:rsid w:val="00865E87"/>
    <w:rsid w:val="00866B1D"/>
    <w:rsid w:val="008673BD"/>
    <w:rsid w:val="00867759"/>
    <w:rsid w:val="00871F5B"/>
    <w:rsid w:val="008726AD"/>
    <w:rsid w:val="00872BC4"/>
    <w:rsid w:val="00872CA1"/>
    <w:rsid w:val="008734B9"/>
    <w:rsid w:val="0087364A"/>
    <w:rsid w:val="00873C71"/>
    <w:rsid w:val="00873D35"/>
    <w:rsid w:val="00873D95"/>
    <w:rsid w:val="00874706"/>
    <w:rsid w:val="00874B17"/>
    <w:rsid w:val="00875998"/>
    <w:rsid w:val="00875F2D"/>
    <w:rsid w:val="00875F9E"/>
    <w:rsid w:val="0087616E"/>
    <w:rsid w:val="00876FFB"/>
    <w:rsid w:val="00877091"/>
    <w:rsid w:val="008771BE"/>
    <w:rsid w:val="00877242"/>
    <w:rsid w:val="00877587"/>
    <w:rsid w:val="00881B8E"/>
    <w:rsid w:val="008825E9"/>
    <w:rsid w:val="008829DC"/>
    <w:rsid w:val="008838E0"/>
    <w:rsid w:val="00883BC7"/>
    <w:rsid w:val="008845B3"/>
    <w:rsid w:val="00884F61"/>
    <w:rsid w:val="00885779"/>
    <w:rsid w:val="00885B88"/>
    <w:rsid w:val="00885C20"/>
    <w:rsid w:val="008866EE"/>
    <w:rsid w:val="0088716B"/>
    <w:rsid w:val="008871E6"/>
    <w:rsid w:val="00891746"/>
    <w:rsid w:val="00891786"/>
    <w:rsid w:val="00891CF6"/>
    <w:rsid w:val="008921E3"/>
    <w:rsid w:val="008922D9"/>
    <w:rsid w:val="00893DD6"/>
    <w:rsid w:val="00893DEA"/>
    <w:rsid w:val="00894915"/>
    <w:rsid w:val="008954BC"/>
    <w:rsid w:val="008959D7"/>
    <w:rsid w:val="0089611A"/>
    <w:rsid w:val="00896396"/>
    <w:rsid w:val="0089709F"/>
    <w:rsid w:val="00897A00"/>
    <w:rsid w:val="008A0771"/>
    <w:rsid w:val="008A0E14"/>
    <w:rsid w:val="008A19FB"/>
    <w:rsid w:val="008A1CBD"/>
    <w:rsid w:val="008A1D38"/>
    <w:rsid w:val="008A1F7F"/>
    <w:rsid w:val="008A2393"/>
    <w:rsid w:val="008A29E7"/>
    <w:rsid w:val="008A2A70"/>
    <w:rsid w:val="008A2FD0"/>
    <w:rsid w:val="008A33E3"/>
    <w:rsid w:val="008A3425"/>
    <w:rsid w:val="008A383E"/>
    <w:rsid w:val="008A3908"/>
    <w:rsid w:val="008A397B"/>
    <w:rsid w:val="008A3E32"/>
    <w:rsid w:val="008A3E52"/>
    <w:rsid w:val="008A41F0"/>
    <w:rsid w:val="008A4A62"/>
    <w:rsid w:val="008A52AB"/>
    <w:rsid w:val="008A59BF"/>
    <w:rsid w:val="008A5AA9"/>
    <w:rsid w:val="008A61BF"/>
    <w:rsid w:val="008A6668"/>
    <w:rsid w:val="008A78FF"/>
    <w:rsid w:val="008A7C3C"/>
    <w:rsid w:val="008A7D8D"/>
    <w:rsid w:val="008A7EB7"/>
    <w:rsid w:val="008A7FBC"/>
    <w:rsid w:val="008B005F"/>
    <w:rsid w:val="008B02E6"/>
    <w:rsid w:val="008B09C8"/>
    <w:rsid w:val="008B0B3C"/>
    <w:rsid w:val="008B0F64"/>
    <w:rsid w:val="008B135B"/>
    <w:rsid w:val="008B16FD"/>
    <w:rsid w:val="008B174E"/>
    <w:rsid w:val="008B3434"/>
    <w:rsid w:val="008B3F7E"/>
    <w:rsid w:val="008B447F"/>
    <w:rsid w:val="008B4D10"/>
    <w:rsid w:val="008B4EED"/>
    <w:rsid w:val="008B53DC"/>
    <w:rsid w:val="008B61BA"/>
    <w:rsid w:val="008B6679"/>
    <w:rsid w:val="008B6B8F"/>
    <w:rsid w:val="008B737A"/>
    <w:rsid w:val="008B7B4C"/>
    <w:rsid w:val="008B7BB3"/>
    <w:rsid w:val="008C0F29"/>
    <w:rsid w:val="008C1315"/>
    <w:rsid w:val="008C14D5"/>
    <w:rsid w:val="008C1955"/>
    <w:rsid w:val="008C1C7A"/>
    <w:rsid w:val="008C1CB6"/>
    <w:rsid w:val="008C1CE5"/>
    <w:rsid w:val="008C2071"/>
    <w:rsid w:val="008C2148"/>
    <w:rsid w:val="008C30D5"/>
    <w:rsid w:val="008C354B"/>
    <w:rsid w:val="008C36DE"/>
    <w:rsid w:val="008C4DC8"/>
    <w:rsid w:val="008C53D4"/>
    <w:rsid w:val="008C57F4"/>
    <w:rsid w:val="008C5D41"/>
    <w:rsid w:val="008C5D48"/>
    <w:rsid w:val="008C5DEC"/>
    <w:rsid w:val="008C695E"/>
    <w:rsid w:val="008C71E2"/>
    <w:rsid w:val="008C72A1"/>
    <w:rsid w:val="008C759B"/>
    <w:rsid w:val="008C78F1"/>
    <w:rsid w:val="008D0088"/>
    <w:rsid w:val="008D143C"/>
    <w:rsid w:val="008D2088"/>
    <w:rsid w:val="008D2269"/>
    <w:rsid w:val="008D408E"/>
    <w:rsid w:val="008D4937"/>
    <w:rsid w:val="008D4DBF"/>
    <w:rsid w:val="008D52CF"/>
    <w:rsid w:val="008D53E1"/>
    <w:rsid w:val="008D5E88"/>
    <w:rsid w:val="008D62FD"/>
    <w:rsid w:val="008D73BF"/>
    <w:rsid w:val="008D7AC2"/>
    <w:rsid w:val="008D7BA8"/>
    <w:rsid w:val="008D7E0D"/>
    <w:rsid w:val="008E1DBA"/>
    <w:rsid w:val="008E221B"/>
    <w:rsid w:val="008E2FE4"/>
    <w:rsid w:val="008E31DD"/>
    <w:rsid w:val="008E3975"/>
    <w:rsid w:val="008E4408"/>
    <w:rsid w:val="008E4B15"/>
    <w:rsid w:val="008E510F"/>
    <w:rsid w:val="008E56E4"/>
    <w:rsid w:val="008E5A01"/>
    <w:rsid w:val="008E5C31"/>
    <w:rsid w:val="008E66DC"/>
    <w:rsid w:val="008E73DF"/>
    <w:rsid w:val="008E7730"/>
    <w:rsid w:val="008F02D2"/>
    <w:rsid w:val="008F03B6"/>
    <w:rsid w:val="008F166B"/>
    <w:rsid w:val="008F1782"/>
    <w:rsid w:val="008F19DD"/>
    <w:rsid w:val="008F1ADE"/>
    <w:rsid w:val="008F1CDB"/>
    <w:rsid w:val="008F210E"/>
    <w:rsid w:val="008F286A"/>
    <w:rsid w:val="008F2DE0"/>
    <w:rsid w:val="008F415C"/>
    <w:rsid w:val="008F4E90"/>
    <w:rsid w:val="008F4EE9"/>
    <w:rsid w:val="008F53EF"/>
    <w:rsid w:val="008F5698"/>
    <w:rsid w:val="008F6C64"/>
    <w:rsid w:val="008F6EBA"/>
    <w:rsid w:val="008F79B2"/>
    <w:rsid w:val="008F7AAB"/>
    <w:rsid w:val="00900C8B"/>
    <w:rsid w:val="00900E91"/>
    <w:rsid w:val="00901059"/>
    <w:rsid w:val="009010EF"/>
    <w:rsid w:val="00901D1D"/>
    <w:rsid w:val="00902022"/>
    <w:rsid w:val="0090288A"/>
    <w:rsid w:val="009036A3"/>
    <w:rsid w:val="00903AEE"/>
    <w:rsid w:val="0090412A"/>
    <w:rsid w:val="00904396"/>
    <w:rsid w:val="009077E4"/>
    <w:rsid w:val="00910158"/>
    <w:rsid w:val="009101E9"/>
    <w:rsid w:val="009104B2"/>
    <w:rsid w:val="00910DF3"/>
    <w:rsid w:val="00911004"/>
    <w:rsid w:val="009115D5"/>
    <w:rsid w:val="009120DD"/>
    <w:rsid w:val="009130E8"/>
    <w:rsid w:val="00913255"/>
    <w:rsid w:val="00913834"/>
    <w:rsid w:val="009140E6"/>
    <w:rsid w:val="00914127"/>
    <w:rsid w:val="00914C73"/>
    <w:rsid w:val="009156B7"/>
    <w:rsid w:val="00915872"/>
    <w:rsid w:val="00915B38"/>
    <w:rsid w:val="00915CD8"/>
    <w:rsid w:val="00916ACE"/>
    <w:rsid w:val="00916C0B"/>
    <w:rsid w:val="0091746C"/>
    <w:rsid w:val="0091751C"/>
    <w:rsid w:val="00917701"/>
    <w:rsid w:val="00921255"/>
    <w:rsid w:val="009214A9"/>
    <w:rsid w:val="00921A62"/>
    <w:rsid w:val="00921B4D"/>
    <w:rsid w:val="00922434"/>
    <w:rsid w:val="009227CE"/>
    <w:rsid w:val="009227E1"/>
    <w:rsid w:val="00922C78"/>
    <w:rsid w:val="009234F5"/>
    <w:rsid w:val="00923671"/>
    <w:rsid w:val="009238AC"/>
    <w:rsid w:val="0092416D"/>
    <w:rsid w:val="009243FA"/>
    <w:rsid w:val="00924807"/>
    <w:rsid w:val="009252DB"/>
    <w:rsid w:val="00925791"/>
    <w:rsid w:val="009258ED"/>
    <w:rsid w:val="0092613D"/>
    <w:rsid w:val="00926B0B"/>
    <w:rsid w:val="00926B76"/>
    <w:rsid w:val="00927B36"/>
    <w:rsid w:val="00927E0D"/>
    <w:rsid w:val="009300A4"/>
    <w:rsid w:val="00930286"/>
    <w:rsid w:val="009303CC"/>
    <w:rsid w:val="00930597"/>
    <w:rsid w:val="009306E2"/>
    <w:rsid w:val="00930D58"/>
    <w:rsid w:val="00930F1A"/>
    <w:rsid w:val="00931013"/>
    <w:rsid w:val="00931214"/>
    <w:rsid w:val="009313E9"/>
    <w:rsid w:val="009318E1"/>
    <w:rsid w:val="00932367"/>
    <w:rsid w:val="00933116"/>
    <w:rsid w:val="009332B9"/>
    <w:rsid w:val="00933519"/>
    <w:rsid w:val="00933CBE"/>
    <w:rsid w:val="00933E7F"/>
    <w:rsid w:val="00933FEB"/>
    <w:rsid w:val="009342C2"/>
    <w:rsid w:val="00934587"/>
    <w:rsid w:val="00934CD5"/>
    <w:rsid w:val="00935362"/>
    <w:rsid w:val="00935495"/>
    <w:rsid w:val="009356E8"/>
    <w:rsid w:val="00936461"/>
    <w:rsid w:val="0093659E"/>
    <w:rsid w:val="00937234"/>
    <w:rsid w:val="0093787F"/>
    <w:rsid w:val="009400C9"/>
    <w:rsid w:val="00940241"/>
    <w:rsid w:val="009403C9"/>
    <w:rsid w:val="00940A78"/>
    <w:rsid w:val="00940C84"/>
    <w:rsid w:val="00940D74"/>
    <w:rsid w:val="00941031"/>
    <w:rsid w:val="00941BD6"/>
    <w:rsid w:val="00941FB4"/>
    <w:rsid w:val="00941FD4"/>
    <w:rsid w:val="0094301B"/>
    <w:rsid w:val="009441B7"/>
    <w:rsid w:val="009447A9"/>
    <w:rsid w:val="00944B3E"/>
    <w:rsid w:val="00944C3C"/>
    <w:rsid w:val="00945779"/>
    <w:rsid w:val="00945ECF"/>
    <w:rsid w:val="00945FB4"/>
    <w:rsid w:val="009462FD"/>
    <w:rsid w:val="009470FC"/>
    <w:rsid w:val="00947889"/>
    <w:rsid w:val="00947C81"/>
    <w:rsid w:val="00950052"/>
    <w:rsid w:val="0095043E"/>
    <w:rsid w:val="0095048E"/>
    <w:rsid w:val="00950D38"/>
    <w:rsid w:val="009514EF"/>
    <w:rsid w:val="009516F2"/>
    <w:rsid w:val="009518EB"/>
    <w:rsid w:val="009527CC"/>
    <w:rsid w:val="00953033"/>
    <w:rsid w:val="009538EA"/>
    <w:rsid w:val="00953C0E"/>
    <w:rsid w:val="00953EA3"/>
    <w:rsid w:val="009545BC"/>
    <w:rsid w:val="00954823"/>
    <w:rsid w:val="009549D4"/>
    <w:rsid w:val="00954DFC"/>
    <w:rsid w:val="00955561"/>
    <w:rsid w:val="009557C5"/>
    <w:rsid w:val="00955C2B"/>
    <w:rsid w:val="009561A5"/>
    <w:rsid w:val="009568DD"/>
    <w:rsid w:val="00956AB7"/>
    <w:rsid w:val="00956BA1"/>
    <w:rsid w:val="00956BC9"/>
    <w:rsid w:val="00956CC9"/>
    <w:rsid w:val="00956E2E"/>
    <w:rsid w:val="009573F5"/>
    <w:rsid w:val="00957E9D"/>
    <w:rsid w:val="0096036C"/>
    <w:rsid w:val="009613B8"/>
    <w:rsid w:val="00961D12"/>
    <w:rsid w:val="00962008"/>
    <w:rsid w:val="00962096"/>
    <w:rsid w:val="009626CB"/>
    <w:rsid w:val="009627F7"/>
    <w:rsid w:val="00962D37"/>
    <w:rsid w:val="00963BB7"/>
    <w:rsid w:val="00963D6A"/>
    <w:rsid w:val="00963FDF"/>
    <w:rsid w:val="00964346"/>
    <w:rsid w:val="00964676"/>
    <w:rsid w:val="00964696"/>
    <w:rsid w:val="00964C69"/>
    <w:rsid w:val="00964DF4"/>
    <w:rsid w:val="00964E31"/>
    <w:rsid w:val="00964E52"/>
    <w:rsid w:val="0096556F"/>
    <w:rsid w:val="00965758"/>
    <w:rsid w:val="00965BCE"/>
    <w:rsid w:val="0096613E"/>
    <w:rsid w:val="00966205"/>
    <w:rsid w:val="0096675B"/>
    <w:rsid w:val="009670D3"/>
    <w:rsid w:val="00970832"/>
    <w:rsid w:val="00970A20"/>
    <w:rsid w:val="00971197"/>
    <w:rsid w:val="009712B6"/>
    <w:rsid w:val="00971549"/>
    <w:rsid w:val="0097181D"/>
    <w:rsid w:val="009718F8"/>
    <w:rsid w:val="00971CED"/>
    <w:rsid w:val="009720B9"/>
    <w:rsid w:val="00972995"/>
    <w:rsid w:val="00973D16"/>
    <w:rsid w:val="00974024"/>
    <w:rsid w:val="0097482B"/>
    <w:rsid w:val="00974B25"/>
    <w:rsid w:val="00974FCF"/>
    <w:rsid w:val="009755D0"/>
    <w:rsid w:val="00975676"/>
    <w:rsid w:val="0097774E"/>
    <w:rsid w:val="00977FF2"/>
    <w:rsid w:val="009801BB"/>
    <w:rsid w:val="009803C3"/>
    <w:rsid w:val="009803FC"/>
    <w:rsid w:val="00980554"/>
    <w:rsid w:val="00980CB6"/>
    <w:rsid w:val="00980D87"/>
    <w:rsid w:val="00981904"/>
    <w:rsid w:val="00981A83"/>
    <w:rsid w:val="00981BE2"/>
    <w:rsid w:val="00981F1B"/>
    <w:rsid w:val="00982752"/>
    <w:rsid w:val="00982843"/>
    <w:rsid w:val="009829C2"/>
    <w:rsid w:val="00982C4C"/>
    <w:rsid w:val="00983FD9"/>
    <w:rsid w:val="00984BD6"/>
    <w:rsid w:val="00984F8F"/>
    <w:rsid w:val="00984FB5"/>
    <w:rsid w:val="00984FF4"/>
    <w:rsid w:val="00985236"/>
    <w:rsid w:val="00985CDF"/>
    <w:rsid w:val="009862AC"/>
    <w:rsid w:val="0099081E"/>
    <w:rsid w:val="009916CF"/>
    <w:rsid w:val="00991BC7"/>
    <w:rsid w:val="009921AA"/>
    <w:rsid w:val="009925A5"/>
    <w:rsid w:val="00992E10"/>
    <w:rsid w:val="0099303B"/>
    <w:rsid w:val="00993D55"/>
    <w:rsid w:val="00994576"/>
    <w:rsid w:val="009945CE"/>
    <w:rsid w:val="00994718"/>
    <w:rsid w:val="00994918"/>
    <w:rsid w:val="009950D1"/>
    <w:rsid w:val="00995265"/>
    <w:rsid w:val="00995478"/>
    <w:rsid w:val="00996E0A"/>
    <w:rsid w:val="009974BC"/>
    <w:rsid w:val="009A0386"/>
    <w:rsid w:val="009A1427"/>
    <w:rsid w:val="009A2046"/>
    <w:rsid w:val="009A24C7"/>
    <w:rsid w:val="009A2BEE"/>
    <w:rsid w:val="009A329F"/>
    <w:rsid w:val="009A4E6F"/>
    <w:rsid w:val="009A4F50"/>
    <w:rsid w:val="009A5A96"/>
    <w:rsid w:val="009A5CEF"/>
    <w:rsid w:val="009A7264"/>
    <w:rsid w:val="009A73EC"/>
    <w:rsid w:val="009A79E1"/>
    <w:rsid w:val="009A7DFA"/>
    <w:rsid w:val="009B0276"/>
    <w:rsid w:val="009B0B70"/>
    <w:rsid w:val="009B0E8A"/>
    <w:rsid w:val="009B1060"/>
    <w:rsid w:val="009B1074"/>
    <w:rsid w:val="009B1170"/>
    <w:rsid w:val="009B14FE"/>
    <w:rsid w:val="009B28E7"/>
    <w:rsid w:val="009B316C"/>
    <w:rsid w:val="009B31B2"/>
    <w:rsid w:val="009B369C"/>
    <w:rsid w:val="009B3FEA"/>
    <w:rsid w:val="009B474B"/>
    <w:rsid w:val="009B4C07"/>
    <w:rsid w:val="009B541B"/>
    <w:rsid w:val="009B594E"/>
    <w:rsid w:val="009B63DE"/>
    <w:rsid w:val="009B732D"/>
    <w:rsid w:val="009C0384"/>
    <w:rsid w:val="009C0F56"/>
    <w:rsid w:val="009C11E3"/>
    <w:rsid w:val="009C1DD9"/>
    <w:rsid w:val="009C1F2B"/>
    <w:rsid w:val="009C2375"/>
    <w:rsid w:val="009C243A"/>
    <w:rsid w:val="009C2BEB"/>
    <w:rsid w:val="009C4080"/>
    <w:rsid w:val="009C4333"/>
    <w:rsid w:val="009C548B"/>
    <w:rsid w:val="009C5536"/>
    <w:rsid w:val="009C60A0"/>
    <w:rsid w:val="009C66BA"/>
    <w:rsid w:val="009C6A36"/>
    <w:rsid w:val="009C75D0"/>
    <w:rsid w:val="009D0481"/>
    <w:rsid w:val="009D0C8C"/>
    <w:rsid w:val="009D0E69"/>
    <w:rsid w:val="009D0F6B"/>
    <w:rsid w:val="009D17DE"/>
    <w:rsid w:val="009D1E1F"/>
    <w:rsid w:val="009D21DD"/>
    <w:rsid w:val="009D2476"/>
    <w:rsid w:val="009D311B"/>
    <w:rsid w:val="009D3E47"/>
    <w:rsid w:val="009D3F11"/>
    <w:rsid w:val="009D452D"/>
    <w:rsid w:val="009D4AD6"/>
    <w:rsid w:val="009D516D"/>
    <w:rsid w:val="009D5377"/>
    <w:rsid w:val="009D593C"/>
    <w:rsid w:val="009D62D6"/>
    <w:rsid w:val="009D72E9"/>
    <w:rsid w:val="009D756C"/>
    <w:rsid w:val="009D7C6B"/>
    <w:rsid w:val="009E0720"/>
    <w:rsid w:val="009E0924"/>
    <w:rsid w:val="009E0F45"/>
    <w:rsid w:val="009E0F68"/>
    <w:rsid w:val="009E1005"/>
    <w:rsid w:val="009E124D"/>
    <w:rsid w:val="009E1419"/>
    <w:rsid w:val="009E14F9"/>
    <w:rsid w:val="009E1639"/>
    <w:rsid w:val="009E16A7"/>
    <w:rsid w:val="009E1B4C"/>
    <w:rsid w:val="009E24AA"/>
    <w:rsid w:val="009E2CE0"/>
    <w:rsid w:val="009E2EAC"/>
    <w:rsid w:val="009E35C7"/>
    <w:rsid w:val="009E3C60"/>
    <w:rsid w:val="009E3FDD"/>
    <w:rsid w:val="009E460C"/>
    <w:rsid w:val="009E4A65"/>
    <w:rsid w:val="009E4B9D"/>
    <w:rsid w:val="009E549A"/>
    <w:rsid w:val="009E5710"/>
    <w:rsid w:val="009E58BB"/>
    <w:rsid w:val="009E620E"/>
    <w:rsid w:val="009E712D"/>
    <w:rsid w:val="009E75C2"/>
    <w:rsid w:val="009E7BE3"/>
    <w:rsid w:val="009E7DA3"/>
    <w:rsid w:val="009E7EED"/>
    <w:rsid w:val="009F04B2"/>
    <w:rsid w:val="009F04FB"/>
    <w:rsid w:val="009F10E6"/>
    <w:rsid w:val="009F118B"/>
    <w:rsid w:val="009F1551"/>
    <w:rsid w:val="009F192E"/>
    <w:rsid w:val="009F1D1B"/>
    <w:rsid w:val="009F1FCA"/>
    <w:rsid w:val="009F21E9"/>
    <w:rsid w:val="009F2449"/>
    <w:rsid w:val="009F270D"/>
    <w:rsid w:val="009F29DC"/>
    <w:rsid w:val="009F33FC"/>
    <w:rsid w:val="009F4520"/>
    <w:rsid w:val="009F4637"/>
    <w:rsid w:val="009F5286"/>
    <w:rsid w:val="009F59A0"/>
    <w:rsid w:val="009F5DB1"/>
    <w:rsid w:val="009F5F69"/>
    <w:rsid w:val="009F66E7"/>
    <w:rsid w:val="009F76D6"/>
    <w:rsid w:val="009F77A9"/>
    <w:rsid w:val="009F7896"/>
    <w:rsid w:val="009F7DD6"/>
    <w:rsid w:val="00A00066"/>
    <w:rsid w:val="00A00BBA"/>
    <w:rsid w:val="00A00C0F"/>
    <w:rsid w:val="00A00CA3"/>
    <w:rsid w:val="00A010F7"/>
    <w:rsid w:val="00A01903"/>
    <w:rsid w:val="00A01B74"/>
    <w:rsid w:val="00A021EE"/>
    <w:rsid w:val="00A02499"/>
    <w:rsid w:val="00A024D8"/>
    <w:rsid w:val="00A0283F"/>
    <w:rsid w:val="00A0296C"/>
    <w:rsid w:val="00A03DC3"/>
    <w:rsid w:val="00A04642"/>
    <w:rsid w:val="00A04C1C"/>
    <w:rsid w:val="00A05C12"/>
    <w:rsid w:val="00A0600F"/>
    <w:rsid w:val="00A063EE"/>
    <w:rsid w:val="00A066FC"/>
    <w:rsid w:val="00A06D28"/>
    <w:rsid w:val="00A06D5D"/>
    <w:rsid w:val="00A07295"/>
    <w:rsid w:val="00A073CF"/>
    <w:rsid w:val="00A07A52"/>
    <w:rsid w:val="00A104CC"/>
    <w:rsid w:val="00A105EE"/>
    <w:rsid w:val="00A1065C"/>
    <w:rsid w:val="00A10844"/>
    <w:rsid w:val="00A10AB9"/>
    <w:rsid w:val="00A10AD6"/>
    <w:rsid w:val="00A113BF"/>
    <w:rsid w:val="00A113CC"/>
    <w:rsid w:val="00A12784"/>
    <w:rsid w:val="00A12E42"/>
    <w:rsid w:val="00A130E3"/>
    <w:rsid w:val="00A140F0"/>
    <w:rsid w:val="00A14364"/>
    <w:rsid w:val="00A14EF6"/>
    <w:rsid w:val="00A1543B"/>
    <w:rsid w:val="00A157EE"/>
    <w:rsid w:val="00A16456"/>
    <w:rsid w:val="00A165C6"/>
    <w:rsid w:val="00A16C85"/>
    <w:rsid w:val="00A16CA1"/>
    <w:rsid w:val="00A16F01"/>
    <w:rsid w:val="00A17696"/>
    <w:rsid w:val="00A200DB"/>
    <w:rsid w:val="00A20181"/>
    <w:rsid w:val="00A201EE"/>
    <w:rsid w:val="00A20E87"/>
    <w:rsid w:val="00A21B5B"/>
    <w:rsid w:val="00A22732"/>
    <w:rsid w:val="00A23497"/>
    <w:rsid w:val="00A24D43"/>
    <w:rsid w:val="00A24E76"/>
    <w:rsid w:val="00A25571"/>
    <w:rsid w:val="00A258CC"/>
    <w:rsid w:val="00A267C3"/>
    <w:rsid w:val="00A27335"/>
    <w:rsid w:val="00A276EE"/>
    <w:rsid w:val="00A30941"/>
    <w:rsid w:val="00A30A5D"/>
    <w:rsid w:val="00A3136F"/>
    <w:rsid w:val="00A31472"/>
    <w:rsid w:val="00A3155A"/>
    <w:rsid w:val="00A32534"/>
    <w:rsid w:val="00A32590"/>
    <w:rsid w:val="00A325CC"/>
    <w:rsid w:val="00A329BF"/>
    <w:rsid w:val="00A32F52"/>
    <w:rsid w:val="00A33079"/>
    <w:rsid w:val="00A33161"/>
    <w:rsid w:val="00A33E51"/>
    <w:rsid w:val="00A342C9"/>
    <w:rsid w:val="00A34339"/>
    <w:rsid w:val="00A358DF"/>
    <w:rsid w:val="00A366FC"/>
    <w:rsid w:val="00A36AA7"/>
    <w:rsid w:val="00A3744E"/>
    <w:rsid w:val="00A3766C"/>
    <w:rsid w:val="00A37C93"/>
    <w:rsid w:val="00A37FB6"/>
    <w:rsid w:val="00A40049"/>
    <w:rsid w:val="00A40297"/>
    <w:rsid w:val="00A40640"/>
    <w:rsid w:val="00A4095E"/>
    <w:rsid w:val="00A41388"/>
    <w:rsid w:val="00A41583"/>
    <w:rsid w:val="00A41751"/>
    <w:rsid w:val="00A41E54"/>
    <w:rsid w:val="00A42057"/>
    <w:rsid w:val="00A43389"/>
    <w:rsid w:val="00A43A26"/>
    <w:rsid w:val="00A43D44"/>
    <w:rsid w:val="00A43DDB"/>
    <w:rsid w:val="00A43F10"/>
    <w:rsid w:val="00A44025"/>
    <w:rsid w:val="00A440BE"/>
    <w:rsid w:val="00A4431B"/>
    <w:rsid w:val="00A44560"/>
    <w:rsid w:val="00A445B5"/>
    <w:rsid w:val="00A4464E"/>
    <w:rsid w:val="00A44671"/>
    <w:rsid w:val="00A4496C"/>
    <w:rsid w:val="00A44E3B"/>
    <w:rsid w:val="00A4567E"/>
    <w:rsid w:val="00A4596B"/>
    <w:rsid w:val="00A45996"/>
    <w:rsid w:val="00A46035"/>
    <w:rsid w:val="00A46B7B"/>
    <w:rsid w:val="00A5039C"/>
    <w:rsid w:val="00A50CF1"/>
    <w:rsid w:val="00A50DDD"/>
    <w:rsid w:val="00A51245"/>
    <w:rsid w:val="00A52656"/>
    <w:rsid w:val="00A52D01"/>
    <w:rsid w:val="00A52D69"/>
    <w:rsid w:val="00A532B0"/>
    <w:rsid w:val="00A539F6"/>
    <w:rsid w:val="00A53EF4"/>
    <w:rsid w:val="00A543A9"/>
    <w:rsid w:val="00A54A6A"/>
    <w:rsid w:val="00A54EBB"/>
    <w:rsid w:val="00A55009"/>
    <w:rsid w:val="00A55AF4"/>
    <w:rsid w:val="00A560A5"/>
    <w:rsid w:val="00A5627D"/>
    <w:rsid w:val="00A566A0"/>
    <w:rsid w:val="00A57179"/>
    <w:rsid w:val="00A57BF6"/>
    <w:rsid w:val="00A57C78"/>
    <w:rsid w:val="00A60067"/>
    <w:rsid w:val="00A603F1"/>
    <w:rsid w:val="00A61BF2"/>
    <w:rsid w:val="00A61C61"/>
    <w:rsid w:val="00A62458"/>
    <w:rsid w:val="00A62D79"/>
    <w:rsid w:val="00A63566"/>
    <w:rsid w:val="00A637D3"/>
    <w:rsid w:val="00A64823"/>
    <w:rsid w:val="00A64A0C"/>
    <w:rsid w:val="00A64C55"/>
    <w:rsid w:val="00A662B8"/>
    <w:rsid w:val="00A6688E"/>
    <w:rsid w:val="00A66A89"/>
    <w:rsid w:val="00A6715C"/>
    <w:rsid w:val="00A67C72"/>
    <w:rsid w:val="00A70C44"/>
    <w:rsid w:val="00A7132A"/>
    <w:rsid w:val="00A71457"/>
    <w:rsid w:val="00A718C9"/>
    <w:rsid w:val="00A71921"/>
    <w:rsid w:val="00A7210D"/>
    <w:rsid w:val="00A725AE"/>
    <w:rsid w:val="00A7263A"/>
    <w:rsid w:val="00A72B86"/>
    <w:rsid w:val="00A73401"/>
    <w:rsid w:val="00A738B7"/>
    <w:rsid w:val="00A739F1"/>
    <w:rsid w:val="00A73FBF"/>
    <w:rsid w:val="00A7465C"/>
    <w:rsid w:val="00A74753"/>
    <w:rsid w:val="00A7566C"/>
    <w:rsid w:val="00A760B4"/>
    <w:rsid w:val="00A766A8"/>
    <w:rsid w:val="00A76EB4"/>
    <w:rsid w:val="00A777B2"/>
    <w:rsid w:val="00A77A43"/>
    <w:rsid w:val="00A77C50"/>
    <w:rsid w:val="00A77D3C"/>
    <w:rsid w:val="00A77D70"/>
    <w:rsid w:val="00A80038"/>
    <w:rsid w:val="00A804CB"/>
    <w:rsid w:val="00A817CA"/>
    <w:rsid w:val="00A81DE3"/>
    <w:rsid w:val="00A821AA"/>
    <w:rsid w:val="00A822FB"/>
    <w:rsid w:val="00A83B61"/>
    <w:rsid w:val="00A83BFD"/>
    <w:rsid w:val="00A83C33"/>
    <w:rsid w:val="00A84212"/>
    <w:rsid w:val="00A84826"/>
    <w:rsid w:val="00A84EA4"/>
    <w:rsid w:val="00A85056"/>
    <w:rsid w:val="00A85F1D"/>
    <w:rsid w:val="00A879AA"/>
    <w:rsid w:val="00A9119C"/>
    <w:rsid w:val="00A9178C"/>
    <w:rsid w:val="00A91DEC"/>
    <w:rsid w:val="00A92922"/>
    <w:rsid w:val="00A92AFC"/>
    <w:rsid w:val="00A9346A"/>
    <w:rsid w:val="00A93D14"/>
    <w:rsid w:val="00A93DA7"/>
    <w:rsid w:val="00A941AE"/>
    <w:rsid w:val="00A9420F"/>
    <w:rsid w:val="00A94F2F"/>
    <w:rsid w:val="00A953A1"/>
    <w:rsid w:val="00A95DA6"/>
    <w:rsid w:val="00A96497"/>
    <w:rsid w:val="00A967CB"/>
    <w:rsid w:val="00A96924"/>
    <w:rsid w:val="00A96ACD"/>
    <w:rsid w:val="00A9703B"/>
    <w:rsid w:val="00AA0508"/>
    <w:rsid w:val="00AA0A7C"/>
    <w:rsid w:val="00AA176F"/>
    <w:rsid w:val="00AA2697"/>
    <w:rsid w:val="00AA2931"/>
    <w:rsid w:val="00AA2C16"/>
    <w:rsid w:val="00AA3B9B"/>
    <w:rsid w:val="00AA4403"/>
    <w:rsid w:val="00AA445C"/>
    <w:rsid w:val="00AA464F"/>
    <w:rsid w:val="00AA49CE"/>
    <w:rsid w:val="00AA6C14"/>
    <w:rsid w:val="00AA6E7D"/>
    <w:rsid w:val="00AA7203"/>
    <w:rsid w:val="00AA7853"/>
    <w:rsid w:val="00AB044C"/>
    <w:rsid w:val="00AB06AB"/>
    <w:rsid w:val="00AB06B1"/>
    <w:rsid w:val="00AB11F6"/>
    <w:rsid w:val="00AB1EB2"/>
    <w:rsid w:val="00AB1EED"/>
    <w:rsid w:val="00AB267F"/>
    <w:rsid w:val="00AB27B4"/>
    <w:rsid w:val="00AB3439"/>
    <w:rsid w:val="00AB391D"/>
    <w:rsid w:val="00AB429A"/>
    <w:rsid w:val="00AB4312"/>
    <w:rsid w:val="00AB438B"/>
    <w:rsid w:val="00AB43B3"/>
    <w:rsid w:val="00AB4859"/>
    <w:rsid w:val="00AB5208"/>
    <w:rsid w:val="00AB5238"/>
    <w:rsid w:val="00AB5772"/>
    <w:rsid w:val="00AB69FD"/>
    <w:rsid w:val="00AB6B92"/>
    <w:rsid w:val="00AB6DC0"/>
    <w:rsid w:val="00AB7664"/>
    <w:rsid w:val="00AB775F"/>
    <w:rsid w:val="00AB787E"/>
    <w:rsid w:val="00AB7A6D"/>
    <w:rsid w:val="00AB7D28"/>
    <w:rsid w:val="00AB7E89"/>
    <w:rsid w:val="00AC0A2D"/>
    <w:rsid w:val="00AC180B"/>
    <w:rsid w:val="00AC1DC0"/>
    <w:rsid w:val="00AC1F0D"/>
    <w:rsid w:val="00AC1F74"/>
    <w:rsid w:val="00AC206E"/>
    <w:rsid w:val="00AC29A5"/>
    <w:rsid w:val="00AC367E"/>
    <w:rsid w:val="00AC394D"/>
    <w:rsid w:val="00AC3ABC"/>
    <w:rsid w:val="00AC3F4D"/>
    <w:rsid w:val="00AC4396"/>
    <w:rsid w:val="00AC447A"/>
    <w:rsid w:val="00AC57F9"/>
    <w:rsid w:val="00AC6324"/>
    <w:rsid w:val="00AC647D"/>
    <w:rsid w:val="00AC65C1"/>
    <w:rsid w:val="00AC6632"/>
    <w:rsid w:val="00AC7142"/>
    <w:rsid w:val="00AD0646"/>
    <w:rsid w:val="00AD070F"/>
    <w:rsid w:val="00AD08C7"/>
    <w:rsid w:val="00AD0AB7"/>
    <w:rsid w:val="00AD108A"/>
    <w:rsid w:val="00AD1969"/>
    <w:rsid w:val="00AD279C"/>
    <w:rsid w:val="00AD2A30"/>
    <w:rsid w:val="00AD3589"/>
    <w:rsid w:val="00AD3A86"/>
    <w:rsid w:val="00AD407D"/>
    <w:rsid w:val="00AD46A1"/>
    <w:rsid w:val="00AD476E"/>
    <w:rsid w:val="00AD5568"/>
    <w:rsid w:val="00AD5A26"/>
    <w:rsid w:val="00AD5CC7"/>
    <w:rsid w:val="00AD5D6E"/>
    <w:rsid w:val="00AD6699"/>
    <w:rsid w:val="00AD69B7"/>
    <w:rsid w:val="00AD73BF"/>
    <w:rsid w:val="00AD741C"/>
    <w:rsid w:val="00AD7471"/>
    <w:rsid w:val="00AD7520"/>
    <w:rsid w:val="00AD7D7F"/>
    <w:rsid w:val="00AD7F51"/>
    <w:rsid w:val="00AE04CF"/>
    <w:rsid w:val="00AE09CA"/>
    <w:rsid w:val="00AE0AD8"/>
    <w:rsid w:val="00AE11C1"/>
    <w:rsid w:val="00AE1353"/>
    <w:rsid w:val="00AE1424"/>
    <w:rsid w:val="00AE1A2A"/>
    <w:rsid w:val="00AE1BB4"/>
    <w:rsid w:val="00AE1BB6"/>
    <w:rsid w:val="00AE1CFE"/>
    <w:rsid w:val="00AE2300"/>
    <w:rsid w:val="00AE299B"/>
    <w:rsid w:val="00AE2DF0"/>
    <w:rsid w:val="00AE3AC9"/>
    <w:rsid w:val="00AE3D3F"/>
    <w:rsid w:val="00AE4990"/>
    <w:rsid w:val="00AE4C23"/>
    <w:rsid w:val="00AE4E6F"/>
    <w:rsid w:val="00AE556B"/>
    <w:rsid w:val="00AE59A0"/>
    <w:rsid w:val="00AE5CDF"/>
    <w:rsid w:val="00AE5ED4"/>
    <w:rsid w:val="00AE5F32"/>
    <w:rsid w:val="00AE7014"/>
    <w:rsid w:val="00AE7403"/>
    <w:rsid w:val="00AE7E86"/>
    <w:rsid w:val="00AF057D"/>
    <w:rsid w:val="00AF066F"/>
    <w:rsid w:val="00AF06E5"/>
    <w:rsid w:val="00AF2159"/>
    <w:rsid w:val="00AF2273"/>
    <w:rsid w:val="00AF271E"/>
    <w:rsid w:val="00AF2B82"/>
    <w:rsid w:val="00AF348F"/>
    <w:rsid w:val="00AF3934"/>
    <w:rsid w:val="00AF39AB"/>
    <w:rsid w:val="00AF4DBC"/>
    <w:rsid w:val="00AF50A1"/>
    <w:rsid w:val="00AF63FA"/>
    <w:rsid w:val="00AF6B78"/>
    <w:rsid w:val="00AF6BBC"/>
    <w:rsid w:val="00AF7423"/>
    <w:rsid w:val="00AF76E2"/>
    <w:rsid w:val="00B00138"/>
    <w:rsid w:val="00B01125"/>
    <w:rsid w:val="00B0128F"/>
    <w:rsid w:val="00B01445"/>
    <w:rsid w:val="00B01D06"/>
    <w:rsid w:val="00B01E2D"/>
    <w:rsid w:val="00B01FEA"/>
    <w:rsid w:val="00B02815"/>
    <w:rsid w:val="00B02B03"/>
    <w:rsid w:val="00B02E4C"/>
    <w:rsid w:val="00B035FB"/>
    <w:rsid w:val="00B0367B"/>
    <w:rsid w:val="00B04319"/>
    <w:rsid w:val="00B047A3"/>
    <w:rsid w:val="00B048C3"/>
    <w:rsid w:val="00B05385"/>
    <w:rsid w:val="00B05B06"/>
    <w:rsid w:val="00B06280"/>
    <w:rsid w:val="00B06694"/>
    <w:rsid w:val="00B06E77"/>
    <w:rsid w:val="00B07242"/>
    <w:rsid w:val="00B072C6"/>
    <w:rsid w:val="00B07B96"/>
    <w:rsid w:val="00B07C96"/>
    <w:rsid w:val="00B10064"/>
    <w:rsid w:val="00B10D3D"/>
    <w:rsid w:val="00B10FA2"/>
    <w:rsid w:val="00B11915"/>
    <w:rsid w:val="00B122E9"/>
    <w:rsid w:val="00B1275C"/>
    <w:rsid w:val="00B12A9C"/>
    <w:rsid w:val="00B130BE"/>
    <w:rsid w:val="00B131BB"/>
    <w:rsid w:val="00B132DB"/>
    <w:rsid w:val="00B137A1"/>
    <w:rsid w:val="00B13BA6"/>
    <w:rsid w:val="00B146B1"/>
    <w:rsid w:val="00B14C69"/>
    <w:rsid w:val="00B151F7"/>
    <w:rsid w:val="00B15332"/>
    <w:rsid w:val="00B15991"/>
    <w:rsid w:val="00B15F10"/>
    <w:rsid w:val="00B1604B"/>
    <w:rsid w:val="00B1747D"/>
    <w:rsid w:val="00B176F3"/>
    <w:rsid w:val="00B17AD2"/>
    <w:rsid w:val="00B17C6C"/>
    <w:rsid w:val="00B204CF"/>
    <w:rsid w:val="00B21C4E"/>
    <w:rsid w:val="00B21F9C"/>
    <w:rsid w:val="00B22566"/>
    <w:rsid w:val="00B225E2"/>
    <w:rsid w:val="00B2286E"/>
    <w:rsid w:val="00B22FF4"/>
    <w:rsid w:val="00B23E25"/>
    <w:rsid w:val="00B24889"/>
    <w:rsid w:val="00B24EAB"/>
    <w:rsid w:val="00B24F67"/>
    <w:rsid w:val="00B25481"/>
    <w:rsid w:val="00B25510"/>
    <w:rsid w:val="00B25637"/>
    <w:rsid w:val="00B264B0"/>
    <w:rsid w:val="00B26C42"/>
    <w:rsid w:val="00B27662"/>
    <w:rsid w:val="00B30670"/>
    <w:rsid w:val="00B31530"/>
    <w:rsid w:val="00B3160D"/>
    <w:rsid w:val="00B316DA"/>
    <w:rsid w:val="00B31E3F"/>
    <w:rsid w:val="00B32686"/>
    <w:rsid w:val="00B33945"/>
    <w:rsid w:val="00B341C8"/>
    <w:rsid w:val="00B34CA3"/>
    <w:rsid w:val="00B351D7"/>
    <w:rsid w:val="00B366C7"/>
    <w:rsid w:val="00B368E0"/>
    <w:rsid w:val="00B376B7"/>
    <w:rsid w:val="00B37D27"/>
    <w:rsid w:val="00B37FF7"/>
    <w:rsid w:val="00B407F4"/>
    <w:rsid w:val="00B415B0"/>
    <w:rsid w:val="00B41C54"/>
    <w:rsid w:val="00B41DF2"/>
    <w:rsid w:val="00B4382C"/>
    <w:rsid w:val="00B43D37"/>
    <w:rsid w:val="00B44878"/>
    <w:rsid w:val="00B4518F"/>
    <w:rsid w:val="00B45461"/>
    <w:rsid w:val="00B4583E"/>
    <w:rsid w:val="00B45C5D"/>
    <w:rsid w:val="00B45CED"/>
    <w:rsid w:val="00B463CC"/>
    <w:rsid w:val="00B46540"/>
    <w:rsid w:val="00B46836"/>
    <w:rsid w:val="00B46A0E"/>
    <w:rsid w:val="00B46E02"/>
    <w:rsid w:val="00B47330"/>
    <w:rsid w:val="00B47CCC"/>
    <w:rsid w:val="00B47F01"/>
    <w:rsid w:val="00B500A0"/>
    <w:rsid w:val="00B50478"/>
    <w:rsid w:val="00B50B7A"/>
    <w:rsid w:val="00B51654"/>
    <w:rsid w:val="00B518E7"/>
    <w:rsid w:val="00B51E24"/>
    <w:rsid w:val="00B51F1E"/>
    <w:rsid w:val="00B52C10"/>
    <w:rsid w:val="00B52EAC"/>
    <w:rsid w:val="00B534DA"/>
    <w:rsid w:val="00B538C0"/>
    <w:rsid w:val="00B53A21"/>
    <w:rsid w:val="00B53C36"/>
    <w:rsid w:val="00B53E29"/>
    <w:rsid w:val="00B53F13"/>
    <w:rsid w:val="00B54057"/>
    <w:rsid w:val="00B54509"/>
    <w:rsid w:val="00B54A23"/>
    <w:rsid w:val="00B55419"/>
    <w:rsid w:val="00B55718"/>
    <w:rsid w:val="00B55A71"/>
    <w:rsid w:val="00B55DA4"/>
    <w:rsid w:val="00B56152"/>
    <w:rsid w:val="00B5666E"/>
    <w:rsid w:val="00B57761"/>
    <w:rsid w:val="00B57E40"/>
    <w:rsid w:val="00B60032"/>
    <w:rsid w:val="00B60F76"/>
    <w:rsid w:val="00B61810"/>
    <w:rsid w:val="00B61F7C"/>
    <w:rsid w:val="00B63062"/>
    <w:rsid w:val="00B6322E"/>
    <w:rsid w:val="00B63678"/>
    <w:rsid w:val="00B6395C"/>
    <w:rsid w:val="00B64145"/>
    <w:rsid w:val="00B64B2B"/>
    <w:rsid w:val="00B64F36"/>
    <w:rsid w:val="00B654EA"/>
    <w:rsid w:val="00B67339"/>
    <w:rsid w:val="00B67356"/>
    <w:rsid w:val="00B67465"/>
    <w:rsid w:val="00B674AC"/>
    <w:rsid w:val="00B7062A"/>
    <w:rsid w:val="00B708AB"/>
    <w:rsid w:val="00B708F6"/>
    <w:rsid w:val="00B7094B"/>
    <w:rsid w:val="00B70BA5"/>
    <w:rsid w:val="00B70DE2"/>
    <w:rsid w:val="00B71814"/>
    <w:rsid w:val="00B71B34"/>
    <w:rsid w:val="00B71BD1"/>
    <w:rsid w:val="00B7201F"/>
    <w:rsid w:val="00B720B0"/>
    <w:rsid w:val="00B72213"/>
    <w:rsid w:val="00B72735"/>
    <w:rsid w:val="00B732A3"/>
    <w:rsid w:val="00B73348"/>
    <w:rsid w:val="00B73442"/>
    <w:rsid w:val="00B73783"/>
    <w:rsid w:val="00B744D6"/>
    <w:rsid w:val="00B75974"/>
    <w:rsid w:val="00B75E09"/>
    <w:rsid w:val="00B75F16"/>
    <w:rsid w:val="00B7649F"/>
    <w:rsid w:val="00B7675D"/>
    <w:rsid w:val="00B76E37"/>
    <w:rsid w:val="00B76FF1"/>
    <w:rsid w:val="00B77027"/>
    <w:rsid w:val="00B771B0"/>
    <w:rsid w:val="00B77423"/>
    <w:rsid w:val="00B775AF"/>
    <w:rsid w:val="00B775B3"/>
    <w:rsid w:val="00B779CE"/>
    <w:rsid w:val="00B80BB7"/>
    <w:rsid w:val="00B81CB9"/>
    <w:rsid w:val="00B81D30"/>
    <w:rsid w:val="00B8229C"/>
    <w:rsid w:val="00B836D6"/>
    <w:rsid w:val="00B845C4"/>
    <w:rsid w:val="00B853AA"/>
    <w:rsid w:val="00B85CCD"/>
    <w:rsid w:val="00B85D96"/>
    <w:rsid w:val="00B86319"/>
    <w:rsid w:val="00B86C7E"/>
    <w:rsid w:val="00B87B14"/>
    <w:rsid w:val="00B87D0B"/>
    <w:rsid w:val="00B91167"/>
    <w:rsid w:val="00B91D3D"/>
    <w:rsid w:val="00B92228"/>
    <w:rsid w:val="00B9318E"/>
    <w:rsid w:val="00B932F8"/>
    <w:rsid w:val="00B93D37"/>
    <w:rsid w:val="00B93F32"/>
    <w:rsid w:val="00B94943"/>
    <w:rsid w:val="00B94C6C"/>
    <w:rsid w:val="00B94CAF"/>
    <w:rsid w:val="00B95034"/>
    <w:rsid w:val="00B951FB"/>
    <w:rsid w:val="00B95506"/>
    <w:rsid w:val="00B95C5D"/>
    <w:rsid w:val="00B9653A"/>
    <w:rsid w:val="00B96583"/>
    <w:rsid w:val="00B969FA"/>
    <w:rsid w:val="00BA060A"/>
    <w:rsid w:val="00BA0A43"/>
    <w:rsid w:val="00BA12D8"/>
    <w:rsid w:val="00BA1C19"/>
    <w:rsid w:val="00BA2280"/>
    <w:rsid w:val="00BA38A4"/>
    <w:rsid w:val="00BA38AF"/>
    <w:rsid w:val="00BA3F05"/>
    <w:rsid w:val="00BA4900"/>
    <w:rsid w:val="00BA51B6"/>
    <w:rsid w:val="00BA53DB"/>
    <w:rsid w:val="00BA5950"/>
    <w:rsid w:val="00BA5F92"/>
    <w:rsid w:val="00BA63E9"/>
    <w:rsid w:val="00BA6445"/>
    <w:rsid w:val="00BA6C65"/>
    <w:rsid w:val="00BA7D0B"/>
    <w:rsid w:val="00BB025D"/>
    <w:rsid w:val="00BB0902"/>
    <w:rsid w:val="00BB0A88"/>
    <w:rsid w:val="00BB0ED4"/>
    <w:rsid w:val="00BB0EEF"/>
    <w:rsid w:val="00BB1444"/>
    <w:rsid w:val="00BB1AB9"/>
    <w:rsid w:val="00BB29EE"/>
    <w:rsid w:val="00BB2A80"/>
    <w:rsid w:val="00BB3168"/>
    <w:rsid w:val="00BB3223"/>
    <w:rsid w:val="00BB393B"/>
    <w:rsid w:val="00BB3EE5"/>
    <w:rsid w:val="00BB46C1"/>
    <w:rsid w:val="00BB4C9E"/>
    <w:rsid w:val="00BB50E4"/>
    <w:rsid w:val="00BB53C5"/>
    <w:rsid w:val="00BB5970"/>
    <w:rsid w:val="00BB62D1"/>
    <w:rsid w:val="00BB6FFE"/>
    <w:rsid w:val="00BC0583"/>
    <w:rsid w:val="00BC22F4"/>
    <w:rsid w:val="00BC25A7"/>
    <w:rsid w:val="00BC2708"/>
    <w:rsid w:val="00BC29C0"/>
    <w:rsid w:val="00BC29D0"/>
    <w:rsid w:val="00BC2A7C"/>
    <w:rsid w:val="00BC2D3A"/>
    <w:rsid w:val="00BC2EC4"/>
    <w:rsid w:val="00BC38EC"/>
    <w:rsid w:val="00BC3B8B"/>
    <w:rsid w:val="00BC3E9F"/>
    <w:rsid w:val="00BC45BE"/>
    <w:rsid w:val="00BC461D"/>
    <w:rsid w:val="00BC496D"/>
    <w:rsid w:val="00BC4D81"/>
    <w:rsid w:val="00BC4F57"/>
    <w:rsid w:val="00BC5CF7"/>
    <w:rsid w:val="00BC6106"/>
    <w:rsid w:val="00BC6FC0"/>
    <w:rsid w:val="00BC7049"/>
    <w:rsid w:val="00BC7D50"/>
    <w:rsid w:val="00BD0611"/>
    <w:rsid w:val="00BD1519"/>
    <w:rsid w:val="00BD1F2A"/>
    <w:rsid w:val="00BD4141"/>
    <w:rsid w:val="00BD41CC"/>
    <w:rsid w:val="00BD42C6"/>
    <w:rsid w:val="00BD436C"/>
    <w:rsid w:val="00BD4473"/>
    <w:rsid w:val="00BD4763"/>
    <w:rsid w:val="00BD48C4"/>
    <w:rsid w:val="00BD4DB8"/>
    <w:rsid w:val="00BD564B"/>
    <w:rsid w:val="00BD5A74"/>
    <w:rsid w:val="00BD6427"/>
    <w:rsid w:val="00BD65EE"/>
    <w:rsid w:val="00BD6760"/>
    <w:rsid w:val="00BD7BA9"/>
    <w:rsid w:val="00BE002D"/>
    <w:rsid w:val="00BE06FB"/>
    <w:rsid w:val="00BE0830"/>
    <w:rsid w:val="00BE0D54"/>
    <w:rsid w:val="00BE0DAF"/>
    <w:rsid w:val="00BE0F9A"/>
    <w:rsid w:val="00BE1183"/>
    <w:rsid w:val="00BE1820"/>
    <w:rsid w:val="00BE24B9"/>
    <w:rsid w:val="00BE293B"/>
    <w:rsid w:val="00BE2B43"/>
    <w:rsid w:val="00BE2C4D"/>
    <w:rsid w:val="00BE3322"/>
    <w:rsid w:val="00BE3635"/>
    <w:rsid w:val="00BE48D5"/>
    <w:rsid w:val="00BE4CA7"/>
    <w:rsid w:val="00BE74C8"/>
    <w:rsid w:val="00BE76CC"/>
    <w:rsid w:val="00BE7BA7"/>
    <w:rsid w:val="00BF26E5"/>
    <w:rsid w:val="00BF3CAA"/>
    <w:rsid w:val="00BF3E79"/>
    <w:rsid w:val="00BF4194"/>
    <w:rsid w:val="00BF46EF"/>
    <w:rsid w:val="00BF4BFB"/>
    <w:rsid w:val="00BF5A66"/>
    <w:rsid w:val="00BF6102"/>
    <w:rsid w:val="00BF65C0"/>
    <w:rsid w:val="00BF6754"/>
    <w:rsid w:val="00BF688D"/>
    <w:rsid w:val="00BF7174"/>
    <w:rsid w:val="00BF73A7"/>
    <w:rsid w:val="00BF77CE"/>
    <w:rsid w:val="00C0026F"/>
    <w:rsid w:val="00C00566"/>
    <w:rsid w:val="00C00956"/>
    <w:rsid w:val="00C016FC"/>
    <w:rsid w:val="00C01A20"/>
    <w:rsid w:val="00C01D88"/>
    <w:rsid w:val="00C02A7A"/>
    <w:rsid w:val="00C0333D"/>
    <w:rsid w:val="00C0385C"/>
    <w:rsid w:val="00C03955"/>
    <w:rsid w:val="00C039B9"/>
    <w:rsid w:val="00C03A16"/>
    <w:rsid w:val="00C03F51"/>
    <w:rsid w:val="00C04063"/>
    <w:rsid w:val="00C047FE"/>
    <w:rsid w:val="00C04EB3"/>
    <w:rsid w:val="00C05F18"/>
    <w:rsid w:val="00C05FD6"/>
    <w:rsid w:val="00C075BA"/>
    <w:rsid w:val="00C07BB3"/>
    <w:rsid w:val="00C100C1"/>
    <w:rsid w:val="00C10536"/>
    <w:rsid w:val="00C10A32"/>
    <w:rsid w:val="00C112EE"/>
    <w:rsid w:val="00C11978"/>
    <w:rsid w:val="00C11D14"/>
    <w:rsid w:val="00C12580"/>
    <w:rsid w:val="00C1289C"/>
    <w:rsid w:val="00C12FDA"/>
    <w:rsid w:val="00C1336A"/>
    <w:rsid w:val="00C14ACF"/>
    <w:rsid w:val="00C14B2F"/>
    <w:rsid w:val="00C14F2A"/>
    <w:rsid w:val="00C1570C"/>
    <w:rsid w:val="00C15EF9"/>
    <w:rsid w:val="00C163AB"/>
    <w:rsid w:val="00C165A2"/>
    <w:rsid w:val="00C17E30"/>
    <w:rsid w:val="00C17E42"/>
    <w:rsid w:val="00C17E6E"/>
    <w:rsid w:val="00C20226"/>
    <w:rsid w:val="00C2069E"/>
    <w:rsid w:val="00C20895"/>
    <w:rsid w:val="00C20FFF"/>
    <w:rsid w:val="00C210E8"/>
    <w:rsid w:val="00C21923"/>
    <w:rsid w:val="00C22275"/>
    <w:rsid w:val="00C22881"/>
    <w:rsid w:val="00C22CB8"/>
    <w:rsid w:val="00C23509"/>
    <w:rsid w:val="00C23CD1"/>
    <w:rsid w:val="00C242FD"/>
    <w:rsid w:val="00C244C5"/>
    <w:rsid w:val="00C24CCA"/>
    <w:rsid w:val="00C24D53"/>
    <w:rsid w:val="00C254A4"/>
    <w:rsid w:val="00C258CB"/>
    <w:rsid w:val="00C259E6"/>
    <w:rsid w:val="00C261F3"/>
    <w:rsid w:val="00C2688D"/>
    <w:rsid w:val="00C2742D"/>
    <w:rsid w:val="00C277D4"/>
    <w:rsid w:val="00C27D1C"/>
    <w:rsid w:val="00C27ECC"/>
    <w:rsid w:val="00C303B9"/>
    <w:rsid w:val="00C30A56"/>
    <w:rsid w:val="00C31199"/>
    <w:rsid w:val="00C313D5"/>
    <w:rsid w:val="00C3177D"/>
    <w:rsid w:val="00C31C95"/>
    <w:rsid w:val="00C323BA"/>
    <w:rsid w:val="00C32749"/>
    <w:rsid w:val="00C332EE"/>
    <w:rsid w:val="00C35882"/>
    <w:rsid w:val="00C35A5F"/>
    <w:rsid w:val="00C35AC6"/>
    <w:rsid w:val="00C35E33"/>
    <w:rsid w:val="00C36109"/>
    <w:rsid w:val="00C36185"/>
    <w:rsid w:val="00C3637D"/>
    <w:rsid w:val="00C366F2"/>
    <w:rsid w:val="00C36CA7"/>
    <w:rsid w:val="00C36CAC"/>
    <w:rsid w:val="00C3724C"/>
    <w:rsid w:val="00C40079"/>
    <w:rsid w:val="00C402F6"/>
    <w:rsid w:val="00C406DE"/>
    <w:rsid w:val="00C41234"/>
    <w:rsid w:val="00C41355"/>
    <w:rsid w:val="00C41503"/>
    <w:rsid w:val="00C42657"/>
    <w:rsid w:val="00C426DC"/>
    <w:rsid w:val="00C43017"/>
    <w:rsid w:val="00C43B27"/>
    <w:rsid w:val="00C44F7A"/>
    <w:rsid w:val="00C4548E"/>
    <w:rsid w:val="00C46A33"/>
    <w:rsid w:val="00C475E0"/>
    <w:rsid w:val="00C477BC"/>
    <w:rsid w:val="00C47985"/>
    <w:rsid w:val="00C47B80"/>
    <w:rsid w:val="00C50E31"/>
    <w:rsid w:val="00C5142D"/>
    <w:rsid w:val="00C51936"/>
    <w:rsid w:val="00C519CA"/>
    <w:rsid w:val="00C52A01"/>
    <w:rsid w:val="00C53851"/>
    <w:rsid w:val="00C53B27"/>
    <w:rsid w:val="00C53B86"/>
    <w:rsid w:val="00C53E8B"/>
    <w:rsid w:val="00C54396"/>
    <w:rsid w:val="00C54686"/>
    <w:rsid w:val="00C54D88"/>
    <w:rsid w:val="00C553F1"/>
    <w:rsid w:val="00C55C88"/>
    <w:rsid w:val="00C55F74"/>
    <w:rsid w:val="00C567FD"/>
    <w:rsid w:val="00C56861"/>
    <w:rsid w:val="00C56F55"/>
    <w:rsid w:val="00C6061C"/>
    <w:rsid w:val="00C60839"/>
    <w:rsid w:val="00C61338"/>
    <w:rsid w:val="00C61F23"/>
    <w:rsid w:val="00C62F4A"/>
    <w:rsid w:val="00C63849"/>
    <w:rsid w:val="00C64612"/>
    <w:rsid w:val="00C64841"/>
    <w:rsid w:val="00C65099"/>
    <w:rsid w:val="00C66981"/>
    <w:rsid w:val="00C66BAA"/>
    <w:rsid w:val="00C67589"/>
    <w:rsid w:val="00C71594"/>
    <w:rsid w:val="00C71BA0"/>
    <w:rsid w:val="00C71CE1"/>
    <w:rsid w:val="00C71D36"/>
    <w:rsid w:val="00C72268"/>
    <w:rsid w:val="00C734E5"/>
    <w:rsid w:val="00C73674"/>
    <w:rsid w:val="00C73DB7"/>
    <w:rsid w:val="00C74040"/>
    <w:rsid w:val="00C745D6"/>
    <w:rsid w:val="00C7581B"/>
    <w:rsid w:val="00C75E98"/>
    <w:rsid w:val="00C7685F"/>
    <w:rsid w:val="00C802A4"/>
    <w:rsid w:val="00C80B8D"/>
    <w:rsid w:val="00C80C13"/>
    <w:rsid w:val="00C80E3A"/>
    <w:rsid w:val="00C81655"/>
    <w:rsid w:val="00C8166E"/>
    <w:rsid w:val="00C8186C"/>
    <w:rsid w:val="00C81C12"/>
    <w:rsid w:val="00C82288"/>
    <w:rsid w:val="00C82348"/>
    <w:rsid w:val="00C828B9"/>
    <w:rsid w:val="00C829E4"/>
    <w:rsid w:val="00C82AF7"/>
    <w:rsid w:val="00C82D71"/>
    <w:rsid w:val="00C82EFA"/>
    <w:rsid w:val="00C83190"/>
    <w:rsid w:val="00C83C5C"/>
    <w:rsid w:val="00C844C9"/>
    <w:rsid w:val="00C84519"/>
    <w:rsid w:val="00C867D9"/>
    <w:rsid w:val="00C86F56"/>
    <w:rsid w:val="00C87787"/>
    <w:rsid w:val="00C87C3E"/>
    <w:rsid w:val="00C87EAE"/>
    <w:rsid w:val="00C914D9"/>
    <w:rsid w:val="00C9198E"/>
    <w:rsid w:val="00C92633"/>
    <w:rsid w:val="00C927FE"/>
    <w:rsid w:val="00C9296B"/>
    <w:rsid w:val="00C92AED"/>
    <w:rsid w:val="00C92D8C"/>
    <w:rsid w:val="00C92F22"/>
    <w:rsid w:val="00C932C6"/>
    <w:rsid w:val="00C93ABE"/>
    <w:rsid w:val="00C944E2"/>
    <w:rsid w:val="00C945DC"/>
    <w:rsid w:val="00C94B39"/>
    <w:rsid w:val="00C951E7"/>
    <w:rsid w:val="00C9554F"/>
    <w:rsid w:val="00C95F5A"/>
    <w:rsid w:val="00C96645"/>
    <w:rsid w:val="00C96DDC"/>
    <w:rsid w:val="00C96F54"/>
    <w:rsid w:val="00C972DE"/>
    <w:rsid w:val="00C974D1"/>
    <w:rsid w:val="00C97AE6"/>
    <w:rsid w:val="00CA06BD"/>
    <w:rsid w:val="00CA0B61"/>
    <w:rsid w:val="00CA0D7D"/>
    <w:rsid w:val="00CA1E39"/>
    <w:rsid w:val="00CA1E58"/>
    <w:rsid w:val="00CA27DA"/>
    <w:rsid w:val="00CA2D22"/>
    <w:rsid w:val="00CA3158"/>
    <w:rsid w:val="00CA32C0"/>
    <w:rsid w:val="00CA33EE"/>
    <w:rsid w:val="00CA3849"/>
    <w:rsid w:val="00CA3A90"/>
    <w:rsid w:val="00CA47DE"/>
    <w:rsid w:val="00CA4942"/>
    <w:rsid w:val="00CA4E0C"/>
    <w:rsid w:val="00CA5ECF"/>
    <w:rsid w:val="00CA5F97"/>
    <w:rsid w:val="00CA60C5"/>
    <w:rsid w:val="00CA6B56"/>
    <w:rsid w:val="00CA6ED4"/>
    <w:rsid w:val="00CA7B06"/>
    <w:rsid w:val="00CA7DF7"/>
    <w:rsid w:val="00CB040A"/>
    <w:rsid w:val="00CB07C1"/>
    <w:rsid w:val="00CB0D07"/>
    <w:rsid w:val="00CB15DB"/>
    <w:rsid w:val="00CB1AEA"/>
    <w:rsid w:val="00CB22C0"/>
    <w:rsid w:val="00CB37F1"/>
    <w:rsid w:val="00CB4083"/>
    <w:rsid w:val="00CB426C"/>
    <w:rsid w:val="00CB45F1"/>
    <w:rsid w:val="00CB5096"/>
    <w:rsid w:val="00CB564F"/>
    <w:rsid w:val="00CB5755"/>
    <w:rsid w:val="00CB6140"/>
    <w:rsid w:val="00CB6E25"/>
    <w:rsid w:val="00CB7049"/>
    <w:rsid w:val="00CB710C"/>
    <w:rsid w:val="00CB71D1"/>
    <w:rsid w:val="00CB7B06"/>
    <w:rsid w:val="00CC0900"/>
    <w:rsid w:val="00CC13C8"/>
    <w:rsid w:val="00CC1777"/>
    <w:rsid w:val="00CC1CA8"/>
    <w:rsid w:val="00CC1D7A"/>
    <w:rsid w:val="00CC1F7A"/>
    <w:rsid w:val="00CC2252"/>
    <w:rsid w:val="00CC424D"/>
    <w:rsid w:val="00CC4689"/>
    <w:rsid w:val="00CC4947"/>
    <w:rsid w:val="00CC4A10"/>
    <w:rsid w:val="00CC4F42"/>
    <w:rsid w:val="00CC5D20"/>
    <w:rsid w:val="00CC699C"/>
    <w:rsid w:val="00CC6BD2"/>
    <w:rsid w:val="00CC6D2D"/>
    <w:rsid w:val="00CC6E59"/>
    <w:rsid w:val="00CC6E97"/>
    <w:rsid w:val="00CC6EE5"/>
    <w:rsid w:val="00CC70D3"/>
    <w:rsid w:val="00CC7E18"/>
    <w:rsid w:val="00CD049D"/>
    <w:rsid w:val="00CD0872"/>
    <w:rsid w:val="00CD08A5"/>
    <w:rsid w:val="00CD0938"/>
    <w:rsid w:val="00CD0B96"/>
    <w:rsid w:val="00CD0E57"/>
    <w:rsid w:val="00CD1107"/>
    <w:rsid w:val="00CD1485"/>
    <w:rsid w:val="00CD161F"/>
    <w:rsid w:val="00CD21E2"/>
    <w:rsid w:val="00CD2A7B"/>
    <w:rsid w:val="00CD422E"/>
    <w:rsid w:val="00CD4322"/>
    <w:rsid w:val="00CD4B34"/>
    <w:rsid w:val="00CD4C36"/>
    <w:rsid w:val="00CD538B"/>
    <w:rsid w:val="00CD5CE4"/>
    <w:rsid w:val="00CD5D4E"/>
    <w:rsid w:val="00CD626B"/>
    <w:rsid w:val="00CD653B"/>
    <w:rsid w:val="00CD6B4B"/>
    <w:rsid w:val="00CD6C42"/>
    <w:rsid w:val="00CD77C1"/>
    <w:rsid w:val="00CD7F12"/>
    <w:rsid w:val="00CD7F56"/>
    <w:rsid w:val="00CE0CA3"/>
    <w:rsid w:val="00CE0D74"/>
    <w:rsid w:val="00CE14C2"/>
    <w:rsid w:val="00CE1A62"/>
    <w:rsid w:val="00CE1CFD"/>
    <w:rsid w:val="00CE1E9D"/>
    <w:rsid w:val="00CE254C"/>
    <w:rsid w:val="00CE2F5C"/>
    <w:rsid w:val="00CE3024"/>
    <w:rsid w:val="00CE34C7"/>
    <w:rsid w:val="00CE39FA"/>
    <w:rsid w:val="00CE48BB"/>
    <w:rsid w:val="00CE4DE1"/>
    <w:rsid w:val="00CE538D"/>
    <w:rsid w:val="00CE56B1"/>
    <w:rsid w:val="00CE5899"/>
    <w:rsid w:val="00CE5D07"/>
    <w:rsid w:val="00CE64FD"/>
    <w:rsid w:val="00CE6661"/>
    <w:rsid w:val="00CE6E02"/>
    <w:rsid w:val="00CE70F5"/>
    <w:rsid w:val="00CE7261"/>
    <w:rsid w:val="00CF05BE"/>
    <w:rsid w:val="00CF062B"/>
    <w:rsid w:val="00CF0C2A"/>
    <w:rsid w:val="00CF10B7"/>
    <w:rsid w:val="00CF1D4B"/>
    <w:rsid w:val="00CF233A"/>
    <w:rsid w:val="00CF2B2F"/>
    <w:rsid w:val="00CF2CCC"/>
    <w:rsid w:val="00CF2E61"/>
    <w:rsid w:val="00CF31F5"/>
    <w:rsid w:val="00CF3597"/>
    <w:rsid w:val="00CF39AC"/>
    <w:rsid w:val="00CF3E71"/>
    <w:rsid w:val="00CF3F20"/>
    <w:rsid w:val="00CF5000"/>
    <w:rsid w:val="00CF51E7"/>
    <w:rsid w:val="00CF5A5A"/>
    <w:rsid w:val="00CF5EB1"/>
    <w:rsid w:val="00CF6952"/>
    <w:rsid w:val="00CF69FC"/>
    <w:rsid w:val="00CF6BC6"/>
    <w:rsid w:val="00CF7657"/>
    <w:rsid w:val="00CF79C0"/>
    <w:rsid w:val="00D02362"/>
    <w:rsid w:val="00D03012"/>
    <w:rsid w:val="00D03884"/>
    <w:rsid w:val="00D039CD"/>
    <w:rsid w:val="00D03C8E"/>
    <w:rsid w:val="00D057A2"/>
    <w:rsid w:val="00D05840"/>
    <w:rsid w:val="00D05AA9"/>
    <w:rsid w:val="00D05E8A"/>
    <w:rsid w:val="00D06164"/>
    <w:rsid w:val="00D069E4"/>
    <w:rsid w:val="00D076A4"/>
    <w:rsid w:val="00D07A0E"/>
    <w:rsid w:val="00D10351"/>
    <w:rsid w:val="00D10893"/>
    <w:rsid w:val="00D10D58"/>
    <w:rsid w:val="00D118DE"/>
    <w:rsid w:val="00D12477"/>
    <w:rsid w:val="00D12D8C"/>
    <w:rsid w:val="00D130C8"/>
    <w:rsid w:val="00D144E2"/>
    <w:rsid w:val="00D1532A"/>
    <w:rsid w:val="00D15C3F"/>
    <w:rsid w:val="00D1707C"/>
    <w:rsid w:val="00D17629"/>
    <w:rsid w:val="00D17D80"/>
    <w:rsid w:val="00D17F0E"/>
    <w:rsid w:val="00D205D7"/>
    <w:rsid w:val="00D20962"/>
    <w:rsid w:val="00D20C15"/>
    <w:rsid w:val="00D20E37"/>
    <w:rsid w:val="00D214DD"/>
    <w:rsid w:val="00D21607"/>
    <w:rsid w:val="00D21932"/>
    <w:rsid w:val="00D22355"/>
    <w:rsid w:val="00D2262E"/>
    <w:rsid w:val="00D22F35"/>
    <w:rsid w:val="00D22F36"/>
    <w:rsid w:val="00D235FD"/>
    <w:rsid w:val="00D23A03"/>
    <w:rsid w:val="00D25661"/>
    <w:rsid w:val="00D2568E"/>
    <w:rsid w:val="00D264B0"/>
    <w:rsid w:val="00D266F8"/>
    <w:rsid w:val="00D27AC5"/>
    <w:rsid w:val="00D30195"/>
    <w:rsid w:val="00D30DFB"/>
    <w:rsid w:val="00D31243"/>
    <w:rsid w:val="00D31426"/>
    <w:rsid w:val="00D31BF4"/>
    <w:rsid w:val="00D3230F"/>
    <w:rsid w:val="00D3265B"/>
    <w:rsid w:val="00D32B80"/>
    <w:rsid w:val="00D32C2D"/>
    <w:rsid w:val="00D337CE"/>
    <w:rsid w:val="00D33CF0"/>
    <w:rsid w:val="00D33EC8"/>
    <w:rsid w:val="00D33EEC"/>
    <w:rsid w:val="00D34681"/>
    <w:rsid w:val="00D3488E"/>
    <w:rsid w:val="00D348F1"/>
    <w:rsid w:val="00D34C22"/>
    <w:rsid w:val="00D34E4E"/>
    <w:rsid w:val="00D34F68"/>
    <w:rsid w:val="00D35286"/>
    <w:rsid w:val="00D352E2"/>
    <w:rsid w:val="00D352EF"/>
    <w:rsid w:val="00D35DB3"/>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1E73"/>
    <w:rsid w:val="00D42075"/>
    <w:rsid w:val="00D42096"/>
    <w:rsid w:val="00D428F5"/>
    <w:rsid w:val="00D42F4F"/>
    <w:rsid w:val="00D43A9D"/>
    <w:rsid w:val="00D44441"/>
    <w:rsid w:val="00D44D8F"/>
    <w:rsid w:val="00D44E65"/>
    <w:rsid w:val="00D4535B"/>
    <w:rsid w:val="00D458C2"/>
    <w:rsid w:val="00D458FC"/>
    <w:rsid w:val="00D45B60"/>
    <w:rsid w:val="00D46400"/>
    <w:rsid w:val="00D46940"/>
    <w:rsid w:val="00D47B89"/>
    <w:rsid w:val="00D50D45"/>
    <w:rsid w:val="00D51412"/>
    <w:rsid w:val="00D51791"/>
    <w:rsid w:val="00D52350"/>
    <w:rsid w:val="00D52A7A"/>
    <w:rsid w:val="00D52FBE"/>
    <w:rsid w:val="00D532CA"/>
    <w:rsid w:val="00D546D8"/>
    <w:rsid w:val="00D54A19"/>
    <w:rsid w:val="00D54D52"/>
    <w:rsid w:val="00D54ED3"/>
    <w:rsid w:val="00D550C9"/>
    <w:rsid w:val="00D553D0"/>
    <w:rsid w:val="00D55C30"/>
    <w:rsid w:val="00D56676"/>
    <w:rsid w:val="00D56B52"/>
    <w:rsid w:val="00D56C78"/>
    <w:rsid w:val="00D56F3B"/>
    <w:rsid w:val="00D576F8"/>
    <w:rsid w:val="00D57777"/>
    <w:rsid w:val="00D579A1"/>
    <w:rsid w:val="00D57D92"/>
    <w:rsid w:val="00D601D2"/>
    <w:rsid w:val="00D60D92"/>
    <w:rsid w:val="00D612AF"/>
    <w:rsid w:val="00D61BCF"/>
    <w:rsid w:val="00D61C85"/>
    <w:rsid w:val="00D62147"/>
    <w:rsid w:val="00D6222A"/>
    <w:rsid w:val="00D62B35"/>
    <w:rsid w:val="00D62CC8"/>
    <w:rsid w:val="00D62CF8"/>
    <w:rsid w:val="00D62D9D"/>
    <w:rsid w:val="00D62DFC"/>
    <w:rsid w:val="00D63B3E"/>
    <w:rsid w:val="00D63DFD"/>
    <w:rsid w:val="00D646AA"/>
    <w:rsid w:val="00D64E1E"/>
    <w:rsid w:val="00D65509"/>
    <w:rsid w:val="00D658EB"/>
    <w:rsid w:val="00D6619E"/>
    <w:rsid w:val="00D66288"/>
    <w:rsid w:val="00D67B72"/>
    <w:rsid w:val="00D67BF7"/>
    <w:rsid w:val="00D70045"/>
    <w:rsid w:val="00D700B5"/>
    <w:rsid w:val="00D70D07"/>
    <w:rsid w:val="00D70F3F"/>
    <w:rsid w:val="00D71305"/>
    <w:rsid w:val="00D715D9"/>
    <w:rsid w:val="00D72211"/>
    <w:rsid w:val="00D725F7"/>
    <w:rsid w:val="00D72F36"/>
    <w:rsid w:val="00D72FEC"/>
    <w:rsid w:val="00D7305A"/>
    <w:rsid w:val="00D739FD"/>
    <w:rsid w:val="00D744B2"/>
    <w:rsid w:val="00D74548"/>
    <w:rsid w:val="00D75BF8"/>
    <w:rsid w:val="00D75CE1"/>
    <w:rsid w:val="00D75E53"/>
    <w:rsid w:val="00D7629E"/>
    <w:rsid w:val="00D7635E"/>
    <w:rsid w:val="00D763D0"/>
    <w:rsid w:val="00D76673"/>
    <w:rsid w:val="00D7683C"/>
    <w:rsid w:val="00D76B30"/>
    <w:rsid w:val="00D77FAA"/>
    <w:rsid w:val="00D8122D"/>
    <w:rsid w:val="00D81563"/>
    <w:rsid w:val="00D824B5"/>
    <w:rsid w:val="00D833FA"/>
    <w:rsid w:val="00D83448"/>
    <w:rsid w:val="00D8397A"/>
    <w:rsid w:val="00D83CF6"/>
    <w:rsid w:val="00D83F27"/>
    <w:rsid w:val="00D841BE"/>
    <w:rsid w:val="00D84E10"/>
    <w:rsid w:val="00D84EA9"/>
    <w:rsid w:val="00D84EC1"/>
    <w:rsid w:val="00D8561E"/>
    <w:rsid w:val="00D8587D"/>
    <w:rsid w:val="00D86289"/>
    <w:rsid w:val="00D86F8A"/>
    <w:rsid w:val="00D90F2E"/>
    <w:rsid w:val="00D91499"/>
    <w:rsid w:val="00D922EC"/>
    <w:rsid w:val="00D9270E"/>
    <w:rsid w:val="00D9272B"/>
    <w:rsid w:val="00D92A4A"/>
    <w:rsid w:val="00D93C29"/>
    <w:rsid w:val="00D9515B"/>
    <w:rsid w:val="00D96C9C"/>
    <w:rsid w:val="00D97F6A"/>
    <w:rsid w:val="00DA084F"/>
    <w:rsid w:val="00DA1249"/>
    <w:rsid w:val="00DA1C6F"/>
    <w:rsid w:val="00DA1DD9"/>
    <w:rsid w:val="00DA2EAB"/>
    <w:rsid w:val="00DA3377"/>
    <w:rsid w:val="00DA3680"/>
    <w:rsid w:val="00DA3735"/>
    <w:rsid w:val="00DA37FC"/>
    <w:rsid w:val="00DA43F0"/>
    <w:rsid w:val="00DA4586"/>
    <w:rsid w:val="00DA5007"/>
    <w:rsid w:val="00DA6EFE"/>
    <w:rsid w:val="00DA71F3"/>
    <w:rsid w:val="00DA798B"/>
    <w:rsid w:val="00DA7B83"/>
    <w:rsid w:val="00DA7CFB"/>
    <w:rsid w:val="00DA7F66"/>
    <w:rsid w:val="00DB0610"/>
    <w:rsid w:val="00DB0670"/>
    <w:rsid w:val="00DB09BF"/>
    <w:rsid w:val="00DB1213"/>
    <w:rsid w:val="00DB1B35"/>
    <w:rsid w:val="00DB1ED7"/>
    <w:rsid w:val="00DB2677"/>
    <w:rsid w:val="00DB26F0"/>
    <w:rsid w:val="00DB274D"/>
    <w:rsid w:val="00DB2F31"/>
    <w:rsid w:val="00DB340B"/>
    <w:rsid w:val="00DB3865"/>
    <w:rsid w:val="00DB39FF"/>
    <w:rsid w:val="00DB41CA"/>
    <w:rsid w:val="00DB44C4"/>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226"/>
    <w:rsid w:val="00DC147E"/>
    <w:rsid w:val="00DC211B"/>
    <w:rsid w:val="00DC244E"/>
    <w:rsid w:val="00DC25E3"/>
    <w:rsid w:val="00DC30AC"/>
    <w:rsid w:val="00DC3894"/>
    <w:rsid w:val="00DC3E87"/>
    <w:rsid w:val="00DC3FAD"/>
    <w:rsid w:val="00DC4011"/>
    <w:rsid w:val="00DC428E"/>
    <w:rsid w:val="00DC47CA"/>
    <w:rsid w:val="00DC55C0"/>
    <w:rsid w:val="00DC574C"/>
    <w:rsid w:val="00DC598C"/>
    <w:rsid w:val="00DC642B"/>
    <w:rsid w:val="00DC670C"/>
    <w:rsid w:val="00DC6FE5"/>
    <w:rsid w:val="00DC775A"/>
    <w:rsid w:val="00DD07D4"/>
    <w:rsid w:val="00DD09D6"/>
    <w:rsid w:val="00DD0A86"/>
    <w:rsid w:val="00DD0F32"/>
    <w:rsid w:val="00DD18F0"/>
    <w:rsid w:val="00DD1A0F"/>
    <w:rsid w:val="00DD1B26"/>
    <w:rsid w:val="00DD1BB9"/>
    <w:rsid w:val="00DD2E7C"/>
    <w:rsid w:val="00DD33A0"/>
    <w:rsid w:val="00DD386B"/>
    <w:rsid w:val="00DD3B66"/>
    <w:rsid w:val="00DD3BCC"/>
    <w:rsid w:val="00DD472A"/>
    <w:rsid w:val="00DD5192"/>
    <w:rsid w:val="00DD5610"/>
    <w:rsid w:val="00DD5A1E"/>
    <w:rsid w:val="00DD5C40"/>
    <w:rsid w:val="00DD702F"/>
    <w:rsid w:val="00DD70EE"/>
    <w:rsid w:val="00DD7244"/>
    <w:rsid w:val="00DE03C1"/>
    <w:rsid w:val="00DE0883"/>
    <w:rsid w:val="00DE1100"/>
    <w:rsid w:val="00DE11F8"/>
    <w:rsid w:val="00DE1672"/>
    <w:rsid w:val="00DE18FB"/>
    <w:rsid w:val="00DE26B9"/>
    <w:rsid w:val="00DE2D0E"/>
    <w:rsid w:val="00DE31F7"/>
    <w:rsid w:val="00DE458F"/>
    <w:rsid w:val="00DE4B55"/>
    <w:rsid w:val="00DE4D27"/>
    <w:rsid w:val="00DE4FFF"/>
    <w:rsid w:val="00DE5449"/>
    <w:rsid w:val="00DE5AD5"/>
    <w:rsid w:val="00DE6725"/>
    <w:rsid w:val="00DE68B7"/>
    <w:rsid w:val="00DE69F2"/>
    <w:rsid w:val="00DE722F"/>
    <w:rsid w:val="00DE75C0"/>
    <w:rsid w:val="00DF05DB"/>
    <w:rsid w:val="00DF1B4B"/>
    <w:rsid w:val="00DF1B8F"/>
    <w:rsid w:val="00DF32FA"/>
    <w:rsid w:val="00DF38DC"/>
    <w:rsid w:val="00DF39F0"/>
    <w:rsid w:val="00DF3AD8"/>
    <w:rsid w:val="00DF3B51"/>
    <w:rsid w:val="00DF4B67"/>
    <w:rsid w:val="00DF4CC7"/>
    <w:rsid w:val="00DF50E2"/>
    <w:rsid w:val="00DF60EA"/>
    <w:rsid w:val="00DF641D"/>
    <w:rsid w:val="00DF6878"/>
    <w:rsid w:val="00DF6F68"/>
    <w:rsid w:val="00DF72D6"/>
    <w:rsid w:val="00DF7392"/>
    <w:rsid w:val="00DF758D"/>
    <w:rsid w:val="00DF77EB"/>
    <w:rsid w:val="00DF7902"/>
    <w:rsid w:val="00DF7C66"/>
    <w:rsid w:val="00DF7C84"/>
    <w:rsid w:val="00E00EDC"/>
    <w:rsid w:val="00E011E7"/>
    <w:rsid w:val="00E016BE"/>
    <w:rsid w:val="00E0249C"/>
    <w:rsid w:val="00E0261C"/>
    <w:rsid w:val="00E02D12"/>
    <w:rsid w:val="00E02D38"/>
    <w:rsid w:val="00E02EEA"/>
    <w:rsid w:val="00E037D2"/>
    <w:rsid w:val="00E03B2C"/>
    <w:rsid w:val="00E03C04"/>
    <w:rsid w:val="00E03D9C"/>
    <w:rsid w:val="00E03DD0"/>
    <w:rsid w:val="00E03FFE"/>
    <w:rsid w:val="00E045EE"/>
    <w:rsid w:val="00E04FAE"/>
    <w:rsid w:val="00E051DB"/>
    <w:rsid w:val="00E057C3"/>
    <w:rsid w:val="00E05800"/>
    <w:rsid w:val="00E05C21"/>
    <w:rsid w:val="00E068F2"/>
    <w:rsid w:val="00E10001"/>
    <w:rsid w:val="00E1052E"/>
    <w:rsid w:val="00E10BC1"/>
    <w:rsid w:val="00E10C20"/>
    <w:rsid w:val="00E10FC6"/>
    <w:rsid w:val="00E11C5B"/>
    <w:rsid w:val="00E11DA2"/>
    <w:rsid w:val="00E11F4C"/>
    <w:rsid w:val="00E120F1"/>
    <w:rsid w:val="00E133CA"/>
    <w:rsid w:val="00E1343F"/>
    <w:rsid w:val="00E136D0"/>
    <w:rsid w:val="00E13923"/>
    <w:rsid w:val="00E13975"/>
    <w:rsid w:val="00E14616"/>
    <w:rsid w:val="00E147CE"/>
    <w:rsid w:val="00E151DD"/>
    <w:rsid w:val="00E15ADB"/>
    <w:rsid w:val="00E15F84"/>
    <w:rsid w:val="00E16469"/>
    <w:rsid w:val="00E16905"/>
    <w:rsid w:val="00E174D0"/>
    <w:rsid w:val="00E20282"/>
    <w:rsid w:val="00E21A5C"/>
    <w:rsid w:val="00E21BC8"/>
    <w:rsid w:val="00E21F5A"/>
    <w:rsid w:val="00E22001"/>
    <w:rsid w:val="00E224FC"/>
    <w:rsid w:val="00E23592"/>
    <w:rsid w:val="00E2369C"/>
    <w:rsid w:val="00E2409C"/>
    <w:rsid w:val="00E24706"/>
    <w:rsid w:val="00E250D7"/>
    <w:rsid w:val="00E25916"/>
    <w:rsid w:val="00E2610F"/>
    <w:rsid w:val="00E2620B"/>
    <w:rsid w:val="00E26477"/>
    <w:rsid w:val="00E26B31"/>
    <w:rsid w:val="00E2710D"/>
    <w:rsid w:val="00E30387"/>
    <w:rsid w:val="00E30897"/>
    <w:rsid w:val="00E30903"/>
    <w:rsid w:val="00E311BC"/>
    <w:rsid w:val="00E31370"/>
    <w:rsid w:val="00E31D5C"/>
    <w:rsid w:val="00E329D5"/>
    <w:rsid w:val="00E334AB"/>
    <w:rsid w:val="00E340C6"/>
    <w:rsid w:val="00E34422"/>
    <w:rsid w:val="00E348C9"/>
    <w:rsid w:val="00E34908"/>
    <w:rsid w:val="00E35A87"/>
    <w:rsid w:val="00E35BCA"/>
    <w:rsid w:val="00E35D21"/>
    <w:rsid w:val="00E369F1"/>
    <w:rsid w:val="00E36FDC"/>
    <w:rsid w:val="00E37475"/>
    <w:rsid w:val="00E37DD2"/>
    <w:rsid w:val="00E40058"/>
    <w:rsid w:val="00E4007D"/>
    <w:rsid w:val="00E40131"/>
    <w:rsid w:val="00E40569"/>
    <w:rsid w:val="00E40AC6"/>
    <w:rsid w:val="00E40F22"/>
    <w:rsid w:val="00E413D5"/>
    <w:rsid w:val="00E41770"/>
    <w:rsid w:val="00E4177C"/>
    <w:rsid w:val="00E44691"/>
    <w:rsid w:val="00E44A70"/>
    <w:rsid w:val="00E45002"/>
    <w:rsid w:val="00E45618"/>
    <w:rsid w:val="00E4625D"/>
    <w:rsid w:val="00E465B3"/>
    <w:rsid w:val="00E466EA"/>
    <w:rsid w:val="00E46CFB"/>
    <w:rsid w:val="00E46E99"/>
    <w:rsid w:val="00E471C5"/>
    <w:rsid w:val="00E47434"/>
    <w:rsid w:val="00E4792A"/>
    <w:rsid w:val="00E47AFB"/>
    <w:rsid w:val="00E47BF6"/>
    <w:rsid w:val="00E5038A"/>
    <w:rsid w:val="00E504D5"/>
    <w:rsid w:val="00E50C82"/>
    <w:rsid w:val="00E523D9"/>
    <w:rsid w:val="00E524E4"/>
    <w:rsid w:val="00E52928"/>
    <w:rsid w:val="00E52BFC"/>
    <w:rsid w:val="00E54842"/>
    <w:rsid w:val="00E549DD"/>
    <w:rsid w:val="00E54D73"/>
    <w:rsid w:val="00E55255"/>
    <w:rsid w:val="00E55AC7"/>
    <w:rsid w:val="00E56FE0"/>
    <w:rsid w:val="00E57561"/>
    <w:rsid w:val="00E576A6"/>
    <w:rsid w:val="00E57851"/>
    <w:rsid w:val="00E6004D"/>
    <w:rsid w:val="00E60232"/>
    <w:rsid w:val="00E60F9C"/>
    <w:rsid w:val="00E612B1"/>
    <w:rsid w:val="00E61699"/>
    <w:rsid w:val="00E618BE"/>
    <w:rsid w:val="00E61E56"/>
    <w:rsid w:val="00E6221B"/>
    <w:rsid w:val="00E62F1D"/>
    <w:rsid w:val="00E6412E"/>
    <w:rsid w:val="00E642C3"/>
    <w:rsid w:val="00E6473F"/>
    <w:rsid w:val="00E64B7F"/>
    <w:rsid w:val="00E64FBF"/>
    <w:rsid w:val="00E654CE"/>
    <w:rsid w:val="00E6557C"/>
    <w:rsid w:val="00E65980"/>
    <w:rsid w:val="00E65C5A"/>
    <w:rsid w:val="00E65FB9"/>
    <w:rsid w:val="00E664EA"/>
    <w:rsid w:val="00E6700B"/>
    <w:rsid w:val="00E67137"/>
    <w:rsid w:val="00E70233"/>
    <w:rsid w:val="00E7085F"/>
    <w:rsid w:val="00E7120C"/>
    <w:rsid w:val="00E714E2"/>
    <w:rsid w:val="00E72387"/>
    <w:rsid w:val="00E733D5"/>
    <w:rsid w:val="00E73C49"/>
    <w:rsid w:val="00E74002"/>
    <w:rsid w:val="00E7437D"/>
    <w:rsid w:val="00E74574"/>
    <w:rsid w:val="00E751EF"/>
    <w:rsid w:val="00E75454"/>
    <w:rsid w:val="00E75F85"/>
    <w:rsid w:val="00E77079"/>
    <w:rsid w:val="00E77A41"/>
    <w:rsid w:val="00E77F05"/>
    <w:rsid w:val="00E77F3A"/>
    <w:rsid w:val="00E8036C"/>
    <w:rsid w:val="00E80845"/>
    <w:rsid w:val="00E8103A"/>
    <w:rsid w:val="00E810FA"/>
    <w:rsid w:val="00E815CD"/>
    <w:rsid w:val="00E815E3"/>
    <w:rsid w:val="00E81732"/>
    <w:rsid w:val="00E81ADC"/>
    <w:rsid w:val="00E81D5D"/>
    <w:rsid w:val="00E81E52"/>
    <w:rsid w:val="00E81F97"/>
    <w:rsid w:val="00E82D07"/>
    <w:rsid w:val="00E84074"/>
    <w:rsid w:val="00E84F4E"/>
    <w:rsid w:val="00E851CB"/>
    <w:rsid w:val="00E855B8"/>
    <w:rsid w:val="00E858D9"/>
    <w:rsid w:val="00E86212"/>
    <w:rsid w:val="00E86369"/>
    <w:rsid w:val="00E86474"/>
    <w:rsid w:val="00E86A52"/>
    <w:rsid w:val="00E86B94"/>
    <w:rsid w:val="00E876CA"/>
    <w:rsid w:val="00E8795E"/>
    <w:rsid w:val="00E900F7"/>
    <w:rsid w:val="00E90849"/>
    <w:rsid w:val="00E90B30"/>
    <w:rsid w:val="00E90C45"/>
    <w:rsid w:val="00E91D7C"/>
    <w:rsid w:val="00E930A5"/>
    <w:rsid w:val="00E9337D"/>
    <w:rsid w:val="00E933B2"/>
    <w:rsid w:val="00E93C1B"/>
    <w:rsid w:val="00E93F92"/>
    <w:rsid w:val="00E94439"/>
    <w:rsid w:val="00E95588"/>
    <w:rsid w:val="00E971BE"/>
    <w:rsid w:val="00EA004C"/>
    <w:rsid w:val="00EA01DB"/>
    <w:rsid w:val="00EA0759"/>
    <w:rsid w:val="00EA0B78"/>
    <w:rsid w:val="00EA0C8A"/>
    <w:rsid w:val="00EA1400"/>
    <w:rsid w:val="00EA14C1"/>
    <w:rsid w:val="00EA1688"/>
    <w:rsid w:val="00EA17BB"/>
    <w:rsid w:val="00EA1DC5"/>
    <w:rsid w:val="00EA1F7D"/>
    <w:rsid w:val="00EA1FCE"/>
    <w:rsid w:val="00EA34E8"/>
    <w:rsid w:val="00EA4361"/>
    <w:rsid w:val="00EA4750"/>
    <w:rsid w:val="00EA4F0E"/>
    <w:rsid w:val="00EA5AAA"/>
    <w:rsid w:val="00EA5CB8"/>
    <w:rsid w:val="00EA5D2A"/>
    <w:rsid w:val="00EA5D2C"/>
    <w:rsid w:val="00EA60BC"/>
    <w:rsid w:val="00EA657A"/>
    <w:rsid w:val="00EA7AB1"/>
    <w:rsid w:val="00EB01EF"/>
    <w:rsid w:val="00EB0341"/>
    <w:rsid w:val="00EB0380"/>
    <w:rsid w:val="00EB0AC0"/>
    <w:rsid w:val="00EB0BE3"/>
    <w:rsid w:val="00EB0C13"/>
    <w:rsid w:val="00EB176F"/>
    <w:rsid w:val="00EB1B39"/>
    <w:rsid w:val="00EB1D47"/>
    <w:rsid w:val="00EB21CE"/>
    <w:rsid w:val="00EB23AA"/>
    <w:rsid w:val="00EB2B80"/>
    <w:rsid w:val="00EB2D76"/>
    <w:rsid w:val="00EB304B"/>
    <w:rsid w:val="00EB45BC"/>
    <w:rsid w:val="00EB46E0"/>
    <w:rsid w:val="00EB5C95"/>
    <w:rsid w:val="00EB5E50"/>
    <w:rsid w:val="00EB60FB"/>
    <w:rsid w:val="00EB64C3"/>
    <w:rsid w:val="00EB6A26"/>
    <w:rsid w:val="00EB6A50"/>
    <w:rsid w:val="00EB7075"/>
    <w:rsid w:val="00EB739D"/>
    <w:rsid w:val="00EB73F1"/>
    <w:rsid w:val="00EB7E9F"/>
    <w:rsid w:val="00EC1089"/>
    <w:rsid w:val="00EC14D7"/>
    <w:rsid w:val="00EC14E9"/>
    <w:rsid w:val="00EC154E"/>
    <w:rsid w:val="00EC15D9"/>
    <w:rsid w:val="00EC16FA"/>
    <w:rsid w:val="00EC181D"/>
    <w:rsid w:val="00EC306C"/>
    <w:rsid w:val="00EC31CC"/>
    <w:rsid w:val="00EC3B42"/>
    <w:rsid w:val="00EC3B99"/>
    <w:rsid w:val="00EC3D80"/>
    <w:rsid w:val="00EC4386"/>
    <w:rsid w:val="00EC4616"/>
    <w:rsid w:val="00EC4D10"/>
    <w:rsid w:val="00EC5288"/>
    <w:rsid w:val="00EC5E00"/>
    <w:rsid w:val="00EC5F2B"/>
    <w:rsid w:val="00EC6408"/>
    <w:rsid w:val="00EC65EE"/>
    <w:rsid w:val="00EC6E97"/>
    <w:rsid w:val="00EC6FA4"/>
    <w:rsid w:val="00EC7398"/>
    <w:rsid w:val="00EC798B"/>
    <w:rsid w:val="00ED0994"/>
    <w:rsid w:val="00ED0998"/>
    <w:rsid w:val="00ED1A6D"/>
    <w:rsid w:val="00ED1BE7"/>
    <w:rsid w:val="00ED1C11"/>
    <w:rsid w:val="00ED24FD"/>
    <w:rsid w:val="00ED2E18"/>
    <w:rsid w:val="00ED2F76"/>
    <w:rsid w:val="00ED3429"/>
    <w:rsid w:val="00ED3DA3"/>
    <w:rsid w:val="00ED434E"/>
    <w:rsid w:val="00ED51D4"/>
    <w:rsid w:val="00ED53A1"/>
    <w:rsid w:val="00ED5C94"/>
    <w:rsid w:val="00ED5E39"/>
    <w:rsid w:val="00ED5ECF"/>
    <w:rsid w:val="00ED5EFE"/>
    <w:rsid w:val="00ED669A"/>
    <w:rsid w:val="00ED6A75"/>
    <w:rsid w:val="00ED6AAA"/>
    <w:rsid w:val="00ED7461"/>
    <w:rsid w:val="00ED7561"/>
    <w:rsid w:val="00ED7A11"/>
    <w:rsid w:val="00ED7CBE"/>
    <w:rsid w:val="00EE02CE"/>
    <w:rsid w:val="00EE0794"/>
    <w:rsid w:val="00EE0E20"/>
    <w:rsid w:val="00EE122A"/>
    <w:rsid w:val="00EE210E"/>
    <w:rsid w:val="00EE2AA0"/>
    <w:rsid w:val="00EE2E88"/>
    <w:rsid w:val="00EE2F89"/>
    <w:rsid w:val="00EE30B8"/>
    <w:rsid w:val="00EE328B"/>
    <w:rsid w:val="00EE39F5"/>
    <w:rsid w:val="00EE4537"/>
    <w:rsid w:val="00EE4828"/>
    <w:rsid w:val="00EE4FAE"/>
    <w:rsid w:val="00EE5019"/>
    <w:rsid w:val="00EE50AA"/>
    <w:rsid w:val="00EE5F7B"/>
    <w:rsid w:val="00EE6834"/>
    <w:rsid w:val="00EE6A28"/>
    <w:rsid w:val="00EE6CF1"/>
    <w:rsid w:val="00EE6E2F"/>
    <w:rsid w:val="00EE72BE"/>
    <w:rsid w:val="00EE7503"/>
    <w:rsid w:val="00EE7A56"/>
    <w:rsid w:val="00EE7F76"/>
    <w:rsid w:val="00EF0343"/>
    <w:rsid w:val="00EF0688"/>
    <w:rsid w:val="00EF185B"/>
    <w:rsid w:val="00EF3E79"/>
    <w:rsid w:val="00EF448E"/>
    <w:rsid w:val="00EF44DB"/>
    <w:rsid w:val="00EF4A6C"/>
    <w:rsid w:val="00EF583E"/>
    <w:rsid w:val="00EF6405"/>
    <w:rsid w:val="00EF6F7B"/>
    <w:rsid w:val="00EF71E7"/>
    <w:rsid w:val="00EF7421"/>
    <w:rsid w:val="00EF78CD"/>
    <w:rsid w:val="00F00506"/>
    <w:rsid w:val="00F007E5"/>
    <w:rsid w:val="00F021EC"/>
    <w:rsid w:val="00F027A1"/>
    <w:rsid w:val="00F02963"/>
    <w:rsid w:val="00F02A59"/>
    <w:rsid w:val="00F035E0"/>
    <w:rsid w:val="00F03792"/>
    <w:rsid w:val="00F03D28"/>
    <w:rsid w:val="00F04038"/>
    <w:rsid w:val="00F04395"/>
    <w:rsid w:val="00F0450B"/>
    <w:rsid w:val="00F047EC"/>
    <w:rsid w:val="00F04CB9"/>
    <w:rsid w:val="00F052BA"/>
    <w:rsid w:val="00F05303"/>
    <w:rsid w:val="00F055A2"/>
    <w:rsid w:val="00F05609"/>
    <w:rsid w:val="00F061AB"/>
    <w:rsid w:val="00F07957"/>
    <w:rsid w:val="00F106EC"/>
    <w:rsid w:val="00F1116E"/>
    <w:rsid w:val="00F1206E"/>
    <w:rsid w:val="00F127FD"/>
    <w:rsid w:val="00F1291B"/>
    <w:rsid w:val="00F12948"/>
    <w:rsid w:val="00F129AF"/>
    <w:rsid w:val="00F13860"/>
    <w:rsid w:val="00F1412C"/>
    <w:rsid w:val="00F14E96"/>
    <w:rsid w:val="00F14F44"/>
    <w:rsid w:val="00F15649"/>
    <w:rsid w:val="00F1655C"/>
    <w:rsid w:val="00F16AFB"/>
    <w:rsid w:val="00F17B10"/>
    <w:rsid w:val="00F17F05"/>
    <w:rsid w:val="00F17F7D"/>
    <w:rsid w:val="00F17FB6"/>
    <w:rsid w:val="00F200C9"/>
    <w:rsid w:val="00F200D0"/>
    <w:rsid w:val="00F20AC9"/>
    <w:rsid w:val="00F213F3"/>
    <w:rsid w:val="00F21B81"/>
    <w:rsid w:val="00F22C8E"/>
    <w:rsid w:val="00F23345"/>
    <w:rsid w:val="00F236A9"/>
    <w:rsid w:val="00F23D89"/>
    <w:rsid w:val="00F23E1D"/>
    <w:rsid w:val="00F23F4A"/>
    <w:rsid w:val="00F243D0"/>
    <w:rsid w:val="00F24A44"/>
    <w:rsid w:val="00F2512B"/>
    <w:rsid w:val="00F25A3B"/>
    <w:rsid w:val="00F25BBE"/>
    <w:rsid w:val="00F2630F"/>
    <w:rsid w:val="00F26F69"/>
    <w:rsid w:val="00F27262"/>
    <w:rsid w:val="00F27931"/>
    <w:rsid w:val="00F306B8"/>
    <w:rsid w:val="00F310C3"/>
    <w:rsid w:val="00F31B2F"/>
    <w:rsid w:val="00F31F1A"/>
    <w:rsid w:val="00F320A3"/>
    <w:rsid w:val="00F33DE0"/>
    <w:rsid w:val="00F349B4"/>
    <w:rsid w:val="00F3665D"/>
    <w:rsid w:val="00F36923"/>
    <w:rsid w:val="00F36B0F"/>
    <w:rsid w:val="00F406CC"/>
    <w:rsid w:val="00F4074E"/>
    <w:rsid w:val="00F40C5A"/>
    <w:rsid w:val="00F40D47"/>
    <w:rsid w:val="00F41413"/>
    <w:rsid w:val="00F41846"/>
    <w:rsid w:val="00F419BE"/>
    <w:rsid w:val="00F41A85"/>
    <w:rsid w:val="00F423C4"/>
    <w:rsid w:val="00F43448"/>
    <w:rsid w:val="00F43453"/>
    <w:rsid w:val="00F43C37"/>
    <w:rsid w:val="00F43F4D"/>
    <w:rsid w:val="00F4419C"/>
    <w:rsid w:val="00F4420C"/>
    <w:rsid w:val="00F44373"/>
    <w:rsid w:val="00F4460D"/>
    <w:rsid w:val="00F45BCE"/>
    <w:rsid w:val="00F45EE3"/>
    <w:rsid w:val="00F45F7D"/>
    <w:rsid w:val="00F474A7"/>
    <w:rsid w:val="00F47723"/>
    <w:rsid w:val="00F47EAA"/>
    <w:rsid w:val="00F504D2"/>
    <w:rsid w:val="00F50615"/>
    <w:rsid w:val="00F50D5C"/>
    <w:rsid w:val="00F519D3"/>
    <w:rsid w:val="00F51B7C"/>
    <w:rsid w:val="00F52C51"/>
    <w:rsid w:val="00F53463"/>
    <w:rsid w:val="00F53F11"/>
    <w:rsid w:val="00F54184"/>
    <w:rsid w:val="00F545E3"/>
    <w:rsid w:val="00F54FC0"/>
    <w:rsid w:val="00F5642D"/>
    <w:rsid w:val="00F56510"/>
    <w:rsid w:val="00F5680A"/>
    <w:rsid w:val="00F56B64"/>
    <w:rsid w:val="00F57935"/>
    <w:rsid w:val="00F57D06"/>
    <w:rsid w:val="00F60996"/>
    <w:rsid w:val="00F60A88"/>
    <w:rsid w:val="00F60AFC"/>
    <w:rsid w:val="00F60DDB"/>
    <w:rsid w:val="00F611B3"/>
    <w:rsid w:val="00F61520"/>
    <w:rsid w:val="00F61884"/>
    <w:rsid w:val="00F61F45"/>
    <w:rsid w:val="00F629EF"/>
    <w:rsid w:val="00F63100"/>
    <w:rsid w:val="00F6332A"/>
    <w:rsid w:val="00F65A2B"/>
    <w:rsid w:val="00F65D37"/>
    <w:rsid w:val="00F661D0"/>
    <w:rsid w:val="00F66E50"/>
    <w:rsid w:val="00F70342"/>
    <w:rsid w:val="00F7095B"/>
    <w:rsid w:val="00F709BD"/>
    <w:rsid w:val="00F71174"/>
    <w:rsid w:val="00F711FF"/>
    <w:rsid w:val="00F719D4"/>
    <w:rsid w:val="00F71D1E"/>
    <w:rsid w:val="00F72BF7"/>
    <w:rsid w:val="00F72DE1"/>
    <w:rsid w:val="00F7338C"/>
    <w:rsid w:val="00F744B4"/>
    <w:rsid w:val="00F74A08"/>
    <w:rsid w:val="00F74A33"/>
    <w:rsid w:val="00F74BCF"/>
    <w:rsid w:val="00F75204"/>
    <w:rsid w:val="00F75BD2"/>
    <w:rsid w:val="00F765BA"/>
    <w:rsid w:val="00F767EC"/>
    <w:rsid w:val="00F76B01"/>
    <w:rsid w:val="00F76CA8"/>
    <w:rsid w:val="00F8001F"/>
    <w:rsid w:val="00F80377"/>
    <w:rsid w:val="00F80C6E"/>
    <w:rsid w:val="00F81127"/>
    <w:rsid w:val="00F81AAF"/>
    <w:rsid w:val="00F81E59"/>
    <w:rsid w:val="00F81EA1"/>
    <w:rsid w:val="00F825F0"/>
    <w:rsid w:val="00F82687"/>
    <w:rsid w:val="00F841D9"/>
    <w:rsid w:val="00F849DD"/>
    <w:rsid w:val="00F84BDD"/>
    <w:rsid w:val="00F84F68"/>
    <w:rsid w:val="00F85B45"/>
    <w:rsid w:val="00F867D0"/>
    <w:rsid w:val="00F8741F"/>
    <w:rsid w:val="00F874AA"/>
    <w:rsid w:val="00F875F4"/>
    <w:rsid w:val="00F878A9"/>
    <w:rsid w:val="00F87E74"/>
    <w:rsid w:val="00F9024E"/>
    <w:rsid w:val="00F9088C"/>
    <w:rsid w:val="00F90C05"/>
    <w:rsid w:val="00F911D7"/>
    <w:rsid w:val="00F911FB"/>
    <w:rsid w:val="00F929F2"/>
    <w:rsid w:val="00F932B1"/>
    <w:rsid w:val="00F93D6E"/>
    <w:rsid w:val="00F93F6A"/>
    <w:rsid w:val="00F94709"/>
    <w:rsid w:val="00F949F4"/>
    <w:rsid w:val="00F97BCD"/>
    <w:rsid w:val="00F97E6F"/>
    <w:rsid w:val="00FA017D"/>
    <w:rsid w:val="00FA01F0"/>
    <w:rsid w:val="00FA0951"/>
    <w:rsid w:val="00FA18C6"/>
    <w:rsid w:val="00FA1B31"/>
    <w:rsid w:val="00FA233C"/>
    <w:rsid w:val="00FA24FA"/>
    <w:rsid w:val="00FA4901"/>
    <w:rsid w:val="00FA56D1"/>
    <w:rsid w:val="00FA6E64"/>
    <w:rsid w:val="00FA770C"/>
    <w:rsid w:val="00FA7A64"/>
    <w:rsid w:val="00FA7CB6"/>
    <w:rsid w:val="00FA7FF3"/>
    <w:rsid w:val="00FB02CE"/>
    <w:rsid w:val="00FB040E"/>
    <w:rsid w:val="00FB0B7F"/>
    <w:rsid w:val="00FB0E54"/>
    <w:rsid w:val="00FB129E"/>
    <w:rsid w:val="00FB1C00"/>
    <w:rsid w:val="00FB1E7B"/>
    <w:rsid w:val="00FB2093"/>
    <w:rsid w:val="00FB24D0"/>
    <w:rsid w:val="00FB28DA"/>
    <w:rsid w:val="00FB2B5A"/>
    <w:rsid w:val="00FB2D95"/>
    <w:rsid w:val="00FB2E74"/>
    <w:rsid w:val="00FB33C0"/>
    <w:rsid w:val="00FB34D2"/>
    <w:rsid w:val="00FB3FA2"/>
    <w:rsid w:val="00FB43C6"/>
    <w:rsid w:val="00FB4579"/>
    <w:rsid w:val="00FB4FFD"/>
    <w:rsid w:val="00FB5ECF"/>
    <w:rsid w:val="00FB5FF2"/>
    <w:rsid w:val="00FB644C"/>
    <w:rsid w:val="00FB668E"/>
    <w:rsid w:val="00FB6B8F"/>
    <w:rsid w:val="00FB6C4F"/>
    <w:rsid w:val="00FB6F92"/>
    <w:rsid w:val="00FB74FC"/>
    <w:rsid w:val="00FB79E6"/>
    <w:rsid w:val="00FC00AF"/>
    <w:rsid w:val="00FC0127"/>
    <w:rsid w:val="00FC0817"/>
    <w:rsid w:val="00FC1040"/>
    <w:rsid w:val="00FC11C1"/>
    <w:rsid w:val="00FC121A"/>
    <w:rsid w:val="00FC1818"/>
    <w:rsid w:val="00FC18B0"/>
    <w:rsid w:val="00FC1FEC"/>
    <w:rsid w:val="00FC2C65"/>
    <w:rsid w:val="00FC2DA8"/>
    <w:rsid w:val="00FC3421"/>
    <w:rsid w:val="00FC35BE"/>
    <w:rsid w:val="00FC3A09"/>
    <w:rsid w:val="00FC488C"/>
    <w:rsid w:val="00FC511E"/>
    <w:rsid w:val="00FC5156"/>
    <w:rsid w:val="00FC5455"/>
    <w:rsid w:val="00FC640E"/>
    <w:rsid w:val="00FC677C"/>
    <w:rsid w:val="00FC6A39"/>
    <w:rsid w:val="00FC6F41"/>
    <w:rsid w:val="00FC7A3D"/>
    <w:rsid w:val="00FC7E98"/>
    <w:rsid w:val="00FD013A"/>
    <w:rsid w:val="00FD0169"/>
    <w:rsid w:val="00FD144E"/>
    <w:rsid w:val="00FD1700"/>
    <w:rsid w:val="00FD2160"/>
    <w:rsid w:val="00FD2DE9"/>
    <w:rsid w:val="00FD30F7"/>
    <w:rsid w:val="00FD312D"/>
    <w:rsid w:val="00FD3722"/>
    <w:rsid w:val="00FD3868"/>
    <w:rsid w:val="00FD3A82"/>
    <w:rsid w:val="00FD3F74"/>
    <w:rsid w:val="00FD4B43"/>
    <w:rsid w:val="00FD5384"/>
    <w:rsid w:val="00FD7411"/>
    <w:rsid w:val="00FD77D0"/>
    <w:rsid w:val="00FD7B3B"/>
    <w:rsid w:val="00FE05F6"/>
    <w:rsid w:val="00FE1655"/>
    <w:rsid w:val="00FE19ED"/>
    <w:rsid w:val="00FE1A45"/>
    <w:rsid w:val="00FE279E"/>
    <w:rsid w:val="00FE2DF2"/>
    <w:rsid w:val="00FE3879"/>
    <w:rsid w:val="00FE3B8B"/>
    <w:rsid w:val="00FE3BBD"/>
    <w:rsid w:val="00FE3C0A"/>
    <w:rsid w:val="00FE41A4"/>
    <w:rsid w:val="00FE4559"/>
    <w:rsid w:val="00FE49D4"/>
    <w:rsid w:val="00FE5BB6"/>
    <w:rsid w:val="00FE6606"/>
    <w:rsid w:val="00FE6A00"/>
    <w:rsid w:val="00FE79CB"/>
    <w:rsid w:val="00FF09EE"/>
    <w:rsid w:val="00FF0B90"/>
    <w:rsid w:val="00FF0C18"/>
    <w:rsid w:val="00FF0F62"/>
    <w:rsid w:val="00FF1519"/>
    <w:rsid w:val="00FF2045"/>
    <w:rsid w:val="00FF2C86"/>
    <w:rsid w:val="00FF2FB8"/>
    <w:rsid w:val="00FF2FF5"/>
    <w:rsid w:val="00FF3744"/>
    <w:rsid w:val="00FF4A80"/>
    <w:rsid w:val="00FF5149"/>
    <w:rsid w:val="00FF59B9"/>
    <w:rsid w:val="00FF5EBD"/>
    <w:rsid w:val="00FF61E3"/>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E2EB6"/>
    <w:rPr>
      <w:sz w:val="24"/>
      <w:szCs w:val="24"/>
    </w:rPr>
  </w:style>
  <w:style w:type="paragraph" w:styleId="Nadpis1">
    <w:name w:val="heading 1"/>
    <w:basedOn w:val="Normln"/>
    <w:next w:val="Normln"/>
    <w:link w:val="Nadpis1Char"/>
    <w:uiPriority w:val="99"/>
    <w:qFormat/>
    <w:rsid w:val="007B74B0"/>
    <w:pPr>
      <w:keepNext/>
      <w:jc w:val="center"/>
      <w:outlineLvl w:val="0"/>
    </w:pPr>
    <w:rPr>
      <w:rFonts w:ascii="Arial" w:hAnsi="Arial" w:cs="Arial"/>
      <w:b/>
      <w:bCs/>
      <w:sz w:val="48"/>
    </w:rPr>
  </w:style>
  <w:style w:type="paragraph" w:styleId="Nadpis2">
    <w:name w:val="heading 2"/>
    <w:basedOn w:val="Normln"/>
    <w:next w:val="Normln"/>
    <w:link w:val="Nadpis2Char"/>
    <w:uiPriority w:val="99"/>
    <w:qFormat/>
    <w:rsid w:val="007B74B0"/>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7B74B0"/>
    <w:pPr>
      <w:keepNext/>
      <w:ind w:right="-180"/>
      <w:jc w:val="center"/>
      <w:outlineLvl w:val="2"/>
    </w:pPr>
    <w:rPr>
      <w:rFonts w:ascii="Arial" w:hAnsi="Arial" w:cs="Arial"/>
      <w:b/>
      <w:bCs/>
      <w:sz w:val="40"/>
      <w:szCs w:val="40"/>
    </w:rPr>
  </w:style>
  <w:style w:type="paragraph" w:styleId="Nadpis4">
    <w:name w:val="heading 4"/>
    <w:basedOn w:val="Normln"/>
    <w:next w:val="Normln"/>
    <w:link w:val="Nadpis4Char"/>
    <w:uiPriority w:val="99"/>
    <w:qFormat/>
    <w:rsid w:val="007B74B0"/>
    <w:pPr>
      <w:keepNext/>
      <w:spacing w:before="240" w:after="60"/>
      <w:outlineLvl w:val="3"/>
    </w:pPr>
    <w:rPr>
      <w:b/>
      <w:bCs/>
      <w:sz w:val="28"/>
      <w:szCs w:val="28"/>
    </w:rPr>
  </w:style>
  <w:style w:type="paragraph" w:styleId="Nadpis5">
    <w:name w:val="heading 5"/>
    <w:basedOn w:val="Normln"/>
    <w:next w:val="Normln"/>
    <w:link w:val="Nadpis5Char"/>
    <w:uiPriority w:val="99"/>
    <w:qFormat/>
    <w:rsid w:val="007B74B0"/>
    <w:pPr>
      <w:keepNext/>
      <w:jc w:val="center"/>
      <w:outlineLvl w:val="4"/>
    </w:pPr>
    <w:rPr>
      <w:rFonts w:ascii="Arial" w:hAnsi="Arial" w:cs="Arial"/>
      <w:b/>
      <w:i/>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241C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7241C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7241CD"/>
    <w:rPr>
      <w:rFonts w:ascii="Cambria" w:hAnsi="Cambria" w:cs="Times New Roman"/>
      <w:b/>
      <w:bCs/>
      <w:sz w:val="26"/>
      <w:szCs w:val="26"/>
    </w:rPr>
  </w:style>
  <w:style w:type="character" w:customStyle="1" w:styleId="Nadpis4Char">
    <w:name w:val="Nadpis 4 Char"/>
    <w:basedOn w:val="Standardnpsmoodstavce"/>
    <w:link w:val="Nadpis4"/>
    <w:uiPriority w:val="99"/>
    <w:semiHidden/>
    <w:locked/>
    <w:rsid w:val="007241C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7241CD"/>
    <w:rPr>
      <w:rFonts w:ascii="Calibri" w:hAnsi="Calibri" w:cs="Times New Roman"/>
      <w:b/>
      <w:bCs/>
      <w:i/>
      <w:iCs/>
      <w:sz w:val="26"/>
      <w:szCs w:val="26"/>
    </w:rPr>
  </w:style>
  <w:style w:type="character" w:styleId="Hypertextovodkaz">
    <w:name w:val="Hyperlink"/>
    <w:basedOn w:val="Standardnpsmoodstavce"/>
    <w:uiPriority w:val="99"/>
    <w:rsid w:val="007B74B0"/>
    <w:rPr>
      <w:rFonts w:cs="Times New Roman"/>
      <w:color w:val="0000FF"/>
      <w:u w:val="single"/>
    </w:rPr>
  </w:style>
  <w:style w:type="paragraph" w:styleId="Zhlav">
    <w:name w:val="header"/>
    <w:basedOn w:val="Normln"/>
    <w:link w:val="ZhlavChar"/>
    <w:uiPriority w:val="99"/>
    <w:rsid w:val="007B74B0"/>
    <w:pPr>
      <w:tabs>
        <w:tab w:val="center" w:pos="4320"/>
        <w:tab w:val="right" w:pos="8640"/>
      </w:tabs>
    </w:pPr>
  </w:style>
  <w:style w:type="character" w:customStyle="1" w:styleId="ZhlavChar">
    <w:name w:val="Záhlaví Char"/>
    <w:basedOn w:val="Standardnpsmoodstavce"/>
    <w:link w:val="Zhlav"/>
    <w:uiPriority w:val="99"/>
    <w:locked/>
    <w:rsid w:val="007241CD"/>
    <w:rPr>
      <w:rFonts w:cs="Times New Roman"/>
      <w:sz w:val="24"/>
      <w:szCs w:val="24"/>
    </w:rPr>
  </w:style>
  <w:style w:type="paragraph" w:styleId="Zpat">
    <w:name w:val="footer"/>
    <w:basedOn w:val="Normln"/>
    <w:link w:val="ZpatChar"/>
    <w:uiPriority w:val="99"/>
    <w:rsid w:val="007B74B0"/>
    <w:pPr>
      <w:tabs>
        <w:tab w:val="center" w:pos="4320"/>
        <w:tab w:val="right" w:pos="8640"/>
      </w:tabs>
    </w:pPr>
  </w:style>
  <w:style w:type="character" w:customStyle="1" w:styleId="ZpatChar">
    <w:name w:val="Zápatí Char"/>
    <w:basedOn w:val="Standardnpsmoodstavce"/>
    <w:link w:val="Zpat"/>
    <w:uiPriority w:val="99"/>
    <w:locked/>
    <w:rsid w:val="007241CD"/>
    <w:rPr>
      <w:rFonts w:cs="Times New Roman"/>
      <w:sz w:val="24"/>
      <w:szCs w:val="24"/>
    </w:rPr>
  </w:style>
  <w:style w:type="paragraph" w:styleId="Zkladntext2">
    <w:name w:val="Body Text 2"/>
    <w:basedOn w:val="Normln"/>
    <w:link w:val="Zkladntext2Char"/>
    <w:uiPriority w:val="99"/>
    <w:rsid w:val="007B74B0"/>
    <w:pPr>
      <w:spacing w:after="120" w:line="480" w:lineRule="auto"/>
    </w:pPr>
  </w:style>
  <w:style w:type="character" w:customStyle="1" w:styleId="Zkladntext2Char">
    <w:name w:val="Základní text 2 Char"/>
    <w:basedOn w:val="Standardnpsmoodstavce"/>
    <w:link w:val="Zkladntext2"/>
    <w:uiPriority w:val="99"/>
    <w:semiHidden/>
    <w:locked/>
    <w:rsid w:val="007241CD"/>
    <w:rPr>
      <w:rFonts w:cs="Times New Roman"/>
      <w:sz w:val="24"/>
      <w:szCs w:val="24"/>
    </w:rPr>
  </w:style>
  <w:style w:type="paragraph" w:customStyle="1" w:styleId="DefaultText">
    <w:name w:val="Default Text"/>
    <w:basedOn w:val="Normln"/>
    <w:uiPriority w:val="99"/>
    <w:rsid w:val="007B74B0"/>
    <w:pPr>
      <w:overflowPunct w:val="0"/>
      <w:autoSpaceDE w:val="0"/>
      <w:autoSpaceDN w:val="0"/>
      <w:adjustRightInd w:val="0"/>
      <w:textAlignment w:val="baseline"/>
    </w:pPr>
    <w:rPr>
      <w:szCs w:val="20"/>
    </w:rPr>
  </w:style>
  <w:style w:type="paragraph" w:styleId="Zkladntext">
    <w:name w:val="Body Text"/>
    <w:basedOn w:val="Normln"/>
    <w:link w:val="ZkladntextChar"/>
    <w:uiPriority w:val="99"/>
    <w:rsid w:val="007B74B0"/>
    <w:pPr>
      <w:spacing w:after="120"/>
    </w:pPr>
  </w:style>
  <w:style w:type="character" w:customStyle="1" w:styleId="ZkladntextChar">
    <w:name w:val="Základní text Char"/>
    <w:basedOn w:val="Standardnpsmoodstavce"/>
    <w:link w:val="Zkladntext"/>
    <w:uiPriority w:val="99"/>
    <w:semiHidden/>
    <w:locked/>
    <w:rsid w:val="007241CD"/>
    <w:rPr>
      <w:rFonts w:cs="Times New Roman"/>
      <w:sz w:val="24"/>
      <w:szCs w:val="24"/>
    </w:rPr>
  </w:style>
  <w:style w:type="paragraph" w:styleId="Zkladntext3">
    <w:name w:val="Body Text 3"/>
    <w:basedOn w:val="Normln"/>
    <w:link w:val="Zkladntext3Char"/>
    <w:uiPriority w:val="99"/>
    <w:rsid w:val="007B74B0"/>
    <w:pPr>
      <w:jc w:val="center"/>
    </w:pPr>
    <w:rPr>
      <w:rFonts w:ascii="Arial" w:hAnsi="Arial" w:cs="Arial"/>
      <w:color w:val="000000"/>
    </w:rPr>
  </w:style>
  <w:style w:type="character" w:customStyle="1" w:styleId="Zkladntext3Char">
    <w:name w:val="Základní text 3 Char"/>
    <w:basedOn w:val="Standardnpsmoodstavce"/>
    <w:link w:val="Zkladntext3"/>
    <w:uiPriority w:val="99"/>
    <w:semiHidden/>
    <w:locked/>
    <w:rsid w:val="007241CD"/>
    <w:rPr>
      <w:rFonts w:cs="Times New Roman"/>
      <w:sz w:val="16"/>
      <w:szCs w:val="16"/>
    </w:rPr>
  </w:style>
  <w:style w:type="paragraph" w:styleId="Textbubliny">
    <w:name w:val="Balloon Text"/>
    <w:basedOn w:val="Normln"/>
    <w:link w:val="TextbublinyChar"/>
    <w:uiPriority w:val="99"/>
    <w:semiHidden/>
    <w:rsid w:val="007B74B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41CD"/>
    <w:rPr>
      <w:rFonts w:cs="Times New Roman"/>
      <w:sz w:val="2"/>
    </w:rPr>
  </w:style>
  <w:style w:type="paragraph" w:styleId="Zkladntextodsazen">
    <w:name w:val="Body Text Indent"/>
    <w:basedOn w:val="Normln"/>
    <w:link w:val="ZkladntextodsazenChar"/>
    <w:uiPriority w:val="99"/>
    <w:rsid w:val="007B74B0"/>
    <w:pPr>
      <w:ind w:firstLine="720"/>
    </w:pPr>
    <w:rPr>
      <w:rFonts w:ascii="Arial" w:hAnsi="Arial" w:cs="Arial"/>
    </w:rPr>
  </w:style>
  <w:style w:type="character" w:customStyle="1" w:styleId="ZkladntextodsazenChar">
    <w:name w:val="Základní text odsazený Char"/>
    <w:basedOn w:val="Standardnpsmoodstavce"/>
    <w:link w:val="Zkladntextodsazen"/>
    <w:uiPriority w:val="99"/>
    <w:semiHidden/>
    <w:locked/>
    <w:rsid w:val="007241CD"/>
    <w:rPr>
      <w:rFonts w:cs="Times New Roman"/>
      <w:sz w:val="24"/>
      <w:szCs w:val="24"/>
    </w:rPr>
  </w:style>
  <w:style w:type="character" w:styleId="Zdraznn">
    <w:name w:val="Emphasis"/>
    <w:basedOn w:val="Standardnpsmoodstavce"/>
    <w:uiPriority w:val="20"/>
    <w:qFormat/>
    <w:rsid w:val="007B74B0"/>
    <w:rPr>
      <w:rFonts w:cs="Times New Roman"/>
      <w:i/>
    </w:rPr>
  </w:style>
  <w:style w:type="paragraph" w:customStyle="1" w:styleId="Style">
    <w:name w:val="Style"/>
    <w:basedOn w:val="Normln"/>
    <w:uiPriority w:val="99"/>
    <w:rsid w:val="007B74B0"/>
    <w:pPr>
      <w:spacing w:after="160" w:line="240" w:lineRule="exact"/>
    </w:pPr>
    <w:rPr>
      <w:rFonts w:ascii="Verdana" w:eastAsia="MS Mincho" w:hAnsi="Verdana" w:cs="Arial"/>
      <w:szCs w:val="20"/>
    </w:rPr>
  </w:style>
  <w:style w:type="paragraph" w:customStyle="1" w:styleId="CharChar1">
    <w:name w:val="Char Char1"/>
    <w:basedOn w:val="Normln"/>
    <w:uiPriority w:val="99"/>
    <w:rsid w:val="007B74B0"/>
    <w:pPr>
      <w:spacing w:after="160" w:line="240" w:lineRule="exact"/>
    </w:pPr>
    <w:rPr>
      <w:rFonts w:ascii="Verdana" w:eastAsia="MS Mincho" w:hAnsi="Verdana" w:cs="Arial"/>
      <w:szCs w:val="20"/>
    </w:rPr>
  </w:style>
  <w:style w:type="paragraph" w:styleId="Rozloendokumentu">
    <w:name w:val="Document Map"/>
    <w:basedOn w:val="Normln"/>
    <w:link w:val="RozloendokumentuChar"/>
    <w:uiPriority w:val="99"/>
    <w:semiHidden/>
    <w:rsid w:val="007B74B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241CD"/>
    <w:rPr>
      <w:rFonts w:cs="Times New Roman"/>
      <w:sz w:val="2"/>
    </w:rPr>
  </w:style>
  <w:style w:type="character" w:styleId="Odkaznakoment">
    <w:name w:val="annotation reference"/>
    <w:basedOn w:val="Standardnpsmoodstavce"/>
    <w:uiPriority w:val="99"/>
    <w:semiHidden/>
    <w:rsid w:val="005C7CBA"/>
    <w:rPr>
      <w:rFonts w:cs="Times New Roman"/>
      <w:sz w:val="16"/>
    </w:rPr>
  </w:style>
  <w:style w:type="paragraph" w:styleId="Textkomente">
    <w:name w:val="annotation text"/>
    <w:basedOn w:val="Normln"/>
    <w:link w:val="TextkomenteChar"/>
    <w:uiPriority w:val="99"/>
    <w:semiHidden/>
    <w:rsid w:val="005C7CBA"/>
    <w:rPr>
      <w:sz w:val="20"/>
      <w:szCs w:val="20"/>
    </w:rPr>
  </w:style>
  <w:style w:type="character" w:customStyle="1" w:styleId="TextkomenteChar">
    <w:name w:val="Text komentáře Char"/>
    <w:basedOn w:val="Standardnpsmoodstavce"/>
    <w:link w:val="Textkomente"/>
    <w:uiPriority w:val="99"/>
    <w:semiHidden/>
    <w:locked/>
    <w:rsid w:val="007241CD"/>
    <w:rPr>
      <w:rFonts w:cs="Times New Roman"/>
      <w:sz w:val="20"/>
      <w:szCs w:val="20"/>
    </w:rPr>
  </w:style>
  <w:style w:type="paragraph" w:styleId="Pedmtkomente">
    <w:name w:val="annotation subject"/>
    <w:basedOn w:val="Textkomente"/>
    <w:next w:val="Textkomente"/>
    <w:link w:val="PedmtkomenteChar"/>
    <w:uiPriority w:val="99"/>
    <w:semiHidden/>
    <w:rsid w:val="005C7CBA"/>
    <w:rPr>
      <w:b/>
      <w:bCs/>
    </w:rPr>
  </w:style>
  <w:style w:type="character" w:customStyle="1" w:styleId="PedmtkomenteChar">
    <w:name w:val="Předmět komentáře Char"/>
    <w:basedOn w:val="TextkomenteChar"/>
    <w:link w:val="Pedmtkomente"/>
    <w:uiPriority w:val="99"/>
    <w:semiHidden/>
    <w:locked/>
    <w:rsid w:val="007241CD"/>
    <w:rPr>
      <w:rFonts w:cs="Times New Roman"/>
      <w:b/>
      <w:bCs/>
      <w:sz w:val="20"/>
      <w:szCs w:val="20"/>
    </w:rPr>
  </w:style>
  <w:style w:type="paragraph" w:styleId="Normlnweb">
    <w:name w:val="Normal (Web)"/>
    <w:basedOn w:val="Normln"/>
    <w:uiPriority w:val="99"/>
    <w:rsid w:val="00297BF7"/>
    <w:pPr>
      <w:spacing w:before="100" w:beforeAutospacing="1" w:after="100" w:afterAutospacing="1"/>
    </w:pPr>
  </w:style>
  <w:style w:type="character" w:styleId="Sledovanodkaz">
    <w:name w:val="FollowedHyperlink"/>
    <w:basedOn w:val="Standardnpsmoodstavce"/>
    <w:uiPriority w:val="99"/>
    <w:rsid w:val="0069522D"/>
    <w:rPr>
      <w:rFonts w:cs="Times New Roman"/>
      <w:color w:val="800080"/>
      <w:u w:val="single"/>
    </w:rPr>
  </w:style>
  <w:style w:type="paragraph" w:styleId="Datum">
    <w:name w:val="Date"/>
    <w:basedOn w:val="Normln"/>
    <w:next w:val="Normln"/>
    <w:link w:val="DatumChar"/>
    <w:uiPriority w:val="99"/>
    <w:rsid w:val="006D2429"/>
  </w:style>
  <w:style w:type="character" w:customStyle="1" w:styleId="DatumChar">
    <w:name w:val="Datum Char"/>
    <w:basedOn w:val="Standardnpsmoodstavce"/>
    <w:link w:val="Datum"/>
    <w:uiPriority w:val="99"/>
    <w:semiHidden/>
    <w:locked/>
    <w:rsid w:val="007241CD"/>
    <w:rPr>
      <w:rFonts w:cs="Times New Roman"/>
      <w:sz w:val="24"/>
      <w:szCs w:val="24"/>
    </w:rPr>
  </w:style>
  <w:style w:type="paragraph" w:styleId="Revize">
    <w:name w:val="Revision"/>
    <w:hidden/>
    <w:uiPriority w:val="99"/>
    <w:semiHidden/>
    <w:rsid w:val="009627F7"/>
    <w:rPr>
      <w:sz w:val="24"/>
      <w:szCs w:val="24"/>
    </w:rPr>
  </w:style>
  <w:style w:type="paragraph" w:styleId="Odstavecseseznamem">
    <w:name w:val="List Paragraph"/>
    <w:aliases w:val="Bullet List,FooterText,numbered,List Paragraph1,Paragraphe de liste1,Bulletr List Paragraph,列出段落,列出段落1,List Paragraph2,List Paragraph21,Listeafsnit1,Parágrafo da Lista1,Párrafo de lista1,リスト段落1,Bullet list,List Paragraph11"/>
    <w:basedOn w:val="Normln"/>
    <w:link w:val="OdstavecseseznamemChar"/>
    <w:uiPriority w:val="34"/>
    <w:qFormat/>
    <w:rsid w:val="001E2211"/>
    <w:pPr>
      <w:ind w:left="720"/>
      <w:contextualSpacing/>
    </w:pPr>
  </w:style>
  <w:style w:type="table" w:styleId="Mkatabulky">
    <w:name w:val="Table Grid"/>
    <w:basedOn w:val="Normlntabulka"/>
    <w:uiPriority w:val="39"/>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Standardnpsmoodstavce"/>
    <w:rsid w:val="00DD386B"/>
    <w:rPr>
      <w:rFonts w:ascii="Times New Roman" w:hAnsi="Times New Roman" w:cs="Times New Roman"/>
      <w:color w:val="000000"/>
      <w:sz w:val="20"/>
      <w:szCs w:val="20"/>
      <w:u w:val="none"/>
    </w:rPr>
  </w:style>
  <w:style w:type="character" w:styleId="Zstupntext">
    <w:name w:val="Placeholder Text"/>
    <w:basedOn w:val="Standardnpsmoodstavce"/>
    <w:uiPriority w:val="99"/>
    <w:semiHidden/>
    <w:rsid w:val="00DD386B"/>
    <w:rPr>
      <w:rFonts w:cs="Times New Roman"/>
      <w:color w:val="808080"/>
    </w:rPr>
  </w:style>
  <w:style w:type="paragraph" w:styleId="Textpoznpodarou">
    <w:name w:val="footnote text"/>
    <w:basedOn w:val="Normln"/>
    <w:link w:val="TextpoznpodarouChar"/>
    <w:uiPriority w:val="99"/>
    <w:semiHidden/>
    <w:unhideWhenUsed/>
    <w:rsid w:val="00DE18FB"/>
    <w:rPr>
      <w:sz w:val="20"/>
      <w:szCs w:val="20"/>
    </w:rPr>
  </w:style>
  <w:style w:type="character" w:customStyle="1" w:styleId="TextpoznpodarouChar">
    <w:name w:val="Text pozn. pod čarou Char"/>
    <w:basedOn w:val="Standardnpsmoodstavce"/>
    <w:link w:val="Textpoznpodarou"/>
    <w:uiPriority w:val="99"/>
    <w:semiHidden/>
    <w:locked/>
    <w:rsid w:val="00DE18FB"/>
    <w:rPr>
      <w:rFonts w:cs="Times New Roman"/>
      <w:sz w:val="20"/>
      <w:szCs w:val="20"/>
    </w:rPr>
  </w:style>
  <w:style w:type="character" w:styleId="Znakapoznpodarou">
    <w:name w:val="footnote reference"/>
    <w:basedOn w:val="Standardnpsmoodstavce"/>
    <w:uiPriority w:val="99"/>
    <w:semiHidden/>
    <w:unhideWhenUsed/>
    <w:rsid w:val="00DE18FB"/>
    <w:rPr>
      <w:rFonts w:cs="Times New Roman"/>
      <w:vertAlign w:val="superscript"/>
    </w:rPr>
  </w:style>
  <w:style w:type="character" w:customStyle="1" w:styleId="Nevyeenzmnka1">
    <w:name w:val="Nevyřešená zmínka1"/>
    <w:basedOn w:val="Standardnpsmoodstavce"/>
    <w:uiPriority w:val="99"/>
    <w:semiHidden/>
    <w:unhideWhenUsed/>
    <w:rsid w:val="009862AC"/>
    <w:rPr>
      <w:rFonts w:cs="Times New Roman"/>
      <w:color w:val="605E5C"/>
      <w:shd w:val="clear" w:color="auto" w:fill="E1DFDD"/>
    </w:rPr>
  </w:style>
  <w:style w:type="character" w:customStyle="1" w:styleId="OdstavecseseznamemChar">
    <w:name w:val="Odstavec se seznamem Char"/>
    <w:aliases w:val="Bullet List Char,FooterText Char,numbered Char,List Paragraph1 Char,Paragraphe de liste1 Char,Bulletr List Paragraph Char,列出段落 Char,列出段落1 Char,List Paragraph2 Char,List Paragraph21 Char,Listeafsnit1 Char,Párrafo de lista1 Char"/>
    <w:basedOn w:val="Standardnpsmoodstavce"/>
    <w:link w:val="Odstavecseseznamem"/>
    <w:uiPriority w:val="34"/>
    <w:locked/>
    <w:rsid w:val="00D75E53"/>
    <w:rPr>
      <w:rFonts w:cs="Times New Roman"/>
      <w:sz w:val="24"/>
      <w:szCs w:val="24"/>
    </w:rPr>
  </w:style>
  <w:style w:type="character" w:customStyle="1" w:styleId="st1">
    <w:name w:val="st1"/>
    <w:basedOn w:val="Standardnpsmoodstavce"/>
    <w:rsid w:val="00215BCB"/>
    <w:rPr>
      <w:rFonts w:cs="Times New Roman"/>
    </w:rPr>
  </w:style>
  <w:style w:type="paragraph" w:customStyle="1" w:styleId="QA1-Bullet-1st-Clear">
    <w:name w:val="Q&amp;A 1-Bullet-1st-Clear"/>
    <w:basedOn w:val="Normln"/>
    <w:qFormat/>
    <w:rsid w:val="00C73DB7"/>
    <w:pPr>
      <w:widowControl w:val="0"/>
      <w:numPr>
        <w:numId w:val="5"/>
      </w:numPr>
      <w:shd w:val="clear" w:color="auto" w:fill="FFFFFF" w:themeFill="background1"/>
      <w:tabs>
        <w:tab w:val="clear" w:pos="360"/>
      </w:tabs>
      <w:autoSpaceDE w:val="0"/>
      <w:autoSpaceDN w:val="0"/>
      <w:adjustRightInd w:val="0"/>
      <w:ind w:left="166" w:hanging="166"/>
    </w:pPr>
    <w:rPr>
      <w:rFonts w:ascii="Arial" w:hAnsi="Arial" w:cs="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617">
      <w:marLeft w:val="0"/>
      <w:marRight w:val="0"/>
      <w:marTop w:val="0"/>
      <w:marBottom w:val="0"/>
      <w:divBdr>
        <w:top w:val="none" w:sz="0" w:space="0" w:color="auto"/>
        <w:left w:val="none" w:sz="0" w:space="0" w:color="auto"/>
        <w:bottom w:val="none" w:sz="0" w:space="0" w:color="auto"/>
        <w:right w:val="none" w:sz="0" w:space="0" w:color="auto"/>
      </w:divBdr>
    </w:div>
    <w:div w:id="17052618">
      <w:marLeft w:val="0"/>
      <w:marRight w:val="0"/>
      <w:marTop w:val="0"/>
      <w:marBottom w:val="0"/>
      <w:divBdr>
        <w:top w:val="none" w:sz="0" w:space="0" w:color="auto"/>
        <w:left w:val="none" w:sz="0" w:space="0" w:color="auto"/>
        <w:bottom w:val="none" w:sz="0" w:space="0" w:color="auto"/>
        <w:right w:val="none" w:sz="0" w:space="0" w:color="auto"/>
      </w:divBdr>
    </w:div>
    <w:div w:id="17052619">
      <w:marLeft w:val="0"/>
      <w:marRight w:val="0"/>
      <w:marTop w:val="0"/>
      <w:marBottom w:val="0"/>
      <w:divBdr>
        <w:top w:val="none" w:sz="0" w:space="0" w:color="auto"/>
        <w:left w:val="none" w:sz="0" w:space="0" w:color="auto"/>
        <w:bottom w:val="none" w:sz="0" w:space="0" w:color="auto"/>
        <w:right w:val="none" w:sz="0" w:space="0" w:color="auto"/>
      </w:divBdr>
    </w:div>
    <w:div w:id="17052620">
      <w:marLeft w:val="0"/>
      <w:marRight w:val="0"/>
      <w:marTop w:val="0"/>
      <w:marBottom w:val="0"/>
      <w:divBdr>
        <w:top w:val="none" w:sz="0" w:space="0" w:color="auto"/>
        <w:left w:val="none" w:sz="0" w:space="0" w:color="auto"/>
        <w:bottom w:val="none" w:sz="0" w:space="0" w:color="auto"/>
        <w:right w:val="none" w:sz="0" w:space="0" w:color="auto"/>
      </w:divBdr>
    </w:div>
    <w:div w:id="17052621">
      <w:marLeft w:val="0"/>
      <w:marRight w:val="0"/>
      <w:marTop w:val="0"/>
      <w:marBottom w:val="0"/>
      <w:divBdr>
        <w:top w:val="none" w:sz="0" w:space="0" w:color="auto"/>
        <w:left w:val="none" w:sz="0" w:space="0" w:color="auto"/>
        <w:bottom w:val="none" w:sz="0" w:space="0" w:color="auto"/>
        <w:right w:val="none" w:sz="0" w:space="0" w:color="auto"/>
      </w:divBdr>
    </w:div>
    <w:div w:id="17052622">
      <w:marLeft w:val="0"/>
      <w:marRight w:val="0"/>
      <w:marTop w:val="0"/>
      <w:marBottom w:val="0"/>
      <w:divBdr>
        <w:top w:val="none" w:sz="0" w:space="0" w:color="auto"/>
        <w:left w:val="none" w:sz="0" w:space="0" w:color="auto"/>
        <w:bottom w:val="none" w:sz="0" w:space="0" w:color="auto"/>
        <w:right w:val="none" w:sz="0" w:space="0" w:color="auto"/>
      </w:divBdr>
    </w:div>
    <w:div w:id="17052623">
      <w:marLeft w:val="0"/>
      <w:marRight w:val="0"/>
      <w:marTop w:val="0"/>
      <w:marBottom w:val="0"/>
      <w:divBdr>
        <w:top w:val="none" w:sz="0" w:space="0" w:color="auto"/>
        <w:left w:val="none" w:sz="0" w:space="0" w:color="auto"/>
        <w:bottom w:val="none" w:sz="0" w:space="0" w:color="auto"/>
        <w:right w:val="none" w:sz="0" w:space="0" w:color="auto"/>
      </w:divBdr>
      <w:divsChild>
        <w:div w:id="17052624">
          <w:marLeft w:val="0"/>
          <w:marRight w:val="0"/>
          <w:marTop w:val="45"/>
          <w:marBottom w:val="225"/>
          <w:divBdr>
            <w:top w:val="none" w:sz="0" w:space="0" w:color="auto"/>
            <w:left w:val="none" w:sz="0" w:space="0" w:color="auto"/>
            <w:bottom w:val="none" w:sz="0" w:space="0" w:color="auto"/>
            <w:right w:val="none" w:sz="0" w:space="0" w:color="auto"/>
          </w:divBdr>
          <w:divsChild>
            <w:div w:id="17052625">
              <w:marLeft w:val="150"/>
              <w:marRight w:val="0"/>
              <w:marTop w:val="300"/>
              <w:marBottom w:val="0"/>
              <w:divBdr>
                <w:top w:val="none" w:sz="0" w:space="0" w:color="auto"/>
                <w:left w:val="none" w:sz="0" w:space="0" w:color="auto"/>
                <w:bottom w:val="none" w:sz="0" w:space="0" w:color="auto"/>
                <w:right w:val="none" w:sz="0" w:space="0" w:color="auto"/>
              </w:divBdr>
              <w:divsChild>
                <w:div w:id="170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628">
      <w:marLeft w:val="0"/>
      <w:marRight w:val="0"/>
      <w:marTop w:val="0"/>
      <w:marBottom w:val="0"/>
      <w:divBdr>
        <w:top w:val="none" w:sz="0" w:space="0" w:color="auto"/>
        <w:left w:val="none" w:sz="0" w:space="0" w:color="auto"/>
        <w:bottom w:val="none" w:sz="0" w:space="0" w:color="auto"/>
        <w:right w:val="none" w:sz="0" w:space="0" w:color="auto"/>
      </w:divBdr>
      <w:divsChild>
        <w:div w:id="17052626">
          <w:marLeft w:val="0"/>
          <w:marRight w:val="0"/>
          <w:marTop w:val="45"/>
          <w:marBottom w:val="225"/>
          <w:divBdr>
            <w:top w:val="none" w:sz="0" w:space="0" w:color="auto"/>
            <w:left w:val="none" w:sz="0" w:space="0" w:color="auto"/>
            <w:bottom w:val="none" w:sz="0" w:space="0" w:color="auto"/>
            <w:right w:val="none" w:sz="0" w:space="0" w:color="auto"/>
          </w:divBdr>
          <w:divsChild>
            <w:div w:id="17052630">
              <w:marLeft w:val="150"/>
              <w:marRight w:val="0"/>
              <w:marTop w:val="300"/>
              <w:marBottom w:val="0"/>
              <w:divBdr>
                <w:top w:val="none" w:sz="0" w:space="0" w:color="auto"/>
                <w:left w:val="none" w:sz="0" w:space="0" w:color="auto"/>
                <w:bottom w:val="none" w:sz="0" w:space="0" w:color="auto"/>
                <w:right w:val="none" w:sz="0" w:space="0" w:color="auto"/>
              </w:divBdr>
              <w:divsChild>
                <w:div w:id="170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631">
      <w:marLeft w:val="0"/>
      <w:marRight w:val="0"/>
      <w:marTop w:val="0"/>
      <w:marBottom w:val="0"/>
      <w:divBdr>
        <w:top w:val="none" w:sz="0" w:space="0" w:color="auto"/>
        <w:left w:val="none" w:sz="0" w:space="0" w:color="auto"/>
        <w:bottom w:val="none" w:sz="0" w:space="0" w:color="auto"/>
        <w:right w:val="none" w:sz="0" w:space="0" w:color="auto"/>
      </w:divBdr>
    </w:div>
    <w:div w:id="17052632">
      <w:marLeft w:val="0"/>
      <w:marRight w:val="0"/>
      <w:marTop w:val="0"/>
      <w:marBottom w:val="0"/>
      <w:divBdr>
        <w:top w:val="none" w:sz="0" w:space="0" w:color="auto"/>
        <w:left w:val="none" w:sz="0" w:space="0" w:color="auto"/>
        <w:bottom w:val="none" w:sz="0" w:space="0" w:color="auto"/>
        <w:right w:val="none" w:sz="0" w:space="0" w:color="auto"/>
      </w:divBdr>
    </w:div>
    <w:div w:id="17052633">
      <w:marLeft w:val="0"/>
      <w:marRight w:val="0"/>
      <w:marTop w:val="0"/>
      <w:marBottom w:val="0"/>
      <w:divBdr>
        <w:top w:val="none" w:sz="0" w:space="0" w:color="auto"/>
        <w:left w:val="none" w:sz="0" w:space="0" w:color="auto"/>
        <w:bottom w:val="none" w:sz="0" w:space="0" w:color="auto"/>
        <w:right w:val="none" w:sz="0" w:space="0" w:color="auto"/>
      </w:divBdr>
    </w:div>
    <w:div w:id="17052634">
      <w:marLeft w:val="0"/>
      <w:marRight w:val="0"/>
      <w:marTop w:val="0"/>
      <w:marBottom w:val="0"/>
      <w:divBdr>
        <w:top w:val="none" w:sz="0" w:space="0" w:color="auto"/>
        <w:left w:val="none" w:sz="0" w:space="0" w:color="auto"/>
        <w:bottom w:val="none" w:sz="0" w:space="0" w:color="auto"/>
        <w:right w:val="none" w:sz="0" w:space="0" w:color="auto"/>
      </w:divBdr>
    </w:div>
    <w:div w:id="17052635">
      <w:marLeft w:val="0"/>
      <w:marRight w:val="0"/>
      <w:marTop w:val="0"/>
      <w:marBottom w:val="0"/>
      <w:divBdr>
        <w:top w:val="none" w:sz="0" w:space="0" w:color="auto"/>
        <w:left w:val="none" w:sz="0" w:space="0" w:color="auto"/>
        <w:bottom w:val="none" w:sz="0" w:space="0" w:color="auto"/>
        <w:right w:val="none" w:sz="0" w:space="0" w:color="auto"/>
      </w:divBdr>
    </w:div>
    <w:div w:id="17052636">
      <w:marLeft w:val="0"/>
      <w:marRight w:val="0"/>
      <w:marTop w:val="0"/>
      <w:marBottom w:val="0"/>
      <w:divBdr>
        <w:top w:val="none" w:sz="0" w:space="0" w:color="auto"/>
        <w:left w:val="none" w:sz="0" w:space="0" w:color="auto"/>
        <w:bottom w:val="none" w:sz="0" w:space="0" w:color="auto"/>
        <w:right w:val="none" w:sz="0" w:space="0" w:color="auto"/>
      </w:divBdr>
    </w:div>
    <w:div w:id="17052637">
      <w:marLeft w:val="0"/>
      <w:marRight w:val="0"/>
      <w:marTop w:val="0"/>
      <w:marBottom w:val="0"/>
      <w:divBdr>
        <w:top w:val="none" w:sz="0" w:space="0" w:color="auto"/>
        <w:left w:val="none" w:sz="0" w:space="0" w:color="auto"/>
        <w:bottom w:val="none" w:sz="0" w:space="0" w:color="auto"/>
        <w:right w:val="none" w:sz="0" w:space="0" w:color="auto"/>
      </w:divBdr>
    </w:div>
    <w:div w:id="17052638">
      <w:marLeft w:val="0"/>
      <w:marRight w:val="0"/>
      <w:marTop w:val="0"/>
      <w:marBottom w:val="0"/>
      <w:divBdr>
        <w:top w:val="none" w:sz="0" w:space="0" w:color="auto"/>
        <w:left w:val="none" w:sz="0" w:space="0" w:color="auto"/>
        <w:bottom w:val="none" w:sz="0" w:space="0" w:color="auto"/>
        <w:right w:val="none" w:sz="0" w:space="0" w:color="auto"/>
      </w:divBdr>
    </w:div>
    <w:div w:id="521090028">
      <w:bodyDiv w:val="1"/>
      <w:marLeft w:val="0"/>
      <w:marRight w:val="0"/>
      <w:marTop w:val="0"/>
      <w:marBottom w:val="0"/>
      <w:divBdr>
        <w:top w:val="none" w:sz="0" w:space="0" w:color="auto"/>
        <w:left w:val="none" w:sz="0" w:space="0" w:color="auto"/>
        <w:bottom w:val="none" w:sz="0" w:space="0" w:color="auto"/>
        <w:right w:val="none" w:sz="0" w:space="0" w:color="auto"/>
      </w:divBdr>
      <w:divsChild>
        <w:div w:id="207961573">
          <w:marLeft w:val="360"/>
          <w:marRight w:val="0"/>
          <w:marTop w:val="200"/>
          <w:marBottom w:val="0"/>
          <w:divBdr>
            <w:top w:val="none" w:sz="0" w:space="0" w:color="auto"/>
            <w:left w:val="none" w:sz="0" w:space="0" w:color="auto"/>
            <w:bottom w:val="none" w:sz="0" w:space="0" w:color="auto"/>
            <w:right w:val="none" w:sz="0" w:space="0" w:color="auto"/>
          </w:divBdr>
        </w:div>
      </w:divsChild>
    </w:div>
    <w:div w:id="943003909">
      <w:bodyDiv w:val="1"/>
      <w:marLeft w:val="0"/>
      <w:marRight w:val="0"/>
      <w:marTop w:val="0"/>
      <w:marBottom w:val="0"/>
      <w:divBdr>
        <w:top w:val="none" w:sz="0" w:space="0" w:color="auto"/>
        <w:left w:val="none" w:sz="0" w:space="0" w:color="auto"/>
        <w:bottom w:val="none" w:sz="0" w:space="0" w:color="auto"/>
        <w:right w:val="none" w:sz="0" w:space="0" w:color="auto"/>
      </w:divBdr>
    </w:div>
    <w:div w:id="1227839845">
      <w:marLeft w:val="0"/>
      <w:marRight w:val="0"/>
      <w:marTop w:val="0"/>
      <w:marBottom w:val="0"/>
      <w:divBdr>
        <w:top w:val="none" w:sz="0" w:space="0" w:color="auto"/>
        <w:left w:val="none" w:sz="0" w:space="0" w:color="auto"/>
        <w:bottom w:val="none" w:sz="0" w:space="0" w:color="auto"/>
        <w:right w:val="none" w:sz="0" w:space="0" w:color="auto"/>
      </w:divBdr>
    </w:div>
    <w:div w:id="1227839846">
      <w:marLeft w:val="0"/>
      <w:marRight w:val="0"/>
      <w:marTop w:val="0"/>
      <w:marBottom w:val="0"/>
      <w:divBdr>
        <w:top w:val="none" w:sz="0" w:space="0" w:color="auto"/>
        <w:left w:val="none" w:sz="0" w:space="0" w:color="auto"/>
        <w:bottom w:val="none" w:sz="0" w:space="0" w:color="auto"/>
        <w:right w:val="none" w:sz="0" w:space="0" w:color="auto"/>
      </w:divBdr>
    </w:div>
    <w:div w:id="1227839847">
      <w:marLeft w:val="0"/>
      <w:marRight w:val="0"/>
      <w:marTop w:val="0"/>
      <w:marBottom w:val="0"/>
      <w:divBdr>
        <w:top w:val="none" w:sz="0" w:space="0" w:color="auto"/>
        <w:left w:val="none" w:sz="0" w:space="0" w:color="auto"/>
        <w:bottom w:val="none" w:sz="0" w:space="0" w:color="auto"/>
        <w:right w:val="none" w:sz="0" w:space="0" w:color="auto"/>
      </w:divBdr>
    </w:div>
    <w:div w:id="1227839848">
      <w:marLeft w:val="0"/>
      <w:marRight w:val="0"/>
      <w:marTop w:val="0"/>
      <w:marBottom w:val="0"/>
      <w:divBdr>
        <w:top w:val="none" w:sz="0" w:space="0" w:color="auto"/>
        <w:left w:val="none" w:sz="0" w:space="0" w:color="auto"/>
        <w:bottom w:val="none" w:sz="0" w:space="0" w:color="auto"/>
        <w:right w:val="none" w:sz="0" w:space="0" w:color="auto"/>
      </w:divBdr>
    </w:div>
    <w:div w:id="1227839849">
      <w:marLeft w:val="0"/>
      <w:marRight w:val="0"/>
      <w:marTop w:val="0"/>
      <w:marBottom w:val="0"/>
      <w:divBdr>
        <w:top w:val="none" w:sz="0" w:space="0" w:color="auto"/>
        <w:left w:val="none" w:sz="0" w:space="0" w:color="auto"/>
        <w:bottom w:val="none" w:sz="0" w:space="0" w:color="auto"/>
        <w:right w:val="none" w:sz="0" w:space="0" w:color="auto"/>
      </w:divBdr>
    </w:div>
    <w:div w:id="1227839850">
      <w:marLeft w:val="0"/>
      <w:marRight w:val="0"/>
      <w:marTop w:val="0"/>
      <w:marBottom w:val="0"/>
      <w:divBdr>
        <w:top w:val="none" w:sz="0" w:space="0" w:color="auto"/>
        <w:left w:val="none" w:sz="0" w:space="0" w:color="auto"/>
        <w:bottom w:val="none" w:sz="0" w:space="0" w:color="auto"/>
        <w:right w:val="none" w:sz="0" w:space="0" w:color="auto"/>
      </w:divBdr>
    </w:div>
    <w:div w:id="1227839851">
      <w:marLeft w:val="0"/>
      <w:marRight w:val="0"/>
      <w:marTop w:val="0"/>
      <w:marBottom w:val="0"/>
      <w:divBdr>
        <w:top w:val="none" w:sz="0" w:space="0" w:color="auto"/>
        <w:left w:val="none" w:sz="0" w:space="0" w:color="auto"/>
        <w:bottom w:val="none" w:sz="0" w:space="0" w:color="auto"/>
        <w:right w:val="none" w:sz="0" w:space="0" w:color="auto"/>
      </w:divBdr>
      <w:divsChild>
        <w:div w:id="1227839852">
          <w:marLeft w:val="0"/>
          <w:marRight w:val="0"/>
          <w:marTop w:val="45"/>
          <w:marBottom w:val="225"/>
          <w:divBdr>
            <w:top w:val="none" w:sz="0" w:space="0" w:color="auto"/>
            <w:left w:val="none" w:sz="0" w:space="0" w:color="auto"/>
            <w:bottom w:val="none" w:sz="0" w:space="0" w:color="auto"/>
            <w:right w:val="none" w:sz="0" w:space="0" w:color="auto"/>
          </w:divBdr>
          <w:divsChild>
            <w:div w:id="1227839853">
              <w:marLeft w:val="150"/>
              <w:marRight w:val="0"/>
              <w:marTop w:val="300"/>
              <w:marBottom w:val="0"/>
              <w:divBdr>
                <w:top w:val="none" w:sz="0" w:space="0" w:color="auto"/>
                <w:left w:val="none" w:sz="0" w:space="0" w:color="auto"/>
                <w:bottom w:val="none" w:sz="0" w:space="0" w:color="auto"/>
                <w:right w:val="none" w:sz="0" w:space="0" w:color="auto"/>
              </w:divBdr>
              <w:divsChild>
                <w:div w:id="12278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9856">
      <w:marLeft w:val="0"/>
      <w:marRight w:val="0"/>
      <w:marTop w:val="0"/>
      <w:marBottom w:val="0"/>
      <w:divBdr>
        <w:top w:val="none" w:sz="0" w:space="0" w:color="auto"/>
        <w:left w:val="none" w:sz="0" w:space="0" w:color="auto"/>
        <w:bottom w:val="none" w:sz="0" w:space="0" w:color="auto"/>
        <w:right w:val="none" w:sz="0" w:space="0" w:color="auto"/>
      </w:divBdr>
      <w:divsChild>
        <w:div w:id="1227839854">
          <w:marLeft w:val="0"/>
          <w:marRight w:val="0"/>
          <w:marTop w:val="45"/>
          <w:marBottom w:val="225"/>
          <w:divBdr>
            <w:top w:val="none" w:sz="0" w:space="0" w:color="auto"/>
            <w:left w:val="none" w:sz="0" w:space="0" w:color="auto"/>
            <w:bottom w:val="none" w:sz="0" w:space="0" w:color="auto"/>
            <w:right w:val="none" w:sz="0" w:space="0" w:color="auto"/>
          </w:divBdr>
          <w:divsChild>
            <w:div w:id="1227839858">
              <w:marLeft w:val="150"/>
              <w:marRight w:val="0"/>
              <w:marTop w:val="300"/>
              <w:marBottom w:val="0"/>
              <w:divBdr>
                <w:top w:val="none" w:sz="0" w:space="0" w:color="auto"/>
                <w:left w:val="none" w:sz="0" w:space="0" w:color="auto"/>
                <w:bottom w:val="none" w:sz="0" w:space="0" w:color="auto"/>
                <w:right w:val="none" w:sz="0" w:space="0" w:color="auto"/>
              </w:divBdr>
              <w:divsChild>
                <w:div w:id="12278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9859">
      <w:marLeft w:val="0"/>
      <w:marRight w:val="0"/>
      <w:marTop w:val="0"/>
      <w:marBottom w:val="0"/>
      <w:divBdr>
        <w:top w:val="none" w:sz="0" w:space="0" w:color="auto"/>
        <w:left w:val="none" w:sz="0" w:space="0" w:color="auto"/>
        <w:bottom w:val="none" w:sz="0" w:space="0" w:color="auto"/>
        <w:right w:val="none" w:sz="0" w:space="0" w:color="auto"/>
      </w:divBdr>
    </w:div>
    <w:div w:id="1227839860">
      <w:marLeft w:val="0"/>
      <w:marRight w:val="0"/>
      <w:marTop w:val="0"/>
      <w:marBottom w:val="0"/>
      <w:divBdr>
        <w:top w:val="none" w:sz="0" w:space="0" w:color="auto"/>
        <w:left w:val="none" w:sz="0" w:space="0" w:color="auto"/>
        <w:bottom w:val="none" w:sz="0" w:space="0" w:color="auto"/>
        <w:right w:val="none" w:sz="0" w:space="0" w:color="auto"/>
      </w:divBdr>
    </w:div>
    <w:div w:id="1227839861">
      <w:marLeft w:val="0"/>
      <w:marRight w:val="0"/>
      <w:marTop w:val="0"/>
      <w:marBottom w:val="0"/>
      <w:divBdr>
        <w:top w:val="none" w:sz="0" w:space="0" w:color="auto"/>
        <w:left w:val="none" w:sz="0" w:space="0" w:color="auto"/>
        <w:bottom w:val="none" w:sz="0" w:space="0" w:color="auto"/>
        <w:right w:val="none" w:sz="0" w:space="0" w:color="auto"/>
      </w:divBdr>
    </w:div>
    <w:div w:id="1227839862">
      <w:marLeft w:val="0"/>
      <w:marRight w:val="0"/>
      <w:marTop w:val="0"/>
      <w:marBottom w:val="0"/>
      <w:divBdr>
        <w:top w:val="none" w:sz="0" w:space="0" w:color="auto"/>
        <w:left w:val="none" w:sz="0" w:space="0" w:color="auto"/>
        <w:bottom w:val="none" w:sz="0" w:space="0" w:color="auto"/>
        <w:right w:val="none" w:sz="0" w:space="0" w:color="auto"/>
      </w:divBdr>
    </w:div>
    <w:div w:id="1227839863">
      <w:marLeft w:val="0"/>
      <w:marRight w:val="0"/>
      <w:marTop w:val="0"/>
      <w:marBottom w:val="0"/>
      <w:divBdr>
        <w:top w:val="none" w:sz="0" w:space="0" w:color="auto"/>
        <w:left w:val="none" w:sz="0" w:space="0" w:color="auto"/>
        <w:bottom w:val="none" w:sz="0" w:space="0" w:color="auto"/>
        <w:right w:val="none" w:sz="0" w:space="0" w:color="auto"/>
      </w:divBdr>
    </w:div>
    <w:div w:id="1227839864">
      <w:marLeft w:val="0"/>
      <w:marRight w:val="0"/>
      <w:marTop w:val="0"/>
      <w:marBottom w:val="0"/>
      <w:divBdr>
        <w:top w:val="none" w:sz="0" w:space="0" w:color="auto"/>
        <w:left w:val="none" w:sz="0" w:space="0" w:color="auto"/>
        <w:bottom w:val="none" w:sz="0" w:space="0" w:color="auto"/>
        <w:right w:val="none" w:sz="0" w:space="0" w:color="auto"/>
      </w:divBdr>
    </w:div>
    <w:div w:id="1227839865">
      <w:marLeft w:val="0"/>
      <w:marRight w:val="0"/>
      <w:marTop w:val="0"/>
      <w:marBottom w:val="0"/>
      <w:divBdr>
        <w:top w:val="none" w:sz="0" w:space="0" w:color="auto"/>
        <w:left w:val="none" w:sz="0" w:space="0" w:color="auto"/>
        <w:bottom w:val="none" w:sz="0" w:space="0" w:color="auto"/>
        <w:right w:val="none" w:sz="0" w:space="0" w:color="auto"/>
      </w:divBdr>
    </w:div>
    <w:div w:id="1227839866">
      <w:marLeft w:val="0"/>
      <w:marRight w:val="0"/>
      <w:marTop w:val="0"/>
      <w:marBottom w:val="0"/>
      <w:divBdr>
        <w:top w:val="none" w:sz="0" w:space="0" w:color="auto"/>
        <w:left w:val="none" w:sz="0" w:space="0" w:color="auto"/>
        <w:bottom w:val="none" w:sz="0" w:space="0" w:color="auto"/>
        <w:right w:val="none" w:sz="0" w:space="0" w:color="auto"/>
      </w:divBdr>
    </w:div>
    <w:div w:id="1345473341">
      <w:bodyDiv w:val="1"/>
      <w:marLeft w:val="0"/>
      <w:marRight w:val="0"/>
      <w:marTop w:val="0"/>
      <w:marBottom w:val="0"/>
      <w:divBdr>
        <w:top w:val="none" w:sz="0" w:space="0" w:color="auto"/>
        <w:left w:val="none" w:sz="0" w:space="0" w:color="auto"/>
        <w:bottom w:val="none" w:sz="0" w:space="0" w:color="auto"/>
        <w:right w:val="none" w:sz="0" w:space="0" w:color="auto"/>
      </w:divBdr>
    </w:div>
    <w:div w:id="1557815389">
      <w:bodyDiv w:val="1"/>
      <w:marLeft w:val="0"/>
      <w:marRight w:val="0"/>
      <w:marTop w:val="0"/>
      <w:marBottom w:val="0"/>
      <w:divBdr>
        <w:top w:val="none" w:sz="0" w:space="0" w:color="auto"/>
        <w:left w:val="none" w:sz="0" w:space="0" w:color="auto"/>
        <w:bottom w:val="none" w:sz="0" w:space="0" w:color="auto"/>
        <w:right w:val="none" w:sz="0" w:space="0" w:color="auto"/>
      </w:divBdr>
    </w:div>
    <w:div w:id="1688480402">
      <w:marLeft w:val="0"/>
      <w:marRight w:val="0"/>
      <w:marTop w:val="0"/>
      <w:marBottom w:val="0"/>
      <w:divBdr>
        <w:top w:val="none" w:sz="0" w:space="0" w:color="auto"/>
        <w:left w:val="none" w:sz="0" w:space="0" w:color="auto"/>
        <w:bottom w:val="none" w:sz="0" w:space="0" w:color="auto"/>
        <w:right w:val="none" w:sz="0" w:space="0" w:color="auto"/>
      </w:divBdr>
    </w:div>
    <w:div w:id="1688480403">
      <w:marLeft w:val="0"/>
      <w:marRight w:val="0"/>
      <w:marTop w:val="0"/>
      <w:marBottom w:val="0"/>
      <w:divBdr>
        <w:top w:val="none" w:sz="0" w:space="0" w:color="auto"/>
        <w:left w:val="none" w:sz="0" w:space="0" w:color="auto"/>
        <w:bottom w:val="none" w:sz="0" w:space="0" w:color="auto"/>
        <w:right w:val="none" w:sz="0" w:space="0" w:color="auto"/>
      </w:divBdr>
    </w:div>
    <w:div w:id="1688480404">
      <w:marLeft w:val="0"/>
      <w:marRight w:val="0"/>
      <w:marTop w:val="0"/>
      <w:marBottom w:val="0"/>
      <w:divBdr>
        <w:top w:val="none" w:sz="0" w:space="0" w:color="auto"/>
        <w:left w:val="none" w:sz="0" w:space="0" w:color="auto"/>
        <w:bottom w:val="none" w:sz="0" w:space="0" w:color="auto"/>
        <w:right w:val="none" w:sz="0" w:space="0" w:color="auto"/>
      </w:divBdr>
    </w:div>
    <w:div w:id="1688480405">
      <w:marLeft w:val="0"/>
      <w:marRight w:val="0"/>
      <w:marTop w:val="0"/>
      <w:marBottom w:val="0"/>
      <w:divBdr>
        <w:top w:val="none" w:sz="0" w:space="0" w:color="auto"/>
        <w:left w:val="none" w:sz="0" w:space="0" w:color="auto"/>
        <w:bottom w:val="none" w:sz="0" w:space="0" w:color="auto"/>
        <w:right w:val="none" w:sz="0" w:space="0" w:color="auto"/>
      </w:divBdr>
    </w:div>
    <w:div w:id="1688480406">
      <w:marLeft w:val="0"/>
      <w:marRight w:val="0"/>
      <w:marTop w:val="0"/>
      <w:marBottom w:val="0"/>
      <w:divBdr>
        <w:top w:val="none" w:sz="0" w:space="0" w:color="auto"/>
        <w:left w:val="none" w:sz="0" w:space="0" w:color="auto"/>
        <w:bottom w:val="none" w:sz="0" w:space="0" w:color="auto"/>
        <w:right w:val="none" w:sz="0" w:space="0" w:color="auto"/>
      </w:divBdr>
    </w:div>
    <w:div w:id="1688480407">
      <w:marLeft w:val="0"/>
      <w:marRight w:val="0"/>
      <w:marTop w:val="0"/>
      <w:marBottom w:val="0"/>
      <w:divBdr>
        <w:top w:val="none" w:sz="0" w:space="0" w:color="auto"/>
        <w:left w:val="none" w:sz="0" w:space="0" w:color="auto"/>
        <w:bottom w:val="none" w:sz="0" w:space="0" w:color="auto"/>
        <w:right w:val="none" w:sz="0" w:space="0" w:color="auto"/>
      </w:divBdr>
    </w:div>
    <w:div w:id="1688480408">
      <w:marLeft w:val="0"/>
      <w:marRight w:val="0"/>
      <w:marTop w:val="0"/>
      <w:marBottom w:val="0"/>
      <w:divBdr>
        <w:top w:val="none" w:sz="0" w:space="0" w:color="auto"/>
        <w:left w:val="none" w:sz="0" w:space="0" w:color="auto"/>
        <w:bottom w:val="none" w:sz="0" w:space="0" w:color="auto"/>
        <w:right w:val="none" w:sz="0" w:space="0" w:color="auto"/>
      </w:divBdr>
      <w:divsChild>
        <w:div w:id="1688480409">
          <w:marLeft w:val="0"/>
          <w:marRight w:val="0"/>
          <w:marTop w:val="45"/>
          <w:marBottom w:val="225"/>
          <w:divBdr>
            <w:top w:val="none" w:sz="0" w:space="0" w:color="auto"/>
            <w:left w:val="none" w:sz="0" w:space="0" w:color="auto"/>
            <w:bottom w:val="none" w:sz="0" w:space="0" w:color="auto"/>
            <w:right w:val="none" w:sz="0" w:space="0" w:color="auto"/>
          </w:divBdr>
          <w:divsChild>
            <w:div w:id="1688480410">
              <w:marLeft w:val="150"/>
              <w:marRight w:val="0"/>
              <w:marTop w:val="300"/>
              <w:marBottom w:val="0"/>
              <w:divBdr>
                <w:top w:val="none" w:sz="0" w:space="0" w:color="auto"/>
                <w:left w:val="none" w:sz="0" w:space="0" w:color="auto"/>
                <w:bottom w:val="none" w:sz="0" w:space="0" w:color="auto"/>
                <w:right w:val="none" w:sz="0" w:space="0" w:color="auto"/>
              </w:divBdr>
              <w:divsChild>
                <w:div w:id="16884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413">
      <w:marLeft w:val="0"/>
      <w:marRight w:val="0"/>
      <w:marTop w:val="0"/>
      <w:marBottom w:val="0"/>
      <w:divBdr>
        <w:top w:val="none" w:sz="0" w:space="0" w:color="auto"/>
        <w:left w:val="none" w:sz="0" w:space="0" w:color="auto"/>
        <w:bottom w:val="none" w:sz="0" w:space="0" w:color="auto"/>
        <w:right w:val="none" w:sz="0" w:space="0" w:color="auto"/>
      </w:divBdr>
      <w:divsChild>
        <w:div w:id="1688480411">
          <w:marLeft w:val="0"/>
          <w:marRight w:val="0"/>
          <w:marTop w:val="45"/>
          <w:marBottom w:val="225"/>
          <w:divBdr>
            <w:top w:val="none" w:sz="0" w:space="0" w:color="auto"/>
            <w:left w:val="none" w:sz="0" w:space="0" w:color="auto"/>
            <w:bottom w:val="none" w:sz="0" w:space="0" w:color="auto"/>
            <w:right w:val="none" w:sz="0" w:space="0" w:color="auto"/>
          </w:divBdr>
          <w:divsChild>
            <w:div w:id="1688480415">
              <w:marLeft w:val="150"/>
              <w:marRight w:val="0"/>
              <w:marTop w:val="300"/>
              <w:marBottom w:val="0"/>
              <w:divBdr>
                <w:top w:val="none" w:sz="0" w:space="0" w:color="auto"/>
                <w:left w:val="none" w:sz="0" w:space="0" w:color="auto"/>
                <w:bottom w:val="none" w:sz="0" w:space="0" w:color="auto"/>
                <w:right w:val="none" w:sz="0" w:space="0" w:color="auto"/>
              </w:divBdr>
              <w:divsChild>
                <w:div w:id="16884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416">
      <w:marLeft w:val="0"/>
      <w:marRight w:val="0"/>
      <w:marTop w:val="0"/>
      <w:marBottom w:val="0"/>
      <w:divBdr>
        <w:top w:val="none" w:sz="0" w:space="0" w:color="auto"/>
        <w:left w:val="none" w:sz="0" w:space="0" w:color="auto"/>
        <w:bottom w:val="none" w:sz="0" w:space="0" w:color="auto"/>
        <w:right w:val="none" w:sz="0" w:space="0" w:color="auto"/>
      </w:divBdr>
    </w:div>
    <w:div w:id="1688480417">
      <w:marLeft w:val="0"/>
      <w:marRight w:val="0"/>
      <w:marTop w:val="0"/>
      <w:marBottom w:val="0"/>
      <w:divBdr>
        <w:top w:val="none" w:sz="0" w:space="0" w:color="auto"/>
        <w:left w:val="none" w:sz="0" w:space="0" w:color="auto"/>
        <w:bottom w:val="none" w:sz="0" w:space="0" w:color="auto"/>
        <w:right w:val="none" w:sz="0" w:space="0" w:color="auto"/>
      </w:divBdr>
    </w:div>
    <w:div w:id="1688480418">
      <w:marLeft w:val="0"/>
      <w:marRight w:val="0"/>
      <w:marTop w:val="0"/>
      <w:marBottom w:val="0"/>
      <w:divBdr>
        <w:top w:val="none" w:sz="0" w:space="0" w:color="auto"/>
        <w:left w:val="none" w:sz="0" w:space="0" w:color="auto"/>
        <w:bottom w:val="none" w:sz="0" w:space="0" w:color="auto"/>
        <w:right w:val="none" w:sz="0" w:space="0" w:color="auto"/>
      </w:divBdr>
    </w:div>
    <w:div w:id="1688480419">
      <w:marLeft w:val="0"/>
      <w:marRight w:val="0"/>
      <w:marTop w:val="0"/>
      <w:marBottom w:val="0"/>
      <w:divBdr>
        <w:top w:val="none" w:sz="0" w:space="0" w:color="auto"/>
        <w:left w:val="none" w:sz="0" w:space="0" w:color="auto"/>
        <w:bottom w:val="none" w:sz="0" w:space="0" w:color="auto"/>
        <w:right w:val="none" w:sz="0" w:space="0" w:color="auto"/>
      </w:divBdr>
    </w:div>
    <w:div w:id="1688480420">
      <w:marLeft w:val="0"/>
      <w:marRight w:val="0"/>
      <w:marTop w:val="0"/>
      <w:marBottom w:val="0"/>
      <w:divBdr>
        <w:top w:val="none" w:sz="0" w:space="0" w:color="auto"/>
        <w:left w:val="none" w:sz="0" w:space="0" w:color="auto"/>
        <w:bottom w:val="none" w:sz="0" w:space="0" w:color="auto"/>
        <w:right w:val="none" w:sz="0" w:space="0" w:color="auto"/>
      </w:divBdr>
    </w:div>
    <w:div w:id="1688480421">
      <w:marLeft w:val="0"/>
      <w:marRight w:val="0"/>
      <w:marTop w:val="0"/>
      <w:marBottom w:val="0"/>
      <w:divBdr>
        <w:top w:val="none" w:sz="0" w:space="0" w:color="auto"/>
        <w:left w:val="none" w:sz="0" w:space="0" w:color="auto"/>
        <w:bottom w:val="none" w:sz="0" w:space="0" w:color="auto"/>
        <w:right w:val="none" w:sz="0" w:space="0" w:color="auto"/>
      </w:divBdr>
    </w:div>
    <w:div w:id="1688480422">
      <w:marLeft w:val="0"/>
      <w:marRight w:val="0"/>
      <w:marTop w:val="0"/>
      <w:marBottom w:val="0"/>
      <w:divBdr>
        <w:top w:val="none" w:sz="0" w:space="0" w:color="auto"/>
        <w:left w:val="none" w:sz="0" w:space="0" w:color="auto"/>
        <w:bottom w:val="none" w:sz="0" w:space="0" w:color="auto"/>
        <w:right w:val="none" w:sz="0" w:space="0" w:color="auto"/>
      </w:divBdr>
    </w:div>
    <w:div w:id="1688480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rs.ups.com" TargetMode="External"/><Relationship Id="rId13" Type="http://schemas.openxmlformats.org/officeDocument/2006/relationships/hyperlink" Target="http://www.ups.com/?Campaign_id=BOILERPLATE_PRESSRELEASE_END_UPSCOM_050319" TargetMode="External"/><Relationship Id="rId18" Type="http://schemas.openxmlformats.org/officeDocument/2006/relationships/hyperlink" Target="https://www.ups.com/ship/guided/destination?tx=2168142152068288&amp;loc=en_US&amp;WT.mc_id=BOILERPLATE_PRESSRELEASE_END_SHIP_0716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www.forbes.com/just-companies/" TargetMode="External"/><Relationship Id="rId17" Type="http://schemas.openxmlformats.org/officeDocument/2006/relationships/hyperlink" Target="https://twitter.com/UPS_New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stainability.ups.com/resources/sustainability-newsletter/?Campaign_id=BOILERPLATE_PRESSRELEASE_END_SUSTYNEWSLETTER_050319"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com/powerful-brands/lis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ups.com/us/en/services/knowledge-center/longitudes-landing.page?articlesource=longitudes&amp;WT.mc_id=BOILERPLATE_PRESSRELEASE_END_LONGITUDESKC_071619" TargetMode="External"/><Relationship Id="rId23" Type="http://schemas.openxmlformats.org/officeDocument/2006/relationships/header" Target="header1.xml"/><Relationship Id="rId10" Type="http://schemas.openxmlformats.org/officeDocument/2006/relationships/hyperlink" Target="https://www.newsweek.com/americas-best-customer-service-2019/services-transportation-trave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nvestors.ups.com" TargetMode="External"/><Relationship Id="rId14" Type="http://schemas.openxmlformats.org/officeDocument/2006/relationships/hyperlink" Target="https://pressroom.ups.com/pressroom/Home.page?Campaign_id=BOILERPLATE_PRESSRELEASE_END_PRESSROOM_050319" TargetMode="Externa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D5F0A-3918-4795-8E64-175191F2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2283</Words>
  <Characters>14585</Characters>
  <Application>Microsoft Office Word</Application>
  <DocSecurity>0</DocSecurity>
  <Lines>121</Lines>
  <Paragraphs>33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2019-10-22T11:10:00Z</dcterms:created>
  <dcterms:modified xsi:type="dcterms:W3CDTF">2019-10-22T11:10:00Z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-59960604</vt:i4>
  </property>
</Properties>
</file>