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3133" w14:textId="63BE43E5" w:rsidR="00A15580" w:rsidRDefault="00A15580" w:rsidP="00A1558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24B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680AAC4" wp14:editId="153F8568">
            <wp:simplePos x="0" y="0"/>
            <wp:positionH relativeFrom="margin">
              <wp:align>right</wp:align>
            </wp:positionH>
            <wp:positionV relativeFrom="paragraph">
              <wp:posOffset>7537</wp:posOffset>
            </wp:positionV>
            <wp:extent cx="848360" cy="958215"/>
            <wp:effectExtent l="0" t="0" r="0" b="0"/>
            <wp:wrapSquare wrapText="bothSides"/>
            <wp:docPr id="5" name="Picture 5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E0C2A" w14:textId="21E18529" w:rsidR="00A15580" w:rsidRPr="00175F32" w:rsidRDefault="00A15580" w:rsidP="00A1558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  <w:lang w:val="cs-CZ"/>
        </w:rPr>
      </w:pPr>
      <w:r w:rsidRPr="00175F32">
        <w:rPr>
          <w:rFonts w:ascii="Arial" w:hAnsi="Arial" w:cs="Arial"/>
          <w:sz w:val="20"/>
          <w:szCs w:val="20"/>
          <w:lang w:val="cs-CZ"/>
        </w:rPr>
        <w:t>Kontakty</w:t>
      </w:r>
      <w:r w:rsidR="008A4E2F" w:rsidRPr="00175F32">
        <w:rPr>
          <w:rFonts w:ascii="Arial" w:hAnsi="Arial" w:cs="Arial"/>
          <w:sz w:val="20"/>
          <w:szCs w:val="20"/>
          <w:lang w:val="cs-CZ"/>
        </w:rPr>
        <w:t>:</w:t>
      </w:r>
      <w:r w:rsidRPr="00175F32">
        <w:rPr>
          <w:rFonts w:ascii="Arial" w:hAnsi="Arial" w:cs="Arial"/>
          <w:sz w:val="20"/>
          <w:szCs w:val="20"/>
          <w:lang w:val="cs-CZ"/>
        </w:rPr>
        <w:tab/>
        <w:t>Karla Krejčí, Donath Business &amp; Media</w:t>
      </w:r>
    </w:p>
    <w:p w14:paraId="53C561DA" w14:textId="367B1FE5" w:rsidR="00A15580" w:rsidRPr="00A15580" w:rsidRDefault="00A15580" w:rsidP="00A15580">
      <w:pPr>
        <w:pStyle w:val="Nadpis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A15580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bookmarkStart w:id="0" w:name="_GoBack"/>
    <w:p w14:paraId="5647C3AF" w14:textId="58F8234A" w:rsidR="00A15580" w:rsidRPr="00A15580" w:rsidRDefault="00565D96" w:rsidP="00A15580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r>
        <w:fldChar w:fldCharType="begin"/>
      </w:r>
      <w:r w:rsidRPr="00E42089">
        <w:rPr>
          <w:lang w:val="fr-FR"/>
        </w:rPr>
        <w:instrText xml:space="preserve"> HYPERLINK "mailto:karla.krejci@dbm.cz" </w:instrText>
      </w:r>
      <w:r>
        <w:fldChar w:fldCharType="separate"/>
      </w:r>
      <w:r w:rsidR="00A15580" w:rsidRPr="00A15580">
        <w:rPr>
          <w:rStyle w:val="Hypertextovodkaz"/>
          <w:rFonts w:ascii="Arial" w:hAnsi="Arial" w:cs="Arial"/>
          <w:sz w:val="20"/>
          <w:szCs w:val="20"/>
          <w:lang w:val="cs-CZ"/>
        </w:rPr>
        <w:t>karla.krejci@dbm.cz</w:t>
      </w:r>
      <w:r>
        <w:rPr>
          <w:rStyle w:val="Hypertextovodkaz"/>
          <w:rFonts w:ascii="Arial" w:hAnsi="Arial" w:cs="Arial"/>
          <w:sz w:val="20"/>
          <w:szCs w:val="20"/>
          <w:lang w:val="cs-CZ"/>
        </w:rPr>
        <w:fldChar w:fldCharType="end"/>
      </w:r>
    </w:p>
    <w:bookmarkEnd w:id="0"/>
    <w:p w14:paraId="7A55790D" w14:textId="77777777" w:rsidR="00A15580" w:rsidRPr="00A15580" w:rsidRDefault="00A15580" w:rsidP="008A4E2F">
      <w:pPr>
        <w:rPr>
          <w:rFonts w:ascii="Arial" w:hAnsi="Arial" w:cs="Arial"/>
          <w:sz w:val="20"/>
          <w:szCs w:val="20"/>
          <w:lang w:val="fr-FR"/>
        </w:rPr>
      </w:pPr>
    </w:p>
    <w:p w14:paraId="60B18D4E" w14:textId="2A9C02C4" w:rsidR="008A4E2F" w:rsidRPr="00A15580" w:rsidRDefault="008A4E2F" w:rsidP="00A15580">
      <w:pPr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A15580">
        <w:rPr>
          <w:rFonts w:ascii="Arial" w:hAnsi="Arial" w:cs="Arial"/>
          <w:sz w:val="20"/>
          <w:szCs w:val="20"/>
          <w:lang w:val="fr-FR"/>
        </w:rPr>
        <w:t xml:space="preserve">Steve </w:t>
      </w:r>
      <w:proofErr w:type="spellStart"/>
      <w:r w:rsidRPr="00A15580">
        <w:rPr>
          <w:rFonts w:ascii="Arial" w:hAnsi="Arial" w:cs="Arial"/>
          <w:sz w:val="20"/>
          <w:szCs w:val="20"/>
          <w:lang w:val="fr-FR"/>
        </w:rPr>
        <w:t>Gaut</w:t>
      </w:r>
      <w:proofErr w:type="spellEnd"/>
      <w:r w:rsidRPr="00A15580">
        <w:rPr>
          <w:rFonts w:ascii="Arial" w:hAnsi="Arial" w:cs="Arial"/>
          <w:sz w:val="20"/>
          <w:szCs w:val="20"/>
          <w:lang w:val="fr-FR"/>
        </w:rPr>
        <w:t xml:space="preserve">, Public Relations </w:t>
      </w:r>
    </w:p>
    <w:p w14:paraId="1686DD7A" w14:textId="77777777" w:rsidR="008A4E2F" w:rsidRDefault="008A4E2F" w:rsidP="008A4E2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+1 404-828-8787</w:t>
      </w:r>
    </w:p>
    <w:p w14:paraId="5B06FEDE" w14:textId="77777777" w:rsidR="00A15580" w:rsidRPr="00B54EAA" w:rsidRDefault="00A15580" w:rsidP="00A15580">
      <w:pPr>
        <w:rPr>
          <w:rFonts w:ascii="Arial" w:hAnsi="Arial" w:cs="Arial"/>
          <w:sz w:val="20"/>
          <w:szCs w:val="20"/>
        </w:rPr>
      </w:pPr>
    </w:p>
    <w:p w14:paraId="35DA33D4" w14:textId="77777777" w:rsidR="008A4E2F" w:rsidRPr="00B54EAA" w:rsidRDefault="008A4E2F" w:rsidP="00A15580">
      <w:pPr>
        <w:ind w:left="720" w:firstLine="720"/>
        <w:rPr>
          <w:rFonts w:ascii="Arial" w:hAnsi="Arial" w:cs="Arial"/>
          <w:sz w:val="20"/>
          <w:szCs w:val="20"/>
        </w:rPr>
      </w:pPr>
      <w:r w:rsidRPr="00B54EAA">
        <w:rPr>
          <w:rFonts w:ascii="Arial" w:hAnsi="Arial" w:cs="Arial"/>
          <w:sz w:val="20"/>
          <w:szCs w:val="20"/>
        </w:rPr>
        <w:t>Scott Childress, Investor Relations</w:t>
      </w:r>
    </w:p>
    <w:p w14:paraId="0F032AA7" w14:textId="090434A3" w:rsidR="008A4E2F" w:rsidRPr="00B54EAA" w:rsidRDefault="008A4E2F" w:rsidP="00A15580">
      <w:pPr>
        <w:ind w:left="720" w:firstLine="720"/>
        <w:rPr>
          <w:rFonts w:ascii="Arial" w:hAnsi="Arial" w:cs="Arial"/>
          <w:sz w:val="20"/>
          <w:szCs w:val="20"/>
        </w:rPr>
      </w:pPr>
      <w:r w:rsidRPr="00B54EAA">
        <w:rPr>
          <w:rFonts w:ascii="Arial" w:hAnsi="Arial" w:cs="Arial"/>
          <w:sz w:val="20"/>
          <w:szCs w:val="20"/>
        </w:rPr>
        <w:t>+1 404-828-7957</w:t>
      </w:r>
    </w:p>
    <w:p w14:paraId="07880BF5" w14:textId="08E1F88C" w:rsidR="008A4E2F" w:rsidRDefault="008A4E2F" w:rsidP="008A4E2F">
      <w:pPr>
        <w:rPr>
          <w:rFonts w:ascii="Arial" w:hAnsi="Arial" w:cs="Arial"/>
          <w:sz w:val="18"/>
          <w:szCs w:val="18"/>
        </w:rPr>
      </w:pPr>
    </w:p>
    <w:p w14:paraId="093F6DD4" w14:textId="2AB706F3" w:rsidR="008A4E2F" w:rsidRDefault="008A4E2F" w:rsidP="008A4E2F">
      <w:pPr>
        <w:rPr>
          <w:rFonts w:ascii="Arial" w:hAnsi="Arial" w:cs="Arial"/>
          <w:sz w:val="18"/>
          <w:szCs w:val="18"/>
        </w:rPr>
      </w:pPr>
    </w:p>
    <w:p w14:paraId="4A925D23" w14:textId="77777777" w:rsidR="00E62366" w:rsidRDefault="00E62366" w:rsidP="008A4E2F">
      <w:pPr>
        <w:rPr>
          <w:rFonts w:ascii="Arial" w:hAnsi="Arial" w:cs="Arial"/>
          <w:sz w:val="18"/>
          <w:szCs w:val="18"/>
        </w:rPr>
      </w:pPr>
    </w:p>
    <w:p w14:paraId="4A0F1447" w14:textId="43B70B13" w:rsidR="003A66B9" w:rsidRPr="003A66B9" w:rsidRDefault="00B54EAA" w:rsidP="008A4E2F">
      <w:pPr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>
        <w:rPr>
          <w:rFonts w:ascii="Arial" w:hAnsi="Arial" w:cs="Arial"/>
          <w:b/>
          <w:bCs/>
          <w:sz w:val="32"/>
          <w:szCs w:val="32"/>
          <w:lang w:val="cs-CZ"/>
        </w:rPr>
        <w:t>UPS ZVEŘEJNILA</w:t>
      </w:r>
      <w:r w:rsidR="003A66B9" w:rsidRPr="003A66B9">
        <w:rPr>
          <w:rFonts w:ascii="Arial" w:hAnsi="Arial" w:cs="Arial"/>
          <w:b/>
          <w:bCs/>
          <w:sz w:val="32"/>
          <w:szCs w:val="32"/>
          <w:lang w:val="cs-CZ"/>
        </w:rPr>
        <w:t xml:space="preserve"> VÝSLEDKY ZA 2. KVARTÁL 2019</w:t>
      </w:r>
    </w:p>
    <w:p w14:paraId="35E1A5E7" w14:textId="3CD3C2C3" w:rsidR="003A66B9" w:rsidRPr="003A66B9" w:rsidRDefault="003A66B9" w:rsidP="008A4E2F">
      <w:pPr>
        <w:jc w:val="center"/>
        <w:rPr>
          <w:rFonts w:ascii="Arial" w:hAnsi="Arial" w:cs="Arial"/>
          <w:i/>
          <w:iCs/>
          <w:lang w:val="cs-CZ"/>
        </w:rPr>
      </w:pPr>
      <w:r w:rsidRPr="003A66B9">
        <w:rPr>
          <w:rFonts w:ascii="Arial" w:hAnsi="Arial" w:cs="Arial"/>
          <w:i/>
          <w:iCs/>
          <w:lang w:val="cs-CZ"/>
        </w:rPr>
        <w:t>Provozní zisk rostl ve všech segmentech</w:t>
      </w:r>
    </w:p>
    <w:p w14:paraId="3ABCBFF9" w14:textId="77777777" w:rsidR="003A66B9" w:rsidRPr="00E42089" w:rsidRDefault="003A66B9" w:rsidP="008A4E2F">
      <w:pPr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14:paraId="0E0EC718" w14:textId="3142D458" w:rsidR="003A66B9" w:rsidRDefault="003A66B9" w:rsidP="008A4E2F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 w:rsidRPr="00E67559">
        <w:rPr>
          <w:rFonts w:ascii="Arial" w:hAnsi="Arial" w:cs="Arial"/>
          <w:b/>
          <w:bCs/>
          <w:i/>
          <w:iCs/>
          <w:lang w:val="cs-CZ"/>
        </w:rPr>
        <w:t xml:space="preserve">Zisk na akcii ve 2. kvartálu 2019 </w:t>
      </w:r>
      <w:r w:rsidR="00E67559" w:rsidRPr="00E67559">
        <w:rPr>
          <w:rFonts w:ascii="Arial" w:hAnsi="Arial" w:cs="Arial"/>
          <w:b/>
          <w:bCs/>
          <w:i/>
          <w:iCs/>
          <w:lang w:val="cs-CZ"/>
        </w:rPr>
        <w:t xml:space="preserve">dosáhl </w:t>
      </w:r>
      <w:r w:rsidR="00E67559">
        <w:rPr>
          <w:rFonts w:ascii="Arial" w:hAnsi="Arial" w:cs="Arial"/>
          <w:b/>
          <w:bCs/>
          <w:i/>
          <w:iCs/>
          <w:lang w:val="cs-CZ"/>
        </w:rPr>
        <w:t>1,94 USD; upravený</w:t>
      </w:r>
      <w:r w:rsidR="00E62366">
        <w:rPr>
          <w:rFonts w:ascii="Arial" w:hAnsi="Arial" w:cs="Arial"/>
          <w:b/>
          <w:bCs/>
          <w:i/>
          <w:iCs/>
          <w:lang w:val="cs-CZ"/>
        </w:rPr>
        <w:t>*</w:t>
      </w:r>
      <w:r w:rsidR="00E67559">
        <w:rPr>
          <w:rFonts w:ascii="Arial" w:hAnsi="Arial" w:cs="Arial"/>
          <w:b/>
          <w:bCs/>
          <w:i/>
          <w:iCs/>
          <w:lang w:val="cs-CZ"/>
        </w:rPr>
        <w:t xml:space="preserve"> zisk na akcii</w:t>
      </w:r>
      <w:r w:rsidR="00E62366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="00E67559">
        <w:rPr>
          <w:rFonts w:ascii="Arial" w:hAnsi="Arial" w:cs="Arial"/>
          <w:b/>
          <w:bCs/>
          <w:i/>
          <w:iCs/>
          <w:lang w:val="cs-CZ"/>
        </w:rPr>
        <w:t>1,96 USD</w:t>
      </w:r>
    </w:p>
    <w:p w14:paraId="03195E54" w14:textId="4F70A21F" w:rsidR="00E67559" w:rsidRDefault="00E67559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>
        <w:rPr>
          <w:rFonts w:ascii="Arial" w:hAnsi="Arial" w:cs="Arial"/>
          <w:b/>
          <w:bCs/>
          <w:i/>
          <w:iCs/>
          <w:lang w:val="cs-CZ"/>
        </w:rPr>
        <w:t xml:space="preserve">Denní objemy na domácím trhu v USA </w:t>
      </w:r>
      <w:r w:rsidR="00E62366">
        <w:rPr>
          <w:rFonts w:ascii="Arial" w:hAnsi="Arial" w:cs="Arial"/>
          <w:b/>
          <w:bCs/>
          <w:i/>
          <w:iCs/>
          <w:lang w:val="cs-CZ"/>
        </w:rPr>
        <w:t>na</w:t>
      </w:r>
      <w:r>
        <w:rPr>
          <w:rFonts w:ascii="Arial" w:hAnsi="Arial" w:cs="Arial"/>
          <w:b/>
          <w:bCs/>
          <w:i/>
          <w:iCs/>
          <w:lang w:val="cs-CZ"/>
        </w:rPr>
        <w:t xml:space="preserve">rostly o více než 7 %; </w:t>
      </w:r>
      <w:r w:rsidR="00E62366">
        <w:rPr>
          <w:rFonts w:ascii="Arial" w:hAnsi="Arial" w:cs="Arial"/>
          <w:b/>
          <w:bCs/>
          <w:i/>
          <w:iCs/>
          <w:lang w:val="cs-CZ"/>
        </w:rPr>
        <w:t>o</w:t>
      </w:r>
      <w:r>
        <w:rPr>
          <w:rFonts w:ascii="Arial" w:hAnsi="Arial" w:cs="Arial"/>
          <w:b/>
          <w:bCs/>
          <w:i/>
          <w:iCs/>
          <w:lang w:val="cs-CZ"/>
        </w:rPr>
        <w:t xml:space="preserve">bjemy </w:t>
      </w:r>
      <w:r w:rsidR="00E62366">
        <w:rPr>
          <w:rFonts w:ascii="Arial" w:hAnsi="Arial" w:cs="Arial"/>
          <w:b/>
          <w:bCs/>
          <w:i/>
          <w:iCs/>
          <w:lang w:val="cs-CZ"/>
        </w:rPr>
        <w:t xml:space="preserve">přepravy </w:t>
      </w:r>
      <w:r>
        <w:rPr>
          <w:rFonts w:ascii="Arial" w:hAnsi="Arial" w:cs="Arial"/>
          <w:b/>
          <w:bCs/>
          <w:i/>
          <w:iCs/>
          <w:lang w:val="cs-CZ"/>
        </w:rPr>
        <w:t>u</w:t>
      </w:r>
      <w:r w:rsidR="00E62366">
        <w:rPr>
          <w:rFonts w:ascii="Arial" w:hAnsi="Arial" w:cs="Arial"/>
          <w:b/>
          <w:bCs/>
          <w:i/>
          <w:iCs/>
          <w:lang w:val="cs-CZ"/>
        </w:rPr>
        <w:t> </w:t>
      </w:r>
      <w:r>
        <w:rPr>
          <w:rFonts w:ascii="Arial" w:hAnsi="Arial" w:cs="Arial"/>
          <w:b/>
          <w:bCs/>
          <w:i/>
          <w:iCs/>
          <w:lang w:val="cs-CZ"/>
        </w:rPr>
        <w:t>služby doručení letecky do druhého dne (Next Day Air) zaznamenaly prudký nárůst převyšující 30 %</w:t>
      </w:r>
    </w:p>
    <w:p w14:paraId="2BE57D47" w14:textId="1AB61EB9" w:rsidR="00E67559" w:rsidRDefault="00E67559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 w:rsidRPr="00E67559">
        <w:rPr>
          <w:rFonts w:ascii="Arial" w:hAnsi="Arial" w:cs="Arial"/>
          <w:b/>
          <w:bCs/>
          <w:i/>
          <w:iCs/>
          <w:lang w:val="cs-CZ"/>
        </w:rPr>
        <w:t xml:space="preserve">Provozní zisk v USA se zvýšil o </w:t>
      </w:r>
      <w:r>
        <w:rPr>
          <w:rFonts w:ascii="Arial" w:hAnsi="Arial" w:cs="Arial"/>
          <w:b/>
          <w:bCs/>
          <w:i/>
          <w:iCs/>
          <w:lang w:val="cs-CZ"/>
        </w:rPr>
        <w:t xml:space="preserve">téměř </w:t>
      </w:r>
      <w:r w:rsidRPr="00E67559">
        <w:rPr>
          <w:rFonts w:ascii="Arial" w:hAnsi="Arial" w:cs="Arial"/>
          <w:b/>
          <w:bCs/>
          <w:i/>
          <w:iCs/>
          <w:lang w:val="cs-CZ"/>
        </w:rPr>
        <w:t xml:space="preserve">29%; </w:t>
      </w:r>
      <w:r>
        <w:rPr>
          <w:rFonts w:ascii="Arial" w:hAnsi="Arial" w:cs="Arial"/>
          <w:b/>
          <w:bCs/>
          <w:i/>
          <w:iCs/>
          <w:lang w:val="cs-CZ"/>
        </w:rPr>
        <w:t>na upraveném základě</w:t>
      </w:r>
      <w:r w:rsidRPr="00E67559">
        <w:rPr>
          <w:rFonts w:ascii="Arial" w:hAnsi="Arial" w:cs="Arial"/>
          <w:b/>
          <w:bCs/>
          <w:i/>
          <w:iCs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lang w:val="cs-CZ"/>
        </w:rPr>
        <w:t xml:space="preserve">o </w:t>
      </w:r>
      <w:r w:rsidRPr="00E67559">
        <w:rPr>
          <w:rFonts w:ascii="Arial" w:hAnsi="Arial" w:cs="Arial"/>
          <w:b/>
          <w:bCs/>
          <w:i/>
          <w:iCs/>
          <w:lang w:val="cs-CZ"/>
        </w:rPr>
        <w:t>8</w:t>
      </w:r>
      <w:r>
        <w:rPr>
          <w:rFonts w:ascii="Arial" w:hAnsi="Arial" w:cs="Arial"/>
          <w:b/>
          <w:bCs/>
          <w:i/>
          <w:iCs/>
          <w:lang w:val="cs-CZ"/>
        </w:rPr>
        <w:t xml:space="preserve"> %</w:t>
      </w:r>
    </w:p>
    <w:p w14:paraId="52B2F11A" w14:textId="6CD67D0E" w:rsidR="006D1622" w:rsidRDefault="00E67559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 w:rsidRPr="006D1622">
        <w:rPr>
          <w:rFonts w:ascii="Arial" w:hAnsi="Arial" w:cs="Arial"/>
          <w:b/>
          <w:bCs/>
          <w:i/>
          <w:iCs/>
          <w:lang w:val="cs-CZ"/>
        </w:rPr>
        <w:t xml:space="preserve">Provozní marže v Mezinárodním segmentu </w:t>
      </w:r>
      <w:r w:rsidR="006D1622" w:rsidRPr="006D1622">
        <w:rPr>
          <w:rFonts w:ascii="Arial" w:hAnsi="Arial" w:cs="Arial"/>
          <w:b/>
          <w:bCs/>
          <w:i/>
          <w:iCs/>
          <w:lang w:val="cs-CZ"/>
        </w:rPr>
        <w:t>vzrostl</w:t>
      </w:r>
      <w:r w:rsidR="006D1622">
        <w:rPr>
          <w:rFonts w:ascii="Arial" w:hAnsi="Arial" w:cs="Arial"/>
          <w:b/>
          <w:bCs/>
          <w:i/>
          <w:iCs/>
          <w:lang w:val="cs-CZ"/>
        </w:rPr>
        <w:t>a</w:t>
      </w:r>
      <w:r w:rsidR="006D1622" w:rsidRPr="006D1622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na 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18,9%; </w:t>
      </w:r>
      <w:r w:rsidR="00E62366">
        <w:rPr>
          <w:rFonts w:ascii="Arial" w:hAnsi="Arial" w:cs="Arial"/>
          <w:b/>
          <w:bCs/>
          <w:i/>
          <w:iCs/>
          <w:lang w:val="cs-CZ"/>
        </w:rPr>
        <w:t>u</w:t>
      </w:r>
      <w:r w:rsidRPr="006D1622">
        <w:rPr>
          <w:rFonts w:ascii="Arial" w:hAnsi="Arial" w:cs="Arial"/>
          <w:b/>
          <w:bCs/>
          <w:i/>
          <w:iCs/>
          <w:lang w:val="cs-CZ"/>
        </w:rPr>
        <w:t>praven</w:t>
      </w:r>
      <w:r w:rsidR="006D1622">
        <w:rPr>
          <w:rFonts w:ascii="Arial" w:hAnsi="Arial" w:cs="Arial"/>
          <w:b/>
          <w:bCs/>
          <w:i/>
          <w:iCs/>
          <w:lang w:val="cs-CZ"/>
        </w:rPr>
        <w:t>á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 marže 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dosáhla </w:t>
      </w:r>
      <w:r w:rsidRPr="006D1622">
        <w:rPr>
          <w:rFonts w:ascii="Arial" w:hAnsi="Arial" w:cs="Arial"/>
          <w:b/>
          <w:bCs/>
          <w:i/>
          <w:iCs/>
          <w:lang w:val="cs-CZ"/>
        </w:rPr>
        <w:t>19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Pr="006D1622">
        <w:rPr>
          <w:rFonts w:ascii="Arial" w:hAnsi="Arial" w:cs="Arial"/>
          <w:b/>
          <w:bCs/>
          <w:i/>
          <w:iCs/>
          <w:lang w:val="cs-CZ"/>
        </w:rPr>
        <w:t>%</w:t>
      </w:r>
    </w:p>
    <w:p w14:paraId="4E335389" w14:textId="3F543EB2" w:rsidR="006D1622" w:rsidRDefault="00E67559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 w:rsidRPr="006D1622">
        <w:rPr>
          <w:rFonts w:ascii="Arial" w:hAnsi="Arial" w:cs="Arial"/>
          <w:b/>
          <w:bCs/>
          <w:i/>
          <w:iCs/>
          <w:lang w:val="cs-CZ"/>
        </w:rPr>
        <w:t xml:space="preserve">Provozní zisk </w:t>
      </w:r>
      <w:r w:rsidR="006D1622">
        <w:rPr>
          <w:rFonts w:ascii="Arial" w:hAnsi="Arial" w:cs="Arial"/>
          <w:b/>
          <w:bCs/>
          <w:i/>
          <w:iCs/>
          <w:lang w:val="cs-CZ"/>
        </w:rPr>
        <w:t>divize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="006D1622">
        <w:rPr>
          <w:rFonts w:ascii="Arial" w:hAnsi="Arial" w:cs="Arial"/>
          <w:b/>
          <w:bCs/>
          <w:i/>
          <w:iCs/>
          <w:lang w:val="cs-CZ"/>
        </w:rPr>
        <w:t>D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odavatelské řetězce a nákladní </w:t>
      </w:r>
      <w:r w:rsidR="006D1622">
        <w:rPr>
          <w:rFonts w:ascii="Arial" w:hAnsi="Arial" w:cs="Arial"/>
          <w:b/>
          <w:bCs/>
          <w:i/>
          <w:iCs/>
          <w:lang w:val="cs-CZ"/>
        </w:rPr>
        <w:t>přeprava byl nav</w:t>
      </w:r>
      <w:r w:rsidR="006D1622" w:rsidRPr="006D1622">
        <w:rPr>
          <w:rFonts w:ascii="Arial" w:hAnsi="Arial" w:cs="Arial"/>
          <w:b/>
          <w:bCs/>
          <w:i/>
          <w:iCs/>
          <w:lang w:val="cs-CZ"/>
        </w:rPr>
        <w:t>ý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šen o </w:t>
      </w:r>
      <w:r w:rsidRPr="006D1622">
        <w:rPr>
          <w:rFonts w:ascii="Arial" w:hAnsi="Arial" w:cs="Arial"/>
          <w:b/>
          <w:bCs/>
          <w:i/>
          <w:iCs/>
          <w:lang w:val="cs-CZ"/>
        </w:rPr>
        <w:t>téměř 26</w:t>
      </w:r>
      <w:r w:rsidR="006D1622">
        <w:rPr>
          <w:rFonts w:ascii="Arial" w:hAnsi="Arial" w:cs="Arial"/>
          <w:b/>
          <w:bCs/>
          <w:i/>
          <w:iCs/>
          <w:lang w:val="cs-CZ"/>
        </w:rPr>
        <w:t> 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%; </w:t>
      </w:r>
      <w:r w:rsidR="00E62366">
        <w:rPr>
          <w:rFonts w:ascii="Arial" w:hAnsi="Arial" w:cs="Arial"/>
          <w:b/>
          <w:bCs/>
          <w:i/>
          <w:iCs/>
          <w:lang w:val="cs-CZ"/>
        </w:rPr>
        <w:t>u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pravený provozní zisk 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překonal </w:t>
      </w:r>
      <w:r w:rsidRPr="006D1622">
        <w:rPr>
          <w:rFonts w:ascii="Arial" w:hAnsi="Arial" w:cs="Arial"/>
          <w:b/>
          <w:bCs/>
          <w:i/>
          <w:iCs/>
          <w:lang w:val="cs-CZ"/>
        </w:rPr>
        <w:t>10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Pr="006D1622">
        <w:rPr>
          <w:rFonts w:ascii="Arial" w:hAnsi="Arial" w:cs="Arial"/>
          <w:b/>
          <w:bCs/>
          <w:i/>
          <w:iCs/>
          <w:lang w:val="cs-CZ"/>
        </w:rPr>
        <w:t>%</w:t>
      </w:r>
    </w:p>
    <w:p w14:paraId="25C3232E" w14:textId="42711A58" w:rsidR="006D1622" w:rsidRDefault="006D1622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>
        <w:rPr>
          <w:rFonts w:ascii="Arial" w:hAnsi="Arial" w:cs="Arial"/>
          <w:b/>
          <w:bCs/>
          <w:i/>
          <w:iCs/>
          <w:lang w:val="cs-CZ"/>
        </w:rPr>
        <w:t>Provozní h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 xml:space="preserve">otovost </w:t>
      </w:r>
      <w:r>
        <w:rPr>
          <w:rFonts w:ascii="Arial" w:hAnsi="Arial" w:cs="Arial"/>
          <w:b/>
          <w:bCs/>
          <w:i/>
          <w:iCs/>
          <w:lang w:val="cs-CZ"/>
        </w:rPr>
        <w:t xml:space="preserve">dosáhla 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>výš</w:t>
      </w:r>
      <w:r>
        <w:rPr>
          <w:rFonts w:ascii="Arial" w:hAnsi="Arial" w:cs="Arial"/>
          <w:b/>
          <w:bCs/>
          <w:i/>
          <w:iCs/>
          <w:lang w:val="cs-CZ"/>
        </w:rPr>
        <w:t>e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 xml:space="preserve"> 4,2 </w:t>
      </w:r>
      <w:r>
        <w:rPr>
          <w:rFonts w:ascii="Arial" w:hAnsi="Arial" w:cs="Arial"/>
          <w:b/>
          <w:bCs/>
          <w:i/>
          <w:iCs/>
          <w:lang w:val="cs-CZ"/>
        </w:rPr>
        <w:t>mld. USD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 xml:space="preserve">; </w:t>
      </w:r>
      <w:r w:rsidR="00AE30D1">
        <w:rPr>
          <w:rFonts w:ascii="Arial" w:hAnsi="Arial" w:cs="Arial"/>
          <w:b/>
          <w:bCs/>
          <w:i/>
          <w:iCs/>
          <w:lang w:val="cs-CZ"/>
        </w:rPr>
        <w:t>u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 xml:space="preserve">pravený </w:t>
      </w:r>
      <w:r>
        <w:rPr>
          <w:rFonts w:ascii="Arial" w:hAnsi="Arial" w:cs="Arial"/>
          <w:b/>
          <w:bCs/>
          <w:i/>
          <w:iCs/>
          <w:lang w:val="cs-CZ"/>
        </w:rPr>
        <w:t xml:space="preserve">volný 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 xml:space="preserve">peněžní tok </w:t>
      </w:r>
      <w:r>
        <w:rPr>
          <w:rFonts w:ascii="Arial" w:hAnsi="Arial" w:cs="Arial"/>
          <w:b/>
          <w:bCs/>
          <w:i/>
          <w:iCs/>
          <w:lang w:val="cs-CZ"/>
        </w:rPr>
        <w:t xml:space="preserve">se pohyboval kolem </w:t>
      </w:r>
      <w:r w:rsidR="00E67559" w:rsidRPr="006D1622">
        <w:rPr>
          <w:rFonts w:ascii="Arial" w:hAnsi="Arial" w:cs="Arial"/>
          <w:b/>
          <w:bCs/>
          <w:i/>
          <w:iCs/>
          <w:lang w:val="cs-CZ"/>
        </w:rPr>
        <w:t>2,2</w:t>
      </w:r>
      <w:r>
        <w:rPr>
          <w:rFonts w:ascii="Arial" w:hAnsi="Arial" w:cs="Arial"/>
          <w:b/>
          <w:bCs/>
          <w:i/>
          <w:iCs/>
          <w:lang w:val="cs-CZ"/>
        </w:rPr>
        <w:t xml:space="preserve"> mld. USD</w:t>
      </w:r>
    </w:p>
    <w:p w14:paraId="223E41C6" w14:textId="4B57B156" w:rsidR="00E67559" w:rsidRPr="006D1622" w:rsidRDefault="00E67559" w:rsidP="00E67559">
      <w:pPr>
        <w:pStyle w:val="Odstavecseseznamem"/>
        <w:numPr>
          <w:ilvl w:val="0"/>
          <w:numId w:val="1"/>
        </w:numPr>
        <w:ind w:left="540"/>
        <w:rPr>
          <w:rFonts w:ascii="Arial" w:hAnsi="Arial" w:cs="Arial"/>
          <w:b/>
          <w:bCs/>
          <w:i/>
          <w:iCs/>
          <w:lang w:val="cs-CZ"/>
        </w:rPr>
      </w:pPr>
      <w:r w:rsidRPr="006D1622">
        <w:rPr>
          <w:rFonts w:ascii="Arial" w:hAnsi="Arial" w:cs="Arial"/>
          <w:b/>
          <w:bCs/>
          <w:i/>
          <w:iCs/>
          <w:lang w:val="cs-CZ"/>
        </w:rPr>
        <w:t>Společnost UPS znovu potvr</w:t>
      </w:r>
      <w:r w:rsidR="006D1622">
        <w:rPr>
          <w:rFonts w:ascii="Arial" w:hAnsi="Arial" w:cs="Arial"/>
          <w:b/>
          <w:bCs/>
          <w:i/>
          <w:iCs/>
          <w:lang w:val="cs-CZ"/>
        </w:rPr>
        <w:t>dila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 </w:t>
      </w:r>
      <w:r w:rsidR="00873ED9">
        <w:rPr>
          <w:rFonts w:ascii="Arial" w:hAnsi="Arial" w:cs="Arial"/>
          <w:b/>
          <w:bCs/>
          <w:i/>
          <w:iCs/>
          <w:lang w:val="cs-CZ"/>
        </w:rPr>
        <w:t xml:space="preserve">výši </w:t>
      </w:r>
      <w:r w:rsidRPr="006D1622">
        <w:rPr>
          <w:rFonts w:ascii="Arial" w:hAnsi="Arial" w:cs="Arial"/>
          <w:b/>
          <w:bCs/>
          <w:i/>
          <w:iCs/>
          <w:lang w:val="cs-CZ"/>
        </w:rPr>
        <w:t>upraven</w:t>
      </w:r>
      <w:r w:rsidR="00873ED9">
        <w:rPr>
          <w:rFonts w:ascii="Arial" w:hAnsi="Arial" w:cs="Arial"/>
          <w:b/>
          <w:bCs/>
          <w:i/>
          <w:iCs/>
          <w:lang w:val="cs-CZ"/>
        </w:rPr>
        <w:t>ého</w:t>
      </w:r>
      <w:r w:rsidR="006D1622">
        <w:rPr>
          <w:rFonts w:ascii="Arial" w:hAnsi="Arial" w:cs="Arial"/>
          <w:b/>
          <w:bCs/>
          <w:i/>
          <w:iCs/>
          <w:lang w:val="cs-CZ"/>
        </w:rPr>
        <w:t xml:space="preserve"> zisku na akcii pro rok 2019 v </w:t>
      </w:r>
      <w:r w:rsidR="00873ED9">
        <w:rPr>
          <w:rFonts w:ascii="Arial" w:hAnsi="Arial" w:cs="Arial"/>
          <w:b/>
          <w:bCs/>
          <w:i/>
          <w:iCs/>
          <w:lang w:val="cs-CZ"/>
        </w:rPr>
        <w:t>rozsahu</w:t>
      </w:r>
      <w:r w:rsidRPr="006D1622">
        <w:rPr>
          <w:rFonts w:ascii="Arial" w:hAnsi="Arial" w:cs="Arial"/>
          <w:b/>
          <w:bCs/>
          <w:i/>
          <w:iCs/>
          <w:lang w:val="cs-CZ"/>
        </w:rPr>
        <w:t xml:space="preserve"> 7,45 až 7,75 USD</w:t>
      </w:r>
    </w:p>
    <w:p w14:paraId="57F13748" w14:textId="374AE580" w:rsidR="00E67559" w:rsidRPr="00AE30D1" w:rsidRDefault="00E67559" w:rsidP="00E67559">
      <w:pPr>
        <w:rPr>
          <w:rFonts w:ascii="Arial" w:hAnsi="Arial" w:cs="Arial"/>
          <w:b/>
          <w:bCs/>
          <w:lang w:val="cs-CZ"/>
        </w:rPr>
      </w:pPr>
    </w:p>
    <w:p w14:paraId="4551B8ED" w14:textId="77777777" w:rsidR="008A4E2F" w:rsidRPr="00E42089" w:rsidRDefault="008A4E2F" w:rsidP="00A15580">
      <w:pPr>
        <w:rPr>
          <w:rFonts w:ascii="Arial" w:hAnsi="Arial" w:cs="Arial"/>
          <w:lang w:val="cs-CZ"/>
        </w:rPr>
      </w:pPr>
    </w:p>
    <w:p w14:paraId="3938423A" w14:textId="5BBCC9EF" w:rsidR="00873ED9" w:rsidRDefault="00873ED9" w:rsidP="008A4E2F">
      <w:pPr>
        <w:rPr>
          <w:rFonts w:ascii="Arial" w:hAnsi="Arial" w:cs="Arial"/>
          <w:lang w:val="cs-CZ"/>
        </w:rPr>
      </w:pPr>
      <w:r w:rsidRPr="00873ED9">
        <w:rPr>
          <w:rFonts w:ascii="Arial" w:hAnsi="Arial" w:cs="Arial"/>
          <w:b/>
          <w:bCs/>
          <w:lang w:val="cs-CZ"/>
        </w:rPr>
        <w:t xml:space="preserve">ATLANTA – 24. července 2019 </w:t>
      </w:r>
      <w:r w:rsidRPr="00873ED9">
        <w:rPr>
          <w:rFonts w:ascii="Arial" w:hAnsi="Arial" w:cs="Arial"/>
          <w:lang w:val="cs-CZ"/>
        </w:rPr>
        <w:t xml:space="preserve">– </w:t>
      </w:r>
      <w:r w:rsidR="00737FB7">
        <w:rPr>
          <w:rFonts w:ascii="Arial" w:hAnsi="Arial" w:cs="Arial"/>
          <w:lang w:val="cs-CZ"/>
        </w:rPr>
        <w:t xml:space="preserve">Společnost </w:t>
      </w:r>
      <w:r w:rsidRPr="00873ED9">
        <w:rPr>
          <w:rFonts w:ascii="Arial" w:hAnsi="Arial" w:cs="Arial"/>
          <w:lang w:val="cs-CZ"/>
        </w:rPr>
        <w:t>UPS</w:t>
      </w:r>
      <w:r w:rsidRPr="00873ED9">
        <w:rPr>
          <w:rFonts w:ascii="Arial" w:hAnsi="Arial" w:cs="Arial"/>
          <w:b/>
          <w:bCs/>
          <w:lang w:val="cs-CZ"/>
        </w:rPr>
        <w:t xml:space="preserve"> </w:t>
      </w:r>
      <w:r w:rsidR="00737FB7" w:rsidRPr="00737FB7">
        <w:rPr>
          <w:rFonts w:ascii="Arial" w:hAnsi="Arial" w:cs="Arial"/>
          <w:lang w:val="cs-CZ"/>
        </w:rPr>
        <w:t>dnes</w:t>
      </w:r>
      <w:r w:rsidR="00737FB7">
        <w:rPr>
          <w:rFonts w:ascii="Arial" w:hAnsi="Arial" w:cs="Arial"/>
          <w:lang w:val="cs-CZ"/>
        </w:rPr>
        <w:t xml:space="preserve"> </w:t>
      </w:r>
      <w:r w:rsidR="00E62366">
        <w:rPr>
          <w:rFonts w:ascii="Arial" w:hAnsi="Arial" w:cs="Arial"/>
          <w:lang w:val="cs-CZ"/>
        </w:rPr>
        <w:t>oznámila</w:t>
      </w:r>
      <w:r w:rsidR="00737FB7">
        <w:rPr>
          <w:rFonts w:ascii="Arial" w:hAnsi="Arial" w:cs="Arial"/>
          <w:lang w:val="cs-CZ"/>
        </w:rPr>
        <w:t xml:space="preserve"> výši upraveného zisku na akcii za 2. kvartál 2019, který dosáhl 1,96 USD. Společnost proměnila rostoucí poptávku po přepravních službách s doručením do druhého dne v silné finanční výsledky na domácím trhu v USA </w:t>
      </w:r>
      <w:r w:rsidR="00737FB7" w:rsidRPr="00737FB7">
        <w:rPr>
          <w:rFonts w:ascii="Arial" w:hAnsi="Arial" w:cs="Arial"/>
          <w:lang w:val="cs-CZ"/>
        </w:rPr>
        <w:t xml:space="preserve">a </w:t>
      </w:r>
      <w:r w:rsidR="00EA2232">
        <w:rPr>
          <w:rFonts w:ascii="Arial" w:hAnsi="Arial" w:cs="Arial"/>
          <w:lang w:val="cs-CZ"/>
        </w:rPr>
        <w:t xml:space="preserve">posílila strategie zaměřené na odlehčení aktiv </w:t>
      </w:r>
      <w:r w:rsidR="00737FB7" w:rsidRPr="00737FB7">
        <w:rPr>
          <w:rFonts w:ascii="Arial" w:hAnsi="Arial" w:cs="Arial"/>
          <w:lang w:val="cs-CZ"/>
        </w:rPr>
        <w:t xml:space="preserve">a </w:t>
      </w:r>
      <w:r w:rsidR="00AE30D1">
        <w:rPr>
          <w:rFonts w:ascii="Arial" w:hAnsi="Arial" w:cs="Arial"/>
          <w:lang w:val="cs-CZ"/>
        </w:rPr>
        <w:t xml:space="preserve">osvědčené </w:t>
      </w:r>
      <w:r w:rsidR="00737FB7" w:rsidRPr="00737FB7">
        <w:rPr>
          <w:rFonts w:ascii="Arial" w:hAnsi="Arial" w:cs="Arial"/>
          <w:lang w:val="cs-CZ"/>
        </w:rPr>
        <w:t>řízení nákladů v</w:t>
      </w:r>
      <w:r w:rsidR="00AE30D1">
        <w:rPr>
          <w:rFonts w:ascii="Arial" w:hAnsi="Arial" w:cs="Arial"/>
          <w:lang w:val="cs-CZ"/>
        </w:rPr>
        <w:t> </w:t>
      </w:r>
      <w:r w:rsidR="00737FB7" w:rsidRPr="00737FB7">
        <w:rPr>
          <w:rFonts w:ascii="Arial" w:hAnsi="Arial" w:cs="Arial"/>
          <w:lang w:val="cs-CZ"/>
        </w:rPr>
        <w:t xml:space="preserve">segmentech </w:t>
      </w:r>
      <w:r w:rsidR="00EA2232">
        <w:rPr>
          <w:rFonts w:ascii="Arial" w:hAnsi="Arial" w:cs="Arial"/>
          <w:lang w:val="cs-CZ"/>
        </w:rPr>
        <w:t xml:space="preserve">Mezinárodní přeprava a Dodavatelské řetězce a nákladní přeprava. </w:t>
      </w:r>
    </w:p>
    <w:p w14:paraId="08ADA6E7" w14:textId="08E8A039" w:rsidR="00FE3563" w:rsidRDefault="00FE3563" w:rsidP="008A4E2F">
      <w:pPr>
        <w:rPr>
          <w:rFonts w:ascii="Arial" w:hAnsi="Arial" w:cs="Arial"/>
          <w:lang w:val="cs-CZ"/>
        </w:rPr>
      </w:pPr>
    </w:p>
    <w:p w14:paraId="023A513A" w14:textId="724C3363" w:rsidR="00FE3563" w:rsidRDefault="00FE3563" w:rsidP="00FE356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</w:t>
      </w:r>
      <w:r w:rsidRPr="00FE3563">
        <w:rPr>
          <w:rFonts w:ascii="Arial" w:hAnsi="Arial" w:cs="Arial"/>
          <w:lang w:val="cs-CZ"/>
        </w:rPr>
        <w:t xml:space="preserve">Naše transformační iniciativy </w:t>
      </w:r>
      <w:r w:rsidR="00AE30D1">
        <w:rPr>
          <w:rFonts w:ascii="Arial" w:hAnsi="Arial" w:cs="Arial"/>
          <w:lang w:val="cs-CZ"/>
        </w:rPr>
        <w:t xml:space="preserve">zvyšují </w:t>
      </w:r>
      <w:r w:rsidRPr="00FE3563">
        <w:rPr>
          <w:rFonts w:ascii="Arial" w:hAnsi="Arial" w:cs="Arial"/>
          <w:lang w:val="cs-CZ"/>
        </w:rPr>
        <w:t xml:space="preserve">efektivitu </w:t>
      </w:r>
      <w:r>
        <w:rPr>
          <w:rFonts w:ascii="Arial" w:hAnsi="Arial" w:cs="Arial"/>
          <w:lang w:val="cs-CZ"/>
        </w:rPr>
        <w:t xml:space="preserve">napříč celou </w:t>
      </w:r>
      <w:r w:rsidRPr="00FE3563">
        <w:rPr>
          <w:rFonts w:ascii="Arial" w:hAnsi="Arial" w:cs="Arial"/>
          <w:lang w:val="cs-CZ"/>
        </w:rPr>
        <w:t xml:space="preserve">síti a v kombinaci s našimi </w:t>
      </w:r>
      <w:r>
        <w:rPr>
          <w:rFonts w:ascii="Arial" w:hAnsi="Arial" w:cs="Arial"/>
          <w:lang w:val="cs-CZ"/>
        </w:rPr>
        <w:t>pro</w:t>
      </w:r>
      <w:r w:rsidRPr="00FE3563">
        <w:rPr>
          <w:rFonts w:ascii="Arial" w:hAnsi="Arial" w:cs="Arial"/>
          <w:lang w:val="cs-CZ"/>
        </w:rPr>
        <w:t>růstovými strategiemi dosáhla společnost UPS růstu zisku ve všech segmentech,</w:t>
      </w:r>
      <w:r>
        <w:rPr>
          <w:rFonts w:ascii="Arial" w:hAnsi="Arial" w:cs="Arial"/>
          <w:lang w:val="cs-CZ"/>
        </w:rPr>
        <w:t>“</w:t>
      </w:r>
      <w:r w:rsidRPr="00FE356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uvedl </w:t>
      </w:r>
      <w:r w:rsidRPr="00FE3563">
        <w:rPr>
          <w:rFonts w:ascii="Arial" w:hAnsi="Arial" w:cs="Arial"/>
          <w:lang w:val="cs-CZ"/>
        </w:rPr>
        <w:t xml:space="preserve">David Abney, předseda představenstva a generální ředitel UPS. „Také jsme ohlásili </w:t>
      </w:r>
      <w:r w:rsidRPr="00255307">
        <w:rPr>
          <w:rFonts w:ascii="Arial" w:hAnsi="Arial" w:cs="Arial"/>
          <w:u w:val="single"/>
          <w:lang w:val="cs-CZ"/>
        </w:rPr>
        <w:t>velmi rozsáhlé zavádění nových produktů a služeb</w:t>
      </w:r>
      <w:r w:rsidRPr="00FE3563">
        <w:rPr>
          <w:rFonts w:ascii="Arial" w:hAnsi="Arial" w:cs="Arial"/>
          <w:lang w:val="cs-CZ"/>
        </w:rPr>
        <w:t>, jako jsou UPS My Choice for Business, rozšířen</w:t>
      </w:r>
      <w:r w:rsidR="00255307">
        <w:rPr>
          <w:rFonts w:ascii="Arial" w:hAnsi="Arial" w:cs="Arial"/>
          <w:lang w:val="cs-CZ"/>
        </w:rPr>
        <w:t xml:space="preserve">í míst UPS Access Points </w:t>
      </w:r>
      <w:r w:rsidRPr="00FE3563">
        <w:rPr>
          <w:rFonts w:ascii="Arial" w:hAnsi="Arial" w:cs="Arial"/>
          <w:lang w:val="cs-CZ"/>
        </w:rPr>
        <w:t xml:space="preserve">a UPS Worldwide Economy, mimo jiné </w:t>
      </w:r>
      <w:r w:rsidR="00AE30D1">
        <w:rPr>
          <w:rFonts w:ascii="Arial" w:hAnsi="Arial" w:cs="Arial"/>
          <w:lang w:val="cs-CZ"/>
        </w:rPr>
        <w:t xml:space="preserve">také </w:t>
      </w:r>
      <w:r w:rsidRPr="00FE3563">
        <w:rPr>
          <w:rFonts w:ascii="Arial" w:hAnsi="Arial" w:cs="Arial"/>
          <w:lang w:val="cs-CZ"/>
        </w:rPr>
        <w:t xml:space="preserve">pro malé a střední podniky, </w:t>
      </w:r>
      <w:r w:rsidR="00FC38D4">
        <w:rPr>
          <w:rFonts w:ascii="Arial" w:hAnsi="Arial" w:cs="Arial"/>
          <w:lang w:val="cs-CZ"/>
        </w:rPr>
        <w:t xml:space="preserve">s cílem vytvářet </w:t>
      </w:r>
      <w:r w:rsidRPr="00FE3563">
        <w:rPr>
          <w:rFonts w:ascii="Arial" w:hAnsi="Arial" w:cs="Arial"/>
          <w:lang w:val="cs-CZ"/>
        </w:rPr>
        <w:t xml:space="preserve">další </w:t>
      </w:r>
      <w:r w:rsidR="00E42089">
        <w:rPr>
          <w:rFonts w:ascii="Arial" w:hAnsi="Arial" w:cs="Arial"/>
          <w:lang w:val="cs-CZ"/>
        </w:rPr>
        <w:t>růst zisku</w:t>
      </w:r>
      <w:r w:rsidRPr="00FE3563">
        <w:rPr>
          <w:rFonts w:ascii="Arial" w:hAnsi="Arial" w:cs="Arial"/>
          <w:lang w:val="cs-CZ"/>
        </w:rPr>
        <w:t>.</w:t>
      </w:r>
      <w:r w:rsidR="00255307">
        <w:rPr>
          <w:rFonts w:ascii="Arial" w:hAnsi="Arial" w:cs="Arial"/>
          <w:lang w:val="cs-CZ"/>
        </w:rPr>
        <w:t>“</w:t>
      </w:r>
    </w:p>
    <w:p w14:paraId="78339864" w14:textId="6E6A1C07" w:rsidR="00FC38D4" w:rsidRDefault="00FC38D4" w:rsidP="00FE3563">
      <w:pPr>
        <w:rPr>
          <w:rFonts w:ascii="Arial" w:hAnsi="Arial" w:cs="Arial"/>
          <w:lang w:val="cs-CZ"/>
        </w:rPr>
      </w:pPr>
    </w:p>
    <w:p w14:paraId="1D561F5F" w14:textId="4C98AC34" w:rsidR="00FC38D4" w:rsidRDefault="00FC38D4" w:rsidP="00FC38D4">
      <w:pPr>
        <w:rPr>
          <w:rFonts w:ascii="Arial" w:hAnsi="Arial" w:cs="Arial"/>
          <w:lang w:val="cs-CZ"/>
        </w:rPr>
      </w:pPr>
      <w:r w:rsidRPr="00FC38D4">
        <w:rPr>
          <w:rFonts w:ascii="Arial" w:hAnsi="Arial" w:cs="Arial"/>
          <w:lang w:val="cs-CZ"/>
        </w:rPr>
        <w:t xml:space="preserve">Částky na upravené </w:t>
      </w:r>
      <w:r>
        <w:rPr>
          <w:rFonts w:ascii="Arial" w:hAnsi="Arial" w:cs="Arial"/>
          <w:lang w:val="cs-CZ"/>
        </w:rPr>
        <w:t xml:space="preserve">bázi </w:t>
      </w:r>
      <w:r w:rsidRPr="00FC38D4">
        <w:rPr>
          <w:rFonts w:ascii="Arial" w:hAnsi="Arial" w:cs="Arial"/>
          <w:lang w:val="cs-CZ"/>
        </w:rPr>
        <w:t>nezahrnují náklady na</w:t>
      </w:r>
      <w:r>
        <w:rPr>
          <w:rFonts w:ascii="Arial" w:hAnsi="Arial" w:cs="Arial"/>
          <w:lang w:val="cs-CZ"/>
        </w:rPr>
        <w:t xml:space="preserve"> transformační </w:t>
      </w:r>
      <w:r w:rsidRPr="00FC38D4">
        <w:rPr>
          <w:rFonts w:ascii="Arial" w:hAnsi="Arial" w:cs="Arial"/>
          <w:lang w:val="cs-CZ"/>
        </w:rPr>
        <w:t xml:space="preserve">strategii. Upravené výsledky za </w:t>
      </w:r>
      <w:r w:rsidR="001B1DFA">
        <w:rPr>
          <w:rFonts w:ascii="Arial" w:hAnsi="Arial" w:cs="Arial"/>
          <w:lang w:val="cs-CZ"/>
        </w:rPr>
        <w:t>2.</w:t>
      </w:r>
      <w:r w:rsidRPr="00FC38D4">
        <w:rPr>
          <w:rFonts w:ascii="Arial" w:hAnsi="Arial" w:cs="Arial"/>
          <w:lang w:val="cs-CZ"/>
        </w:rPr>
        <w:t xml:space="preserve"> čtvrtletí 2019 </w:t>
      </w:r>
      <w:r>
        <w:rPr>
          <w:rFonts w:ascii="Arial" w:hAnsi="Arial" w:cs="Arial"/>
          <w:lang w:val="cs-CZ"/>
        </w:rPr>
        <w:t xml:space="preserve">nezahrnují platbu </w:t>
      </w:r>
      <w:r w:rsidRPr="00FC38D4">
        <w:rPr>
          <w:rFonts w:ascii="Arial" w:hAnsi="Arial" w:cs="Arial"/>
          <w:lang w:val="cs-CZ"/>
        </w:rPr>
        <w:t xml:space="preserve">před zdaněním ve výši 21 milionů USD, </w:t>
      </w:r>
      <w:r>
        <w:rPr>
          <w:rFonts w:ascii="Arial" w:hAnsi="Arial" w:cs="Arial"/>
          <w:lang w:val="cs-CZ"/>
        </w:rPr>
        <w:t xml:space="preserve">resp. </w:t>
      </w:r>
      <w:r w:rsidRPr="00FC38D4">
        <w:rPr>
          <w:rFonts w:ascii="Arial" w:hAnsi="Arial" w:cs="Arial"/>
          <w:lang w:val="cs-CZ"/>
        </w:rPr>
        <w:t xml:space="preserve">0,02 USD na akcii po zdanění. Upravené výsledky za </w:t>
      </w:r>
      <w:r w:rsidR="00E12866">
        <w:rPr>
          <w:rFonts w:ascii="Arial" w:hAnsi="Arial" w:cs="Arial"/>
          <w:lang w:val="cs-CZ"/>
        </w:rPr>
        <w:t xml:space="preserve">2. </w:t>
      </w:r>
      <w:r w:rsidRPr="00FC38D4">
        <w:rPr>
          <w:rFonts w:ascii="Arial" w:hAnsi="Arial" w:cs="Arial"/>
          <w:lang w:val="cs-CZ"/>
        </w:rPr>
        <w:t xml:space="preserve">čtvrtletí roku 2018 </w:t>
      </w:r>
      <w:r>
        <w:rPr>
          <w:rFonts w:ascii="Arial" w:hAnsi="Arial" w:cs="Arial"/>
          <w:lang w:val="cs-CZ"/>
        </w:rPr>
        <w:t xml:space="preserve">nezahrnovaly </w:t>
      </w:r>
      <w:r w:rsidRPr="00FC38D4">
        <w:rPr>
          <w:rFonts w:ascii="Arial" w:hAnsi="Arial" w:cs="Arial"/>
          <w:lang w:val="cs-CZ"/>
        </w:rPr>
        <w:t xml:space="preserve">poplatek před zdaněním ve výši 263 milionů USD, </w:t>
      </w:r>
      <w:r>
        <w:rPr>
          <w:rFonts w:ascii="Arial" w:hAnsi="Arial" w:cs="Arial"/>
          <w:lang w:val="cs-CZ"/>
        </w:rPr>
        <w:t xml:space="preserve">resp. </w:t>
      </w:r>
      <w:r w:rsidRPr="00FC38D4">
        <w:rPr>
          <w:rFonts w:ascii="Arial" w:hAnsi="Arial" w:cs="Arial"/>
          <w:lang w:val="cs-CZ"/>
        </w:rPr>
        <w:t xml:space="preserve">0,23 USD na akcii po zdanění, </w:t>
      </w:r>
      <w:r w:rsidR="00E12866">
        <w:rPr>
          <w:rFonts w:ascii="Arial" w:hAnsi="Arial" w:cs="Arial"/>
          <w:lang w:val="cs-CZ"/>
        </w:rPr>
        <w:t xml:space="preserve">primárně </w:t>
      </w:r>
      <w:r w:rsidRPr="00FC38D4">
        <w:rPr>
          <w:rFonts w:ascii="Arial" w:hAnsi="Arial" w:cs="Arial"/>
          <w:lang w:val="cs-CZ"/>
        </w:rPr>
        <w:t>z</w:t>
      </w:r>
      <w:r w:rsidR="00E12866">
        <w:rPr>
          <w:rFonts w:ascii="Arial" w:hAnsi="Arial" w:cs="Arial"/>
          <w:lang w:val="cs-CZ"/>
        </w:rPr>
        <w:t> </w:t>
      </w:r>
      <w:r w:rsidRPr="00FC38D4">
        <w:rPr>
          <w:rFonts w:ascii="Arial" w:hAnsi="Arial" w:cs="Arial"/>
          <w:lang w:val="cs-CZ"/>
        </w:rPr>
        <w:t>důchodového programu UPS</w:t>
      </w:r>
      <w:r w:rsidR="003742B4">
        <w:rPr>
          <w:rFonts w:ascii="Arial" w:hAnsi="Arial" w:cs="Arial"/>
          <w:lang w:val="cs-CZ"/>
        </w:rPr>
        <w:t xml:space="preserve"> Voluntary Retirement Program</w:t>
      </w:r>
      <w:r w:rsidRPr="00FC38D4">
        <w:rPr>
          <w:rFonts w:ascii="Arial" w:hAnsi="Arial" w:cs="Arial"/>
          <w:lang w:val="cs-CZ"/>
        </w:rPr>
        <w:t>.</w:t>
      </w:r>
    </w:p>
    <w:p w14:paraId="2BC4B8BD" w14:textId="34EFF909" w:rsidR="00FC38D4" w:rsidRDefault="00FC38D4" w:rsidP="00FC38D4">
      <w:pPr>
        <w:rPr>
          <w:rFonts w:ascii="Arial" w:hAnsi="Arial" w:cs="Arial"/>
          <w:lang w:val="cs-CZ"/>
        </w:rPr>
      </w:pPr>
    </w:p>
    <w:p w14:paraId="3A974D3C" w14:textId="7A646B96" w:rsidR="008A4E2F" w:rsidRPr="00E42089" w:rsidRDefault="008A4E2F" w:rsidP="008A4E2F">
      <w:pPr>
        <w:rPr>
          <w:rFonts w:ascii="Arial" w:hAnsi="Arial" w:cs="Arial"/>
          <w:lang w:val="cs-CZ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985"/>
        <w:gridCol w:w="1843"/>
        <w:gridCol w:w="1701"/>
      </w:tblGrid>
      <w:tr w:rsidR="007B746C" w:rsidRPr="005370F2" w14:paraId="31797A40" w14:textId="77777777" w:rsidTr="00A00398">
        <w:trPr>
          <w:trHeight w:val="503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F126" w14:textId="77777777" w:rsidR="007B746C" w:rsidRPr="005370F2" w:rsidRDefault="007B746C" w:rsidP="00A30D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lastRenderedPageBreak/>
              <w:t>Konsolidované výsledky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4E5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4F638A14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08E4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1422F4B0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BFF5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6FFDE06F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F8A2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562A57DC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</w:tr>
      <w:tr w:rsidR="007B746C" w:rsidRPr="005370F2" w14:paraId="18F33318" w14:textId="77777777" w:rsidTr="00A00398">
        <w:trPr>
          <w:trHeight w:val="24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AF3C" w14:textId="77777777" w:rsidR="007B746C" w:rsidRPr="005370F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5D4C" w14:textId="0CE41CD6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18 048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17E8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FD51" w14:textId="5F478675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17 456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E4B1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B746C" w:rsidRPr="005370F2" w14:paraId="4181DD99" w14:textId="77777777" w:rsidTr="00A00398">
        <w:trPr>
          <w:trHeight w:val="24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DC90" w14:textId="77777777" w:rsidR="007B746C" w:rsidRPr="005370F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Čisté příjmy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46AC" w14:textId="2AA4849B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1 685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FD77" w14:textId="2FD5A7E5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1 702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94EB" w14:textId="0FFC43AD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1 485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01A5" w14:textId="7DA2233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1 685 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</w:tr>
      <w:tr w:rsidR="007B746C" w:rsidRPr="005370F2" w14:paraId="084DE464" w14:textId="77777777" w:rsidTr="00A00398">
        <w:trPr>
          <w:trHeight w:val="24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1B70" w14:textId="77777777" w:rsidR="007B746C" w:rsidRPr="005370F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Upravený zisk na akcii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5DE4" w14:textId="198C7419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1,94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 xml:space="preserve"> USD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FB9A" w14:textId="2BB60A36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1,96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 xml:space="preserve">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FB83" w14:textId="3A03AA5C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1,71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 xml:space="preserve"> USD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D61C" w14:textId="7D225D7D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1,94</w:t>
            </w:r>
            <w:r w:rsidR="00A00398">
              <w:rPr>
                <w:rFonts w:ascii="Arial" w:hAnsi="Arial" w:cs="Arial"/>
                <w:sz w:val="20"/>
                <w:szCs w:val="20"/>
                <w:lang w:val="cs-CZ"/>
              </w:rPr>
              <w:t xml:space="preserve"> USD</w:t>
            </w:r>
          </w:p>
        </w:tc>
      </w:tr>
      <w:tr w:rsidR="007B746C" w:rsidRPr="005370F2" w14:paraId="5E71E23C" w14:textId="77777777" w:rsidTr="00A00398">
        <w:trPr>
          <w:trHeight w:val="17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7951" w14:textId="77777777" w:rsidR="007B746C" w:rsidRPr="005370F2" w:rsidRDefault="007B746C" w:rsidP="00A30D59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D99D" w14:textId="77777777" w:rsidR="007B746C" w:rsidRPr="005370F2" w:rsidRDefault="007B746C" w:rsidP="00A30D59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36EC" w14:textId="77777777" w:rsidR="007B746C" w:rsidRPr="005370F2" w:rsidRDefault="007B746C" w:rsidP="00A30D59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14:paraId="679408AE" w14:textId="77777777" w:rsidR="007B746C" w:rsidRPr="00175F32" w:rsidRDefault="007B746C" w:rsidP="008A4E2F">
      <w:pPr>
        <w:rPr>
          <w:rFonts w:ascii="Arial" w:hAnsi="Arial" w:cs="Arial"/>
        </w:rPr>
      </w:pPr>
    </w:p>
    <w:p w14:paraId="6AE8AB1F" w14:textId="647FAFC7" w:rsidR="00FC38D4" w:rsidRPr="00175F32" w:rsidRDefault="00FC38D4" w:rsidP="00FC38D4">
      <w:pPr>
        <w:rPr>
          <w:rFonts w:ascii="Arial" w:hAnsi="Arial" w:cs="Arial"/>
          <w:bCs/>
          <w:sz w:val="20"/>
          <w:szCs w:val="20"/>
          <w:vertAlign w:val="subscript"/>
          <w:lang w:val="cs-CZ"/>
        </w:rPr>
      </w:pPr>
      <w:r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* </w:t>
      </w:r>
      <w:r w:rsidR="00A00398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>„Upravené“</w:t>
      </w:r>
      <w:r w:rsidR="00DD7835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 </w:t>
      </w:r>
      <w:r w:rsidR="00A00398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položky uvedené v tiskové zprávě jsou </w:t>
      </w:r>
      <w:r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>zpracov</w:t>
      </w:r>
      <w:r w:rsidR="00A00398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>ány</w:t>
      </w:r>
      <w:r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 bez ohledu na </w:t>
      </w:r>
      <w:r w:rsidR="00A00398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účetní zásady </w:t>
      </w:r>
      <w:r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GAAP. </w:t>
      </w:r>
      <w:bookmarkStart w:id="1" w:name="_Hlk536731412"/>
      <w:r w:rsidR="00A00398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Viz příloha tiskové zprávy </w:t>
      </w:r>
      <w:r w:rsidR="00DD7835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 xml:space="preserve">pro diskusi o finančních metrikách, jiných než podle zásad GAAP, </w:t>
      </w:r>
      <w:bookmarkEnd w:id="1"/>
      <w:r w:rsidR="00DD7835" w:rsidRPr="00175F32">
        <w:rPr>
          <w:rFonts w:ascii="Arial" w:hAnsi="Arial" w:cs="Arial"/>
          <w:bCs/>
          <w:sz w:val="20"/>
          <w:szCs w:val="20"/>
          <w:vertAlign w:val="subscript"/>
          <w:lang w:val="cs-CZ"/>
        </w:rPr>
        <w:t>zahrnující sladění, která se snaží uvedeným zásadám co nejvíce přiblížit.</w:t>
      </w:r>
    </w:p>
    <w:p w14:paraId="5CCF320E" w14:textId="77777777" w:rsidR="008A4E2F" w:rsidRPr="00E42089" w:rsidRDefault="008A4E2F" w:rsidP="008A4E2F">
      <w:pPr>
        <w:rPr>
          <w:rFonts w:ascii="Arial" w:hAnsi="Arial" w:cs="Arial"/>
          <w:lang w:val="cs-CZ"/>
        </w:rPr>
      </w:pPr>
    </w:p>
    <w:p w14:paraId="4E0527D0" w14:textId="3175B5A3" w:rsidR="00FC38D4" w:rsidRDefault="00FC38D4" w:rsidP="00FC38D4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Výsledky za celou společnost ve 2. kvartálu 2019</w:t>
      </w:r>
      <w:r w:rsidR="00620F5E">
        <w:rPr>
          <w:rFonts w:ascii="Arial" w:hAnsi="Arial" w:cs="Arial"/>
          <w:lang w:val="cs-CZ"/>
        </w:rPr>
        <w:t>:</w:t>
      </w:r>
    </w:p>
    <w:p w14:paraId="72B28C8D" w14:textId="46C6F209" w:rsidR="003742B4" w:rsidRDefault="003742B4" w:rsidP="00FC38D4">
      <w:pPr>
        <w:rPr>
          <w:rFonts w:ascii="Arial" w:hAnsi="Arial" w:cs="Arial"/>
          <w:lang w:val="cs-CZ"/>
        </w:rPr>
      </w:pPr>
    </w:p>
    <w:p w14:paraId="799F5FAF" w14:textId="1215D65C" w:rsidR="003742B4" w:rsidRPr="003742B4" w:rsidRDefault="003742B4" w:rsidP="003742B4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Konsolidované příjmy vzrostly </w:t>
      </w:r>
      <w:r w:rsidRPr="003742B4">
        <w:rPr>
          <w:rFonts w:ascii="Arial" w:hAnsi="Arial" w:cs="Arial"/>
          <w:lang w:val="cs-CZ"/>
        </w:rPr>
        <w:t>o 3,4</w:t>
      </w:r>
      <w:r w:rsidR="00651669">
        <w:rPr>
          <w:rFonts w:ascii="Arial" w:hAnsi="Arial" w:cs="Arial"/>
          <w:lang w:val="cs-CZ"/>
        </w:rPr>
        <w:t xml:space="preserve"> </w:t>
      </w:r>
      <w:r w:rsidRPr="003742B4">
        <w:rPr>
          <w:rFonts w:ascii="Arial" w:hAnsi="Arial" w:cs="Arial"/>
          <w:lang w:val="cs-CZ"/>
        </w:rPr>
        <w:t>% na 18 m</w:t>
      </w:r>
      <w:r w:rsidR="00651669">
        <w:rPr>
          <w:rFonts w:ascii="Arial" w:hAnsi="Arial" w:cs="Arial"/>
          <w:lang w:val="cs-CZ"/>
        </w:rPr>
        <w:t xml:space="preserve">ld. </w:t>
      </w:r>
      <w:r w:rsidRPr="003742B4">
        <w:rPr>
          <w:rFonts w:ascii="Arial" w:hAnsi="Arial" w:cs="Arial"/>
          <w:lang w:val="cs-CZ"/>
        </w:rPr>
        <w:t>USD</w:t>
      </w:r>
      <w:r w:rsidR="00651669">
        <w:rPr>
          <w:rFonts w:ascii="Arial" w:hAnsi="Arial" w:cs="Arial"/>
          <w:lang w:val="cs-CZ"/>
        </w:rPr>
        <w:t xml:space="preserve"> díky </w:t>
      </w:r>
      <w:r w:rsidRPr="003742B4">
        <w:rPr>
          <w:rFonts w:ascii="Arial" w:hAnsi="Arial" w:cs="Arial"/>
          <w:lang w:val="cs-CZ"/>
        </w:rPr>
        <w:t>nárůst</w:t>
      </w:r>
      <w:r w:rsidR="00651669">
        <w:rPr>
          <w:rFonts w:ascii="Arial" w:hAnsi="Arial" w:cs="Arial"/>
          <w:lang w:val="cs-CZ"/>
        </w:rPr>
        <w:t>u</w:t>
      </w:r>
      <w:r w:rsidRPr="003742B4">
        <w:rPr>
          <w:rFonts w:ascii="Arial" w:hAnsi="Arial" w:cs="Arial"/>
          <w:lang w:val="cs-CZ"/>
        </w:rPr>
        <w:t xml:space="preserve"> průměrného denního objemu </w:t>
      </w:r>
      <w:r w:rsidR="00651669">
        <w:rPr>
          <w:rFonts w:ascii="Arial" w:hAnsi="Arial" w:cs="Arial"/>
          <w:lang w:val="cs-CZ"/>
        </w:rPr>
        <w:t xml:space="preserve">přepravy na </w:t>
      </w:r>
      <w:r w:rsidR="003F09C6">
        <w:rPr>
          <w:rFonts w:ascii="Arial" w:hAnsi="Arial" w:cs="Arial"/>
          <w:lang w:val="cs-CZ"/>
        </w:rPr>
        <w:t>d</w:t>
      </w:r>
      <w:r w:rsidR="00651669">
        <w:rPr>
          <w:rFonts w:ascii="Arial" w:hAnsi="Arial" w:cs="Arial"/>
          <w:lang w:val="cs-CZ"/>
        </w:rPr>
        <w:t xml:space="preserve">omácím trhu </w:t>
      </w:r>
      <w:r w:rsidRPr="003742B4">
        <w:rPr>
          <w:rFonts w:ascii="Arial" w:hAnsi="Arial" w:cs="Arial"/>
          <w:lang w:val="cs-CZ"/>
        </w:rPr>
        <w:t>v</w:t>
      </w:r>
      <w:r w:rsidR="00651669">
        <w:rPr>
          <w:rFonts w:ascii="Arial" w:hAnsi="Arial" w:cs="Arial"/>
          <w:lang w:val="cs-CZ"/>
        </w:rPr>
        <w:t> </w:t>
      </w:r>
      <w:r w:rsidRPr="003742B4">
        <w:rPr>
          <w:rFonts w:ascii="Arial" w:hAnsi="Arial" w:cs="Arial"/>
          <w:lang w:val="cs-CZ"/>
        </w:rPr>
        <w:t>USA</w:t>
      </w:r>
      <w:r w:rsidR="00651669">
        <w:rPr>
          <w:rFonts w:ascii="Arial" w:hAnsi="Arial" w:cs="Arial"/>
          <w:lang w:val="cs-CZ"/>
        </w:rPr>
        <w:t xml:space="preserve"> a </w:t>
      </w:r>
      <w:r w:rsidR="003F09C6">
        <w:rPr>
          <w:rFonts w:ascii="Arial" w:hAnsi="Arial" w:cs="Arial"/>
          <w:lang w:val="cs-CZ"/>
        </w:rPr>
        <w:t xml:space="preserve">díky </w:t>
      </w:r>
      <w:r w:rsidR="00651669">
        <w:rPr>
          <w:rFonts w:ascii="Arial" w:hAnsi="Arial" w:cs="Arial"/>
          <w:lang w:val="cs-CZ"/>
        </w:rPr>
        <w:t>kvalitnějším</w:t>
      </w:r>
      <w:r w:rsidRPr="003742B4">
        <w:rPr>
          <w:rFonts w:ascii="Arial" w:hAnsi="Arial" w:cs="Arial"/>
          <w:lang w:val="cs-CZ"/>
        </w:rPr>
        <w:t xml:space="preserve"> příjm</w:t>
      </w:r>
      <w:r w:rsidR="003F09C6">
        <w:rPr>
          <w:rFonts w:ascii="Arial" w:hAnsi="Arial" w:cs="Arial"/>
          <w:lang w:val="cs-CZ"/>
        </w:rPr>
        <w:t>ů</w:t>
      </w:r>
      <w:r w:rsidRPr="003742B4">
        <w:rPr>
          <w:rFonts w:ascii="Arial" w:hAnsi="Arial" w:cs="Arial"/>
          <w:lang w:val="cs-CZ"/>
        </w:rPr>
        <w:t xml:space="preserve">m </w:t>
      </w:r>
      <w:r w:rsidR="00651669">
        <w:rPr>
          <w:rFonts w:ascii="Arial" w:hAnsi="Arial" w:cs="Arial"/>
          <w:lang w:val="cs-CZ"/>
        </w:rPr>
        <w:t xml:space="preserve">na </w:t>
      </w:r>
      <w:r w:rsidR="00651669" w:rsidRPr="003742B4">
        <w:rPr>
          <w:rFonts w:ascii="Arial" w:hAnsi="Arial" w:cs="Arial"/>
          <w:lang w:val="cs-CZ"/>
        </w:rPr>
        <w:t>měnově neutrální</w:t>
      </w:r>
      <w:r w:rsidR="00651669">
        <w:rPr>
          <w:rFonts w:ascii="Arial" w:hAnsi="Arial" w:cs="Arial"/>
          <w:lang w:val="cs-CZ"/>
        </w:rPr>
        <w:t xml:space="preserve"> bázi</w:t>
      </w:r>
      <w:r w:rsidR="00651669" w:rsidRPr="003742B4">
        <w:rPr>
          <w:rFonts w:ascii="Arial" w:hAnsi="Arial" w:cs="Arial"/>
          <w:lang w:val="cs-CZ"/>
        </w:rPr>
        <w:t xml:space="preserve"> </w:t>
      </w:r>
      <w:r w:rsidRPr="003742B4">
        <w:rPr>
          <w:rFonts w:ascii="Arial" w:hAnsi="Arial" w:cs="Arial"/>
          <w:lang w:val="cs-CZ"/>
        </w:rPr>
        <w:t>v</w:t>
      </w:r>
      <w:r w:rsidR="00651669">
        <w:rPr>
          <w:rFonts w:ascii="Arial" w:hAnsi="Arial" w:cs="Arial"/>
          <w:lang w:val="cs-CZ"/>
        </w:rPr>
        <w:t> M</w:t>
      </w:r>
      <w:r w:rsidRPr="003742B4">
        <w:rPr>
          <w:rFonts w:ascii="Arial" w:hAnsi="Arial" w:cs="Arial"/>
          <w:lang w:val="cs-CZ"/>
        </w:rPr>
        <w:t>ezinárodním segmentu.</w:t>
      </w:r>
    </w:p>
    <w:p w14:paraId="7226C7DD" w14:textId="472D570E" w:rsidR="003742B4" w:rsidRPr="003742B4" w:rsidRDefault="003742B4" w:rsidP="003742B4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3742B4">
        <w:rPr>
          <w:rFonts w:ascii="Arial" w:hAnsi="Arial" w:cs="Arial"/>
          <w:lang w:val="cs-CZ"/>
        </w:rPr>
        <w:t xml:space="preserve">Celkový provozní zisk vzrostl </w:t>
      </w:r>
      <w:r w:rsidR="00651669">
        <w:rPr>
          <w:rFonts w:ascii="Arial" w:hAnsi="Arial" w:cs="Arial"/>
          <w:lang w:val="cs-CZ"/>
        </w:rPr>
        <w:t xml:space="preserve">o </w:t>
      </w:r>
      <w:r w:rsidRPr="003742B4">
        <w:rPr>
          <w:rFonts w:ascii="Arial" w:hAnsi="Arial" w:cs="Arial"/>
          <w:lang w:val="cs-CZ"/>
        </w:rPr>
        <w:t>téměř 21</w:t>
      </w:r>
      <w:r w:rsidR="00651669">
        <w:rPr>
          <w:rFonts w:ascii="Arial" w:hAnsi="Arial" w:cs="Arial"/>
          <w:lang w:val="cs-CZ"/>
        </w:rPr>
        <w:t xml:space="preserve"> </w:t>
      </w:r>
      <w:r w:rsidRPr="003742B4">
        <w:rPr>
          <w:rFonts w:ascii="Arial" w:hAnsi="Arial" w:cs="Arial"/>
          <w:lang w:val="cs-CZ"/>
        </w:rPr>
        <w:t>%</w:t>
      </w:r>
      <w:r w:rsidR="00651669">
        <w:rPr>
          <w:rFonts w:ascii="Arial" w:hAnsi="Arial" w:cs="Arial"/>
          <w:lang w:val="cs-CZ"/>
        </w:rPr>
        <w:t>,</w:t>
      </w:r>
      <w:r w:rsidRPr="003742B4">
        <w:rPr>
          <w:rFonts w:ascii="Arial" w:hAnsi="Arial" w:cs="Arial"/>
          <w:lang w:val="cs-CZ"/>
        </w:rPr>
        <w:t xml:space="preserve"> </w:t>
      </w:r>
      <w:r w:rsidR="003F09C6">
        <w:rPr>
          <w:rFonts w:ascii="Arial" w:hAnsi="Arial" w:cs="Arial"/>
          <w:lang w:val="cs-CZ"/>
        </w:rPr>
        <w:t xml:space="preserve">resp. </w:t>
      </w:r>
      <w:r w:rsidR="003F09C6" w:rsidRPr="003742B4">
        <w:rPr>
          <w:rFonts w:ascii="Arial" w:hAnsi="Arial" w:cs="Arial"/>
          <w:lang w:val="cs-CZ"/>
        </w:rPr>
        <w:t>o 6,3</w:t>
      </w:r>
      <w:r w:rsidR="003F09C6">
        <w:rPr>
          <w:rFonts w:ascii="Arial" w:hAnsi="Arial" w:cs="Arial"/>
          <w:lang w:val="cs-CZ"/>
        </w:rPr>
        <w:t xml:space="preserve"> </w:t>
      </w:r>
      <w:r w:rsidR="003F09C6" w:rsidRPr="003742B4">
        <w:rPr>
          <w:rFonts w:ascii="Arial" w:hAnsi="Arial" w:cs="Arial"/>
          <w:lang w:val="cs-CZ"/>
        </w:rPr>
        <w:t>%</w:t>
      </w:r>
      <w:r w:rsidR="003F09C6">
        <w:rPr>
          <w:rFonts w:ascii="Arial" w:hAnsi="Arial" w:cs="Arial"/>
          <w:lang w:val="cs-CZ"/>
        </w:rPr>
        <w:t xml:space="preserve"> </w:t>
      </w:r>
      <w:r w:rsidR="00651669">
        <w:rPr>
          <w:rFonts w:ascii="Arial" w:hAnsi="Arial" w:cs="Arial"/>
          <w:lang w:val="cs-CZ"/>
        </w:rPr>
        <w:t>na upravené bázi,</w:t>
      </w:r>
      <w:r w:rsidRPr="003742B4">
        <w:rPr>
          <w:rFonts w:ascii="Arial" w:hAnsi="Arial" w:cs="Arial"/>
          <w:lang w:val="cs-CZ"/>
        </w:rPr>
        <w:t xml:space="preserve"> s růstem ve všech segmentech.</w:t>
      </w:r>
    </w:p>
    <w:p w14:paraId="54CE5CE6" w14:textId="452AE865" w:rsidR="003742B4" w:rsidRPr="003742B4" w:rsidRDefault="003742B4" w:rsidP="003742B4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3742B4">
        <w:rPr>
          <w:rFonts w:ascii="Arial" w:hAnsi="Arial" w:cs="Arial"/>
          <w:lang w:val="cs-CZ"/>
        </w:rPr>
        <w:t xml:space="preserve">Celková provozní marže </w:t>
      </w:r>
      <w:r w:rsidR="002B7620">
        <w:rPr>
          <w:rFonts w:ascii="Arial" w:hAnsi="Arial" w:cs="Arial"/>
          <w:lang w:val="cs-CZ"/>
        </w:rPr>
        <w:t xml:space="preserve">byla </w:t>
      </w:r>
      <w:r w:rsidRPr="003742B4">
        <w:rPr>
          <w:rFonts w:ascii="Arial" w:hAnsi="Arial" w:cs="Arial"/>
          <w:lang w:val="cs-CZ"/>
        </w:rPr>
        <w:t>rozšíře</w:t>
      </w:r>
      <w:r w:rsidR="002B7620">
        <w:rPr>
          <w:rFonts w:ascii="Arial" w:hAnsi="Arial" w:cs="Arial"/>
          <w:lang w:val="cs-CZ"/>
        </w:rPr>
        <w:t>na</w:t>
      </w:r>
      <w:r w:rsidRPr="003742B4">
        <w:rPr>
          <w:rFonts w:ascii="Arial" w:hAnsi="Arial" w:cs="Arial"/>
          <w:lang w:val="cs-CZ"/>
        </w:rPr>
        <w:t xml:space="preserve"> o 170 bazických bodů; upravená provozní marže o</w:t>
      </w:r>
      <w:r w:rsidR="002B7620">
        <w:rPr>
          <w:rFonts w:ascii="Arial" w:hAnsi="Arial" w:cs="Arial"/>
          <w:lang w:val="cs-CZ"/>
        </w:rPr>
        <w:t> </w:t>
      </w:r>
      <w:r w:rsidRPr="003742B4">
        <w:rPr>
          <w:rFonts w:ascii="Arial" w:hAnsi="Arial" w:cs="Arial"/>
          <w:lang w:val="cs-CZ"/>
        </w:rPr>
        <w:t>30 bazických bodů.</w:t>
      </w:r>
    </w:p>
    <w:p w14:paraId="0BCEC7E3" w14:textId="317193C5" w:rsidR="003742B4" w:rsidRPr="003742B4" w:rsidRDefault="003742B4" w:rsidP="003742B4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3742B4">
        <w:rPr>
          <w:rFonts w:ascii="Arial" w:hAnsi="Arial" w:cs="Arial"/>
          <w:lang w:val="cs-CZ"/>
        </w:rPr>
        <w:t xml:space="preserve">Kapitálové výdaje za rok </w:t>
      </w:r>
      <w:r w:rsidR="002B7620">
        <w:rPr>
          <w:rFonts w:ascii="Arial" w:hAnsi="Arial" w:cs="Arial"/>
          <w:lang w:val="cs-CZ"/>
        </w:rPr>
        <w:t>ur</w:t>
      </w:r>
      <w:r w:rsidR="002B7620" w:rsidRPr="002B7620">
        <w:rPr>
          <w:rFonts w:ascii="Arial" w:hAnsi="Arial" w:cs="Arial"/>
          <w:lang w:val="cs-CZ"/>
        </w:rPr>
        <w:t xml:space="preserve">čené </w:t>
      </w:r>
      <w:r w:rsidR="002B7620" w:rsidRPr="003742B4">
        <w:rPr>
          <w:rFonts w:ascii="Arial" w:hAnsi="Arial" w:cs="Arial"/>
          <w:lang w:val="cs-CZ"/>
        </w:rPr>
        <w:t>na vylepšení sítě</w:t>
      </w:r>
      <w:r w:rsidR="002B7620">
        <w:rPr>
          <w:rFonts w:ascii="Arial" w:hAnsi="Arial" w:cs="Arial"/>
          <w:lang w:val="cs-CZ"/>
        </w:rPr>
        <w:t xml:space="preserve"> </w:t>
      </w:r>
      <w:r w:rsidRPr="003742B4">
        <w:rPr>
          <w:rFonts w:ascii="Arial" w:hAnsi="Arial" w:cs="Arial"/>
          <w:lang w:val="cs-CZ"/>
        </w:rPr>
        <w:t xml:space="preserve">činí přibližně 2,9 </w:t>
      </w:r>
      <w:r w:rsidR="002B7620">
        <w:rPr>
          <w:rFonts w:ascii="Arial" w:hAnsi="Arial" w:cs="Arial"/>
          <w:lang w:val="cs-CZ"/>
        </w:rPr>
        <w:t xml:space="preserve">mld. USD. </w:t>
      </w:r>
    </w:p>
    <w:p w14:paraId="30D038E7" w14:textId="6D3EC4AE" w:rsidR="002B7620" w:rsidRDefault="002B7620" w:rsidP="003742B4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="003742B4" w:rsidRPr="003742B4">
        <w:rPr>
          <w:rFonts w:ascii="Arial" w:hAnsi="Arial" w:cs="Arial"/>
          <w:lang w:val="cs-CZ"/>
        </w:rPr>
        <w:t>ividend</w:t>
      </w:r>
      <w:r>
        <w:rPr>
          <w:rFonts w:ascii="Arial" w:hAnsi="Arial" w:cs="Arial"/>
          <w:lang w:val="cs-CZ"/>
        </w:rPr>
        <w:t>a</w:t>
      </w:r>
      <w:r w:rsidR="003742B4" w:rsidRPr="003742B4">
        <w:rPr>
          <w:rFonts w:ascii="Arial" w:hAnsi="Arial" w:cs="Arial"/>
          <w:lang w:val="cs-CZ"/>
        </w:rPr>
        <w:t xml:space="preserve"> na akcii </w:t>
      </w:r>
      <w:r>
        <w:rPr>
          <w:rFonts w:ascii="Arial" w:hAnsi="Arial" w:cs="Arial"/>
          <w:lang w:val="cs-CZ"/>
        </w:rPr>
        <w:t xml:space="preserve">od začátku roku </w:t>
      </w:r>
      <w:r w:rsidR="003742B4" w:rsidRPr="003742B4">
        <w:rPr>
          <w:rFonts w:ascii="Arial" w:hAnsi="Arial" w:cs="Arial"/>
          <w:lang w:val="cs-CZ"/>
        </w:rPr>
        <w:t>vzrostl</w:t>
      </w:r>
      <w:r>
        <w:rPr>
          <w:rFonts w:ascii="Arial" w:hAnsi="Arial" w:cs="Arial"/>
          <w:lang w:val="cs-CZ"/>
        </w:rPr>
        <w:t>a</w:t>
      </w:r>
      <w:r w:rsidR="003742B4" w:rsidRPr="003742B4">
        <w:rPr>
          <w:rFonts w:ascii="Arial" w:hAnsi="Arial" w:cs="Arial"/>
          <w:lang w:val="cs-CZ"/>
        </w:rPr>
        <w:t xml:space="preserve"> o 5,5</w:t>
      </w:r>
      <w:r w:rsidR="003F09C6">
        <w:rPr>
          <w:rFonts w:ascii="Arial" w:hAnsi="Arial" w:cs="Arial"/>
          <w:lang w:val="cs-CZ"/>
        </w:rPr>
        <w:t xml:space="preserve"> </w:t>
      </w:r>
      <w:r w:rsidR="003742B4" w:rsidRPr="003742B4">
        <w:rPr>
          <w:rFonts w:ascii="Arial" w:hAnsi="Arial" w:cs="Arial"/>
          <w:lang w:val="cs-CZ"/>
        </w:rPr>
        <w:t xml:space="preserve">% a společnost odkoupila 4,8 milionu akcií za </w:t>
      </w:r>
      <w:r w:rsidR="00651669">
        <w:rPr>
          <w:rFonts w:ascii="Arial" w:hAnsi="Arial" w:cs="Arial"/>
          <w:lang w:val="cs-CZ"/>
        </w:rPr>
        <w:t>p</w:t>
      </w:r>
      <w:r w:rsidR="003742B4" w:rsidRPr="003742B4">
        <w:rPr>
          <w:rFonts w:ascii="Arial" w:hAnsi="Arial" w:cs="Arial"/>
          <w:lang w:val="cs-CZ"/>
        </w:rPr>
        <w:t>řibližně 500 milionů dolarů.</w:t>
      </w:r>
    </w:p>
    <w:p w14:paraId="5800BEE9" w14:textId="77777777" w:rsidR="002B7620" w:rsidRPr="00175F32" w:rsidRDefault="002B7620" w:rsidP="002B7620">
      <w:pPr>
        <w:rPr>
          <w:rFonts w:ascii="Arial" w:hAnsi="Arial" w:cs="Arial"/>
          <w:lang w:val="cs-CZ"/>
        </w:rPr>
      </w:pPr>
    </w:p>
    <w:p w14:paraId="06C97342" w14:textId="79576737" w:rsidR="002B7620" w:rsidRPr="00E42089" w:rsidRDefault="002B7620" w:rsidP="00A15580">
      <w:pPr>
        <w:rPr>
          <w:rFonts w:ascii="Arial" w:hAnsi="Arial" w:cs="Arial"/>
          <w:lang w:val="cs-CZ"/>
        </w:rPr>
      </w:pPr>
    </w:p>
    <w:p w14:paraId="291FAAAF" w14:textId="5C968895" w:rsidR="002B7620" w:rsidRPr="00175F32" w:rsidRDefault="002B7620" w:rsidP="00A15580">
      <w:pPr>
        <w:rPr>
          <w:rFonts w:ascii="Arial" w:hAnsi="Arial" w:cs="Arial"/>
          <w:b/>
          <w:bCs/>
          <w:u w:val="single"/>
          <w:lang w:val="cs-CZ"/>
        </w:rPr>
      </w:pPr>
      <w:r w:rsidRPr="00175F32">
        <w:rPr>
          <w:rFonts w:ascii="Arial" w:hAnsi="Arial" w:cs="Arial"/>
          <w:b/>
          <w:bCs/>
          <w:u w:val="single"/>
          <w:lang w:val="cs-CZ"/>
        </w:rPr>
        <w:t>Přeprava na domácím trhu v USA</w:t>
      </w:r>
    </w:p>
    <w:p w14:paraId="03DFC6E8" w14:textId="2A36A668" w:rsidR="002B7620" w:rsidRPr="00175F32" w:rsidRDefault="002B7620" w:rsidP="00A15580">
      <w:pPr>
        <w:rPr>
          <w:rFonts w:ascii="Arial" w:hAnsi="Arial" w:cs="Arial"/>
          <w:lang w:val="cs-CZ"/>
        </w:rPr>
      </w:pPr>
    </w:p>
    <w:p w14:paraId="5CCECC57" w14:textId="073B8C0A" w:rsidR="002B7620" w:rsidRPr="00175F32" w:rsidRDefault="002B7620" w:rsidP="002B7620">
      <w:p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Segment přepravy na domácím trhu v USA generoval výrazný nárůst objemu </w:t>
      </w:r>
      <w:r w:rsidR="0047293A" w:rsidRPr="00175F32">
        <w:rPr>
          <w:rFonts w:ascii="Arial" w:hAnsi="Arial" w:cs="Arial"/>
          <w:lang w:val="cs-CZ"/>
        </w:rPr>
        <w:t xml:space="preserve">přepravy </w:t>
      </w:r>
      <w:r w:rsidRPr="00175F32">
        <w:rPr>
          <w:rFonts w:ascii="Arial" w:hAnsi="Arial" w:cs="Arial"/>
          <w:lang w:val="cs-CZ"/>
        </w:rPr>
        <w:t xml:space="preserve">ve všech službách, </w:t>
      </w:r>
      <w:r w:rsidR="0047293A" w:rsidRPr="00175F32">
        <w:rPr>
          <w:rFonts w:ascii="Arial" w:hAnsi="Arial" w:cs="Arial"/>
          <w:lang w:val="cs-CZ"/>
        </w:rPr>
        <w:t xml:space="preserve">v čele s více </w:t>
      </w:r>
      <w:r w:rsidRPr="00175F32">
        <w:rPr>
          <w:rFonts w:ascii="Arial" w:hAnsi="Arial" w:cs="Arial"/>
          <w:lang w:val="cs-CZ"/>
        </w:rPr>
        <w:t>než 30% nárůst</w:t>
      </w:r>
      <w:r w:rsidR="0047293A" w:rsidRPr="00175F32">
        <w:rPr>
          <w:rFonts w:ascii="Arial" w:hAnsi="Arial" w:cs="Arial"/>
          <w:lang w:val="cs-CZ"/>
        </w:rPr>
        <w:t>em</w:t>
      </w:r>
      <w:r w:rsidRPr="00175F32">
        <w:rPr>
          <w:rFonts w:ascii="Arial" w:hAnsi="Arial" w:cs="Arial"/>
          <w:lang w:val="cs-CZ"/>
        </w:rPr>
        <w:t xml:space="preserve"> objem</w:t>
      </w:r>
      <w:r w:rsidR="0047293A" w:rsidRPr="00175F32">
        <w:rPr>
          <w:rFonts w:ascii="Arial" w:hAnsi="Arial" w:cs="Arial"/>
          <w:lang w:val="cs-CZ"/>
        </w:rPr>
        <w:t xml:space="preserve">u letecké přepravy </w:t>
      </w:r>
      <w:r w:rsidRPr="00175F32">
        <w:rPr>
          <w:rFonts w:ascii="Arial" w:hAnsi="Arial" w:cs="Arial"/>
          <w:lang w:val="cs-CZ"/>
        </w:rPr>
        <w:t xml:space="preserve">s doručením do druhého dne (Next Day Air). K prudkému nárůstu poptávky po přepravních službách s doručením do druhého dne přispěl prudký nárůst </w:t>
      </w:r>
      <w:r w:rsidR="0047293A" w:rsidRPr="00175F32">
        <w:rPr>
          <w:rFonts w:ascii="Arial" w:hAnsi="Arial" w:cs="Arial"/>
          <w:lang w:val="cs-CZ"/>
        </w:rPr>
        <w:t xml:space="preserve">poptávky po </w:t>
      </w:r>
      <w:r w:rsidR="0093117E" w:rsidRPr="00175F32">
        <w:rPr>
          <w:rFonts w:ascii="Arial" w:hAnsi="Arial" w:cs="Arial"/>
          <w:lang w:val="cs-CZ"/>
        </w:rPr>
        <w:t xml:space="preserve">doručení </w:t>
      </w:r>
      <w:r w:rsidRPr="00175F32">
        <w:rPr>
          <w:rFonts w:ascii="Arial" w:hAnsi="Arial" w:cs="Arial"/>
          <w:lang w:val="cs-CZ"/>
        </w:rPr>
        <w:t>od přepravců e-commerce.</w:t>
      </w:r>
    </w:p>
    <w:p w14:paraId="32FE34A5" w14:textId="77777777" w:rsidR="00A15580" w:rsidRPr="00175F32" w:rsidRDefault="00A15580" w:rsidP="00A15580">
      <w:pPr>
        <w:rPr>
          <w:rFonts w:ascii="Arial" w:hAnsi="Arial" w:cs="Arial"/>
          <w:lang w:val="cs-CZ"/>
        </w:rPr>
      </w:pPr>
    </w:p>
    <w:p w14:paraId="6DC97413" w14:textId="4C5044CA" w:rsidR="002B7620" w:rsidRPr="002B7620" w:rsidRDefault="002E4A07" w:rsidP="002B762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</w:t>
      </w:r>
      <w:r w:rsidR="002B7620" w:rsidRPr="002B7620">
        <w:rPr>
          <w:rFonts w:ascii="Arial" w:hAnsi="Arial" w:cs="Arial"/>
          <w:lang w:val="cs-CZ"/>
        </w:rPr>
        <w:t>Poptávka po rychlejší</w:t>
      </w:r>
      <w:r>
        <w:rPr>
          <w:rFonts w:ascii="Arial" w:hAnsi="Arial" w:cs="Arial"/>
          <w:lang w:val="cs-CZ"/>
        </w:rPr>
        <w:t xml:space="preserve">m doručení </w:t>
      </w:r>
      <w:r w:rsidR="005D49D4">
        <w:rPr>
          <w:rFonts w:ascii="Arial" w:hAnsi="Arial" w:cs="Arial"/>
          <w:lang w:val="cs-CZ"/>
        </w:rPr>
        <w:t>představuje</w:t>
      </w:r>
      <w:r w:rsidR="002B7620" w:rsidRPr="002B7620">
        <w:rPr>
          <w:rFonts w:ascii="Arial" w:hAnsi="Arial" w:cs="Arial"/>
          <w:lang w:val="cs-CZ"/>
        </w:rPr>
        <w:t xml:space="preserve"> strukturální změnu v našem odvětví,</w:t>
      </w:r>
      <w:r>
        <w:rPr>
          <w:rFonts w:ascii="Arial" w:hAnsi="Arial" w:cs="Arial"/>
          <w:lang w:val="cs-CZ"/>
        </w:rPr>
        <w:t>“</w:t>
      </w:r>
      <w:r w:rsidR="002B7620" w:rsidRPr="002B7620">
        <w:rPr>
          <w:rFonts w:ascii="Arial" w:hAnsi="Arial" w:cs="Arial"/>
          <w:lang w:val="cs-CZ"/>
        </w:rPr>
        <w:t xml:space="preserve"> </w:t>
      </w:r>
      <w:r w:rsidR="005D49D4">
        <w:rPr>
          <w:rFonts w:ascii="Arial" w:hAnsi="Arial" w:cs="Arial"/>
          <w:lang w:val="cs-CZ"/>
        </w:rPr>
        <w:t xml:space="preserve">uvedl </w:t>
      </w:r>
      <w:r w:rsidR="002B7620" w:rsidRPr="002B7620">
        <w:rPr>
          <w:rFonts w:ascii="Arial" w:hAnsi="Arial" w:cs="Arial"/>
          <w:lang w:val="cs-CZ"/>
        </w:rPr>
        <w:t xml:space="preserve">Abney. </w:t>
      </w:r>
      <w:r>
        <w:rPr>
          <w:rFonts w:ascii="Arial" w:hAnsi="Arial" w:cs="Arial"/>
          <w:lang w:val="cs-CZ"/>
        </w:rPr>
        <w:t xml:space="preserve">„Na tuto </w:t>
      </w:r>
      <w:r w:rsidR="00A0171B">
        <w:rPr>
          <w:rFonts w:ascii="Arial" w:hAnsi="Arial" w:cs="Arial"/>
          <w:lang w:val="cs-CZ"/>
        </w:rPr>
        <w:t xml:space="preserve">očekávanou </w:t>
      </w:r>
      <w:r>
        <w:rPr>
          <w:rFonts w:ascii="Arial" w:hAnsi="Arial" w:cs="Arial"/>
          <w:lang w:val="cs-CZ"/>
        </w:rPr>
        <w:t xml:space="preserve">změnu reagujeme rozšířením naší letecké </w:t>
      </w:r>
      <w:r w:rsidR="002B7620" w:rsidRPr="002B7620">
        <w:rPr>
          <w:rFonts w:ascii="Arial" w:hAnsi="Arial" w:cs="Arial"/>
          <w:lang w:val="cs-CZ"/>
        </w:rPr>
        <w:t>kapacit</w:t>
      </w:r>
      <w:r>
        <w:rPr>
          <w:rFonts w:ascii="Arial" w:hAnsi="Arial" w:cs="Arial"/>
          <w:lang w:val="cs-CZ"/>
        </w:rPr>
        <w:t>y</w:t>
      </w:r>
      <w:r w:rsidR="002B7620" w:rsidRPr="002B7620">
        <w:rPr>
          <w:rFonts w:ascii="Arial" w:hAnsi="Arial" w:cs="Arial"/>
          <w:lang w:val="cs-CZ"/>
        </w:rPr>
        <w:t xml:space="preserve"> a moderniz</w:t>
      </w:r>
      <w:r>
        <w:rPr>
          <w:rFonts w:ascii="Arial" w:hAnsi="Arial" w:cs="Arial"/>
          <w:lang w:val="cs-CZ"/>
        </w:rPr>
        <w:t>ací naší</w:t>
      </w:r>
      <w:r w:rsidR="002B7620" w:rsidRPr="002B7620">
        <w:rPr>
          <w:rFonts w:ascii="Arial" w:hAnsi="Arial" w:cs="Arial"/>
          <w:lang w:val="cs-CZ"/>
        </w:rPr>
        <w:t xml:space="preserve"> sí</w:t>
      </w:r>
      <w:r>
        <w:rPr>
          <w:rFonts w:ascii="Arial" w:hAnsi="Arial" w:cs="Arial"/>
          <w:lang w:val="cs-CZ"/>
        </w:rPr>
        <w:t>tě,</w:t>
      </w:r>
      <w:r w:rsidR="002B7620" w:rsidRPr="002B762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kter</w:t>
      </w:r>
      <w:r w:rsidRPr="002E4A07">
        <w:rPr>
          <w:rFonts w:ascii="Arial" w:hAnsi="Arial" w:cs="Arial"/>
          <w:lang w:val="cs-CZ"/>
        </w:rPr>
        <w:t xml:space="preserve">é </w:t>
      </w:r>
      <w:r w:rsidR="002B7620" w:rsidRPr="002B7620">
        <w:rPr>
          <w:rFonts w:ascii="Arial" w:hAnsi="Arial" w:cs="Arial"/>
          <w:lang w:val="cs-CZ"/>
        </w:rPr>
        <w:t>umožn</w:t>
      </w:r>
      <w:r>
        <w:rPr>
          <w:rFonts w:ascii="Arial" w:hAnsi="Arial" w:cs="Arial"/>
          <w:lang w:val="cs-CZ"/>
        </w:rPr>
        <w:t>í</w:t>
      </w:r>
      <w:r w:rsidR="002B7620" w:rsidRPr="002B7620">
        <w:rPr>
          <w:rFonts w:ascii="Arial" w:hAnsi="Arial" w:cs="Arial"/>
          <w:lang w:val="cs-CZ"/>
        </w:rPr>
        <w:t xml:space="preserve">, aby tento růst měl pozitivní dopad na ziskovost a </w:t>
      </w:r>
      <w:r w:rsidR="00A0171B">
        <w:rPr>
          <w:rFonts w:ascii="Arial" w:hAnsi="Arial" w:cs="Arial"/>
          <w:lang w:val="cs-CZ"/>
        </w:rPr>
        <w:t xml:space="preserve">aby </w:t>
      </w:r>
      <w:r w:rsidR="002B7620" w:rsidRPr="002B7620">
        <w:rPr>
          <w:rFonts w:ascii="Arial" w:hAnsi="Arial" w:cs="Arial"/>
          <w:lang w:val="cs-CZ"/>
        </w:rPr>
        <w:t xml:space="preserve">UPS dobře </w:t>
      </w:r>
      <w:r>
        <w:rPr>
          <w:rFonts w:ascii="Arial" w:hAnsi="Arial" w:cs="Arial"/>
          <w:lang w:val="cs-CZ"/>
        </w:rPr>
        <w:t>reagov</w:t>
      </w:r>
      <w:r w:rsidR="00A0171B">
        <w:rPr>
          <w:rFonts w:ascii="Arial" w:hAnsi="Arial" w:cs="Arial"/>
          <w:lang w:val="cs-CZ"/>
        </w:rPr>
        <w:t>ala</w:t>
      </w:r>
      <w:r>
        <w:rPr>
          <w:rFonts w:ascii="Arial" w:hAnsi="Arial" w:cs="Arial"/>
          <w:lang w:val="cs-CZ"/>
        </w:rPr>
        <w:t xml:space="preserve"> na </w:t>
      </w:r>
      <w:r w:rsidR="002B7620" w:rsidRPr="002B7620">
        <w:rPr>
          <w:rFonts w:ascii="Arial" w:hAnsi="Arial" w:cs="Arial"/>
          <w:lang w:val="cs-CZ"/>
        </w:rPr>
        <w:t>rostoucí potřeb</w:t>
      </w:r>
      <w:r>
        <w:rPr>
          <w:rFonts w:ascii="Arial" w:hAnsi="Arial" w:cs="Arial"/>
          <w:lang w:val="cs-CZ"/>
        </w:rPr>
        <w:t>y</w:t>
      </w:r>
      <w:r w:rsidR="002B7620" w:rsidRPr="002B7620">
        <w:rPr>
          <w:rFonts w:ascii="Arial" w:hAnsi="Arial" w:cs="Arial"/>
          <w:lang w:val="cs-CZ"/>
        </w:rPr>
        <w:t xml:space="preserve"> trhu.</w:t>
      </w:r>
      <w:r>
        <w:rPr>
          <w:rFonts w:ascii="Arial" w:hAnsi="Arial" w:cs="Arial"/>
          <w:lang w:val="cs-CZ"/>
        </w:rPr>
        <w:t>“</w:t>
      </w:r>
    </w:p>
    <w:p w14:paraId="6476E26E" w14:textId="77777777" w:rsidR="002B7620" w:rsidRPr="002B7620" w:rsidRDefault="002B7620" w:rsidP="002B7620">
      <w:pPr>
        <w:rPr>
          <w:rFonts w:ascii="Arial" w:hAnsi="Arial" w:cs="Arial"/>
          <w:lang w:val="cs-CZ"/>
        </w:rPr>
      </w:pPr>
    </w:p>
    <w:p w14:paraId="36FC8CBE" w14:textId="5B2F7725" w:rsidR="002B7620" w:rsidRDefault="002B7620" w:rsidP="002B7620">
      <w:pPr>
        <w:rPr>
          <w:rFonts w:ascii="Arial" w:hAnsi="Arial" w:cs="Arial"/>
          <w:lang w:val="cs-CZ"/>
        </w:rPr>
      </w:pPr>
      <w:r w:rsidRPr="002B7620">
        <w:rPr>
          <w:rFonts w:ascii="Arial" w:hAnsi="Arial" w:cs="Arial"/>
          <w:lang w:val="cs-CZ"/>
        </w:rPr>
        <w:t>V tomto období rostl</w:t>
      </w:r>
      <w:r w:rsidR="00A30D59">
        <w:rPr>
          <w:rFonts w:ascii="Arial" w:hAnsi="Arial" w:cs="Arial"/>
          <w:lang w:val="cs-CZ"/>
        </w:rPr>
        <w:t xml:space="preserve">a přeprava </w:t>
      </w:r>
      <w:r w:rsidRPr="002B7620">
        <w:rPr>
          <w:rFonts w:ascii="Arial" w:hAnsi="Arial" w:cs="Arial"/>
          <w:lang w:val="cs-CZ"/>
        </w:rPr>
        <w:t>B2B</w:t>
      </w:r>
      <w:r w:rsidR="00A30D59">
        <w:rPr>
          <w:rFonts w:ascii="Arial" w:hAnsi="Arial" w:cs="Arial"/>
          <w:lang w:val="cs-CZ"/>
        </w:rPr>
        <w:t xml:space="preserve"> i </w:t>
      </w:r>
      <w:r w:rsidRPr="002B7620">
        <w:rPr>
          <w:rFonts w:ascii="Arial" w:hAnsi="Arial" w:cs="Arial"/>
          <w:lang w:val="cs-CZ"/>
        </w:rPr>
        <w:t xml:space="preserve">B2C. </w:t>
      </w:r>
      <w:r w:rsidR="00A0171B">
        <w:rPr>
          <w:rFonts w:ascii="Arial" w:hAnsi="Arial" w:cs="Arial"/>
          <w:lang w:val="cs-CZ"/>
        </w:rPr>
        <w:t>S</w:t>
      </w:r>
      <w:r w:rsidRPr="002B7620">
        <w:rPr>
          <w:rFonts w:ascii="Arial" w:hAnsi="Arial" w:cs="Arial"/>
          <w:lang w:val="cs-CZ"/>
        </w:rPr>
        <w:t xml:space="preserve">polečnost </w:t>
      </w:r>
      <w:r w:rsidR="00A30D59">
        <w:rPr>
          <w:rFonts w:ascii="Arial" w:hAnsi="Arial" w:cs="Arial"/>
          <w:lang w:val="cs-CZ"/>
        </w:rPr>
        <w:t xml:space="preserve">UPS také </w:t>
      </w:r>
      <w:r w:rsidR="00176213">
        <w:rPr>
          <w:rFonts w:ascii="Arial" w:hAnsi="Arial" w:cs="Arial"/>
          <w:lang w:val="cs-CZ"/>
        </w:rPr>
        <w:t>otevře</w:t>
      </w:r>
      <w:r w:rsidR="007470B2">
        <w:rPr>
          <w:rFonts w:ascii="Arial" w:hAnsi="Arial" w:cs="Arial"/>
          <w:lang w:val="cs-CZ"/>
        </w:rPr>
        <w:t>la</w:t>
      </w:r>
      <w:r w:rsidR="00176213">
        <w:rPr>
          <w:rFonts w:ascii="Arial" w:hAnsi="Arial" w:cs="Arial"/>
          <w:lang w:val="cs-CZ"/>
        </w:rPr>
        <w:t xml:space="preserve"> nov</w:t>
      </w:r>
      <w:r w:rsidR="007470B2">
        <w:rPr>
          <w:rFonts w:ascii="Arial" w:hAnsi="Arial" w:cs="Arial"/>
          <w:lang w:val="cs-CZ"/>
        </w:rPr>
        <w:t>á</w:t>
      </w:r>
      <w:r w:rsidR="00176213">
        <w:rPr>
          <w:rFonts w:ascii="Arial" w:hAnsi="Arial" w:cs="Arial"/>
          <w:lang w:val="cs-CZ"/>
        </w:rPr>
        <w:t xml:space="preserve"> </w:t>
      </w:r>
      <w:r w:rsidR="00941397">
        <w:rPr>
          <w:rFonts w:ascii="Arial" w:hAnsi="Arial" w:cs="Arial"/>
          <w:lang w:val="cs-CZ"/>
        </w:rPr>
        <w:t xml:space="preserve">logistická </w:t>
      </w:r>
      <w:r w:rsidR="00176213">
        <w:rPr>
          <w:rFonts w:ascii="Arial" w:hAnsi="Arial" w:cs="Arial"/>
          <w:lang w:val="cs-CZ"/>
        </w:rPr>
        <w:t>centr</w:t>
      </w:r>
      <w:r w:rsidR="007470B2">
        <w:rPr>
          <w:rFonts w:ascii="Arial" w:hAnsi="Arial" w:cs="Arial"/>
          <w:lang w:val="cs-CZ"/>
        </w:rPr>
        <w:t>a</w:t>
      </w:r>
      <w:r w:rsidR="00176213">
        <w:rPr>
          <w:rFonts w:ascii="Arial" w:hAnsi="Arial" w:cs="Arial"/>
          <w:lang w:val="cs-CZ"/>
        </w:rPr>
        <w:t xml:space="preserve"> s</w:t>
      </w:r>
      <w:r w:rsidR="007470B2">
        <w:rPr>
          <w:rFonts w:ascii="Arial" w:hAnsi="Arial" w:cs="Arial"/>
          <w:lang w:val="cs-CZ"/>
        </w:rPr>
        <w:t> </w:t>
      </w:r>
      <w:r w:rsidR="00176213" w:rsidRPr="002B7620">
        <w:rPr>
          <w:rFonts w:ascii="Arial" w:hAnsi="Arial" w:cs="Arial"/>
          <w:lang w:val="cs-CZ"/>
        </w:rPr>
        <w:t>automatizovan</w:t>
      </w:r>
      <w:r w:rsidR="00176213">
        <w:rPr>
          <w:rFonts w:ascii="Arial" w:hAnsi="Arial" w:cs="Arial"/>
          <w:lang w:val="cs-CZ"/>
        </w:rPr>
        <w:t xml:space="preserve">ým </w:t>
      </w:r>
      <w:r w:rsidR="00176213" w:rsidRPr="002B7620">
        <w:rPr>
          <w:rFonts w:ascii="Arial" w:hAnsi="Arial" w:cs="Arial"/>
          <w:lang w:val="cs-CZ"/>
        </w:rPr>
        <w:t>třídění</w:t>
      </w:r>
      <w:r w:rsidR="00176213">
        <w:rPr>
          <w:rFonts w:ascii="Arial" w:hAnsi="Arial" w:cs="Arial"/>
          <w:lang w:val="cs-CZ"/>
        </w:rPr>
        <w:t>m zásilek</w:t>
      </w:r>
      <w:r w:rsidR="007470B2">
        <w:rPr>
          <w:rFonts w:ascii="Arial" w:hAnsi="Arial" w:cs="Arial"/>
          <w:lang w:val="cs-CZ"/>
        </w:rPr>
        <w:t xml:space="preserve"> o rozloze víc</w:t>
      </w:r>
      <w:r w:rsidR="007470B2" w:rsidRPr="002B7620">
        <w:rPr>
          <w:rFonts w:ascii="Arial" w:hAnsi="Arial" w:cs="Arial"/>
          <w:lang w:val="cs-CZ"/>
        </w:rPr>
        <w:t>e než 2</w:t>
      </w:r>
      <w:r w:rsidR="007470B2">
        <w:rPr>
          <w:rFonts w:ascii="Arial" w:hAnsi="Arial" w:cs="Arial"/>
          <w:lang w:val="cs-CZ"/>
        </w:rPr>
        <w:t> </w:t>
      </w:r>
      <w:r w:rsidR="007470B2" w:rsidRPr="002B7620">
        <w:rPr>
          <w:rFonts w:ascii="Arial" w:hAnsi="Arial" w:cs="Arial"/>
          <w:lang w:val="cs-CZ"/>
        </w:rPr>
        <w:t>m</w:t>
      </w:r>
      <w:r w:rsidR="007470B2">
        <w:rPr>
          <w:rFonts w:ascii="Arial" w:hAnsi="Arial" w:cs="Arial"/>
          <w:lang w:val="cs-CZ"/>
        </w:rPr>
        <w:t xml:space="preserve">iliony </w:t>
      </w:r>
      <w:r w:rsidR="007470B2" w:rsidRPr="002B7620">
        <w:rPr>
          <w:rFonts w:ascii="Arial" w:hAnsi="Arial" w:cs="Arial"/>
          <w:lang w:val="cs-CZ"/>
        </w:rPr>
        <w:t>čtverečních stop</w:t>
      </w:r>
      <w:r w:rsidRPr="002B7620">
        <w:rPr>
          <w:rFonts w:ascii="Arial" w:hAnsi="Arial" w:cs="Arial"/>
          <w:lang w:val="cs-CZ"/>
        </w:rPr>
        <w:t xml:space="preserve">, což </w:t>
      </w:r>
      <w:r w:rsidR="00941397">
        <w:rPr>
          <w:rFonts w:ascii="Arial" w:hAnsi="Arial" w:cs="Arial"/>
          <w:lang w:val="cs-CZ"/>
        </w:rPr>
        <w:t xml:space="preserve">zlepšuje </w:t>
      </w:r>
      <w:r w:rsidR="007470B2">
        <w:rPr>
          <w:rFonts w:ascii="Arial" w:hAnsi="Arial" w:cs="Arial"/>
          <w:lang w:val="cs-CZ"/>
        </w:rPr>
        <w:t>efektivnost</w:t>
      </w:r>
      <w:r w:rsidRPr="002B7620">
        <w:rPr>
          <w:rFonts w:ascii="Arial" w:hAnsi="Arial" w:cs="Arial"/>
          <w:lang w:val="cs-CZ"/>
        </w:rPr>
        <w:t xml:space="preserve"> a přispívá k pozitivnímu </w:t>
      </w:r>
      <w:r w:rsidR="007470B2">
        <w:rPr>
          <w:rFonts w:ascii="Arial" w:hAnsi="Arial" w:cs="Arial"/>
          <w:lang w:val="cs-CZ"/>
        </w:rPr>
        <w:t>provoznímu přerozdělení</w:t>
      </w:r>
      <w:r w:rsidRPr="002B7620">
        <w:rPr>
          <w:rFonts w:ascii="Arial" w:hAnsi="Arial" w:cs="Arial"/>
          <w:lang w:val="cs-CZ"/>
        </w:rPr>
        <w:t>.</w:t>
      </w:r>
    </w:p>
    <w:p w14:paraId="3542DC4C" w14:textId="610A2267" w:rsidR="007470B2" w:rsidRDefault="007470B2" w:rsidP="002B7620">
      <w:pPr>
        <w:rPr>
          <w:rFonts w:ascii="Arial" w:hAnsi="Arial" w:cs="Arial"/>
          <w:lang w:val="cs-CZ"/>
        </w:rPr>
      </w:pPr>
    </w:p>
    <w:tbl>
      <w:tblPr>
        <w:tblW w:w="919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065"/>
        <w:gridCol w:w="1985"/>
        <w:gridCol w:w="1843"/>
        <w:gridCol w:w="1779"/>
      </w:tblGrid>
      <w:tr w:rsidR="007B746C" w:rsidRPr="005370F2" w14:paraId="53754D4A" w14:textId="77777777" w:rsidTr="00941397">
        <w:trPr>
          <w:trHeight w:val="476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8A09" w14:textId="77777777" w:rsidR="007B746C" w:rsidRPr="005370F2" w:rsidRDefault="007B746C" w:rsidP="00A30D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243B2FA5" w14:textId="77777777" w:rsidR="007B746C" w:rsidRPr="005370F2" w:rsidRDefault="007B746C" w:rsidP="00A30D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A583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409D3A87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1FC3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735E6A0E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A2C9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0DCCAAB3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58E9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1E08D237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5370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</w:tr>
      <w:tr w:rsidR="007B746C" w:rsidRPr="005370F2" w14:paraId="1FA88B6F" w14:textId="77777777" w:rsidTr="00941397">
        <w:trPr>
          <w:trHeight w:val="227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EA65" w14:textId="77777777" w:rsidR="007B746C" w:rsidRPr="005370F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0EB8" w14:textId="2DD30735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11 150 </w:t>
            </w:r>
            <w:r w:rsidR="00941397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5D25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260A" w14:textId="0D1036E9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 xml:space="preserve">10 354 </w:t>
            </w:r>
            <w:r w:rsidR="00941397">
              <w:rPr>
                <w:rFonts w:ascii="Arial" w:hAnsi="Arial" w:cs="Arial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200E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B746C" w:rsidRPr="005370F2" w14:paraId="57AFE1F1" w14:textId="77777777" w:rsidTr="00941397">
        <w:trPr>
          <w:trHeight w:val="227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ECB4" w14:textId="77777777" w:rsidR="007B746C" w:rsidRPr="005370F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84E4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1 208 mil. USD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EDF5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1 226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7C49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939 mil. USD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E3C5" w14:textId="77777777" w:rsidR="007B746C" w:rsidRPr="005370F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5370F2">
              <w:rPr>
                <w:rFonts w:ascii="Arial" w:hAnsi="Arial" w:cs="Arial"/>
                <w:sz w:val="20"/>
                <w:szCs w:val="20"/>
                <w:lang w:val="cs-CZ"/>
              </w:rPr>
              <w:t>1 135 mil. USD</w:t>
            </w:r>
          </w:p>
        </w:tc>
      </w:tr>
    </w:tbl>
    <w:p w14:paraId="22E6B5AD" w14:textId="77777777" w:rsidR="00941397" w:rsidRDefault="00941397" w:rsidP="00941397">
      <w:pPr>
        <w:pStyle w:val="Odstavecseseznamem"/>
        <w:ind w:left="360"/>
        <w:rPr>
          <w:rFonts w:ascii="Arial" w:hAnsi="Arial" w:cs="Arial"/>
          <w:lang w:val="cs-CZ"/>
        </w:rPr>
      </w:pPr>
    </w:p>
    <w:p w14:paraId="6A47BEAA" w14:textId="266B9A1E" w:rsidR="007470B2" w:rsidRPr="007470B2" w:rsidRDefault="007470B2" w:rsidP="007470B2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7470B2">
        <w:rPr>
          <w:rFonts w:ascii="Arial" w:hAnsi="Arial" w:cs="Arial"/>
          <w:lang w:val="cs-CZ"/>
        </w:rPr>
        <w:t xml:space="preserve">Příjmy </w:t>
      </w:r>
      <w:r>
        <w:rPr>
          <w:rFonts w:ascii="Arial" w:hAnsi="Arial" w:cs="Arial"/>
          <w:lang w:val="cs-CZ"/>
        </w:rPr>
        <w:t xml:space="preserve">se zvýšily </w:t>
      </w:r>
      <w:r w:rsidRPr="007470B2">
        <w:rPr>
          <w:rFonts w:ascii="Arial" w:hAnsi="Arial" w:cs="Arial"/>
          <w:lang w:val="cs-CZ"/>
        </w:rPr>
        <w:t xml:space="preserve">o 796 milionů USD, </w:t>
      </w:r>
      <w:r w:rsidR="00216A31">
        <w:rPr>
          <w:rFonts w:ascii="Arial" w:hAnsi="Arial" w:cs="Arial"/>
          <w:lang w:val="cs-CZ"/>
        </w:rPr>
        <w:t xml:space="preserve">tedy o </w:t>
      </w:r>
      <w:r w:rsidRPr="007470B2">
        <w:rPr>
          <w:rFonts w:ascii="Arial" w:hAnsi="Arial" w:cs="Arial"/>
          <w:lang w:val="cs-CZ"/>
        </w:rPr>
        <w:t>7,7</w:t>
      </w:r>
      <w:r w:rsidR="00361F7C">
        <w:rPr>
          <w:rFonts w:ascii="Arial" w:hAnsi="Arial" w:cs="Arial"/>
          <w:lang w:val="cs-CZ"/>
        </w:rPr>
        <w:t xml:space="preserve"> </w:t>
      </w:r>
      <w:r w:rsidRPr="007470B2">
        <w:rPr>
          <w:rFonts w:ascii="Arial" w:hAnsi="Arial" w:cs="Arial"/>
          <w:lang w:val="cs-CZ"/>
        </w:rPr>
        <w:t xml:space="preserve">% </w:t>
      </w:r>
      <w:r>
        <w:rPr>
          <w:rFonts w:ascii="Arial" w:hAnsi="Arial" w:cs="Arial"/>
          <w:lang w:val="cs-CZ"/>
        </w:rPr>
        <w:t xml:space="preserve">oproti </w:t>
      </w:r>
      <w:r w:rsidRPr="007470B2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>. kvartálu</w:t>
      </w:r>
      <w:r w:rsidRPr="007470B2">
        <w:rPr>
          <w:rFonts w:ascii="Arial" w:hAnsi="Arial" w:cs="Arial"/>
          <w:lang w:val="cs-CZ"/>
        </w:rPr>
        <w:t xml:space="preserve"> 201</w:t>
      </w:r>
      <w:r w:rsidR="004B1611" w:rsidRPr="00941397">
        <w:rPr>
          <w:rFonts w:ascii="Arial" w:hAnsi="Arial" w:cs="Arial"/>
          <w:lang w:val="cs-CZ"/>
        </w:rPr>
        <w:t>8</w:t>
      </w:r>
      <w:r w:rsidR="00E42089">
        <w:rPr>
          <w:rFonts w:ascii="Arial" w:hAnsi="Arial" w:cs="Arial"/>
          <w:lang w:val="cs-CZ"/>
        </w:rPr>
        <w:t xml:space="preserve">, a to díky </w:t>
      </w:r>
      <w:r w:rsidRPr="007470B2">
        <w:rPr>
          <w:rFonts w:ascii="Arial" w:hAnsi="Arial" w:cs="Arial"/>
          <w:lang w:val="cs-CZ"/>
        </w:rPr>
        <w:t>zvýšen</w:t>
      </w:r>
      <w:r w:rsidR="00E42089">
        <w:rPr>
          <w:rFonts w:ascii="Arial" w:hAnsi="Arial" w:cs="Arial"/>
          <w:lang w:val="cs-CZ"/>
        </w:rPr>
        <w:t>é</w:t>
      </w:r>
      <w:r w:rsidRPr="007470B2">
        <w:rPr>
          <w:rFonts w:ascii="Arial" w:hAnsi="Arial" w:cs="Arial"/>
          <w:lang w:val="cs-CZ"/>
        </w:rPr>
        <w:t xml:space="preserve"> poptáv</w:t>
      </w:r>
      <w:r w:rsidR="00E42089">
        <w:rPr>
          <w:rFonts w:ascii="Arial" w:hAnsi="Arial" w:cs="Arial"/>
          <w:lang w:val="cs-CZ"/>
        </w:rPr>
        <w:t>ce</w:t>
      </w:r>
      <w:r w:rsidRPr="007470B2">
        <w:rPr>
          <w:rFonts w:ascii="Arial" w:hAnsi="Arial" w:cs="Arial"/>
          <w:lang w:val="cs-CZ"/>
        </w:rPr>
        <w:t xml:space="preserve"> </w:t>
      </w:r>
      <w:r w:rsidR="00216A31" w:rsidRPr="007470B2">
        <w:rPr>
          <w:rFonts w:ascii="Arial" w:hAnsi="Arial" w:cs="Arial"/>
          <w:lang w:val="cs-CZ"/>
        </w:rPr>
        <w:t xml:space="preserve">po leteckých službách </w:t>
      </w:r>
      <w:r w:rsidR="00216A31">
        <w:rPr>
          <w:rFonts w:ascii="Arial" w:hAnsi="Arial" w:cs="Arial"/>
          <w:lang w:val="cs-CZ"/>
        </w:rPr>
        <w:t xml:space="preserve">u </w:t>
      </w:r>
      <w:r w:rsidRPr="007470B2">
        <w:rPr>
          <w:rFonts w:ascii="Arial" w:hAnsi="Arial" w:cs="Arial"/>
          <w:lang w:val="cs-CZ"/>
        </w:rPr>
        <w:t>zákazníků ve zdravotnictví a maloobchodě.</w:t>
      </w:r>
    </w:p>
    <w:p w14:paraId="5D6A6B0E" w14:textId="452EFD2B" w:rsidR="007470B2" w:rsidRPr="007470B2" w:rsidRDefault="007470B2" w:rsidP="007470B2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7470B2">
        <w:rPr>
          <w:rFonts w:ascii="Arial" w:hAnsi="Arial" w:cs="Arial"/>
          <w:lang w:val="cs-CZ"/>
        </w:rPr>
        <w:t>Provozní zisk vzrostl o 28,6</w:t>
      </w:r>
      <w:r w:rsidR="004B1611">
        <w:rPr>
          <w:rFonts w:ascii="Arial" w:hAnsi="Arial" w:cs="Arial"/>
          <w:lang w:val="cs-CZ"/>
        </w:rPr>
        <w:t xml:space="preserve"> </w:t>
      </w:r>
      <w:r w:rsidRPr="007470B2">
        <w:rPr>
          <w:rFonts w:ascii="Arial" w:hAnsi="Arial" w:cs="Arial"/>
          <w:lang w:val="cs-CZ"/>
        </w:rPr>
        <w:t xml:space="preserve">%, </w:t>
      </w:r>
      <w:r w:rsidR="004B1611">
        <w:rPr>
          <w:rFonts w:ascii="Arial" w:hAnsi="Arial" w:cs="Arial"/>
          <w:lang w:val="cs-CZ"/>
        </w:rPr>
        <w:t>resp.</w:t>
      </w:r>
      <w:r w:rsidRPr="007470B2">
        <w:rPr>
          <w:rFonts w:ascii="Arial" w:hAnsi="Arial" w:cs="Arial"/>
          <w:lang w:val="cs-CZ"/>
        </w:rPr>
        <w:t xml:space="preserve"> </w:t>
      </w:r>
      <w:r w:rsidR="004B1611">
        <w:rPr>
          <w:rFonts w:ascii="Arial" w:hAnsi="Arial" w:cs="Arial"/>
          <w:lang w:val="cs-CZ"/>
        </w:rPr>
        <w:t>o</w:t>
      </w:r>
      <w:r w:rsidRPr="007470B2">
        <w:rPr>
          <w:rFonts w:ascii="Arial" w:hAnsi="Arial" w:cs="Arial"/>
          <w:lang w:val="cs-CZ"/>
        </w:rPr>
        <w:t xml:space="preserve"> 8</w:t>
      </w:r>
      <w:r w:rsidR="004B1611">
        <w:rPr>
          <w:rFonts w:ascii="Arial" w:hAnsi="Arial" w:cs="Arial"/>
          <w:lang w:val="cs-CZ"/>
        </w:rPr>
        <w:t xml:space="preserve"> </w:t>
      </w:r>
      <w:r w:rsidRPr="007470B2">
        <w:rPr>
          <w:rFonts w:ascii="Arial" w:hAnsi="Arial" w:cs="Arial"/>
          <w:lang w:val="cs-CZ"/>
        </w:rPr>
        <w:t>%</w:t>
      </w:r>
      <w:r w:rsidR="004B1611">
        <w:rPr>
          <w:rFonts w:ascii="Arial" w:hAnsi="Arial" w:cs="Arial"/>
          <w:lang w:val="cs-CZ"/>
        </w:rPr>
        <w:t xml:space="preserve"> na upravené bázi</w:t>
      </w:r>
      <w:r w:rsidRPr="007470B2">
        <w:rPr>
          <w:rFonts w:ascii="Arial" w:hAnsi="Arial" w:cs="Arial"/>
          <w:lang w:val="cs-CZ"/>
        </w:rPr>
        <w:t>.</w:t>
      </w:r>
    </w:p>
    <w:p w14:paraId="5699D61F" w14:textId="43CFE6A3" w:rsidR="007470B2" w:rsidRPr="007470B2" w:rsidRDefault="007470B2" w:rsidP="007470B2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7470B2">
        <w:rPr>
          <w:rFonts w:ascii="Arial" w:hAnsi="Arial" w:cs="Arial"/>
          <w:lang w:val="cs-CZ"/>
        </w:rPr>
        <w:t xml:space="preserve">Provozní marže </w:t>
      </w:r>
      <w:r w:rsidR="00216A31">
        <w:rPr>
          <w:rFonts w:ascii="Arial" w:hAnsi="Arial" w:cs="Arial"/>
          <w:lang w:val="cs-CZ"/>
        </w:rPr>
        <w:t xml:space="preserve">dosáhly </w:t>
      </w:r>
      <w:r w:rsidRPr="007470B2">
        <w:rPr>
          <w:rFonts w:ascii="Arial" w:hAnsi="Arial" w:cs="Arial"/>
          <w:lang w:val="cs-CZ"/>
        </w:rPr>
        <w:t>10,8</w:t>
      </w:r>
      <w:r w:rsidR="004B1611">
        <w:rPr>
          <w:rFonts w:ascii="Arial" w:hAnsi="Arial" w:cs="Arial"/>
          <w:lang w:val="cs-CZ"/>
        </w:rPr>
        <w:t xml:space="preserve"> </w:t>
      </w:r>
      <w:r w:rsidRPr="007470B2">
        <w:rPr>
          <w:rFonts w:ascii="Arial" w:hAnsi="Arial" w:cs="Arial"/>
          <w:lang w:val="cs-CZ"/>
        </w:rPr>
        <w:t>%</w:t>
      </w:r>
      <w:r w:rsidR="004B1611">
        <w:rPr>
          <w:rFonts w:ascii="Arial" w:hAnsi="Arial" w:cs="Arial"/>
          <w:lang w:val="cs-CZ"/>
        </w:rPr>
        <w:t>, resp.</w:t>
      </w:r>
      <w:r w:rsidRPr="007470B2">
        <w:rPr>
          <w:rFonts w:ascii="Arial" w:hAnsi="Arial" w:cs="Arial"/>
          <w:lang w:val="cs-CZ"/>
        </w:rPr>
        <w:t xml:space="preserve"> 11</w:t>
      </w:r>
      <w:r w:rsidR="004B1611">
        <w:rPr>
          <w:rFonts w:ascii="Arial" w:hAnsi="Arial" w:cs="Arial"/>
          <w:lang w:val="cs-CZ"/>
        </w:rPr>
        <w:t xml:space="preserve"> </w:t>
      </w:r>
      <w:r w:rsidRPr="007470B2">
        <w:rPr>
          <w:rFonts w:ascii="Arial" w:hAnsi="Arial" w:cs="Arial"/>
          <w:lang w:val="cs-CZ"/>
        </w:rPr>
        <w:t xml:space="preserve">% na upraveném </w:t>
      </w:r>
      <w:r w:rsidR="00216A31">
        <w:rPr>
          <w:rFonts w:ascii="Arial" w:hAnsi="Arial" w:cs="Arial"/>
          <w:lang w:val="cs-CZ"/>
        </w:rPr>
        <w:t>bázi</w:t>
      </w:r>
      <w:r w:rsidRPr="007470B2">
        <w:rPr>
          <w:rFonts w:ascii="Arial" w:hAnsi="Arial" w:cs="Arial"/>
          <w:lang w:val="cs-CZ"/>
        </w:rPr>
        <w:t>.</w:t>
      </w:r>
    </w:p>
    <w:p w14:paraId="66B83B86" w14:textId="30CEC1F9" w:rsidR="007470B2" w:rsidRDefault="007470B2" w:rsidP="007470B2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7470B2">
        <w:rPr>
          <w:rFonts w:ascii="Arial" w:hAnsi="Arial" w:cs="Arial"/>
          <w:lang w:val="cs-CZ"/>
        </w:rPr>
        <w:t xml:space="preserve">Efektivita sítě </w:t>
      </w:r>
      <w:r w:rsidR="004B1611">
        <w:rPr>
          <w:rFonts w:ascii="Arial" w:hAnsi="Arial" w:cs="Arial"/>
          <w:lang w:val="cs-CZ"/>
        </w:rPr>
        <w:t xml:space="preserve">se i nadále odrážela ve </w:t>
      </w:r>
      <w:r w:rsidRPr="007470B2">
        <w:rPr>
          <w:rFonts w:ascii="Arial" w:hAnsi="Arial" w:cs="Arial"/>
          <w:lang w:val="cs-CZ"/>
        </w:rPr>
        <w:t xml:space="preserve">snižování růstu nákladů na </w:t>
      </w:r>
      <w:r w:rsidR="004B1611">
        <w:rPr>
          <w:rFonts w:ascii="Arial" w:hAnsi="Arial" w:cs="Arial"/>
          <w:lang w:val="cs-CZ"/>
        </w:rPr>
        <w:t xml:space="preserve">zásilku, </w:t>
      </w:r>
      <w:r w:rsidRPr="007470B2">
        <w:rPr>
          <w:rFonts w:ascii="Arial" w:hAnsi="Arial" w:cs="Arial"/>
          <w:lang w:val="cs-CZ"/>
        </w:rPr>
        <w:t xml:space="preserve">se stálým poklesem </w:t>
      </w:r>
      <w:r w:rsidR="004B1611">
        <w:rPr>
          <w:rFonts w:ascii="Arial" w:hAnsi="Arial" w:cs="Arial"/>
          <w:lang w:val="cs-CZ"/>
        </w:rPr>
        <w:t xml:space="preserve">růstu </w:t>
      </w:r>
      <w:r w:rsidRPr="007470B2">
        <w:rPr>
          <w:rFonts w:ascii="Arial" w:hAnsi="Arial" w:cs="Arial"/>
          <w:lang w:val="cs-CZ"/>
        </w:rPr>
        <w:t>jednotkových nákladů již třetí čtvrtletí</w:t>
      </w:r>
      <w:r w:rsidR="004B1611">
        <w:rPr>
          <w:rFonts w:ascii="Arial" w:hAnsi="Arial" w:cs="Arial"/>
          <w:lang w:val="cs-CZ"/>
        </w:rPr>
        <w:t xml:space="preserve"> po sobě</w:t>
      </w:r>
      <w:r w:rsidRPr="007470B2">
        <w:rPr>
          <w:rFonts w:ascii="Arial" w:hAnsi="Arial" w:cs="Arial"/>
          <w:lang w:val="cs-CZ"/>
        </w:rPr>
        <w:t>.</w:t>
      </w:r>
    </w:p>
    <w:p w14:paraId="78300320" w14:textId="6008D59E" w:rsidR="008A4E2F" w:rsidRPr="00E42089" w:rsidRDefault="008A4E2F" w:rsidP="008A4E2F">
      <w:pPr>
        <w:rPr>
          <w:rFonts w:ascii="Arial" w:hAnsi="Arial" w:cs="Arial"/>
          <w:b/>
          <w:bCs/>
          <w:u w:val="single"/>
          <w:lang w:val="cs-CZ"/>
        </w:rPr>
      </w:pPr>
    </w:p>
    <w:p w14:paraId="4DF80888" w14:textId="77777777" w:rsidR="00A15580" w:rsidRPr="00E42089" w:rsidRDefault="00A15580" w:rsidP="008A4E2F">
      <w:pPr>
        <w:rPr>
          <w:rFonts w:ascii="Arial" w:hAnsi="Arial" w:cs="Arial"/>
          <w:b/>
          <w:bCs/>
          <w:u w:val="single"/>
          <w:lang w:val="cs-CZ"/>
        </w:rPr>
      </w:pPr>
    </w:p>
    <w:p w14:paraId="2BC8FEEC" w14:textId="31077746" w:rsidR="004B1611" w:rsidRPr="00175F32" w:rsidRDefault="004B1611" w:rsidP="004B1611">
      <w:pPr>
        <w:rPr>
          <w:rFonts w:ascii="Arial" w:hAnsi="Arial" w:cs="Arial"/>
          <w:b/>
          <w:bCs/>
          <w:u w:val="single"/>
          <w:lang w:val="cs-CZ"/>
        </w:rPr>
      </w:pPr>
      <w:r w:rsidRPr="00175F32">
        <w:rPr>
          <w:rFonts w:ascii="Arial" w:hAnsi="Arial" w:cs="Arial"/>
          <w:b/>
          <w:bCs/>
          <w:u w:val="single"/>
          <w:lang w:val="cs-CZ"/>
        </w:rPr>
        <w:t>Mezinárodní přeprava</w:t>
      </w:r>
    </w:p>
    <w:p w14:paraId="06778F80" w14:textId="33C8D786" w:rsidR="004B1611" w:rsidRPr="00175F32" w:rsidRDefault="004B1611" w:rsidP="004B1611">
      <w:pPr>
        <w:rPr>
          <w:rFonts w:ascii="Arial" w:hAnsi="Arial" w:cs="Arial"/>
          <w:b/>
          <w:bCs/>
          <w:u w:val="single"/>
          <w:lang w:val="cs-CZ"/>
        </w:rPr>
      </w:pPr>
    </w:p>
    <w:p w14:paraId="22975F59" w14:textId="64351819" w:rsidR="004B1611" w:rsidRPr="00175F32" w:rsidRDefault="004B1611" w:rsidP="004B1611">
      <w:p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>Mezinárodní přeprav</w:t>
      </w:r>
      <w:r w:rsidR="000B1F08" w:rsidRPr="00175F32">
        <w:rPr>
          <w:rFonts w:ascii="Arial" w:hAnsi="Arial" w:cs="Arial"/>
          <w:lang w:val="cs-CZ"/>
        </w:rPr>
        <w:t>a</w:t>
      </w:r>
      <w:r w:rsidRPr="00175F32">
        <w:rPr>
          <w:rFonts w:ascii="Arial" w:hAnsi="Arial" w:cs="Arial"/>
          <w:lang w:val="cs-CZ"/>
        </w:rPr>
        <w:t xml:space="preserve"> těžil</w:t>
      </w:r>
      <w:r w:rsidR="000B1F08" w:rsidRPr="00175F32">
        <w:rPr>
          <w:rFonts w:ascii="Arial" w:hAnsi="Arial" w:cs="Arial"/>
          <w:lang w:val="cs-CZ"/>
        </w:rPr>
        <w:t>a</w:t>
      </w:r>
      <w:r w:rsidRPr="00175F32">
        <w:rPr>
          <w:rFonts w:ascii="Arial" w:hAnsi="Arial" w:cs="Arial"/>
          <w:lang w:val="cs-CZ"/>
        </w:rPr>
        <w:t xml:space="preserve"> z</w:t>
      </w:r>
      <w:r w:rsidR="000B1F08" w:rsidRPr="00175F32">
        <w:rPr>
          <w:rFonts w:ascii="Arial" w:hAnsi="Arial" w:cs="Arial"/>
          <w:lang w:val="cs-CZ"/>
        </w:rPr>
        <w:t xml:space="preserve"> mimořádně </w:t>
      </w:r>
      <w:r w:rsidRPr="00175F32">
        <w:rPr>
          <w:rFonts w:ascii="Arial" w:hAnsi="Arial" w:cs="Arial"/>
          <w:lang w:val="cs-CZ"/>
        </w:rPr>
        <w:t>flexibilní sítě a zacílení na růstové trhy v</w:t>
      </w:r>
      <w:r w:rsidR="000B1F08" w:rsidRPr="00175F32">
        <w:rPr>
          <w:rFonts w:ascii="Arial" w:hAnsi="Arial" w:cs="Arial"/>
          <w:lang w:val="cs-CZ"/>
        </w:rPr>
        <w:t> </w:t>
      </w:r>
      <w:r w:rsidRPr="00175F32">
        <w:rPr>
          <w:rFonts w:ascii="Arial" w:hAnsi="Arial" w:cs="Arial"/>
          <w:lang w:val="cs-CZ"/>
        </w:rPr>
        <w:t xml:space="preserve">rámci rozmanité příjmové základny </w:t>
      </w:r>
      <w:r w:rsidR="000B1F08" w:rsidRPr="00175F32">
        <w:rPr>
          <w:rFonts w:ascii="Arial" w:hAnsi="Arial" w:cs="Arial"/>
          <w:lang w:val="cs-CZ"/>
        </w:rPr>
        <w:t>firmy</w:t>
      </w:r>
      <w:r w:rsidRPr="00175F32">
        <w:rPr>
          <w:rFonts w:ascii="Arial" w:hAnsi="Arial" w:cs="Arial"/>
          <w:lang w:val="cs-CZ"/>
        </w:rPr>
        <w:t xml:space="preserve">. </w:t>
      </w:r>
      <w:r w:rsidR="000B1F08" w:rsidRPr="00175F32">
        <w:rPr>
          <w:rFonts w:ascii="Arial" w:hAnsi="Arial" w:cs="Arial"/>
          <w:lang w:val="cs-CZ"/>
        </w:rPr>
        <w:t>Segment d</w:t>
      </w:r>
      <w:r w:rsidRPr="00175F32">
        <w:rPr>
          <w:rFonts w:ascii="Arial" w:hAnsi="Arial" w:cs="Arial"/>
          <w:lang w:val="cs-CZ"/>
        </w:rPr>
        <w:t xml:space="preserve">osáhl svého nejlepšího zisku </w:t>
      </w:r>
      <w:r w:rsidR="00216A31" w:rsidRPr="00175F32">
        <w:rPr>
          <w:rFonts w:ascii="Arial" w:hAnsi="Arial" w:cs="Arial"/>
          <w:lang w:val="cs-CZ"/>
        </w:rPr>
        <w:t>za</w:t>
      </w:r>
      <w:r w:rsidR="000B1F08" w:rsidRPr="00175F32">
        <w:rPr>
          <w:rFonts w:ascii="Arial" w:hAnsi="Arial" w:cs="Arial"/>
          <w:lang w:val="cs-CZ"/>
        </w:rPr>
        <w:t xml:space="preserve"> </w:t>
      </w:r>
      <w:r w:rsidR="00216A31" w:rsidRPr="00175F32">
        <w:rPr>
          <w:rFonts w:ascii="Arial" w:hAnsi="Arial" w:cs="Arial"/>
          <w:lang w:val="cs-CZ"/>
        </w:rPr>
        <w:t xml:space="preserve">2. </w:t>
      </w:r>
      <w:r w:rsidRPr="00175F32">
        <w:rPr>
          <w:rFonts w:ascii="Arial" w:hAnsi="Arial" w:cs="Arial"/>
          <w:lang w:val="cs-CZ"/>
        </w:rPr>
        <w:t xml:space="preserve">čtvrtletí </w:t>
      </w:r>
      <w:r w:rsidR="000B1F08" w:rsidRPr="00175F32">
        <w:rPr>
          <w:rFonts w:ascii="Arial" w:hAnsi="Arial" w:cs="Arial"/>
          <w:lang w:val="cs-CZ"/>
        </w:rPr>
        <w:t>vůbec</w:t>
      </w:r>
      <w:r w:rsidR="00216A31" w:rsidRPr="00175F32">
        <w:rPr>
          <w:rFonts w:ascii="Arial" w:hAnsi="Arial" w:cs="Arial"/>
          <w:lang w:val="cs-CZ"/>
        </w:rPr>
        <w:t>, ro</w:t>
      </w:r>
      <w:r w:rsidRPr="00175F32">
        <w:rPr>
          <w:rFonts w:ascii="Arial" w:hAnsi="Arial" w:cs="Arial"/>
          <w:lang w:val="cs-CZ"/>
        </w:rPr>
        <w:t>zšířil upravené provozní marže</w:t>
      </w:r>
      <w:r w:rsidR="000B1F08" w:rsidRPr="00175F32">
        <w:rPr>
          <w:rFonts w:ascii="Arial" w:hAnsi="Arial" w:cs="Arial"/>
          <w:lang w:val="cs-CZ"/>
        </w:rPr>
        <w:t xml:space="preserve"> a současně se mu dařilo proplout </w:t>
      </w:r>
      <w:r w:rsidRPr="00175F32">
        <w:rPr>
          <w:rFonts w:ascii="Arial" w:hAnsi="Arial" w:cs="Arial"/>
          <w:lang w:val="cs-CZ"/>
        </w:rPr>
        <w:t>oblast</w:t>
      </w:r>
      <w:r w:rsidR="000B1F08" w:rsidRPr="00175F32">
        <w:rPr>
          <w:rFonts w:ascii="Arial" w:hAnsi="Arial" w:cs="Arial"/>
          <w:lang w:val="cs-CZ"/>
        </w:rPr>
        <w:t>mi</w:t>
      </w:r>
      <w:r w:rsidRPr="00175F32">
        <w:rPr>
          <w:rFonts w:ascii="Arial" w:hAnsi="Arial" w:cs="Arial"/>
          <w:lang w:val="cs-CZ"/>
        </w:rPr>
        <w:t xml:space="preserve"> </w:t>
      </w:r>
      <w:r w:rsidR="000B1F08" w:rsidRPr="00175F32">
        <w:rPr>
          <w:rFonts w:ascii="Arial" w:hAnsi="Arial" w:cs="Arial"/>
          <w:lang w:val="cs-CZ"/>
        </w:rPr>
        <w:t xml:space="preserve">obchodní </w:t>
      </w:r>
      <w:r w:rsidRPr="00175F32">
        <w:rPr>
          <w:rFonts w:ascii="Arial" w:hAnsi="Arial" w:cs="Arial"/>
          <w:lang w:val="cs-CZ"/>
        </w:rPr>
        <w:t>nejistoty.</w:t>
      </w:r>
    </w:p>
    <w:p w14:paraId="77457467" w14:textId="7C80217D" w:rsidR="008A4E2F" w:rsidRPr="00E42089" w:rsidRDefault="008A4E2F" w:rsidP="008A4E2F">
      <w:pPr>
        <w:rPr>
          <w:rFonts w:ascii="Arial" w:hAnsi="Arial" w:cs="Arial"/>
          <w:lang w:val="cs-CZ"/>
        </w:rPr>
      </w:pPr>
    </w:p>
    <w:tbl>
      <w:tblPr>
        <w:tblW w:w="9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961"/>
        <w:gridCol w:w="1843"/>
        <w:gridCol w:w="1895"/>
        <w:gridCol w:w="1539"/>
      </w:tblGrid>
      <w:tr w:rsidR="00175F32" w:rsidRPr="00175F32" w14:paraId="1C5146FE" w14:textId="77777777" w:rsidTr="00A30D59">
        <w:trPr>
          <w:trHeight w:val="395"/>
        </w:trPr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0AA5" w14:textId="77777777" w:rsidR="007B746C" w:rsidRPr="00175F32" w:rsidRDefault="007B746C" w:rsidP="00A30D59">
            <w:pPr>
              <w:rPr>
                <w:rFonts w:ascii="Arial" w:hAnsi="Arial" w:cs="Arial"/>
                <w:b/>
                <w:bCs/>
                <w:u w:val="single"/>
                <w:lang w:val="cs-CZ"/>
              </w:rPr>
            </w:pPr>
          </w:p>
          <w:p w14:paraId="4D9E2E5D" w14:textId="77777777" w:rsidR="007B746C" w:rsidRPr="00175F32" w:rsidRDefault="007B746C" w:rsidP="00A30D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7822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77BE7BBA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846E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72EE6585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9F4B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7220E360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BFA0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412750BD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</w:tr>
      <w:tr w:rsidR="00175F32" w:rsidRPr="00175F32" w14:paraId="2055C077" w14:textId="77777777" w:rsidTr="00A30D59">
        <w:trPr>
          <w:trHeight w:val="184"/>
        </w:trPr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3A10" w14:textId="77777777" w:rsidR="007B746C" w:rsidRPr="00175F3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7610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3 505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4691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DACD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3 602 mil. USD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D82A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B746C" w:rsidRPr="00175F32" w14:paraId="5C12F897" w14:textId="77777777" w:rsidTr="00A30D59">
        <w:trPr>
          <w:trHeight w:val="184"/>
        </w:trPr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5CB7" w14:textId="77777777" w:rsidR="007B746C" w:rsidRPr="00175F3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96E5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663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B4CC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665 mil. USD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B546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618 mil. USD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1CFD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654 mil. USD</w:t>
            </w:r>
          </w:p>
        </w:tc>
      </w:tr>
    </w:tbl>
    <w:p w14:paraId="4E41F47C" w14:textId="77777777" w:rsidR="007B746C" w:rsidRPr="00175F32" w:rsidRDefault="007B746C" w:rsidP="008A4E2F">
      <w:pPr>
        <w:rPr>
          <w:rFonts w:ascii="Arial" w:hAnsi="Arial" w:cs="Arial"/>
        </w:rPr>
      </w:pPr>
    </w:p>
    <w:p w14:paraId="181CB3CB" w14:textId="07309035" w:rsidR="000B1F08" w:rsidRPr="00175F32" w:rsidRDefault="000B1F08" w:rsidP="000B1F0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Objem přepravy v tomto segmentu mírně poklesl v důsledku globálního makroekonomického tlaku a tvrdých meziročních srovnání, </w:t>
      </w:r>
      <w:r w:rsidR="00743735" w:rsidRPr="00175F32">
        <w:rPr>
          <w:rFonts w:ascii="Arial" w:hAnsi="Arial" w:cs="Arial"/>
          <w:lang w:val="cs-CZ"/>
        </w:rPr>
        <w:t>zatímco</w:t>
      </w:r>
      <w:r w:rsidRPr="00175F32">
        <w:rPr>
          <w:rFonts w:ascii="Arial" w:hAnsi="Arial" w:cs="Arial"/>
          <w:lang w:val="cs-CZ"/>
        </w:rPr>
        <w:t xml:space="preserve"> vývoz</w:t>
      </w:r>
      <w:r w:rsidR="00743735" w:rsidRPr="00175F32">
        <w:rPr>
          <w:rFonts w:ascii="Arial" w:hAnsi="Arial" w:cs="Arial"/>
          <w:lang w:val="cs-CZ"/>
        </w:rPr>
        <w:t xml:space="preserve"> ve 2. kvartálu</w:t>
      </w:r>
      <w:r w:rsidRPr="00175F32">
        <w:rPr>
          <w:rFonts w:ascii="Arial" w:hAnsi="Arial" w:cs="Arial"/>
          <w:lang w:val="cs-CZ"/>
        </w:rPr>
        <w:t xml:space="preserve"> 2018 </w:t>
      </w:r>
      <w:r w:rsidR="00216A31" w:rsidRPr="00175F32">
        <w:rPr>
          <w:rFonts w:ascii="Arial" w:hAnsi="Arial" w:cs="Arial"/>
          <w:lang w:val="cs-CZ"/>
        </w:rPr>
        <w:t xml:space="preserve">zaznamenal </w:t>
      </w:r>
      <w:r w:rsidRPr="00175F32">
        <w:rPr>
          <w:rFonts w:ascii="Arial" w:hAnsi="Arial" w:cs="Arial"/>
          <w:lang w:val="cs-CZ"/>
        </w:rPr>
        <w:t>9,5%</w:t>
      </w:r>
      <w:r w:rsidR="00216A31" w:rsidRPr="00175F32">
        <w:rPr>
          <w:rFonts w:ascii="Arial" w:hAnsi="Arial" w:cs="Arial"/>
          <w:lang w:val="cs-CZ"/>
        </w:rPr>
        <w:t xml:space="preserve"> růst</w:t>
      </w:r>
      <w:r w:rsidRPr="00175F32">
        <w:rPr>
          <w:rFonts w:ascii="Arial" w:hAnsi="Arial" w:cs="Arial"/>
          <w:lang w:val="cs-CZ"/>
        </w:rPr>
        <w:t>.</w:t>
      </w:r>
    </w:p>
    <w:p w14:paraId="202A3296" w14:textId="25E58D05" w:rsidR="000B1F08" w:rsidRPr="00175F32" w:rsidRDefault="000B1F08" w:rsidP="000B1F0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Celkové tržby </w:t>
      </w:r>
      <w:r w:rsidR="00743735" w:rsidRPr="00175F32">
        <w:rPr>
          <w:rFonts w:ascii="Arial" w:hAnsi="Arial" w:cs="Arial"/>
          <w:lang w:val="cs-CZ"/>
        </w:rPr>
        <w:t xml:space="preserve">na zásilku </w:t>
      </w:r>
      <w:r w:rsidRPr="00175F32">
        <w:rPr>
          <w:rFonts w:ascii="Arial" w:hAnsi="Arial" w:cs="Arial"/>
          <w:lang w:val="cs-CZ"/>
        </w:rPr>
        <w:t>klesly o méně než 1</w:t>
      </w:r>
      <w:r w:rsidR="00743735" w:rsidRPr="00175F32">
        <w:rPr>
          <w:rFonts w:ascii="Arial" w:hAnsi="Arial" w:cs="Arial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 xml:space="preserve">%, </w:t>
      </w:r>
      <w:r w:rsidR="00743735" w:rsidRPr="00175F32">
        <w:rPr>
          <w:rFonts w:ascii="Arial" w:hAnsi="Arial" w:cs="Arial"/>
          <w:lang w:val="cs-CZ"/>
        </w:rPr>
        <w:t xml:space="preserve">po měnových úpravách však </w:t>
      </w:r>
      <w:r w:rsidRPr="00175F32">
        <w:rPr>
          <w:rFonts w:ascii="Arial" w:hAnsi="Arial" w:cs="Arial"/>
          <w:lang w:val="cs-CZ"/>
        </w:rPr>
        <w:t>vzrostly o</w:t>
      </w:r>
      <w:r w:rsidR="00743735" w:rsidRPr="00175F32">
        <w:rPr>
          <w:rFonts w:ascii="Arial" w:hAnsi="Arial" w:cs="Arial"/>
          <w:lang w:val="cs-CZ"/>
        </w:rPr>
        <w:t> </w:t>
      </w:r>
      <w:r w:rsidR="001D3CA1" w:rsidRPr="00175F32">
        <w:rPr>
          <w:rFonts w:ascii="Arial" w:hAnsi="Arial" w:cs="Arial"/>
          <w:lang w:val="cs-CZ"/>
        </w:rPr>
        <w:t xml:space="preserve">téměř </w:t>
      </w:r>
      <w:r w:rsidRPr="00175F32">
        <w:rPr>
          <w:rFonts w:ascii="Arial" w:hAnsi="Arial" w:cs="Arial"/>
          <w:lang w:val="cs-CZ"/>
        </w:rPr>
        <w:t>2</w:t>
      </w:r>
      <w:r w:rsidR="00743735" w:rsidRPr="00175F32">
        <w:rPr>
          <w:rFonts w:ascii="Arial" w:hAnsi="Arial" w:cs="Arial"/>
          <w:lang w:val="cs-CZ"/>
        </w:rPr>
        <w:t> </w:t>
      </w:r>
      <w:r w:rsidRPr="00175F32">
        <w:rPr>
          <w:rFonts w:ascii="Arial" w:hAnsi="Arial" w:cs="Arial"/>
          <w:lang w:val="cs-CZ"/>
        </w:rPr>
        <w:t>%.</w:t>
      </w:r>
    </w:p>
    <w:p w14:paraId="0DE3750B" w14:textId="63E718D8" w:rsidR="000B1F08" w:rsidRPr="00175F32" w:rsidRDefault="000B1F08" w:rsidP="000B1F0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Mezinárodní domácí tržby </w:t>
      </w:r>
      <w:r w:rsidR="00743735" w:rsidRPr="00175F32">
        <w:rPr>
          <w:rFonts w:ascii="Arial" w:hAnsi="Arial" w:cs="Arial"/>
          <w:lang w:val="cs-CZ"/>
        </w:rPr>
        <w:t xml:space="preserve">na zásilku </w:t>
      </w:r>
      <w:r w:rsidRPr="00175F32">
        <w:rPr>
          <w:rFonts w:ascii="Arial" w:hAnsi="Arial" w:cs="Arial"/>
          <w:lang w:val="cs-CZ"/>
        </w:rPr>
        <w:t>vzrostly o 0,3</w:t>
      </w:r>
      <w:r w:rsidR="00743735" w:rsidRPr="00175F32">
        <w:rPr>
          <w:rFonts w:ascii="Arial" w:hAnsi="Arial" w:cs="Arial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 xml:space="preserve">%, což </w:t>
      </w:r>
      <w:r w:rsidR="001D3CA1" w:rsidRPr="00175F32">
        <w:rPr>
          <w:rFonts w:ascii="Arial" w:hAnsi="Arial" w:cs="Arial"/>
          <w:lang w:val="cs-CZ"/>
        </w:rPr>
        <w:t>představuje</w:t>
      </w:r>
      <w:r w:rsidRPr="00175F32">
        <w:rPr>
          <w:rFonts w:ascii="Arial" w:hAnsi="Arial" w:cs="Arial"/>
          <w:lang w:val="cs-CZ"/>
        </w:rPr>
        <w:t xml:space="preserve"> 5,6% </w:t>
      </w:r>
      <w:r w:rsidR="00743735" w:rsidRPr="00175F32">
        <w:rPr>
          <w:rFonts w:ascii="Arial" w:hAnsi="Arial" w:cs="Arial"/>
          <w:lang w:val="cs-CZ"/>
        </w:rPr>
        <w:t xml:space="preserve">nárůst </w:t>
      </w:r>
      <w:r w:rsidRPr="00175F32">
        <w:rPr>
          <w:rFonts w:ascii="Arial" w:hAnsi="Arial" w:cs="Arial"/>
          <w:lang w:val="cs-CZ"/>
        </w:rPr>
        <w:t xml:space="preserve">na měnově neutrální </w:t>
      </w:r>
      <w:r w:rsidR="00743735" w:rsidRPr="00175F32">
        <w:rPr>
          <w:rFonts w:ascii="Arial" w:hAnsi="Arial" w:cs="Arial"/>
          <w:lang w:val="cs-CZ"/>
        </w:rPr>
        <w:t>bázi</w:t>
      </w:r>
      <w:r w:rsidRPr="00175F32">
        <w:rPr>
          <w:rFonts w:ascii="Arial" w:hAnsi="Arial" w:cs="Arial"/>
          <w:lang w:val="cs-CZ"/>
        </w:rPr>
        <w:t>.</w:t>
      </w:r>
    </w:p>
    <w:p w14:paraId="6A0DE496" w14:textId="3AB504A9" w:rsidR="000B1F08" w:rsidRPr="00175F32" w:rsidRDefault="000B1F08" w:rsidP="000B1F08">
      <w:pPr>
        <w:pStyle w:val="Odstavecseseznamem"/>
        <w:numPr>
          <w:ilvl w:val="0"/>
          <w:numId w:val="3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>Provozní zisk vzrostl o více než 7</w:t>
      </w:r>
      <w:r w:rsidR="00743735" w:rsidRPr="00175F32">
        <w:rPr>
          <w:rFonts w:ascii="Arial" w:hAnsi="Arial" w:cs="Arial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 xml:space="preserve">%, </w:t>
      </w:r>
      <w:r w:rsidR="00743735" w:rsidRPr="00175F32">
        <w:rPr>
          <w:rFonts w:ascii="Arial" w:hAnsi="Arial" w:cs="Arial"/>
          <w:lang w:val="cs-CZ"/>
        </w:rPr>
        <w:t>resp.</w:t>
      </w:r>
      <w:r w:rsidRPr="00175F32">
        <w:rPr>
          <w:rFonts w:ascii="Arial" w:hAnsi="Arial" w:cs="Arial"/>
          <w:lang w:val="cs-CZ"/>
        </w:rPr>
        <w:t xml:space="preserve"> </w:t>
      </w:r>
      <w:r w:rsidR="00743735" w:rsidRPr="00175F32">
        <w:rPr>
          <w:rFonts w:ascii="Arial" w:hAnsi="Arial" w:cs="Arial"/>
          <w:lang w:val="cs-CZ"/>
        </w:rPr>
        <w:t>o</w:t>
      </w:r>
      <w:r w:rsidRPr="00175F32">
        <w:rPr>
          <w:rFonts w:ascii="Arial" w:hAnsi="Arial" w:cs="Arial"/>
          <w:lang w:val="cs-CZ"/>
        </w:rPr>
        <w:t xml:space="preserve"> 1,7</w:t>
      </w:r>
      <w:r w:rsidR="00743735" w:rsidRPr="00175F32">
        <w:rPr>
          <w:rFonts w:ascii="Arial" w:hAnsi="Arial" w:cs="Arial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>% na upravené</w:t>
      </w:r>
      <w:r w:rsidR="00743735" w:rsidRPr="00175F32">
        <w:rPr>
          <w:rFonts w:ascii="Arial" w:hAnsi="Arial" w:cs="Arial"/>
          <w:lang w:val="cs-CZ"/>
        </w:rPr>
        <w:t xml:space="preserve"> bázi</w:t>
      </w:r>
      <w:r w:rsidRPr="00175F32">
        <w:rPr>
          <w:rFonts w:ascii="Arial" w:hAnsi="Arial" w:cs="Arial"/>
          <w:lang w:val="cs-CZ"/>
        </w:rPr>
        <w:t>.</w:t>
      </w:r>
    </w:p>
    <w:p w14:paraId="4D80A5CE" w14:textId="28815087" w:rsidR="00743735" w:rsidRPr="00175F32" w:rsidRDefault="00743735" w:rsidP="00743735">
      <w:pPr>
        <w:rPr>
          <w:rFonts w:ascii="Arial" w:hAnsi="Arial" w:cs="Arial"/>
          <w:lang w:val="cs-CZ"/>
        </w:rPr>
      </w:pPr>
    </w:p>
    <w:p w14:paraId="0D140B8A" w14:textId="5DEA0BAF" w:rsidR="00A15580" w:rsidRPr="00E42089" w:rsidRDefault="00A15580" w:rsidP="008A4E2F">
      <w:pPr>
        <w:rPr>
          <w:rFonts w:ascii="Arial" w:hAnsi="Arial" w:cs="Arial"/>
          <w:b/>
          <w:bCs/>
          <w:u w:val="single"/>
          <w:lang w:val="es-ES"/>
        </w:rPr>
      </w:pPr>
    </w:p>
    <w:p w14:paraId="76C554D4" w14:textId="77777777" w:rsidR="00743735" w:rsidRPr="00175F32" w:rsidRDefault="00743735" w:rsidP="00175F32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75F32">
        <w:rPr>
          <w:rFonts w:ascii="Arial" w:hAnsi="Arial" w:cs="Arial"/>
          <w:b/>
          <w:sz w:val="22"/>
          <w:szCs w:val="22"/>
          <w:u w:val="single"/>
          <w:lang w:val="cs-CZ"/>
        </w:rPr>
        <w:t>Dodavatelské řetězce a nákladní přeprava</w:t>
      </w:r>
    </w:p>
    <w:p w14:paraId="76CF2332" w14:textId="03862137" w:rsidR="00743735" w:rsidRPr="00E42089" w:rsidRDefault="00743735" w:rsidP="008A4E2F">
      <w:pPr>
        <w:rPr>
          <w:rFonts w:ascii="Arial" w:hAnsi="Arial" w:cs="Arial"/>
          <w:b/>
          <w:bCs/>
          <w:u w:val="single"/>
          <w:lang w:val="es-ES"/>
        </w:rPr>
      </w:pPr>
    </w:p>
    <w:p w14:paraId="0B156D5C" w14:textId="46896BD7" w:rsidR="00743735" w:rsidRDefault="00743735" w:rsidP="00743735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Segment </w:t>
      </w:r>
      <w:r w:rsidRPr="00743735">
        <w:rPr>
          <w:rFonts w:ascii="Arial" w:hAnsi="Arial" w:cs="Arial"/>
          <w:lang w:val="cs-CZ"/>
        </w:rPr>
        <w:t>Dodavatelské řetězce a nákladní přeprava</w:t>
      </w:r>
      <w:r>
        <w:rPr>
          <w:rFonts w:ascii="Arial" w:hAnsi="Arial" w:cs="Arial"/>
          <w:lang w:val="cs-CZ"/>
        </w:rPr>
        <w:t xml:space="preserve"> </w:t>
      </w:r>
      <w:r w:rsidRPr="00743735">
        <w:rPr>
          <w:rFonts w:ascii="Arial" w:hAnsi="Arial" w:cs="Arial"/>
          <w:lang w:val="cs-CZ"/>
        </w:rPr>
        <w:t>zvýšil provozní zisk na více než 270 mil</w:t>
      </w:r>
      <w:r w:rsidR="00D14587">
        <w:rPr>
          <w:rFonts w:ascii="Arial" w:hAnsi="Arial" w:cs="Arial"/>
          <w:lang w:val="cs-CZ"/>
        </w:rPr>
        <w:t>ionů</w:t>
      </w:r>
      <w:r w:rsidRPr="00743735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USD</w:t>
      </w:r>
      <w:r w:rsidRPr="00743735">
        <w:rPr>
          <w:rFonts w:ascii="Arial" w:hAnsi="Arial" w:cs="Arial"/>
          <w:lang w:val="cs-CZ"/>
        </w:rPr>
        <w:t xml:space="preserve">, což </w:t>
      </w:r>
      <w:r>
        <w:rPr>
          <w:rFonts w:ascii="Arial" w:hAnsi="Arial" w:cs="Arial"/>
          <w:lang w:val="cs-CZ"/>
        </w:rPr>
        <w:t>představuje</w:t>
      </w:r>
      <w:r w:rsidRPr="00743735">
        <w:rPr>
          <w:rFonts w:ascii="Arial" w:hAnsi="Arial" w:cs="Arial"/>
          <w:lang w:val="cs-CZ"/>
        </w:rPr>
        <w:t xml:space="preserve"> dvojciferný nárůst za čtvrtletí. Úspěšné řízení nákladů díky strategiím </w:t>
      </w:r>
      <w:r>
        <w:rPr>
          <w:rFonts w:ascii="Arial" w:hAnsi="Arial" w:cs="Arial"/>
          <w:lang w:val="cs-CZ"/>
        </w:rPr>
        <w:t xml:space="preserve">firmy zaměřeným na odlehčení aktiv </w:t>
      </w:r>
      <w:r w:rsidRPr="00743735">
        <w:rPr>
          <w:rFonts w:ascii="Arial" w:hAnsi="Arial" w:cs="Arial"/>
          <w:lang w:val="cs-CZ"/>
        </w:rPr>
        <w:t xml:space="preserve">přineslo silné finanční výsledky, zatímco tržby </w:t>
      </w:r>
      <w:r w:rsidR="00D14587">
        <w:rPr>
          <w:rFonts w:ascii="Arial" w:hAnsi="Arial" w:cs="Arial"/>
          <w:lang w:val="cs-CZ"/>
        </w:rPr>
        <w:t xml:space="preserve">ovlivněny </w:t>
      </w:r>
      <w:r>
        <w:rPr>
          <w:rFonts w:ascii="Arial" w:hAnsi="Arial" w:cs="Arial"/>
          <w:lang w:val="cs-CZ"/>
        </w:rPr>
        <w:t xml:space="preserve">tlumeným </w:t>
      </w:r>
      <w:r w:rsidRPr="00743735">
        <w:rPr>
          <w:rFonts w:ascii="Arial" w:hAnsi="Arial" w:cs="Arial"/>
          <w:lang w:val="cs-CZ"/>
        </w:rPr>
        <w:t>obchodem.</w:t>
      </w:r>
    </w:p>
    <w:p w14:paraId="04F2B686" w14:textId="3B841D89" w:rsidR="008A4E2F" w:rsidRPr="00E42089" w:rsidRDefault="008A4E2F" w:rsidP="008A4E2F">
      <w:pPr>
        <w:rPr>
          <w:rFonts w:ascii="Arial" w:hAnsi="Arial" w:cs="Arial"/>
          <w:b/>
          <w:bCs/>
          <w:u w:val="single"/>
          <w:lang w:val="cs-CZ"/>
        </w:rPr>
      </w:pP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842"/>
        <w:gridCol w:w="1638"/>
      </w:tblGrid>
      <w:tr w:rsidR="00175F32" w:rsidRPr="00175F32" w14:paraId="720BE0EC" w14:textId="77777777" w:rsidTr="00A30D59">
        <w:trPr>
          <w:trHeight w:val="495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BE73" w14:textId="77777777" w:rsidR="007B746C" w:rsidRPr="00175F32" w:rsidRDefault="007B746C" w:rsidP="00A30D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474C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3E2922D3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C800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1CEA8F8E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EF1C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</w:p>
          <w:p w14:paraId="128EEBAD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11E9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215FC4C1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175F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2018</w:t>
            </w:r>
          </w:p>
        </w:tc>
      </w:tr>
      <w:tr w:rsidR="00175F32" w:rsidRPr="00175F32" w14:paraId="40C5FD7D" w14:textId="77777777" w:rsidTr="00A30D59">
        <w:trPr>
          <w:trHeight w:val="22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C282" w14:textId="77777777" w:rsidR="007B746C" w:rsidRPr="00175F3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C9F9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3 393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9A5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8DA9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3 500 mil. USD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4125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75F32" w:rsidRPr="00175F32" w14:paraId="77F0C54C" w14:textId="77777777" w:rsidTr="00A30D59">
        <w:trPr>
          <w:trHeight w:val="22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6C7F" w14:textId="77777777" w:rsidR="007B746C" w:rsidRPr="00175F32" w:rsidRDefault="007B746C" w:rsidP="00A30D5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ED92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272 mil. USD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E509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273 mil. USD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72CC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216 mil. USD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BE91" w14:textId="77777777" w:rsidR="007B746C" w:rsidRPr="00175F32" w:rsidRDefault="007B746C" w:rsidP="00A30D59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75F32">
              <w:rPr>
                <w:rFonts w:ascii="Arial" w:hAnsi="Arial" w:cs="Arial"/>
                <w:sz w:val="20"/>
                <w:szCs w:val="20"/>
                <w:lang w:val="cs-CZ"/>
              </w:rPr>
              <w:t>247 mil. USD</w:t>
            </w:r>
          </w:p>
        </w:tc>
      </w:tr>
    </w:tbl>
    <w:p w14:paraId="3222839D" w14:textId="77777777" w:rsidR="00D14587" w:rsidRPr="00175F32" w:rsidRDefault="00D14587" w:rsidP="00D14587">
      <w:pPr>
        <w:pStyle w:val="Odstavecseseznamem"/>
        <w:ind w:left="360"/>
        <w:rPr>
          <w:rFonts w:ascii="Arial" w:hAnsi="Arial" w:cs="Arial"/>
          <w:lang w:val="cs-CZ"/>
        </w:rPr>
      </w:pPr>
    </w:p>
    <w:p w14:paraId="1B972C93" w14:textId="57FF464E" w:rsidR="00743735" w:rsidRPr="00175F32" w:rsidRDefault="00743735" w:rsidP="0074373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>Provozní marže vzrostla na 8</w:t>
      </w:r>
      <w:r w:rsidR="00DE76A9" w:rsidRPr="00175F32">
        <w:rPr>
          <w:rFonts w:ascii="Arial" w:hAnsi="Arial" w:cs="Arial"/>
          <w:lang w:val="cs-CZ"/>
        </w:rPr>
        <w:t xml:space="preserve"> </w:t>
      </w:r>
      <w:r w:rsidRPr="00175F32">
        <w:rPr>
          <w:rFonts w:ascii="Arial" w:hAnsi="Arial" w:cs="Arial"/>
          <w:lang w:val="cs-CZ"/>
        </w:rPr>
        <w:t xml:space="preserve">% na upraveném </w:t>
      </w:r>
      <w:r w:rsidR="00DE76A9" w:rsidRPr="00175F32">
        <w:rPr>
          <w:rFonts w:ascii="Arial" w:hAnsi="Arial" w:cs="Arial"/>
          <w:lang w:val="cs-CZ"/>
        </w:rPr>
        <w:t>i</w:t>
      </w:r>
      <w:r w:rsidRPr="00175F32">
        <w:rPr>
          <w:rFonts w:ascii="Arial" w:hAnsi="Arial" w:cs="Arial"/>
          <w:lang w:val="cs-CZ"/>
        </w:rPr>
        <w:t xml:space="preserve"> neupraveném základě, a to díky </w:t>
      </w:r>
      <w:r w:rsidR="00DA0CAB" w:rsidRPr="00175F32">
        <w:rPr>
          <w:rFonts w:ascii="Arial" w:hAnsi="Arial" w:cs="Arial"/>
          <w:lang w:val="cs-CZ"/>
        </w:rPr>
        <w:t xml:space="preserve">jejich </w:t>
      </w:r>
      <w:r w:rsidR="00190BF0" w:rsidRPr="00175F32">
        <w:rPr>
          <w:rFonts w:ascii="Arial" w:hAnsi="Arial" w:cs="Arial"/>
          <w:lang w:val="cs-CZ"/>
        </w:rPr>
        <w:t xml:space="preserve">důslednému </w:t>
      </w:r>
      <w:r w:rsidR="004F0430" w:rsidRPr="00175F32">
        <w:rPr>
          <w:rFonts w:ascii="Arial" w:hAnsi="Arial" w:cs="Arial"/>
          <w:lang w:val="cs-CZ"/>
        </w:rPr>
        <w:t>zavádění</w:t>
      </w:r>
      <w:r w:rsidRPr="00175F32">
        <w:rPr>
          <w:rFonts w:ascii="Arial" w:hAnsi="Arial" w:cs="Arial"/>
          <w:lang w:val="cs-CZ"/>
        </w:rPr>
        <w:t xml:space="preserve">, disciplinovanému řízení nákladů a strategickým iniciativám, které se zaměřují na </w:t>
      </w:r>
      <w:r w:rsidR="00DA0CAB" w:rsidRPr="00175F32">
        <w:rPr>
          <w:rFonts w:ascii="Arial" w:hAnsi="Arial" w:cs="Arial"/>
          <w:lang w:val="cs-CZ"/>
        </w:rPr>
        <w:t>zajišťování</w:t>
      </w:r>
      <w:r w:rsidRPr="00175F32">
        <w:rPr>
          <w:rFonts w:ascii="Arial" w:hAnsi="Arial" w:cs="Arial"/>
          <w:lang w:val="cs-CZ"/>
        </w:rPr>
        <w:t xml:space="preserve"> </w:t>
      </w:r>
      <w:r w:rsidR="00190BF0" w:rsidRPr="00175F32">
        <w:rPr>
          <w:rFonts w:ascii="Arial" w:hAnsi="Arial" w:cs="Arial"/>
          <w:lang w:val="cs-CZ"/>
        </w:rPr>
        <w:t>vysoké</w:t>
      </w:r>
      <w:r w:rsidRPr="00175F32">
        <w:rPr>
          <w:rFonts w:ascii="Arial" w:hAnsi="Arial" w:cs="Arial"/>
          <w:lang w:val="cs-CZ"/>
        </w:rPr>
        <w:t xml:space="preserve"> úrovně služeb a </w:t>
      </w:r>
      <w:r w:rsidR="00DA0CAB" w:rsidRPr="00175F32">
        <w:rPr>
          <w:rFonts w:ascii="Arial" w:hAnsi="Arial" w:cs="Arial"/>
          <w:lang w:val="cs-CZ"/>
        </w:rPr>
        <w:t xml:space="preserve">na </w:t>
      </w:r>
      <w:r w:rsidRPr="00175F32">
        <w:rPr>
          <w:rFonts w:ascii="Arial" w:hAnsi="Arial" w:cs="Arial"/>
          <w:lang w:val="cs-CZ"/>
        </w:rPr>
        <w:t xml:space="preserve">rostoucí vysoce kvalitní výnosy </w:t>
      </w:r>
      <w:r w:rsidR="00DA0CAB" w:rsidRPr="00175F32">
        <w:rPr>
          <w:rFonts w:ascii="Arial" w:hAnsi="Arial" w:cs="Arial"/>
          <w:lang w:val="cs-CZ"/>
        </w:rPr>
        <w:t>na</w:t>
      </w:r>
      <w:r w:rsidRPr="00175F32">
        <w:rPr>
          <w:rFonts w:ascii="Arial" w:hAnsi="Arial" w:cs="Arial"/>
          <w:lang w:val="cs-CZ"/>
        </w:rPr>
        <w:t xml:space="preserve"> trhu </w:t>
      </w:r>
      <w:r w:rsidR="004F0430" w:rsidRPr="00175F32">
        <w:rPr>
          <w:rFonts w:ascii="Arial" w:hAnsi="Arial" w:cs="Arial"/>
          <w:lang w:val="cs-CZ"/>
        </w:rPr>
        <w:t>malých a středních firem</w:t>
      </w:r>
      <w:r w:rsidRPr="00175F32">
        <w:rPr>
          <w:rFonts w:ascii="Arial" w:hAnsi="Arial" w:cs="Arial"/>
          <w:lang w:val="cs-CZ"/>
        </w:rPr>
        <w:t>.</w:t>
      </w:r>
    </w:p>
    <w:p w14:paraId="1195BCA7" w14:textId="77390CB4" w:rsidR="00743735" w:rsidRPr="00175F32" w:rsidRDefault="004F0430" w:rsidP="0074373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Mezinárodní letecká nákladní přeprava </w:t>
      </w:r>
      <w:r w:rsidR="00743735" w:rsidRPr="00175F32">
        <w:rPr>
          <w:rFonts w:ascii="Arial" w:hAnsi="Arial" w:cs="Arial"/>
          <w:lang w:val="cs-CZ"/>
        </w:rPr>
        <w:t>dosáhla výrazného růstu zisku při poklesu tonáže</w:t>
      </w:r>
      <w:r w:rsidR="00190BF0" w:rsidRPr="00175F32">
        <w:rPr>
          <w:rFonts w:ascii="Arial" w:hAnsi="Arial" w:cs="Arial"/>
          <w:lang w:val="cs-CZ"/>
        </w:rPr>
        <w:t>,</w:t>
      </w:r>
      <w:r w:rsidR="00DA0CAB" w:rsidRPr="00175F32">
        <w:rPr>
          <w:rFonts w:ascii="Arial" w:hAnsi="Arial" w:cs="Arial"/>
          <w:lang w:val="cs-CZ"/>
        </w:rPr>
        <w:t xml:space="preserve"> způsobený </w:t>
      </w:r>
      <w:r w:rsidR="00743735" w:rsidRPr="00175F32">
        <w:rPr>
          <w:rFonts w:ascii="Arial" w:hAnsi="Arial" w:cs="Arial"/>
          <w:lang w:val="cs-CZ"/>
        </w:rPr>
        <w:t>rozšířením rozpětí nákup</w:t>
      </w:r>
      <w:r w:rsidR="00DA0CAB" w:rsidRPr="00175F32">
        <w:rPr>
          <w:rFonts w:ascii="Arial" w:hAnsi="Arial" w:cs="Arial"/>
          <w:lang w:val="cs-CZ"/>
        </w:rPr>
        <w:t>/</w:t>
      </w:r>
      <w:r w:rsidR="00743735" w:rsidRPr="00175F32">
        <w:rPr>
          <w:rFonts w:ascii="Arial" w:hAnsi="Arial" w:cs="Arial"/>
          <w:lang w:val="cs-CZ"/>
        </w:rPr>
        <w:t>prodej.</w:t>
      </w:r>
    </w:p>
    <w:p w14:paraId="3872FD74" w14:textId="604563E5" w:rsidR="00743735" w:rsidRPr="00175F32" w:rsidRDefault="00DA0CAB" w:rsidP="0074373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Společnosti </w:t>
      </w:r>
      <w:r w:rsidR="00743735" w:rsidRPr="00175F32">
        <w:rPr>
          <w:rFonts w:ascii="Arial" w:hAnsi="Arial" w:cs="Arial"/>
          <w:lang w:val="cs-CZ"/>
        </w:rPr>
        <w:t>Coyote a Marken významně přispěl</w:t>
      </w:r>
      <w:r w:rsidRPr="00175F32">
        <w:rPr>
          <w:rFonts w:ascii="Arial" w:hAnsi="Arial" w:cs="Arial"/>
          <w:lang w:val="cs-CZ"/>
        </w:rPr>
        <w:t>y</w:t>
      </w:r>
      <w:r w:rsidR="00743735" w:rsidRPr="00175F32">
        <w:rPr>
          <w:rFonts w:ascii="Arial" w:hAnsi="Arial" w:cs="Arial"/>
          <w:lang w:val="cs-CZ"/>
        </w:rPr>
        <w:t xml:space="preserve"> k provoznímu zisku.</w:t>
      </w:r>
    </w:p>
    <w:p w14:paraId="2E721A1E" w14:textId="58798107" w:rsidR="00743735" w:rsidRPr="00175F32" w:rsidRDefault="00DA0CAB" w:rsidP="00743735">
      <w:pPr>
        <w:pStyle w:val="Odstavecseseznamem"/>
        <w:numPr>
          <w:ilvl w:val="0"/>
          <w:numId w:val="5"/>
        </w:numPr>
        <w:rPr>
          <w:rFonts w:ascii="Arial" w:hAnsi="Arial" w:cs="Arial"/>
          <w:lang w:val="cs-CZ"/>
        </w:rPr>
      </w:pPr>
      <w:r w:rsidRPr="00175F32">
        <w:rPr>
          <w:rFonts w:ascii="Arial" w:hAnsi="Arial" w:cs="Arial"/>
          <w:lang w:val="cs-CZ"/>
        </w:rPr>
        <w:t xml:space="preserve">Příjmy v nákladní přepravě na </w:t>
      </w:r>
      <w:r w:rsidR="00743735" w:rsidRPr="00175F32">
        <w:rPr>
          <w:rFonts w:ascii="Arial" w:hAnsi="Arial" w:cs="Arial"/>
          <w:lang w:val="cs-CZ"/>
        </w:rPr>
        <w:t>LTL (</w:t>
      </w:r>
      <w:r w:rsidRPr="00175F32">
        <w:rPr>
          <w:rFonts w:ascii="Arial" w:hAnsi="Arial" w:cs="Arial"/>
          <w:lang w:val="cs-CZ"/>
        </w:rPr>
        <w:t>Less Then Truckload</w:t>
      </w:r>
      <w:r w:rsidR="00743735" w:rsidRPr="00175F32">
        <w:rPr>
          <w:rFonts w:ascii="Arial" w:hAnsi="Arial" w:cs="Arial"/>
          <w:lang w:val="cs-CZ"/>
        </w:rPr>
        <w:t xml:space="preserve">) </w:t>
      </w:r>
      <w:r w:rsidRPr="00175F32">
        <w:rPr>
          <w:rFonts w:ascii="Arial" w:hAnsi="Arial" w:cs="Arial"/>
          <w:lang w:val="cs-CZ"/>
        </w:rPr>
        <w:t xml:space="preserve">vzrostly o 3,9 % se zaměřením </w:t>
      </w:r>
      <w:r w:rsidR="00743735" w:rsidRPr="00175F32">
        <w:rPr>
          <w:rFonts w:ascii="Arial" w:hAnsi="Arial" w:cs="Arial"/>
          <w:lang w:val="cs-CZ"/>
        </w:rPr>
        <w:t>jednotk</w:t>
      </w:r>
      <w:r w:rsidRPr="00175F32">
        <w:rPr>
          <w:rFonts w:ascii="Arial" w:hAnsi="Arial" w:cs="Arial"/>
          <w:lang w:val="cs-CZ"/>
        </w:rPr>
        <w:t>y</w:t>
      </w:r>
      <w:r w:rsidR="00743735" w:rsidRPr="00175F32">
        <w:rPr>
          <w:rFonts w:ascii="Arial" w:hAnsi="Arial" w:cs="Arial"/>
          <w:lang w:val="cs-CZ"/>
        </w:rPr>
        <w:t xml:space="preserve"> na kvalitu </w:t>
      </w:r>
      <w:r w:rsidR="00190BF0" w:rsidRPr="00175F32">
        <w:rPr>
          <w:rFonts w:ascii="Arial" w:hAnsi="Arial" w:cs="Arial"/>
          <w:lang w:val="cs-CZ"/>
        </w:rPr>
        <w:t>příjmů</w:t>
      </w:r>
      <w:r w:rsidR="00743735" w:rsidRPr="00175F32">
        <w:rPr>
          <w:rFonts w:ascii="Arial" w:hAnsi="Arial" w:cs="Arial"/>
          <w:lang w:val="cs-CZ"/>
        </w:rPr>
        <w:t>.</w:t>
      </w:r>
    </w:p>
    <w:p w14:paraId="315AC8C6" w14:textId="0682006C" w:rsidR="00A15580" w:rsidRPr="00E42089" w:rsidRDefault="00A15580" w:rsidP="00A15580">
      <w:pPr>
        <w:rPr>
          <w:rFonts w:ascii="Arial" w:hAnsi="Arial" w:cs="Arial"/>
          <w:b/>
          <w:bCs/>
          <w:u w:val="single"/>
          <w:lang w:val="cs-CZ"/>
        </w:rPr>
      </w:pPr>
    </w:p>
    <w:p w14:paraId="4456F059" w14:textId="0A849D5F" w:rsidR="00A15580" w:rsidRPr="00E42089" w:rsidRDefault="00A15580" w:rsidP="00A15580">
      <w:pPr>
        <w:rPr>
          <w:rFonts w:ascii="Arial" w:hAnsi="Arial" w:cs="Arial"/>
          <w:b/>
          <w:bCs/>
          <w:u w:val="single"/>
          <w:lang w:val="cs-CZ"/>
        </w:rPr>
      </w:pPr>
    </w:p>
    <w:p w14:paraId="44F826DC" w14:textId="77777777" w:rsidR="007A103D" w:rsidRPr="007A103D" w:rsidRDefault="007A103D" w:rsidP="00175F32">
      <w:pPr>
        <w:rPr>
          <w:rFonts w:ascii="Arial" w:hAnsi="Arial" w:cs="Arial"/>
          <w:b/>
          <w:bCs/>
          <w:u w:val="single"/>
          <w:lang w:val="cs-CZ"/>
        </w:rPr>
      </w:pPr>
      <w:r w:rsidRPr="007A103D">
        <w:rPr>
          <w:rFonts w:ascii="Arial" w:hAnsi="Arial" w:cs="Arial"/>
          <w:b/>
          <w:bCs/>
          <w:u w:val="single"/>
          <w:lang w:val="cs-CZ"/>
        </w:rPr>
        <w:t>Výhled</w:t>
      </w:r>
    </w:p>
    <w:p w14:paraId="7BD89799" w14:textId="77777777" w:rsidR="007A103D" w:rsidRDefault="007A103D" w:rsidP="00175F32">
      <w:pPr>
        <w:rPr>
          <w:rFonts w:ascii="Arial" w:hAnsi="Arial" w:cs="Arial"/>
          <w:lang w:val="cs-CZ"/>
        </w:rPr>
      </w:pPr>
    </w:p>
    <w:p w14:paraId="723061FB" w14:textId="3BCAF7B7" w:rsidR="00175F32" w:rsidRDefault="00C215F7" w:rsidP="00175F32">
      <w:pPr>
        <w:rPr>
          <w:rFonts w:ascii="Arial" w:hAnsi="Arial" w:cs="Arial"/>
          <w:lang w:val="cs-CZ"/>
        </w:rPr>
      </w:pPr>
      <w:r w:rsidRPr="00C215F7">
        <w:rPr>
          <w:rFonts w:ascii="Arial" w:hAnsi="Arial" w:cs="Arial"/>
          <w:lang w:val="cs-CZ"/>
        </w:rPr>
        <w:t xml:space="preserve">Společnost UPS poskytuje výhled na upravené bázi (neodpovídající účetním zásadám GAAP), není totiž možné předpovědět či odhadnout vliv budoucího tržního nacenění penzijních položek </w:t>
      </w:r>
      <w:r w:rsidRPr="00C215F7">
        <w:rPr>
          <w:rFonts w:ascii="Arial" w:hAnsi="Arial" w:cs="Arial"/>
          <w:lang w:val="cs-CZ"/>
        </w:rPr>
        <w:lastRenderedPageBreak/>
        <w:t>a dalších neočekávaných událostí. Ty jsou zahrnuty ve vykazovaných výsledcích podle GAAP a mohou být významné.</w:t>
      </w:r>
    </w:p>
    <w:p w14:paraId="748E04D7" w14:textId="77777777" w:rsidR="00175F32" w:rsidRDefault="00175F32" w:rsidP="00175F32">
      <w:pPr>
        <w:rPr>
          <w:rFonts w:ascii="Arial" w:hAnsi="Arial" w:cs="Arial"/>
          <w:lang w:val="cs-CZ"/>
        </w:rPr>
      </w:pPr>
    </w:p>
    <w:p w14:paraId="766BD14C" w14:textId="075C9263" w:rsidR="00364B5C" w:rsidRDefault="00C215F7" w:rsidP="00175F32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</w:t>
      </w:r>
      <w:r w:rsidRPr="00C215F7">
        <w:rPr>
          <w:rFonts w:ascii="Arial" w:hAnsi="Arial" w:cs="Arial"/>
          <w:lang w:val="cs-CZ"/>
        </w:rPr>
        <w:t xml:space="preserve">Společnost </w:t>
      </w:r>
      <w:r w:rsidR="007A103D" w:rsidRPr="00C215F7">
        <w:rPr>
          <w:rFonts w:ascii="Arial" w:hAnsi="Arial" w:cs="Arial"/>
          <w:lang w:val="cs-CZ"/>
        </w:rPr>
        <w:t xml:space="preserve">UPS </w:t>
      </w:r>
      <w:r w:rsidRPr="00C215F7">
        <w:rPr>
          <w:rFonts w:ascii="Arial" w:hAnsi="Arial" w:cs="Arial"/>
          <w:lang w:val="cs-CZ"/>
        </w:rPr>
        <w:t>navyšovala</w:t>
      </w:r>
      <w:r w:rsidR="007A103D" w:rsidRPr="00C215F7">
        <w:rPr>
          <w:rFonts w:ascii="Arial" w:hAnsi="Arial" w:cs="Arial"/>
          <w:lang w:val="cs-CZ"/>
        </w:rPr>
        <w:t xml:space="preserve"> zisky ve všech obchodních segmentech,</w:t>
      </w:r>
      <w:r>
        <w:rPr>
          <w:rFonts w:ascii="Arial" w:hAnsi="Arial" w:cs="Arial"/>
          <w:lang w:val="cs-CZ"/>
        </w:rPr>
        <w:t>“</w:t>
      </w:r>
      <w:r w:rsidR="007A103D" w:rsidRPr="00C215F7">
        <w:rPr>
          <w:rFonts w:ascii="Arial" w:hAnsi="Arial" w:cs="Arial"/>
          <w:lang w:val="cs-CZ"/>
        </w:rPr>
        <w:t xml:space="preserve"> </w:t>
      </w:r>
      <w:r w:rsidR="003503EC">
        <w:rPr>
          <w:rFonts w:ascii="Arial" w:hAnsi="Arial" w:cs="Arial"/>
          <w:lang w:val="cs-CZ"/>
        </w:rPr>
        <w:t>uvedl</w:t>
      </w:r>
      <w:r w:rsidR="007A103D" w:rsidRPr="00C215F7">
        <w:rPr>
          <w:rFonts w:ascii="Arial" w:hAnsi="Arial" w:cs="Arial"/>
          <w:lang w:val="cs-CZ"/>
        </w:rPr>
        <w:t xml:space="preserve"> Richard Peretz,</w:t>
      </w:r>
      <w:r w:rsidR="007A103D" w:rsidRPr="007A103D">
        <w:rPr>
          <w:rFonts w:ascii="Arial" w:hAnsi="Arial" w:cs="Arial"/>
          <w:lang w:val="cs-CZ"/>
        </w:rPr>
        <w:t xml:space="preserve"> finanční ředitel UPS. „Náš výkon byl </w:t>
      </w:r>
      <w:r w:rsidR="00364B5C">
        <w:rPr>
          <w:rFonts w:ascii="Arial" w:hAnsi="Arial" w:cs="Arial"/>
          <w:lang w:val="cs-CZ"/>
        </w:rPr>
        <w:t xml:space="preserve">odrazem </w:t>
      </w:r>
      <w:r w:rsidR="007A103D" w:rsidRPr="007A103D">
        <w:rPr>
          <w:rFonts w:ascii="Arial" w:hAnsi="Arial" w:cs="Arial"/>
          <w:lang w:val="cs-CZ"/>
        </w:rPr>
        <w:t>efektivit</w:t>
      </w:r>
      <w:r w:rsidR="00364B5C">
        <w:rPr>
          <w:rFonts w:ascii="Arial" w:hAnsi="Arial" w:cs="Arial"/>
          <w:lang w:val="cs-CZ"/>
        </w:rPr>
        <w:t>y</w:t>
      </w:r>
      <w:r w:rsidR="007A103D" w:rsidRPr="007A103D">
        <w:rPr>
          <w:rFonts w:ascii="Arial" w:hAnsi="Arial" w:cs="Arial"/>
          <w:lang w:val="cs-CZ"/>
        </w:rPr>
        <w:t xml:space="preserve"> </w:t>
      </w:r>
      <w:r w:rsidR="00364B5C">
        <w:rPr>
          <w:rFonts w:ascii="Arial" w:hAnsi="Arial" w:cs="Arial"/>
          <w:lang w:val="cs-CZ"/>
        </w:rPr>
        <w:t xml:space="preserve">ovlivněné </w:t>
      </w:r>
      <w:r w:rsidR="007A103D" w:rsidRPr="007A103D">
        <w:rPr>
          <w:rFonts w:ascii="Arial" w:hAnsi="Arial" w:cs="Arial"/>
          <w:lang w:val="cs-CZ"/>
        </w:rPr>
        <w:t>investic</w:t>
      </w:r>
      <w:r w:rsidR="00364B5C">
        <w:rPr>
          <w:rFonts w:ascii="Arial" w:hAnsi="Arial" w:cs="Arial"/>
          <w:lang w:val="cs-CZ"/>
        </w:rPr>
        <w:t>emi</w:t>
      </w:r>
      <w:r w:rsidR="007A103D" w:rsidRPr="007A103D">
        <w:rPr>
          <w:rFonts w:ascii="Arial" w:hAnsi="Arial" w:cs="Arial"/>
          <w:lang w:val="cs-CZ"/>
        </w:rPr>
        <w:t xml:space="preserve"> do naší sítě, úspěch</w:t>
      </w:r>
      <w:r w:rsidR="00364B5C">
        <w:rPr>
          <w:rFonts w:ascii="Arial" w:hAnsi="Arial" w:cs="Arial"/>
          <w:lang w:val="cs-CZ"/>
        </w:rPr>
        <w:t>em</w:t>
      </w:r>
      <w:r w:rsidR="007A103D" w:rsidRPr="007A103D">
        <w:rPr>
          <w:rFonts w:ascii="Arial" w:hAnsi="Arial" w:cs="Arial"/>
          <w:lang w:val="cs-CZ"/>
        </w:rPr>
        <w:t xml:space="preserve"> probíhajících iniciativ a naší schopností </w:t>
      </w:r>
      <w:r w:rsidR="00364B5C">
        <w:rPr>
          <w:rFonts w:ascii="Arial" w:hAnsi="Arial" w:cs="Arial"/>
          <w:lang w:val="cs-CZ"/>
        </w:rPr>
        <w:t xml:space="preserve">reagovat </w:t>
      </w:r>
      <w:r w:rsidR="007A103D" w:rsidRPr="007A103D">
        <w:rPr>
          <w:rFonts w:ascii="Arial" w:hAnsi="Arial" w:cs="Arial"/>
          <w:lang w:val="cs-CZ"/>
        </w:rPr>
        <w:t xml:space="preserve">v neustále se měnícím prostředí. Očekáváme, že </w:t>
      </w:r>
      <w:r w:rsidR="00364B5C">
        <w:rPr>
          <w:rFonts w:ascii="Arial" w:hAnsi="Arial" w:cs="Arial"/>
          <w:lang w:val="cs-CZ"/>
        </w:rPr>
        <w:t xml:space="preserve">stejnou </w:t>
      </w:r>
      <w:r w:rsidR="007A103D" w:rsidRPr="007A103D">
        <w:rPr>
          <w:rFonts w:ascii="Arial" w:hAnsi="Arial" w:cs="Arial"/>
          <w:lang w:val="cs-CZ"/>
        </w:rPr>
        <w:t xml:space="preserve">dynamiku </w:t>
      </w:r>
      <w:r>
        <w:rPr>
          <w:rFonts w:ascii="Arial" w:hAnsi="Arial" w:cs="Arial"/>
          <w:lang w:val="cs-CZ"/>
        </w:rPr>
        <w:t>budeme vykazovat</w:t>
      </w:r>
      <w:r w:rsidR="007A103D" w:rsidRPr="007A103D">
        <w:rPr>
          <w:rFonts w:ascii="Arial" w:hAnsi="Arial" w:cs="Arial"/>
          <w:lang w:val="cs-CZ"/>
        </w:rPr>
        <w:t xml:space="preserve"> v nadcházejících čtvrtletích.</w:t>
      </w:r>
      <w:r>
        <w:rPr>
          <w:rFonts w:ascii="Arial" w:hAnsi="Arial" w:cs="Arial"/>
          <w:lang w:val="cs-CZ"/>
        </w:rPr>
        <w:t>“</w:t>
      </w:r>
    </w:p>
    <w:p w14:paraId="140474DE" w14:textId="77777777" w:rsidR="00364B5C" w:rsidRDefault="00364B5C" w:rsidP="00175F32">
      <w:pPr>
        <w:rPr>
          <w:rFonts w:ascii="Arial" w:hAnsi="Arial" w:cs="Arial"/>
          <w:lang w:val="cs-CZ"/>
        </w:rPr>
      </w:pPr>
    </w:p>
    <w:p w14:paraId="5B4465E5" w14:textId="21494C65" w:rsidR="007A103D" w:rsidRPr="00364B5C" w:rsidRDefault="007A103D" w:rsidP="00175F32">
      <w:pPr>
        <w:pStyle w:val="Odstavecseseznamem"/>
        <w:numPr>
          <w:ilvl w:val="0"/>
          <w:numId w:val="10"/>
        </w:numPr>
        <w:rPr>
          <w:rFonts w:ascii="Arial" w:hAnsi="Arial" w:cs="Arial"/>
          <w:lang w:val="cs-CZ"/>
        </w:rPr>
      </w:pPr>
      <w:r w:rsidRPr="00364B5C">
        <w:rPr>
          <w:rFonts w:ascii="Arial" w:hAnsi="Arial" w:cs="Arial"/>
          <w:lang w:val="cs-CZ"/>
        </w:rPr>
        <w:t xml:space="preserve">Celoroční upravený zředěný </w:t>
      </w:r>
      <w:r w:rsidR="00C215F7" w:rsidRPr="00364B5C">
        <w:rPr>
          <w:rFonts w:ascii="Arial" w:hAnsi="Arial" w:cs="Arial"/>
          <w:lang w:val="cs-CZ"/>
        </w:rPr>
        <w:t xml:space="preserve">zisk na akcii pro rok 2019 </w:t>
      </w:r>
      <w:r w:rsidRPr="00364B5C">
        <w:rPr>
          <w:rFonts w:ascii="Arial" w:hAnsi="Arial" w:cs="Arial"/>
          <w:lang w:val="cs-CZ"/>
        </w:rPr>
        <w:t xml:space="preserve">se </w:t>
      </w:r>
      <w:r w:rsidR="00C215F7" w:rsidRPr="00364B5C">
        <w:rPr>
          <w:rFonts w:ascii="Arial" w:hAnsi="Arial" w:cs="Arial"/>
          <w:lang w:val="cs-CZ"/>
        </w:rPr>
        <w:t xml:space="preserve">podle očekávání firmy </w:t>
      </w:r>
      <w:r w:rsidRPr="00364B5C">
        <w:rPr>
          <w:rFonts w:ascii="Arial" w:hAnsi="Arial" w:cs="Arial"/>
          <w:lang w:val="cs-CZ"/>
        </w:rPr>
        <w:t>bude pohybovat v rozmezí 7,45 až 7,75 USD.</w:t>
      </w:r>
    </w:p>
    <w:p w14:paraId="7A0E10DA" w14:textId="18EB3752" w:rsidR="007A103D" w:rsidRDefault="00C215F7" w:rsidP="007A103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UPS o</w:t>
      </w:r>
      <w:r w:rsidR="007A103D" w:rsidRPr="007A103D">
        <w:rPr>
          <w:rFonts w:ascii="Arial" w:hAnsi="Arial" w:cs="Arial"/>
          <w:lang w:val="cs-CZ"/>
        </w:rPr>
        <w:t>čekává</w:t>
      </w:r>
      <w:r w:rsidR="00364B5C">
        <w:rPr>
          <w:rFonts w:ascii="Arial" w:hAnsi="Arial" w:cs="Arial"/>
          <w:lang w:val="cs-CZ"/>
        </w:rPr>
        <w:t>, že</w:t>
      </w:r>
      <w:r w:rsidR="007A103D" w:rsidRPr="007A103D">
        <w:rPr>
          <w:rFonts w:ascii="Arial" w:hAnsi="Arial" w:cs="Arial"/>
          <w:lang w:val="cs-CZ"/>
        </w:rPr>
        <w:t xml:space="preserve"> upravený volný peněžní tok pro tento rok </w:t>
      </w:r>
      <w:r w:rsidR="00364B5C">
        <w:rPr>
          <w:rFonts w:ascii="Arial" w:hAnsi="Arial" w:cs="Arial"/>
          <w:lang w:val="cs-CZ"/>
        </w:rPr>
        <w:t xml:space="preserve">se bude pohybovat </w:t>
      </w:r>
      <w:r w:rsidR="007A103D" w:rsidRPr="007A103D">
        <w:rPr>
          <w:rFonts w:ascii="Arial" w:hAnsi="Arial" w:cs="Arial"/>
          <w:lang w:val="cs-CZ"/>
        </w:rPr>
        <w:t xml:space="preserve">mezi 3,5 až 4 </w:t>
      </w:r>
      <w:r>
        <w:rPr>
          <w:rFonts w:ascii="Arial" w:hAnsi="Arial" w:cs="Arial"/>
          <w:lang w:val="cs-CZ"/>
        </w:rPr>
        <w:t xml:space="preserve">mld. </w:t>
      </w:r>
      <w:r w:rsidR="007A103D" w:rsidRPr="007A103D">
        <w:rPr>
          <w:rFonts w:ascii="Arial" w:hAnsi="Arial" w:cs="Arial"/>
          <w:lang w:val="cs-CZ"/>
        </w:rPr>
        <w:t xml:space="preserve">USD </w:t>
      </w:r>
      <w:r>
        <w:rPr>
          <w:rFonts w:ascii="Arial" w:hAnsi="Arial" w:cs="Arial"/>
          <w:lang w:val="cs-CZ"/>
        </w:rPr>
        <w:t>s pot</w:t>
      </w:r>
      <w:r w:rsidR="007A103D" w:rsidRPr="007A103D">
        <w:rPr>
          <w:rFonts w:ascii="Arial" w:hAnsi="Arial" w:cs="Arial"/>
          <w:lang w:val="cs-CZ"/>
        </w:rPr>
        <w:t>enciál</w:t>
      </w:r>
      <w:r>
        <w:rPr>
          <w:rFonts w:ascii="Arial" w:hAnsi="Arial" w:cs="Arial"/>
          <w:lang w:val="cs-CZ"/>
        </w:rPr>
        <w:t>em</w:t>
      </w:r>
      <w:r w:rsidR="007A103D" w:rsidRPr="007A103D">
        <w:rPr>
          <w:rFonts w:ascii="Arial" w:hAnsi="Arial" w:cs="Arial"/>
          <w:lang w:val="cs-CZ"/>
        </w:rPr>
        <w:t xml:space="preserve"> dodatečn</w:t>
      </w:r>
      <w:r w:rsidRPr="00C215F7">
        <w:rPr>
          <w:rFonts w:ascii="Arial" w:hAnsi="Arial" w:cs="Arial"/>
          <w:lang w:val="cs-CZ"/>
        </w:rPr>
        <w:t>éh</w:t>
      </w:r>
      <w:r>
        <w:rPr>
          <w:rFonts w:ascii="Arial" w:hAnsi="Arial" w:cs="Arial"/>
          <w:lang w:val="cs-CZ"/>
        </w:rPr>
        <w:t>o</w:t>
      </w:r>
      <w:r w:rsidR="007A103D" w:rsidRPr="007A103D">
        <w:rPr>
          <w:rFonts w:ascii="Arial" w:hAnsi="Arial" w:cs="Arial"/>
          <w:lang w:val="cs-CZ"/>
        </w:rPr>
        <w:t xml:space="preserve"> nárůst</w:t>
      </w:r>
      <w:r>
        <w:rPr>
          <w:rFonts w:ascii="Arial" w:hAnsi="Arial" w:cs="Arial"/>
          <w:lang w:val="cs-CZ"/>
        </w:rPr>
        <w:t>u</w:t>
      </w:r>
      <w:r w:rsidR="007A103D" w:rsidRPr="007A103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díky iniciativám </w:t>
      </w:r>
      <w:r w:rsidR="007A103D" w:rsidRPr="007A103D">
        <w:rPr>
          <w:rFonts w:ascii="Arial" w:hAnsi="Arial" w:cs="Arial"/>
          <w:lang w:val="cs-CZ"/>
        </w:rPr>
        <w:t>v oblasti pracovního kapitálu.</w:t>
      </w:r>
    </w:p>
    <w:p w14:paraId="1BD6D15C" w14:textId="1A369B3B" w:rsidR="007A103D" w:rsidRDefault="007A103D" w:rsidP="007A103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7A103D">
        <w:rPr>
          <w:rFonts w:ascii="Arial" w:hAnsi="Arial" w:cs="Arial"/>
          <w:lang w:val="cs-CZ"/>
        </w:rPr>
        <w:t xml:space="preserve">Efektivní sazba daně za celý rok 2019 </w:t>
      </w:r>
      <w:r w:rsidR="00C215F7">
        <w:rPr>
          <w:rFonts w:ascii="Arial" w:hAnsi="Arial" w:cs="Arial"/>
          <w:lang w:val="cs-CZ"/>
        </w:rPr>
        <w:t xml:space="preserve">se podle odhadu bude pohybovat </w:t>
      </w:r>
      <w:r w:rsidR="00364B5C">
        <w:rPr>
          <w:rFonts w:ascii="Arial" w:hAnsi="Arial" w:cs="Arial"/>
          <w:lang w:val="cs-CZ"/>
        </w:rPr>
        <w:t>mezi</w:t>
      </w:r>
      <w:r w:rsidR="00C215F7">
        <w:rPr>
          <w:rFonts w:ascii="Arial" w:hAnsi="Arial" w:cs="Arial"/>
          <w:lang w:val="cs-CZ"/>
        </w:rPr>
        <w:t xml:space="preserve"> </w:t>
      </w:r>
      <w:r w:rsidRPr="007A103D">
        <w:rPr>
          <w:rFonts w:ascii="Arial" w:hAnsi="Arial" w:cs="Arial"/>
          <w:lang w:val="cs-CZ"/>
        </w:rPr>
        <w:t>22</w:t>
      </w:r>
      <w:r w:rsidR="00C215F7">
        <w:rPr>
          <w:rFonts w:ascii="Arial" w:hAnsi="Arial" w:cs="Arial"/>
          <w:lang w:val="cs-CZ"/>
        </w:rPr>
        <w:t xml:space="preserve"> </w:t>
      </w:r>
      <w:r w:rsidRPr="007A103D">
        <w:rPr>
          <w:rFonts w:ascii="Arial" w:hAnsi="Arial" w:cs="Arial"/>
          <w:lang w:val="cs-CZ"/>
        </w:rPr>
        <w:t>až 24</w:t>
      </w:r>
      <w:r w:rsidR="00C215F7">
        <w:rPr>
          <w:rFonts w:ascii="Arial" w:hAnsi="Arial" w:cs="Arial"/>
          <w:lang w:val="cs-CZ"/>
        </w:rPr>
        <w:t xml:space="preserve"> </w:t>
      </w:r>
      <w:r w:rsidRPr="007A103D">
        <w:rPr>
          <w:rFonts w:ascii="Arial" w:hAnsi="Arial" w:cs="Arial"/>
          <w:lang w:val="cs-CZ"/>
        </w:rPr>
        <w:t>%.</w:t>
      </w:r>
    </w:p>
    <w:p w14:paraId="3F27ABEF" w14:textId="203B8E95" w:rsidR="007A103D" w:rsidRPr="00364B5C" w:rsidRDefault="00C215F7" w:rsidP="007A103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 w:rsidRPr="00364B5C">
        <w:rPr>
          <w:rFonts w:ascii="Arial" w:hAnsi="Arial" w:cs="Arial"/>
          <w:lang w:val="cs-CZ"/>
        </w:rPr>
        <w:t>U</w:t>
      </w:r>
      <w:r w:rsidR="007A103D" w:rsidRPr="00364B5C">
        <w:rPr>
          <w:rFonts w:ascii="Arial" w:hAnsi="Arial" w:cs="Arial"/>
          <w:lang w:val="cs-CZ"/>
        </w:rPr>
        <w:t xml:space="preserve">pravený </w:t>
      </w:r>
      <w:r w:rsidRPr="00364B5C">
        <w:rPr>
          <w:rFonts w:ascii="Arial" w:hAnsi="Arial" w:cs="Arial"/>
          <w:lang w:val="cs-CZ"/>
        </w:rPr>
        <w:t xml:space="preserve">zředěný zisk na akcii </w:t>
      </w:r>
      <w:r w:rsidR="007A103D" w:rsidRPr="00364B5C">
        <w:rPr>
          <w:rFonts w:ascii="Arial" w:hAnsi="Arial" w:cs="Arial"/>
          <w:lang w:val="cs-CZ"/>
        </w:rPr>
        <w:t xml:space="preserve">ve </w:t>
      </w:r>
      <w:r w:rsidRPr="00364B5C">
        <w:rPr>
          <w:rFonts w:ascii="Arial" w:hAnsi="Arial" w:cs="Arial"/>
          <w:lang w:val="cs-CZ"/>
        </w:rPr>
        <w:t xml:space="preserve">3. </w:t>
      </w:r>
      <w:r w:rsidR="007A103D" w:rsidRPr="00364B5C">
        <w:rPr>
          <w:rFonts w:ascii="Arial" w:hAnsi="Arial" w:cs="Arial"/>
          <w:lang w:val="cs-CZ"/>
        </w:rPr>
        <w:t xml:space="preserve">čtvrtletí </w:t>
      </w:r>
      <w:r w:rsidR="006A13DF" w:rsidRPr="00364B5C">
        <w:rPr>
          <w:rFonts w:ascii="Arial" w:hAnsi="Arial" w:cs="Arial"/>
          <w:lang w:val="cs-CZ"/>
        </w:rPr>
        <w:t xml:space="preserve">bude </w:t>
      </w:r>
      <w:r w:rsidRPr="00364B5C">
        <w:rPr>
          <w:rFonts w:ascii="Arial" w:hAnsi="Arial" w:cs="Arial"/>
          <w:lang w:val="cs-CZ"/>
        </w:rPr>
        <w:t>podle očekávání</w:t>
      </w:r>
      <w:r w:rsidR="006A13DF" w:rsidRPr="00364B5C">
        <w:rPr>
          <w:rFonts w:ascii="Arial" w:hAnsi="Arial" w:cs="Arial"/>
          <w:lang w:val="cs-CZ"/>
        </w:rPr>
        <w:t xml:space="preserve"> </w:t>
      </w:r>
      <w:r w:rsidR="007A103D" w:rsidRPr="00364B5C">
        <w:rPr>
          <w:rFonts w:ascii="Arial" w:hAnsi="Arial" w:cs="Arial"/>
          <w:lang w:val="cs-CZ"/>
        </w:rPr>
        <w:t xml:space="preserve">těžit z </w:t>
      </w:r>
      <w:r w:rsidR="006A13DF" w:rsidRPr="00364B5C">
        <w:rPr>
          <w:rFonts w:ascii="Arial" w:hAnsi="Arial" w:cs="Arial"/>
          <w:lang w:val="cs-CZ"/>
        </w:rPr>
        <w:t>řady</w:t>
      </w:r>
      <w:r w:rsidR="007A103D" w:rsidRPr="00364B5C">
        <w:rPr>
          <w:rFonts w:ascii="Arial" w:hAnsi="Arial" w:cs="Arial"/>
          <w:lang w:val="cs-CZ"/>
        </w:rPr>
        <w:t xml:space="preserve"> položek, včetně jednoho provozního dne </w:t>
      </w:r>
      <w:r w:rsidR="006A13DF" w:rsidRPr="00364B5C">
        <w:rPr>
          <w:rFonts w:ascii="Arial" w:hAnsi="Arial" w:cs="Arial"/>
          <w:lang w:val="cs-CZ"/>
        </w:rPr>
        <w:t xml:space="preserve">navíc </w:t>
      </w:r>
      <w:r w:rsidR="007A103D" w:rsidRPr="00364B5C">
        <w:rPr>
          <w:rFonts w:ascii="Arial" w:hAnsi="Arial" w:cs="Arial"/>
          <w:lang w:val="cs-CZ"/>
        </w:rPr>
        <w:t>a meziroční</w:t>
      </w:r>
      <w:r w:rsidR="006A13DF" w:rsidRPr="00364B5C">
        <w:rPr>
          <w:rFonts w:ascii="Arial" w:hAnsi="Arial" w:cs="Arial"/>
          <w:lang w:val="cs-CZ"/>
        </w:rPr>
        <w:t>ch</w:t>
      </w:r>
      <w:r w:rsidR="007A103D" w:rsidRPr="00364B5C">
        <w:rPr>
          <w:rFonts w:ascii="Arial" w:hAnsi="Arial" w:cs="Arial"/>
          <w:lang w:val="cs-CZ"/>
        </w:rPr>
        <w:t xml:space="preserve"> </w:t>
      </w:r>
      <w:r w:rsidR="006A13DF" w:rsidRPr="00364B5C">
        <w:rPr>
          <w:rFonts w:ascii="Arial" w:hAnsi="Arial" w:cs="Arial"/>
          <w:lang w:val="cs-CZ"/>
        </w:rPr>
        <w:t>benefitů u Mezinárodní přepravy</w:t>
      </w:r>
      <w:r w:rsidR="00364B5C">
        <w:rPr>
          <w:rFonts w:ascii="Arial" w:hAnsi="Arial" w:cs="Arial"/>
          <w:lang w:val="cs-CZ"/>
        </w:rPr>
        <w:t xml:space="preserve"> souvisejících </w:t>
      </w:r>
      <w:r w:rsidR="006A13DF" w:rsidRPr="00364B5C">
        <w:rPr>
          <w:rFonts w:ascii="Arial" w:hAnsi="Arial" w:cs="Arial"/>
          <w:lang w:val="cs-CZ"/>
        </w:rPr>
        <w:t>s </w:t>
      </w:r>
      <w:r w:rsidR="00175F32">
        <w:rPr>
          <w:rFonts w:ascii="Arial" w:hAnsi="Arial" w:cs="Arial"/>
          <w:lang w:val="cs-CZ"/>
        </w:rPr>
        <w:t>útlumem</w:t>
      </w:r>
      <w:r w:rsidR="006A13DF" w:rsidRPr="00364B5C">
        <w:rPr>
          <w:rFonts w:ascii="Arial" w:hAnsi="Arial" w:cs="Arial"/>
          <w:lang w:val="cs-CZ"/>
        </w:rPr>
        <w:t xml:space="preserve"> komodit </w:t>
      </w:r>
      <w:r w:rsidR="00175F32">
        <w:rPr>
          <w:rFonts w:ascii="Arial" w:hAnsi="Arial" w:cs="Arial"/>
          <w:lang w:val="cs-CZ"/>
        </w:rPr>
        <w:t xml:space="preserve">v roce </w:t>
      </w:r>
      <w:r w:rsidR="007A103D" w:rsidRPr="00364B5C">
        <w:rPr>
          <w:rFonts w:ascii="Arial" w:hAnsi="Arial" w:cs="Arial"/>
          <w:lang w:val="cs-CZ"/>
        </w:rPr>
        <w:t>2018</w:t>
      </w:r>
      <w:r w:rsidR="00364B5C">
        <w:rPr>
          <w:rFonts w:ascii="Arial" w:hAnsi="Arial" w:cs="Arial"/>
          <w:lang w:val="cs-CZ"/>
        </w:rPr>
        <w:t xml:space="preserve">, </w:t>
      </w:r>
      <w:r w:rsidR="00175F32">
        <w:rPr>
          <w:rFonts w:ascii="Arial" w:hAnsi="Arial" w:cs="Arial"/>
          <w:lang w:val="cs-CZ"/>
        </w:rPr>
        <w:t>který</w:t>
      </w:r>
      <w:r w:rsidR="00364B5C">
        <w:rPr>
          <w:rFonts w:ascii="Arial" w:hAnsi="Arial" w:cs="Arial"/>
          <w:lang w:val="cs-CZ"/>
        </w:rPr>
        <w:t xml:space="preserve"> </w:t>
      </w:r>
      <w:r w:rsidR="007A103D" w:rsidRPr="00364B5C">
        <w:rPr>
          <w:rFonts w:ascii="Arial" w:hAnsi="Arial" w:cs="Arial"/>
          <w:lang w:val="cs-CZ"/>
        </w:rPr>
        <w:t>by se neměl opakovat.</w:t>
      </w:r>
    </w:p>
    <w:p w14:paraId="327B4917" w14:textId="4698B6D3" w:rsidR="007A103D" w:rsidRPr="007A103D" w:rsidRDefault="006A13DF" w:rsidP="007A103D">
      <w:pPr>
        <w:pStyle w:val="Odstavecseseznamem"/>
        <w:numPr>
          <w:ilvl w:val="0"/>
          <w:numId w:val="9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Transformační p</w:t>
      </w:r>
      <w:r w:rsidR="007A103D" w:rsidRPr="007A103D">
        <w:rPr>
          <w:rFonts w:ascii="Arial" w:hAnsi="Arial" w:cs="Arial"/>
          <w:lang w:val="cs-CZ"/>
        </w:rPr>
        <w:t xml:space="preserve">oplatky a </w:t>
      </w:r>
      <w:r>
        <w:rPr>
          <w:rFonts w:ascii="Arial" w:hAnsi="Arial" w:cs="Arial"/>
          <w:lang w:val="cs-CZ"/>
        </w:rPr>
        <w:t xml:space="preserve">tržní vyjádření </w:t>
      </w:r>
      <w:r w:rsidRPr="007A103D">
        <w:rPr>
          <w:rFonts w:ascii="Arial" w:hAnsi="Arial" w:cs="Arial"/>
          <w:lang w:val="cs-CZ"/>
        </w:rPr>
        <w:t xml:space="preserve">důchodů </w:t>
      </w:r>
      <w:r w:rsidR="007A103D" w:rsidRPr="007A103D">
        <w:rPr>
          <w:rFonts w:ascii="Arial" w:hAnsi="Arial" w:cs="Arial"/>
          <w:lang w:val="cs-CZ"/>
        </w:rPr>
        <w:t xml:space="preserve">nejsou zahrnuty </w:t>
      </w:r>
      <w:r w:rsidR="00364B5C">
        <w:rPr>
          <w:rFonts w:ascii="Arial" w:hAnsi="Arial" w:cs="Arial"/>
          <w:lang w:val="cs-CZ"/>
        </w:rPr>
        <w:t>v upraveném výhledu</w:t>
      </w:r>
      <w:r w:rsidR="007A103D" w:rsidRPr="007A103D">
        <w:rPr>
          <w:rFonts w:ascii="Arial" w:hAnsi="Arial" w:cs="Arial"/>
          <w:lang w:val="cs-CZ"/>
        </w:rPr>
        <w:t>.</w:t>
      </w:r>
    </w:p>
    <w:p w14:paraId="00C22111" w14:textId="77777777" w:rsidR="007A103D" w:rsidRPr="00175F32" w:rsidRDefault="007A103D" w:rsidP="007A103D">
      <w:pPr>
        <w:rPr>
          <w:rFonts w:ascii="Arial" w:hAnsi="Arial" w:cs="Arial"/>
          <w:lang w:val="cs-CZ"/>
        </w:rPr>
      </w:pPr>
    </w:p>
    <w:p w14:paraId="3AFB84BD" w14:textId="77777777" w:rsidR="00A15580" w:rsidRPr="00E42089" w:rsidRDefault="00A15580" w:rsidP="00A15580">
      <w:pPr>
        <w:spacing w:after="160" w:line="252" w:lineRule="auto"/>
        <w:rPr>
          <w:rFonts w:ascii="Arial" w:hAnsi="Arial" w:cs="Arial"/>
          <w:lang w:val="cs-CZ"/>
        </w:rPr>
      </w:pPr>
    </w:p>
    <w:p w14:paraId="56402291" w14:textId="77777777" w:rsidR="00A15580" w:rsidRPr="004E24B7" w:rsidRDefault="00A15580" w:rsidP="00A15580">
      <w:pPr>
        <w:pStyle w:val="Zkladntext"/>
        <w:spacing w:after="0"/>
        <w:rPr>
          <w:rFonts w:ascii="Arial" w:hAnsi="Arial" w:cs="Arial"/>
          <w:b/>
          <w:lang w:val="cs-CZ"/>
        </w:rPr>
      </w:pPr>
      <w:r w:rsidRPr="004E24B7">
        <w:rPr>
          <w:rFonts w:ascii="Arial" w:hAnsi="Arial" w:cs="Arial"/>
          <w:b/>
          <w:lang w:val="cs-CZ"/>
        </w:rPr>
        <w:t>Společnost UPS</w:t>
      </w:r>
    </w:p>
    <w:p w14:paraId="757AE692" w14:textId="77777777" w:rsidR="00A15580" w:rsidRPr="004E24B7" w:rsidRDefault="00A15580" w:rsidP="00A15580">
      <w:pPr>
        <w:rPr>
          <w:rFonts w:ascii="Arial" w:hAnsi="Arial" w:cs="Arial"/>
          <w:lang w:val="cs-CZ"/>
        </w:rPr>
      </w:pPr>
    </w:p>
    <w:p w14:paraId="06EC5D56" w14:textId="77777777" w:rsidR="00A15580" w:rsidRPr="004E24B7" w:rsidRDefault="00A15580" w:rsidP="00A15580">
      <w:pPr>
        <w:ind w:firstLine="720"/>
        <w:rPr>
          <w:lang w:val="cs-CZ"/>
        </w:rPr>
      </w:pPr>
      <w:r w:rsidRPr="004E24B7">
        <w:rPr>
          <w:rFonts w:ascii="Arial" w:hAnsi="Arial" w:cs="Arial"/>
          <w:lang w:val="cs-CZ"/>
        </w:rPr>
        <w:t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 za nejvíce zákaznicky orientovanou americkou firmu (</w:t>
      </w:r>
      <w:proofErr w:type="spellStart"/>
      <w:r w:rsidR="00565D96">
        <w:fldChar w:fldCharType="begin"/>
      </w:r>
      <w:r w:rsidR="00565D96" w:rsidRPr="00E42089">
        <w:rPr>
          <w:lang w:val="cs-CZ"/>
        </w:rPr>
        <w:instrText xml:space="preserve"> HYPERLINK "https://www.newsweek.com/americas-best-customer-service-2019/services-transportation-travel" </w:instrText>
      </w:r>
      <w:r w:rsidR="00565D96">
        <w:fldChar w:fldCharType="separate"/>
      </w:r>
      <w:r w:rsidRPr="004E24B7">
        <w:rPr>
          <w:rFonts w:ascii="Arial" w:hAnsi="Arial" w:cs="Arial"/>
          <w:color w:val="0000FF"/>
          <w:u w:val="single"/>
          <w:lang w:val="cs-CZ"/>
        </w:rPr>
        <w:t>America’s</w:t>
      </w:r>
      <w:proofErr w:type="spellEnd"/>
      <w:r w:rsidRPr="004E24B7">
        <w:rPr>
          <w:rFonts w:ascii="Arial" w:hAnsi="Arial" w:cs="Arial"/>
          <w:color w:val="0000FF"/>
          <w:u w:val="single"/>
          <w:lang w:val="cs-CZ"/>
        </w:rPr>
        <w:t xml:space="preserve"> Best </w:t>
      </w:r>
      <w:proofErr w:type="spellStart"/>
      <w:r w:rsidRPr="004E24B7">
        <w:rPr>
          <w:rFonts w:ascii="Arial" w:hAnsi="Arial" w:cs="Arial"/>
          <w:color w:val="0000FF"/>
          <w:u w:val="single"/>
          <w:lang w:val="cs-CZ"/>
        </w:rPr>
        <w:t>Customer</w:t>
      </w:r>
      <w:proofErr w:type="spellEnd"/>
      <w:r w:rsidRPr="004E24B7">
        <w:rPr>
          <w:rFonts w:ascii="Arial" w:hAnsi="Arial" w:cs="Arial"/>
          <w:color w:val="0000FF"/>
          <w:u w:val="single"/>
          <w:lang w:val="cs-CZ"/>
        </w:rPr>
        <w:t xml:space="preserve"> </w:t>
      </w:r>
      <w:proofErr w:type="spellStart"/>
      <w:r w:rsidRPr="004E24B7">
        <w:rPr>
          <w:rFonts w:ascii="Arial" w:hAnsi="Arial" w:cs="Arial"/>
          <w:color w:val="0000FF"/>
          <w:u w:val="single"/>
          <w:lang w:val="cs-CZ"/>
        </w:rPr>
        <w:t>Service</w:t>
      </w:r>
      <w:proofErr w:type="spellEnd"/>
      <w:r w:rsidR="00565D96">
        <w:rPr>
          <w:rFonts w:ascii="Arial" w:hAnsi="Arial" w:cs="Arial"/>
          <w:color w:val="0000FF"/>
          <w:u w:val="single"/>
          <w:lang w:val="cs-CZ"/>
        </w:rPr>
        <w:fldChar w:fldCharType="end"/>
      </w:r>
      <w:r w:rsidRPr="004E24B7">
        <w:rPr>
          <w:rFonts w:ascii="Arial" w:hAnsi="Arial" w:cs="Arial"/>
          <w:lang w:val="cs-CZ"/>
        </w:rPr>
        <w:t>) v oblasti zasilatelství a distribuce; podle časopisu Forbes je firma Nejhodnotnější značkou v dopravě (</w:t>
      </w:r>
      <w:hyperlink r:id="rId8" w:anchor="tab:rank_industry:Transportation" w:history="1">
        <w:r w:rsidRPr="004E24B7">
          <w:rPr>
            <w:rStyle w:val="Hypertextovodkaz"/>
            <w:rFonts w:ascii="Arial" w:hAnsi="Arial" w:cs="Arial"/>
            <w:lang w:val="cs-CZ"/>
          </w:rPr>
          <w:t xml:space="preserve">Most </w:t>
        </w:r>
        <w:proofErr w:type="spellStart"/>
        <w:r w:rsidRPr="004E24B7">
          <w:rPr>
            <w:rStyle w:val="Hypertextovodkaz"/>
            <w:rFonts w:ascii="Arial" w:hAnsi="Arial" w:cs="Arial"/>
            <w:lang w:val="cs-CZ"/>
          </w:rPr>
          <w:t>Valuable</w:t>
        </w:r>
        <w:proofErr w:type="spellEnd"/>
        <w:r w:rsidRPr="004E24B7">
          <w:rPr>
            <w:rStyle w:val="Hypertextovodkaz"/>
            <w:rFonts w:ascii="Arial" w:hAnsi="Arial" w:cs="Arial"/>
            <w:lang w:val="cs-CZ"/>
          </w:rPr>
          <w:t xml:space="preserve"> Brand in Transportation</w:t>
        </w:r>
      </w:hyperlink>
      <w:r w:rsidRPr="004E24B7">
        <w:rPr>
          <w:rFonts w:ascii="Arial" w:hAnsi="Arial" w:cs="Arial"/>
          <w:lang w:val="cs-CZ"/>
        </w:rPr>
        <w:t xml:space="preserve">); UPS je vysoce ceněna i podle dalších prestižních hodnocení – v oblasti sociální odpovědnosti podle žebříčku </w:t>
      </w:r>
      <w:hyperlink r:id="rId9" w:anchor="4309ad3b2bf0" w:history="1">
        <w:r w:rsidRPr="004E24B7">
          <w:rPr>
            <w:rFonts w:ascii="Arial" w:hAnsi="Arial" w:cs="Arial"/>
            <w:color w:val="0000FF"/>
            <w:u w:val="single"/>
            <w:lang w:val="cs-CZ"/>
          </w:rPr>
          <w:t>JUST 100</w:t>
        </w:r>
      </w:hyperlink>
      <w:r w:rsidRPr="004E24B7">
        <w:rPr>
          <w:rFonts w:ascii="Arial" w:hAnsi="Arial" w:cs="Arial"/>
          <w:lang w:val="cs-CZ"/>
        </w:rPr>
        <w:t xml:space="preserve">, indexu Dow Jones Sustainability World a kvocientu Harris Poll Reputation. Informace o společnosti naleznete na </w:t>
      </w:r>
      <w:r w:rsidRPr="004E24B7">
        <w:rPr>
          <w:rStyle w:val="Internetovodkaz"/>
          <w:rFonts w:ascii="Arial" w:hAnsi="Arial" w:cs="Arial"/>
          <w:color w:val="0070C0"/>
          <w:lang w:val="cs-CZ"/>
        </w:rPr>
        <w:t>ups.com</w:t>
      </w:r>
      <w:r w:rsidRPr="004E24B7">
        <w:rPr>
          <w:rFonts w:ascii="Arial" w:hAnsi="Arial" w:cs="Arial"/>
          <w:lang w:val="cs-CZ"/>
        </w:rPr>
        <w:t xml:space="preserve"> nebo </w:t>
      </w:r>
      <w:hyperlink r:id="rId10" w:tgtFrame="_blank" w:history="1">
        <w:r w:rsidRPr="004E24B7">
          <w:rPr>
            <w:rFonts w:ascii="Arial" w:hAnsi="Arial" w:cs="Arial"/>
            <w:color w:val="0000FF"/>
            <w:u w:val="single"/>
            <w:lang w:val="cs-CZ"/>
          </w:rPr>
          <w:t>pressroom.ups.com</w:t>
        </w:r>
      </w:hyperlink>
      <w:r w:rsidRPr="004E24B7">
        <w:rPr>
          <w:rFonts w:ascii="Arial" w:hAnsi="Arial" w:cs="Arial"/>
          <w:lang w:val="cs-CZ"/>
        </w:rPr>
        <w:t xml:space="preserve"> a korporátní blog na </w:t>
      </w:r>
      <w:hyperlink r:id="rId11" w:history="1">
        <w:r w:rsidRPr="004E24B7">
          <w:rPr>
            <w:rStyle w:val="Hypertextovodkaz"/>
            <w:rFonts w:ascii="Arial" w:hAnsi="Arial" w:cs="Arial"/>
            <w:lang w:val="cs-CZ"/>
          </w:rPr>
          <w:t>longitudes.ups.com</w:t>
        </w:r>
      </w:hyperlink>
      <w:r w:rsidRPr="004E24B7">
        <w:rPr>
          <w:rFonts w:ascii="Arial" w:hAnsi="Arial" w:cs="Arial"/>
          <w:lang w:val="cs-CZ"/>
        </w:rPr>
        <w:t xml:space="preserve">. Firemní online newsletter UPS Horizons zaměřený na trvalou udržitelnost je na </w:t>
      </w:r>
      <w:hyperlink r:id="rId12" w:history="1">
        <w:r w:rsidRPr="004E24B7">
          <w:rPr>
            <w:rFonts w:ascii="Arial" w:hAnsi="Arial" w:cs="Arial"/>
            <w:color w:val="0000FF"/>
            <w:u w:val="single"/>
            <w:lang w:val="cs-CZ"/>
          </w:rPr>
          <w:t>ups.com/</w:t>
        </w:r>
        <w:proofErr w:type="spellStart"/>
        <w:r w:rsidRPr="004E24B7">
          <w:rPr>
            <w:rFonts w:ascii="Arial" w:hAnsi="Arial" w:cs="Arial"/>
            <w:color w:val="0000FF"/>
            <w:u w:val="single"/>
            <w:lang w:val="cs-CZ"/>
          </w:rPr>
          <w:t>sustainabilitynewsletter</w:t>
        </w:r>
        <w:proofErr w:type="spellEnd"/>
      </w:hyperlink>
      <w:r w:rsidRPr="004E24B7">
        <w:rPr>
          <w:color w:val="0000FF"/>
          <w:lang w:val="cs-CZ"/>
        </w:rPr>
        <w:t xml:space="preserve">. </w:t>
      </w:r>
      <w:r w:rsidRPr="004E24B7">
        <w:rPr>
          <w:rFonts w:ascii="Arial" w:hAnsi="Arial" w:cs="Arial"/>
          <w:lang w:val="cs-CZ"/>
        </w:rPr>
        <w:t xml:space="preserve">Novinky a zprávy UPS jsou k dispozici také prostřednictvím Twitteru na </w:t>
      </w:r>
      <w:hyperlink r:id="rId13" w:history="1">
        <w:r w:rsidRPr="004E24B7">
          <w:rPr>
            <w:rStyle w:val="Hypertextovodkaz"/>
            <w:rFonts w:ascii="Arial" w:hAnsi="Arial" w:cs="Arial"/>
            <w:bCs/>
            <w:lang w:val="cs-CZ"/>
          </w:rPr>
          <w:t>@</w:t>
        </w:r>
        <w:proofErr w:type="spellStart"/>
        <w:r w:rsidRPr="004E24B7">
          <w:rPr>
            <w:rStyle w:val="Hypertextovodkaz"/>
            <w:rFonts w:ascii="Arial" w:hAnsi="Arial" w:cs="Arial"/>
            <w:bCs/>
            <w:lang w:val="cs-CZ"/>
          </w:rPr>
          <w:t>UPS_News</w:t>
        </w:r>
        <w:proofErr w:type="spellEnd"/>
      </w:hyperlink>
      <w:r w:rsidRPr="004E24B7">
        <w:rPr>
          <w:rFonts w:ascii="Arial" w:hAnsi="Arial" w:cs="Arial"/>
          <w:lang w:val="cs-CZ"/>
        </w:rPr>
        <w:t>.</w:t>
      </w:r>
    </w:p>
    <w:p w14:paraId="151DCEB0" w14:textId="77777777" w:rsidR="00A15580" w:rsidRDefault="00A15580" w:rsidP="008A4E2F">
      <w:pPr>
        <w:rPr>
          <w:rFonts w:ascii="Arial" w:hAnsi="Arial" w:cs="Arial"/>
          <w:b/>
          <w:bCs/>
          <w:u w:val="single"/>
          <w:lang w:val="cs-CZ"/>
        </w:rPr>
      </w:pPr>
    </w:p>
    <w:p w14:paraId="479CE015" w14:textId="77777777" w:rsidR="00A15580" w:rsidRDefault="00A15580" w:rsidP="00A15580">
      <w:pPr>
        <w:jc w:val="center"/>
        <w:rPr>
          <w:rFonts w:ascii="Arial" w:hAnsi="Arial" w:cs="Arial"/>
          <w:color w:val="003436"/>
        </w:rPr>
      </w:pPr>
      <w:r>
        <w:rPr>
          <w:rFonts w:ascii="Arial" w:hAnsi="Arial" w:cs="Arial"/>
          <w:color w:val="003436"/>
        </w:rPr>
        <w:t># # #</w:t>
      </w:r>
    </w:p>
    <w:p w14:paraId="0EB40121" w14:textId="77777777" w:rsidR="00A15580" w:rsidRDefault="00A15580" w:rsidP="008A4E2F">
      <w:pPr>
        <w:rPr>
          <w:rFonts w:ascii="Arial" w:hAnsi="Arial" w:cs="Arial"/>
          <w:b/>
          <w:bCs/>
          <w:u w:val="single"/>
          <w:lang w:val="cs-CZ"/>
        </w:rPr>
      </w:pPr>
    </w:p>
    <w:sectPr w:rsidR="00A15580" w:rsidSect="001513F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AB8A" w14:textId="77777777" w:rsidR="001C5997" w:rsidRDefault="001C5997" w:rsidP="00A15580">
      <w:r>
        <w:separator/>
      </w:r>
    </w:p>
  </w:endnote>
  <w:endnote w:type="continuationSeparator" w:id="0">
    <w:p w14:paraId="2EBD370F" w14:textId="77777777" w:rsidR="001C5997" w:rsidRDefault="001C5997" w:rsidP="00A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4934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8BD5CAB" w14:textId="744ED585" w:rsidR="00A30D59" w:rsidRPr="00A15580" w:rsidRDefault="00A30D59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A15580">
          <w:rPr>
            <w:rFonts w:ascii="Arial" w:hAnsi="Arial" w:cs="Arial"/>
            <w:sz w:val="16"/>
            <w:szCs w:val="16"/>
          </w:rPr>
          <w:fldChar w:fldCharType="begin"/>
        </w:r>
        <w:r w:rsidRPr="00A15580">
          <w:rPr>
            <w:rFonts w:ascii="Arial" w:hAnsi="Arial" w:cs="Arial"/>
            <w:sz w:val="16"/>
            <w:szCs w:val="16"/>
          </w:rPr>
          <w:instrText>PAGE   \* MERGEFORMAT</w:instrText>
        </w:r>
        <w:r w:rsidRPr="00A15580">
          <w:rPr>
            <w:rFonts w:ascii="Arial" w:hAnsi="Arial" w:cs="Arial"/>
            <w:sz w:val="16"/>
            <w:szCs w:val="16"/>
          </w:rPr>
          <w:fldChar w:fldCharType="separate"/>
        </w:r>
        <w:r w:rsidR="00E739A4" w:rsidRPr="00E739A4">
          <w:rPr>
            <w:rFonts w:ascii="Arial" w:hAnsi="Arial" w:cs="Arial"/>
            <w:noProof/>
            <w:sz w:val="16"/>
            <w:szCs w:val="16"/>
            <w:lang w:val="cs-CZ"/>
          </w:rPr>
          <w:t>4</w:t>
        </w:r>
        <w:r w:rsidRPr="00A1558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2186241" w14:textId="77777777" w:rsidR="00A30D59" w:rsidRDefault="00A30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0BC2" w14:textId="77777777" w:rsidR="001C5997" w:rsidRDefault="001C5997" w:rsidP="00A15580">
      <w:r>
        <w:separator/>
      </w:r>
    </w:p>
  </w:footnote>
  <w:footnote w:type="continuationSeparator" w:id="0">
    <w:p w14:paraId="5F5B88EB" w14:textId="77777777" w:rsidR="001C5997" w:rsidRDefault="001C5997" w:rsidP="00A1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C97"/>
    <w:multiLevelType w:val="hybridMultilevel"/>
    <w:tmpl w:val="8F402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3DA"/>
    <w:multiLevelType w:val="hybridMultilevel"/>
    <w:tmpl w:val="170EC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FE98B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5030"/>
    <w:multiLevelType w:val="hybridMultilevel"/>
    <w:tmpl w:val="02C0D6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7F08"/>
    <w:multiLevelType w:val="hybridMultilevel"/>
    <w:tmpl w:val="64AE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972"/>
    <w:multiLevelType w:val="hybridMultilevel"/>
    <w:tmpl w:val="B0649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99F"/>
    <w:multiLevelType w:val="hybridMultilevel"/>
    <w:tmpl w:val="21A2D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333CD"/>
    <w:multiLevelType w:val="hybridMultilevel"/>
    <w:tmpl w:val="2CDA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C961137"/>
    <w:multiLevelType w:val="hybridMultilevel"/>
    <w:tmpl w:val="1DB62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2F"/>
    <w:rsid w:val="00092466"/>
    <w:rsid w:val="000B1F08"/>
    <w:rsid w:val="0010186B"/>
    <w:rsid w:val="001513F4"/>
    <w:rsid w:val="00175F32"/>
    <w:rsid w:val="00176213"/>
    <w:rsid w:val="00190BF0"/>
    <w:rsid w:val="001B1DFA"/>
    <w:rsid w:val="001C5997"/>
    <w:rsid w:val="001D3CA1"/>
    <w:rsid w:val="00216A31"/>
    <w:rsid w:val="00255307"/>
    <w:rsid w:val="002B7620"/>
    <w:rsid w:val="002E4A07"/>
    <w:rsid w:val="002F3EC4"/>
    <w:rsid w:val="003503EC"/>
    <w:rsid w:val="00361F7C"/>
    <w:rsid w:val="00364B5C"/>
    <w:rsid w:val="003742B4"/>
    <w:rsid w:val="003A66B9"/>
    <w:rsid w:val="003F09C6"/>
    <w:rsid w:val="004213CE"/>
    <w:rsid w:val="004569F9"/>
    <w:rsid w:val="0047293A"/>
    <w:rsid w:val="004B1611"/>
    <w:rsid w:val="004F0430"/>
    <w:rsid w:val="005D49D4"/>
    <w:rsid w:val="00620F5E"/>
    <w:rsid w:val="00625B88"/>
    <w:rsid w:val="00651669"/>
    <w:rsid w:val="006A13DF"/>
    <w:rsid w:val="006D1622"/>
    <w:rsid w:val="00737FB7"/>
    <w:rsid w:val="00743735"/>
    <w:rsid w:val="007470B2"/>
    <w:rsid w:val="007A103D"/>
    <w:rsid w:val="007B73E8"/>
    <w:rsid w:val="007B746C"/>
    <w:rsid w:val="007E5018"/>
    <w:rsid w:val="00873ED9"/>
    <w:rsid w:val="008A4E2F"/>
    <w:rsid w:val="0093117E"/>
    <w:rsid w:val="00940515"/>
    <w:rsid w:val="00941397"/>
    <w:rsid w:val="00A00398"/>
    <w:rsid w:val="00A0171B"/>
    <w:rsid w:val="00A15580"/>
    <w:rsid w:val="00A30D59"/>
    <w:rsid w:val="00A42D07"/>
    <w:rsid w:val="00AD0B31"/>
    <w:rsid w:val="00AE30D1"/>
    <w:rsid w:val="00B54EAA"/>
    <w:rsid w:val="00C215F7"/>
    <w:rsid w:val="00CA216F"/>
    <w:rsid w:val="00CD0AE0"/>
    <w:rsid w:val="00D14587"/>
    <w:rsid w:val="00DA0CAB"/>
    <w:rsid w:val="00DD6AE2"/>
    <w:rsid w:val="00DD7835"/>
    <w:rsid w:val="00DE76A9"/>
    <w:rsid w:val="00E12866"/>
    <w:rsid w:val="00E42089"/>
    <w:rsid w:val="00E62366"/>
    <w:rsid w:val="00E67559"/>
    <w:rsid w:val="00E739A4"/>
    <w:rsid w:val="00EA2232"/>
    <w:rsid w:val="00F20D45"/>
    <w:rsid w:val="00FC38D4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4AE"/>
  <w15:chartTrackingRefBased/>
  <w15:docId w15:val="{EF12C9EB-7C38-4B16-8215-2DA53FE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E2F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9"/>
    <w:semiHidden/>
    <w:unhideWhenUsed/>
    <w:qFormat/>
    <w:rsid w:val="008A4E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rsid w:val="008A4E2F"/>
    <w:rPr>
      <w:rFonts w:ascii="Times New Roman" w:hAnsi="Times New Roman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A4E2F"/>
    <w:rPr>
      <w:color w:val="0563C1"/>
      <w:u w:val="single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basedOn w:val="Standardnpsmoodstavce"/>
    <w:link w:val="Odstavecseseznamem"/>
    <w:uiPriority w:val="34"/>
    <w:locked/>
    <w:rsid w:val="008A4E2F"/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ln"/>
    <w:link w:val="OdstavecseseznamemChar"/>
    <w:uiPriority w:val="34"/>
    <w:qFormat/>
    <w:rsid w:val="008A4E2F"/>
    <w:pPr>
      <w:ind w:left="720"/>
      <w:contextualSpacing/>
    </w:pPr>
    <w:rPr>
      <w:rFonts w:asciiTheme="minorHAnsi" w:hAnsiTheme="minorHAnsi" w:cstheme="minorBidi"/>
    </w:rPr>
  </w:style>
  <w:style w:type="paragraph" w:styleId="Normlnweb">
    <w:name w:val="Normal (Web)"/>
    <w:basedOn w:val="Normln"/>
    <w:uiPriority w:val="99"/>
    <w:rsid w:val="00A155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1558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5580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A15580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55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58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155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580"/>
    <w:rPr>
      <w:rFonts w:ascii="Calibri" w:hAnsi="Calibri" w:cs="Calibri"/>
    </w:rPr>
  </w:style>
  <w:style w:type="paragraph" w:customStyle="1" w:styleId="msolistparagraph0">
    <w:name w:val="msolistparagraph"/>
    <w:basedOn w:val="Normln"/>
    <w:uiPriority w:val="99"/>
    <w:rsid w:val="0074373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Standardnpsmoodstavce"/>
    <w:rsid w:val="007A103D"/>
  </w:style>
  <w:style w:type="character" w:styleId="Odkaznakoment">
    <w:name w:val="annotation reference"/>
    <w:basedOn w:val="Standardnpsmoodstavce"/>
    <w:uiPriority w:val="99"/>
    <w:semiHidden/>
    <w:unhideWhenUsed/>
    <w:rsid w:val="00625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B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B8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B8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B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powerful-brands/list/" TargetMode="External"/><Relationship Id="rId13" Type="http://schemas.openxmlformats.org/officeDocument/2006/relationships/hyperlink" Target="https://twitter.com/UPS_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stainability.ups.com/resources/sustainability-newslet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ngitudes.up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essroom.ups.com/pressroom/Home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just-compan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Mastrobuono Giovanni (LQW7XBK)</dc:creator>
  <cp:keywords/>
  <dc:description/>
  <cp:lastModifiedBy>Michal Donath</cp:lastModifiedBy>
  <cp:revision>2</cp:revision>
  <dcterms:created xsi:type="dcterms:W3CDTF">2019-07-25T13:02:00Z</dcterms:created>
  <dcterms:modified xsi:type="dcterms:W3CDTF">2019-07-25T13:02:00Z</dcterms:modified>
</cp:coreProperties>
</file>