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9BE21" w14:textId="77777777" w:rsidR="000357D2" w:rsidRDefault="000357D2" w:rsidP="005C42B5">
      <w:pPr>
        <w:rPr>
          <w:rFonts w:ascii="Arial" w:hAnsi="Arial" w:cs="Arial"/>
          <w:sz w:val="20"/>
          <w:szCs w:val="20"/>
        </w:rPr>
      </w:pPr>
    </w:p>
    <w:p w14:paraId="3E2FC53D" w14:textId="57DC5450" w:rsidR="00CF5EB1" w:rsidRPr="003E7BDA" w:rsidRDefault="00CA31C8" w:rsidP="005C42B5">
      <w:pPr>
        <w:rPr>
          <w:rFonts w:ascii="Arial" w:hAnsi="Arial" w:cs="Arial"/>
          <w:sz w:val="20"/>
          <w:szCs w:val="20"/>
        </w:rPr>
      </w:pPr>
      <w:r w:rsidRPr="00C10172">
        <w:rPr>
          <w:rFonts w:ascii="Arial" w:hAnsi="Arial" w:cs="Arial"/>
          <w:noProof/>
        </w:rPr>
        <w:drawing>
          <wp:anchor distT="0" distB="0" distL="114300" distR="114300" simplePos="0" relativeHeight="251659264" behindDoc="0" locked="0" layoutInCell="1" allowOverlap="1" wp14:anchorId="432D08BD" wp14:editId="3A9B60D3">
            <wp:simplePos x="0" y="0"/>
            <wp:positionH relativeFrom="margin">
              <wp:align>right</wp:align>
            </wp:positionH>
            <wp:positionV relativeFrom="paragraph">
              <wp:posOffset>6350</wp:posOffset>
            </wp:positionV>
            <wp:extent cx="847725" cy="958215"/>
            <wp:effectExtent l="0" t="0" r="0" b="0"/>
            <wp:wrapSquare wrapText="bothSides"/>
            <wp:docPr id="5" name="Picture 3" descr="C:\Users\vlf4jhl\Desktop\Miscellaneous\UPS Shield 2017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f4jhl\Desktop\Miscellaneous\UPS Shield 2017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A9" w:rsidRPr="003E7BDA">
        <w:rPr>
          <w:rFonts w:ascii="Arial" w:hAnsi="Arial" w:cs="Arial"/>
          <w:sz w:val="20"/>
          <w:szCs w:val="20"/>
        </w:rPr>
        <w:t>Contacts:</w:t>
      </w:r>
      <w:r w:rsidR="005855A9" w:rsidRPr="003E7BDA">
        <w:rPr>
          <w:rFonts w:ascii="Arial" w:hAnsi="Arial" w:cs="Arial"/>
          <w:sz w:val="16"/>
        </w:rPr>
        <w:tab/>
      </w:r>
      <w:r w:rsidR="005A04FD" w:rsidRPr="003E7BDA">
        <w:rPr>
          <w:rFonts w:ascii="Arial" w:hAnsi="Arial" w:cs="Arial"/>
          <w:sz w:val="20"/>
          <w:szCs w:val="20"/>
        </w:rPr>
        <w:t xml:space="preserve">Steve </w:t>
      </w:r>
      <w:proofErr w:type="spellStart"/>
      <w:r w:rsidR="005A04FD" w:rsidRPr="003E7BDA">
        <w:rPr>
          <w:rFonts w:ascii="Arial" w:hAnsi="Arial" w:cs="Arial"/>
          <w:sz w:val="20"/>
          <w:szCs w:val="20"/>
        </w:rPr>
        <w:t>Gaut</w:t>
      </w:r>
      <w:proofErr w:type="spellEnd"/>
      <w:r w:rsidR="005A04FD" w:rsidRPr="003E7BDA">
        <w:rPr>
          <w:rFonts w:ascii="Arial" w:hAnsi="Arial" w:cs="Arial"/>
          <w:sz w:val="20"/>
          <w:szCs w:val="20"/>
        </w:rPr>
        <w:t>,</w:t>
      </w:r>
      <w:r w:rsidR="005855A9" w:rsidRPr="003E7BDA">
        <w:rPr>
          <w:rFonts w:ascii="Arial" w:hAnsi="Arial" w:cs="Arial"/>
          <w:sz w:val="20"/>
          <w:szCs w:val="20"/>
        </w:rPr>
        <w:t xml:space="preserve"> Public Relations</w:t>
      </w:r>
      <w:r w:rsidR="005855A9" w:rsidRPr="003E7BDA">
        <w:rPr>
          <w:rFonts w:ascii="Arial" w:hAnsi="Arial" w:cs="Arial"/>
          <w:sz w:val="20"/>
          <w:szCs w:val="20"/>
        </w:rPr>
        <w:tab/>
      </w:r>
      <w:r w:rsidR="005855A9" w:rsidRPr="003E7BDA">
        <w:rPr>
          <w:rFonts w:ascii="Arial" w:hAnsi="Arial" w:cs="Arial"/>
          <w:sz w:val="20"/>
          <w:szCs w:val="20"/>
        </w:rPr>
        <w:tab/>
      </w:r>
      <w:r w:rsidR="005855A9" w:rsidRPr="003E7BDA">
        <w:rPr>
          <w:rFonts w:ascii="Arial" w:hAnsi="Arial" w:cs="Arial"/>
          <w:sz w:val="20"/>
          <w:szCs w:val="20"/>
        </w:rPr>
        <w:tab/>
      </w:r>
      <w:r w:rsidR="005855A9" w:rsidRPr="003E7BDA">
        <w:rPr>
          <w:rFonts w:ascii="Arial" w:hAnsi="Arial" w:cs="Arial"/>
          <w:sz w:val="20"/>
          <w:szCs w:val="20"/>
        </w:rPr>
        <w:tab/>
      </w:r>
    </w:p>
    <w:p w14:paraId="49AE996A" w14:textId="1A05755F" w:rsidR="005855A9" w:rsidRPr="003E7BDA" w:rsidRDefault="005855A9" w:rsidP="00CF5EB1">
      <w:pPr>
        <w:ind w:left="720" w:firstLine="720"/>
        <w:rPr>
          <w:rFonts w:ascii="Arial" w:hAnsi="Arial" w:cs="Arial"/>
          <w:sz w:val="20"/>
          <w:szCs w:val="20"/>
        </w:rPr>
      </w:pPr>
      <w:r w:rsidRPr="003E7BDA">
        <w:rPr>
          <w:rFonts w:ascii="Arial" w:hAnsi="Arial" w:cs="Arial"/>
          <w:sz w:val="20"/>
          <w:szCs w:val="20"/>
        </w:rPr>
        <w:t>404-828-</w:t>
      </w:r>
      <w:r w:rsidR="005A04FD" w:rsidRPr="003E7BDA">
        <w:rPr>
          <w:rFonts w:ascii="Arial" w:hAnsi="Arial" w:cs="Arial"/>
          <w:sz w:val="20"/>
          <w:szCs w:val="20"/>
        </w:rPr>
        <w:t>8787</w:t>
      </w:r>
    </w:p>
    <w:p w14:paraId="4A4052B2" w14:textId="77777777" w:rsidR="00E57561" w:rsidRPr="003E7BDA" w:rsidRDefault="00E57561">
      <w:pPr>
        <w:pStyle w:val="Nadpis4"/>
        <w:spacing w:before="0" w:after="0"/>
        <w:ind w:left="720" w:firstLine="720"/>
        <w:rPr>
          <w:rFonts w:ascii="Arial" w:hAnsi="Arial" w:cs="Arial"/>
          <w:b w:val="0"/>
          <w:sz w:val="16"/>
          <w:szCs w:val="16"/>
        </w:rPr>
      </w:pPr>
    </w:p>
    <w:p w14:paraId="20B152AE" w14:textId="77777777" w:rsidR="005855A9" w:rsidRPr="003E7BDA" w:rsidRDefault="00ED434E">
      <w:pPr>
        <w:pStyle w:val="Nadpis4"/>
        <w:spacing w:before="0" w:after="0"/>
        <w:ind w:left="720" w:firstLine="720"/>
        <w:rPr>
          <w:rFonts w:ascii="Arial" w:hAnsi="Arial" w:cs="Arial"/>
          <w:b w:val="0"/>
          <w:sz w:val="20"/>
          <w:szCs w:val="20"/>
        </w:rPr>
      </w:pPr>
      <w:r w:rsidRPr="003E7BDA">
        <w:rPr>
          <w:rFonts w:ascii="Arial" w:hAnsi="Arial" w:cs="Arial"/>
          <w:b w:val="0"/>
          <w:sz w:val="20"/>
          <w:szCs w:val="20"/>
        </w:rPr>
        <w:t>Scott Childress</w:t>
      </w:r>
      <w:r w:rsidR="005855A9" w:rsidRPr="003E7BDA">
        <w:rPr>
          <w:rFonts w:ascii="Arial" w:hAnsi="Arial" w:cs="Arial"/>
          <w:b w:val="0"/>
          <w:sz w:val="20"/>
          <w:szCs w:val="20"/>
        </w:rPr>
        <w:t>, Investor Relations</w:t>
      </w:r>
    </w:p>
    <w:p w14:paraId="115F0281" w14:textId="77777777" w:rsidR="00CA31C8" w:rsidRDefault="005855A9">
      <w:pPr>
        <w:rPr>
          <w:rFonts w:ascii="Arial" w:hAnsi="Arial" w:cs="Arial"/>
          <w:sz w:val="20"/>
          <w:szCs w:val="20"/>
        </w:rPr>
      </w:pPr>
      <w:r w:rsidRPr="003E7BDA">
        <w:rPr>
          <w:rFonts w:ascii="Arial" w:hAnsi="Arial" w:cs="Arial"/>
          <w:sz w:val="20"/>
          <w:szCs w:val="20"/>
        </w:rPr>
        <w:tab/>
      </w:r>
      <w:r w:rsidRPr="003E7BDA">
        <w:rPr>
          <w:rFonts w:ascii="Arial" w:hAnsi="Arial" w:cs="Arial"/>
          <w:sz w:val="20"/>
          <w:szCs w:val="20"/>
        </w:rPr>
        <w:tab/>
        <w:t>404-828-</w:t>
      </w:r>
      <w:r w:rsidR="00ED434E" w:rsidRPr="003E7BDA">
        <w:rPr>
          <w:rFonts w:ascii="Arial" w:hAnsi="Arial" w:cs="Arial"/>
          <w:sz w:val="20"/>
          <w:szCs w:val="20"/>
        </w:rPr>
        <w:t>7957</w:t>
      </w:r>
    </w:p>
    <w:p w14:paraId="4DBD92C9" w14:textId="6C4AEC7A" w:rsidR="005855A9" w:rsidRPr="003E7BDA" w:rsidRDefault="005855A9">
      <w:pPr>
        <w:rPr>
          <w:rFonts w:ascii="Arial" w:hAnsi="Arial" w:cs="Arial"/>
          <w:sz w:val="20"/>
          <w:szCs w:val="20"/>
        </w:rPr>
      </w:pP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r w:rsidRPr="003E7BDA">
        <w:rPr>
          <w:rFonts w:ascii="Arial" w:hAnsi="Arial" w:cs="Arial"/>
          <w:sz w:val="20"/>
          <w:szCs w:val="20"/>
        </w:rPr>
        <w:tab/>
      </w:r>
    </w:p>
    <w:p w14:paraId="30AF31F8" w14:textId="77777777" w:rsidR="00CA31C8" w:rsidRPr="008159CD" w:rsidRDefault="005855A9" w:rsidP="00CA31C8">
      <w:pPr>
        <w:pStyle w:val="Normlnweb"/>
        <w:tabs>
          <w:tab w:val="left" w:pos="1134"/>
        </w:tabs>
        <w:spacing w:before="0" w:beforeAutospacing="0" w:after="0" w:afterAutospacing="0"/>
        <w:rPr>
          <w:rFonts w:ascii="Arial" w:hAnsi="Arial" w:cs="Arial"/>
          <w:sz w:val="20"/>
          <w:szCs w:val="20"/>
        </w:rPr>
      </w:pPr>
      <w:r w:rsidRPr="003E7BDA">
        <w:rPr>
          <w:rFonts w:ascii="Arial" w:hAnsi="Arial" w:cs="Arial"/>
          <w:sz w:val="20"/>
          <w:szCs w:val="20"/>
        </w:rPr>
        <w:tab/>
      </w:r>
      <w:r w:rsidR="00CA31C8">
        <w:rPr>
          <w:rFonts w:ascii="Arial" w:hAnsi="Arial" w:cs="Arial"/>
          <w:sz w:val="20"/>
          <w:szCs w:val="20"/>
        </w:rPr>
        <w:tab/>
      </w:r>
      <w:r w:rsidR="00CA31C8" w:rsidRPr="008159CD">
        <w:rPr>
          <w:rFonts w:ascii="Arial" w:hAnsi="Arial" w:cs="Arial"/>
          <w:sz w:val="20"/>
          <w:szCs w:val="20"/>
        </w:rPr>
        <w:t xml:space="preserve">Karla </w:t>
      </w:r>
      <w:proofErr w:type="spellStart"/>
      <w:r w:rsidR="00CA31C8" w:rsidRPr="008159CD">
        <w:rPr>
          <w:rFonts w:ascii="Arial" w:hAnsi="Arial" w:cs="Arial"/>
          <w:sz w:val="20"/>
          <w:szCs w:val="20"/>
        </w:rPr>
        <w:t>Krejčí</w:t>
      </w:r>
      <w:proofErr w:type="spellEnd"/>
      <w:r w:rsidR="00CA31C8" w:rsidRPr="008159CD">
        <w:rPr>
          <w:rFonts w:ascii="Arial" w:hAnsi="Arial" w:cs="Arial"/>
          <w:sz w:val="20"/>
          <w:szCs w:val="20"/>
        </w:rPr>
        <w:t>, Donath Business &amp; Media</w:t>
      </w:r>
      <w:r w:rsidR="00CA31C8" w:rsidRPr="007160A1">
        <w:rPr>
          <w:rFonts w:ascii="Arial" w:hAnsi="Arial" w:cs="Arial"/>
          <w:noProof/>
          <w:sz w:val="22"/>
        </w:rPr>
        <w:t xml:space="preserve"> </w:t>
      </w:r>
    </w:p>
    <w:p w14:paraId="4C1CD727" w14:textId="0F269A7D" w:rsidR="00CA31C8" w:rsidRPr="00CA31C8" w:rsidRDefault="00CA31C8" w:rsidP="00CA31C8">
      <w:pPr>
        <w:pStyle w:val="Normlnweb"/>
        <w:tabs>
          <w:tab w:val="left" w:pos="1134"/>
        </w:tabs>
        <w:spacing w:before="0" w:beforeAutospacing="0" w:after="0" w:afterAutospacing="0"/>
        <w:rPr>
          <w:rFonts w:ascii="Arial" w:hAnsi="Arial" w:cs="Arial"/>
          <w:sz w:val="20"/>
          <w:szCs w:val="20"/>
        </w:rPr>
      </w:pPr>
      <w:r>
        <w:rPr>
          <w:rFonts w:ascii="Arial" w:hAnsi="Arial" w:cs="Arial"/>
          <w:sz w:val="20"/>
          <w:szCs w:val="20"/>
        </w:rPr>
        <w:tab/>
      </w:r>
      <w:r>
        <w:rPr>
          <w:rFonts w:ascii="Arial" w:hAnsi="Arial" w:cs="Arial"/>
          <w:sz w:val="20"/>
          <w:szCs w:val="20"/>
        </w:rPr>
        <w:tab/>
      </w:r>
      <w:r w:rsidRPr="00CA31C8">
        <w:rPr>
          <w:rFonts w:ascii="Arial" w:hAnsi="Arial" w:cs="Arial"/>
          <w:sz w:val="20"/>
          <w:szCs w:val="20"/>
        </w:rPr>
        <w:t>+420 224 211</w:t>
      </w:r>
      <w:r>
        <w:rPr>
          <w:rFonts w:ascii="Arial" w:hAnsi="Arial" w:cs="Arial"/>
          <w:sz w:val="20"/>
          <w:szCs w:val="20"/>
        </w:rPr>
        <w:t> </w:t>
      </w:r>
      <w:r w:rsidRPr="00CA31C8">
        <w:rPr>
          <w:rFonts w:ascii="Arial" w:hAnsi="Arial" w:cs="Arial"/>
          <w:sz w:val="20"/>
          <w:szCs w:val="20"/>
        </w:rPr>
        <w:t>220</w:t>
      </w:r>
    </w:p>
    <w:p w14:paraId="0976C7C4" w14:textId="6C56730B" w:rsidR="00CA31C8" w:rsidRPr="00CA31C8" w:rsidRDefault="00CA31C8" w:rsidP="00CA31C8">
      <w:pPr>
        <w:ind w:left="1134" w:firstLine="306"/>
        <w:rPr>
          <w:rFonts w:ascii="Arial" w:hAnsi="Arial" w:cs="Arial"/>
          <w:sz w:val="20"/>
          <w:szCs w:val="20"/>
        </w:rPr>
      </w:pPr>
      <w:hyperlink r:id="rId9" w:history="1">
        <w:r w:rsidRPr="005931AD">
          <w:rPr>
            <w:rStyle w:val="Hypertextovodkaz"/>
            <w:rFonts w:ascii="Arial" w:hAnsi="Arial" w:cs="Arial"/>
            <w:sz w:val="20"/>
            <w:szCs w:val="20"/>
          </w:rPr>
          <w:t>karla.krejci@dbm.cz</w:t>
        </w:r>
      </w:hyperlink>
    </w:p>
    <w:p w14:paraId="2CDA6074" w14:textId="77777777" w:rsidR="00CA31C8" w:rsidRPr="00CA31C8" w:rsidRDefault="00CA31C8" w:rsidP="00CA31C8">
      <w:pPr>
        <w:rPr>
          <w:rFonts w:ascii="Arial" w:hAnsi="Arial" w:cs="Arial"/>
          <w:color w:val="000000"/>
          <w:sz w:val="20"/>
          <w:szCs w:val="20"/>
          <w:lang w:val="fr-FR"/>
        </w:rPr>
      </w:pPr>
    </w:p>
    <w:p w14:paraId="7CB4FDFC" w14:textId="50B30919" w:rsidR="0077335C" w:rsidRPr="003E7BDA" w:rsidRDefault="0077335C" w:rsidP="007B357E">
      <w:pPr>
        <w:rPr>
          <w:rFonts w:ascii="Arial" w:hAnsi="Arial" w:cs="Arial"/>
          <w:sz w:val="18"/>
          <w:szCs w:val="22"/>
        </w:rPr>
      </w:pPr>
    </w:p>
    <w:p w14:paraId="4680AC00" w14:textId="77777777" w:rsidR="00CC13C8" w:rsidRPr="003E7BDA" w:rsidRDefault="00CC13C8" w:rsidP="00CC13C8">
      <w:pPr>
        <w:rPr>
          <w:rFonts w:ascii="Arial" w:hAnsi="Arial" w:cs="Arial"/>
          <w:sz w:val="18"/>
          <w:szCs w:val="22"/>
        </w:rPr>
      </w:pPr>
    </w:p>
    <w:p w14:paraId="515354CA" w14:textId="77777777" w:rsidR="00791139" w:rsidRDefault="00791139" w:rsidP="00791139">
      <w:pPr>
        <w:jc w:val="center"/>
        <w:rPr>
          <w:rFonts w:ascii="Arial" w:hAnsi="Arial" w:cs="Arial"/>
          <w:b/>
          <w:sz w:val="32"/>
          <w:szCs w:val="32"/>
        </w:rPr>
      </w:pPr>
      <w:r>
        <w:rPr>
          <w:rFonts w:ascii="Arial" w:hAnsi="Arial" w:cs="Arial"/>
          <w:b/>
          <w:sz w:val="32"/>
          <w:szCs w:val="32"/>
        </w:rPr>
        <w:t>UPS RELEASES 4Q 2019 EARNINGS</w:t>
      </w:r>
    </w:p>
    <w:p w14:paraId="04E8AC98" w14:textId="77777777" w:rsidR="003C1725" w:rsidRPr="00E1078D" w:rsidRDefault="003C1725">
      <w:pPr>
        <w:rPr>
          <w:rFonts w:ascii="Arial" w:hAnsi="Arial" w:cs="Arial"/>
          <w:b/>
        </w:rPr>
      </w:pPr>
    </w:p>
    <w:p w14:paraId="6D31E336" w14:textId="77777777" w:rsidR="002442F3" w:rsidRDefault="002442F3" w:rsidP="003C1725">
      <w:pPr>
        <w:ind w:left="90" w:right="-90"/>
        <w:jc w:val="center"/>
        <w:rPr>
          <w:rFonts w:ascii="Arial" w:hAnsi="Arial" w:cs="Arial"/>
          <w:i/>
        </w:rPr>
      </w:pPr>
      <w:r>
        <w:rPr>
          <w:rFonts w:ascii="Arial" w:hAnsi="Arial" w:cs="Arial"/>
          <w:i/>
        </w:rPr>
        <w:t xml:space="preserve">Execution, </w:t>
      </w:r>
      <w:r w:rsidR="00B358D9" w:rsidRPr="00E1078D">
        <w:rPr>
          <w:rFonts w:ascii="Arial" w:hAnsi="Arial" w:cs="Arial"/>
          <w:i/>
        </w:rPr>
        <w:t>St</w:t>
      </w:r>
      <w:r w:rsidR="00AF12B4">
        <w:rPr>
          <w:rFonts w:ascii="Arial" w:hAnsi="Arial" w:cs="Arial"/>
          <w:i/>
        </w:rPr>
        <w:t>rategies</w:t>
      </w:r>
      <w:r>
        <w:rPr>
          <w:rFonts w:ascii="Arial" w:hAnsi="Arial" w:cs="Arial"/>
          <w:i/>
        </w:rPr>
        <w:t xml:space="preserve"> and Investments Drive Continued Gains</w:t>
      </w:r>
    </w:p>
    <w:p w14:paraId="2DE67DF6" w14:textId="77777777" w:rsidR="003C1725" w:rsidRPr="00E1078D" w:rsidRDefault="002442F3" w:rsidP="003C1725">
      <w:pPr>
        <w:ind w:left="90" w:right="-90"/>
        <w:jc w:val="center"/>
        <w:rPr>
          <w:rFonts w:ascii="Arial" w:hAnsi="Arial" w:cs="Arial"/>
          <w:i/>
        </w:rPr>
      </w:pPr>
      <w:r>
        <w:rPr>
          <w:rFonts w:ascii="Arial" w:hAnsi="Arial" w:cs="Arial"/>
          <w:i/>
        </w:rPr>
        <w:t xml:space="preserve"> </w:t>
      </w:r>
      <w:r w:rsidR="00B358D9" w:rsidRPr="00E1078D">
        <w:rPr>
          <w:rFonts w:ascii="Arial" w:hAnsi="Arial" w:cs="Arial"/>
          <w:i/>
        </w:rPr>
        <w:t>and Uniquely Position UPS for Future Success</w:t>
      </w:r>
    </w:p>
    <w:p w14:paraId="7E7B1D35" w14:textId="77777777" w:rsidR="00B358D9" w:rsidRPr="00E1078D" w:rsidRDefault="00B358D9" w:rsidP="003C1725">
      <w:pPr>
        <w:ind w:left="90" w:right="-90"/>
        <w:jc w:val="center"/>
        <w:rPr>
          <w:rFonts w:ascii="Arial" w:hAnsi="Arial" w:cs="Arial"/>
          <w:i/>
        </w:rPr>
      </w:pPr>
    </w:p>
    <w:p w14:paraId="60D26C02" w14:textId="04767C1B" w:rsidR="00D2634F" w:rsidRPr="009009FC" w:rsidRDefault="00B05680" w:rsidP="00D2634F">
      <w:pPr>
        <w:pStyle w:val="Odstavecseseznamem"/>
        <w:numPr>
          <w:ilvl w:val="0"/>
          <w:numId w:val="1"/>
        </w:numPr>
        <w:ind w:left="450" w:right="-90"/>
        <w:rPr>
          <w:rFonts w:ascii="Arial" w:hAnsi="Arial" w:cs="Arial"/>
          <w:b/>
          <w:i/>
        </w:rPr>
      </w:pPr>
      <w:r w:rsidRPr="009009FC">
        <w:rPr>
          <w:rFonts w:ascii="Arial" w:hAnsi="Arial" w:cs="Arial"/>
          <w:b/>
          <w:i/>
        </w:rPr>
        <w:t xml:space="preserve">4Q19 </w:t>
      </w:r>
      <w:r w:rsidR="001212F8" w:rsidRPr="009009FC">
        <w:rPr>
          <w:rFonts w:ascii="Arial" w:hAnsi="Arial" w:cs="Arial"/>
          <w:b/>
          <w:i/>
        </w:rPr>
        <w:t>Operating Profit Growth and Margin Expansion in All Segments</w:t>
      </w:r>
    </w:p>
    <w:p w14:paraId="77886DF9" w14:textId="77777777" w:rsidR="0084695D" w:rsidRPr="009009FC" w:rsidRDefault="0084695D" w:rsidP="0084695D">
      <w:pPr>
        <w:pStyle w:val="Odstavecseseznamem"/>
        <w:numPr>
          <w:ilvl w:val="0"/>
          <w:numId w:val="7"/>
        </w:numPr>
        <w:ind w:left="450" w:right="-90"/>
        <w:rPr>
          <w:rFonts w:ascii="Arial" w:hAnsi="Arial" w:cs="Arial"/>
          <w:b/>
          <w:i/>
        </w:rPr>
      </w:pPr>
      <w:r w:rsidRPr="009009FC">
        <w:rPr>
          <w:rFonts w:ascii="Arial" w:hAnsi="Arial" w:cs="Arial"/>
          <w:b/>
          <w:i/>
        </w:rPr>
        <w:t>4Q19 Positive Operating Leverage Driven by Lower Unit Cost in the U.S.</w:t>
      </w:r>
    </w:p>
    <w:p w14:paraId="03867C45" w14:textId="77777777" w:rsidR="00D2634F" w:rsidRPr="009009FC" w:rsidRDefault="00D2634F" w:rsidP="002442F3">
      <w:pPr>
        <w:pStyle w:val="Odstavecseseznamem"/>
        <w:numPr>
          <w:ilvl w:val="0"/>
          <w:numId w:val="7"/>
        </w:numPr>
        <w:ind w:left="450" w:right="-90"/>
        <w:rPr>
          <w:rFonts w:ascii="Arial" w:hAnsi="Arial" w:cs="Arial"/>
          <w:b/>
          <w:i/>
        </w:rPr>
      </w:pPr>
      <w:r w:rsidRPr="009009FC">
        <w:rPr>
          <w:rFonts w:ascii="Arial" w:hAnsi="Arial" w:cs="Arial"/>
          <w:b/>
          <w:i/>
        </w:rPr>
        <w:t>4Q19 Diluted EPS of ($0.12); Adjusted* Diluted 4Q</w:t>
      </w:r>
      <w:r w:rsidR="00E439F8" w:rsidRPr="009009FC">
        <w:rPr>
          <w:rFonts w:ascii="Arial" w:hAnsi="Arial" w:cs="Arial"/>
          <w:b/>
          <w:i/>
        </w:rPr>
        <w:t>19</w:t>
      </w:r>
      <w:r w:rsidRPr="009009FC">
        <w:rPr>
          <w:rFonts w:ascii="Arial" w:hAnsi="Arial" w:cs="Arial"/>
          <w:b/>
          <w:i/>
        </w:rPr>
        <w:t xml:space="preserve"> EPS Up 8.8% to $2.11</w:t>
      </w:r>
    </w:p>
    <w:p w14:paraId="595A19FD" w14:textId="0C66A713" w:rsidR="002442F3" w:rsidRPr="009009FC" w:rsidRDefault="00B05680" w:rsidP="002442F3">
      <w:pPr>
        <w:pStyle w:val="Odstavecseseznamem"/>
        <w:numPr>
          <w:ilvl w:val="0"/>
          <w:numId w:val="7"/>
        </w:numPr>
        <w:ind w:left="450" w:right="-90"/>
        <w:rPr>
          <w:rFonts w:ascii="Arial" w:hAnsi="Arial" w:cs="Arial"/>
          <w:b/>
          <w:i/>
        </w:rPr>
      </w:pPr>
      <w:r w:rsidRPr="009009FC">
        <w:rPr>
          <w:rFonts w:ascii="Arial" w:hAnsi="Arial" w:cs="Arial"/>
          <w:b/>
          <w:i/>
        </w:rPr>
        <w:t xml:space="preserve">4Q19 </w:t>
      </w:r>
      <w:r w:rsidR="002442F3" w:rsidRPr="009009FC">
        <w:rPr>
          <w:rFonts w:ascii="Arial" w:hAnsi="Arial" w:cs="Arial"/>
          <w:b/>
          <w:i/>
        </w:rPr>
        <w:t xml:space="preserve">U.S. Daily Volume Grew Nearly 9%; Next Day Air Volume </w:t>
      </w:r>
      <w:r w:rsidR="00A24CD5">
        <w:rPr>
          <w:rFonts w:ascii="Arial" w:hAnsi="Arial" w:cs="Arial"/>
          <w:b/>
          <w:i/>
        </w:rPr>
        <w:t>Up</w:t>
      </w:r>
      <w:r w:rsidR="002442F3" w:rsidRPr="009009FC">
        <w:rPr>
          <w:rFonts w:ascii="Arial" w:hAnsi="Arial" w:cs="Arial"/>
          <w:b/>
          <w:i/>
        </w:rPr>
        <w:t xml:space="preserve"> Nearly 26%</w:t>
      </w:r>
    </w:p>
    <w:p w14:paraId="5990E5FB" w14:textId="77777777" w:rsidR="000E6EAA" w:rsidRPr="009009FC" w:rsidRDefault="00D50D7E" w:rsidP="00242B67">
      <w:pPr>
        <w:pStyle w:val="Odstavecseseznamem"/>
        <w:numPr>
          <w:ilvl w:val="0"/>
          <w:numId w:val="7"/>
        </w:numPr>
        <w:ind w:left="450" w:right="-90"/>
        <w:rPr>
          <w:rFonts w:ascii="Arial" w:hAnsi="Arial" w:cs="Arial"/>
          <w:szCs w:val="20"/>
        </w:rPr>
      </w:pPr>
      <w:r w:rsidRPr="009009FC">
        <w:rPr>
          <w:rFonts w:ascii="Arial" w:hAnsi="Arial" w:cs="Arial"/>
          <w:b/>
          <w:i/>
        </w:rPr>
        <w:t>2019</w:t>
      </w:r>
      <w:r w:rsidR="00BE69E1" w:rsidRPr="009009FC">
        <w:rPr>
          <w:rFonts w:ascii="Arial" w:hAnsi="Arial" w:cs="Arial"/>
          <w:b/>
          <w:i/>
        </w:rPr>
        <w:t xml:space="preserve"> </w:t>
      </w:r>
      <w:r w:rsidRPr="009009FC">
        <w:rPr>
          <w:rFonts w:ascii="Arial" w:hAnsi="Arial" w:cs="Arial"/>
          <w:b/>
          <w:i/>
        </w:rPr>
        <w:t xml:space="preserve">Cash from Operations </w:t>
      </w:r>
      <w:r w:rsidR="00D71C3C" w:rsidRPr="009009FC">
        <w:rPr>
          <w:rFonts w:ascii="Arial" w:hAnsi="Arial" w:cs="Arial"/>
          <w:b/>
          <w:i/>
        </w:rPr>
        <w:t>of</w:t>
      </w:r>
      <w:r w:rsidR="00DB37B3" w:rsidRPr="009009FC">
        <w:rPr>
          <w:rFonts w:ascii="Arial" w:hAnsi="Arial" w:cs="Arial"/>
          <w:b/>
          <w:i/>
        </w:rPr>
        <w:t xml:space="preserve"> </w:t>
      </w:r>
      <w:r w:rsidR="00740BF1" w:rsidRPr="009009FC">
        <w:rPr>
          <w:rFonts w:ascii="Arial" w:hAnsi="Arial" w:cs="Arial"/>
          <w:b/>
          <w:i/>
        </w:rPr>
        <w:t>$8.6</w:t>
      </w:r>
      <w:r w:rsidRPr="009009FC">
        <w:rPr>
          <w:rFonts w:ascii="Arial" w:hAnsi="Arial" w:cs="Arial"/>
          <w:b/>
          <w:i/>
        </w:rPr>
        <w:t>B</w:t>
      </w:r>
      <w:r w:rsidR="00D71C3C" w:rsidRPr="009009FC">
        <w:rPr>
          <w:rFonts w:ascii="Arial" w:hAnsi="Arial" w:cs="Arial"/>
          <w:b/>
          <w:i/>
        </w:rPr>
        <w:t>;</w:t>
      </w:r>
      <w:r w:rsidR="00925804" w:rsidRPr="009009FC">
        <w:rPr>
          <w:rFonts w:ascii="Arial" w:hAnsi="Arial" w:cs="Arial"/>
          <w:b/>
          <w:i/>
        </w:rPr>
        <w:t xml:space="preserve"> A</w:t>
      </w:r>
      <w:r w:rsidR="00740BF1" w:rsidRPr="009009FC">
        <w:rPr>
          <w:rFonts w:ascii="Arial" w:hAnsi="Arial" w:cs="Arial"/>
          <w:b/>
          <w:i/>
        </w:rPr>
        <w:t xml:space="preserve">djusted Free Cash Flow </w:t>
      </w:r>
      <w:r w:rsidR="009F09AB" w:rsidRPr="009009FC">
        <w:rPr>
          <w:rFonts w:ascii="Arial" w:hAnsi="Arial" w:cs="Arial"/>
          <w:b/>
          <w:i/>
        </w:rPr>
        <w:t>Topped</w:t>
      </w:r>
      <w:r w:rsidR="00D2634F" w:rsidRPr="009009FC">
        <w:rPr>
          <w:rFonts w:ascii="Arial" w:hAnsi="Arial" w:cs="Arial"/>
          <w:b/>
          <w:i/>
        </w:rPr>
        <w:t xml:space="preserve"> </w:t>
      </w:r>
      <w:r w:rsidR="0093374F" w:rsidRPr="009009FC">
        <w:rPr>
          <w:rFonts w:ascii="Arial" w:hAnsi="Arial" w:cs="Arial"/>
          <w:b/>
          <w:i/>
        </w:rPr>
        <w:t>$</w:t>
      </w:r>
      <w:r w:rsidR="00740BF1" w:rsidRPr="009009FC">
        <w:rPr>
          <w:rFonts w:ascii="Arial" w:hAnsi="Arial" w:cs="Arial"/>
          <w:b/>
          <w:i/>
        </w:rPr>
        <w:t>4.1</w:t>
      </w:r>
      <w:r w:rsidR="00DB37B3" w:rsidRPr="009009FC">
        <w:rPr>
          <w:rFonts w:ascii="Arial" w:hAnsi="Arial" w:cs="Arial"/>
          <w:b/>
          <w:i/>
        </w:rPr>
        <w:t>B</w:t>
      </w:r>
    </w:p>
    <w:p w14:paraId="394EBEC4" w14:textId="3775E6C6" w:rsidR="00AF1ACB" w:rsidRPr="00EA36BF" w:rsidRDefault="00BE69E1" w:rsidP="00242B67">
      <w:pPr>
        <w:pStyle w:val="Odstavecseseznamem"/>
        <w:numPr>
          <w:ilvl w:val="0"/>
          <w:numId w:val="7"/>
        </w:numPr>
        <w:ind w:left="450" w:right="-90"/>
        <w:rPr>
          <w:rFonts w:ascii="Arial" w:hAnsi="Arial" w:cs="Arial"/>
          <w:szCs w:val="20"/>
        </w:rPr>
      </w:pPr>
      <w:r w:rsidRPr="00EA36BF">
        <w:rPr>
          <w:rFonts w:ascii="Arial" w:hAnsi="Arial" w:cs="Arial"/>
          <w:b/>
          <w:i/>
        </w:rPr>
        <w:t xml:space="preserve">Announces Full-Year 2020 Adjusted EPS Guidance Range of </w:t>
      </w:r>
      <w:r w:rsidR="009D6C2B" w:rsidRPr="00EA36BF">
        <w:rPr>
          <w:rFonts w:ascii="Arial" w:hAnsi="Arial" w:cs="Arial"/>
          <w:b/>
          <w:i/>
        </w:rPr>
        <w:t>$7.76 to $8.06</w:t>
      </w:r>
    </w:p>
    <w:p w14:paraId="21BC3606" w14:textId="496496A2" w:rsidR="000E6EAA" w:rsidRPr="00EA36BF" w:rsidRDefault="004D4DB9" w:rsidP="00CE1B73">
      <w:pPr>
        <w:pStyle w:val="Odstavecseseznamem"/>
        <w:numPr>
          <w:ilvl w:val="0"/>
          <w:numId w:val="7"/>
        </w:numPr>
        <w:ind w:left="450" w:right="-90"/>
      </w:pPr>
      <w:r w:rsidRPr="00EA36BF">
        <w:rPr>
          <w:rFonts w:ascii="Arial" w:hAnsi="Arial" w:cs="Arial"/>
          <w:b/>
          <w:i/>
          <w:szCs w:val="20"/>
        </w:rPr>
        <w:t xml:space="preserve">Speeding </w:t>
      </w:r>
      <w:r w:rsidR="00993C1A" w:rsidRPr="00EA36BF">
        <w:rPr>
          <w:rFonts w:ascii="Arial" w:hAnsi="Arial" w:cs="Arial"/>
          <w:b/>
          <w:i/>
          <w:szCs w:val="20"/>
        </w:rPr>
        <w:t xml:space="preserve">up </w:t>
      </w:r>
      <w:r w:rsidRPr="00EA36BF">
        <w:rPr>
          <w:rFonts w:ascii="Arial" w:hAnsi="Arial" w:cs="Arial"/>
          <w:b/>
          <w:i/>
          <w:szCs w:val="20"/>
        </w:rPr>
        <w:t xml:space="preserve">time-in-transit and broadening weekend services </w:t>
      </w:r>
      <w:r w:rsidR="00AF1ACB" w:rsidRPr="00EA36BF">
        <w:rPr>
          <w:rFonts w:ascii="Arial" w:hAnsi="Arial" w:cs="Arial"/>
          <w:b/>
          <w:i/>
          <w:szCs w:val="20"/>
        </w:rPr>
        <w:t xml:space="preserve">in 2020 </w:t>
      </w:r>
      <w:r w:rsidRPr="00EA36BF">
        <w:rPr>
          <w:rFonts w:ascii="Arial" w:hAnsi="Arial" w:cs="Arial"/>
          <w:b/>
          <w:i/>
          <w:szCs w:val="20"/>
        </w:rPr>
        <w:t xml:space="preserve">to capture profitable </w:t>
      </w:r>
      <w:r w:rsidR="00A24CD5">
        <w:rPr>
          <w:rFonts w:ascii="Arial" w:hAnsi="Arial" w:cs="Arial"/>
          <w:b/>
          <w:i/>
          <w:szCs w:val="20"/>
        </w:rPr>
        <w:t xml:space="preserve">growth from </w:t>
      </w:r>
      <w:r w:rsidRPr="00EA36BF">
        <w:rPr>
          <w:rFonts w:ascii="Arial" w:hAnsi="Arial" w:cs="Arial"/>
          <w:b/>
          <w:i/>
          <w:szCs w:val="20"/>
        </w:rPr>
        <w:t>S</w:t>
      </w:r>
      <w:r w:rsidR="00A24CD5">
        <w:rPr>
          <w:rFonts w:ascii="Arial" w:hAnsi="Arial" w:cs="Arial"/>
          <w:b/>
          <w:i/>
          <w:szCs w:val="20"/>
        </w:rPr>
        <w:t>mall- and Medium-sized Businesses (SMB)</w:t>
      </w:r>
    </w:p>
    <w:p w14:paraId="4C715746" w14:textId="77777777" w:rsidR="00F611B3" w:rsidRPr="009009FC" w:rsidRDefault="00F611B3" w:rsidP="000E6EAA">
      <w:pPr>
        <w:pStyle w:val="Odstavecseseznamem"/>
        <w:ind w:left="540"/>
        <w:rPr>
          <w:rFonts w:ascii="Arial" w:hAnsi="Arial" w:cs="Arial"/>
          <w:szCs w:val="20"/>
        </w:rPr>
      </w:pPr>
    </w:p>
    <w:p w14:paraId="332E0321" w14:textId="2A331486" w:rsidR="00C27D1C" w:rsidRPr="009009FC" w:rsidRDefault="004F5DA4" w:rsidP="000E624D">
      <w:pPr>
        <w:rPr>
          <w:rFonts w:ascii="Arial" w:hAnsi="Arial" w:cs="Arial"/>
          <w:sz w:val="22"/>
        </w:rPr>
      </w:pPr>
      <w:r w:rsidRPr="009009FC">
        <w:rPr>
          <w:rFonts w:ascii="Arial" w:hAnsi="Arial" w:cs="Arial"/>
          <w:b/>
        </w:rPr>
        <w:t>A</w:t>
      </w:r>
      <w:r w:rsidR="006376D6" w:rsidRPr="009009FC">
        <w:rPr>
          <w:rFonts w:ascii="Arial" w:hAnsi="Arial" w:cs="Arial"/>
          <w:b/>
        </w:rPr>
        <w:t xml:space="preserve">TLANTA </w:t>
      </w:r>
      <w:r w:rsidR="00456224" w:rsidRPr="009009FC">
        <w:rPr>
          <w:rFonts w:ascii="Arial" w:hAnsi="Arial" w:cs="Arial"/>
          <w:b/>
        </w:rPr>
        <w:t>–</w:t>
      </w:r>
      <w:r w:rsidR="005855A9" w:rsidRPr="009009FC">
        <w:rPr>
          <w:rFonts w:ascii="Arial" w:hAnsi="Arial" w:cs="Arial"/>
          <w:b/>
        </w:rPr>
        <w:t xml:space="preserve"> </w:t>
      </w:r>
      <w:r w:rsidR="00D50D7E" w:rsidRPr="009009FC">
        <w:rPr>
          <w:rFonts w:ascii="Arial" w:hAnsi="Arial" w:cs="Arial"/>
          <w:b/>
        </w:rPr>
        <w:t>January 30, 2020</w:t>
      </w:r>
      <w:r w:rsidR="005855A9" w:rsidRPr="009009FC">
        <w:rPr>
          <w:rFonts w:ascii="Arial" w:hAnsi="Arial" w:cs="Arial"/>
          <w:sz w:val="22"/>
        </w:rPr>
        <w:t xml:space="preserve"> – UPS (NYSE:UPS) today </w:t>
      </w:r>
      <w:r w:rsidR="00B47330" w:rsidRPr="009009FC">
        <w:rPr>
          <w:rFonts w:ascii="Arial" w:hAnsi="Arial" w:cs="Arial"/>
          <w:sz w:val="22"/>
        </w:rPr>
        <w:t xml:space="preserve">announced </w:t>
      </w:r>
      <w:r w:rsidR="00BE69E1" w:rsidRPr="009009FC">
        <w:rPr>
          <w:rFonts w:ascii="Arial" w:hAnsi="Arial" w:cs="Arial"/>
          <w:sz w:val="22"/>
        </w:rPr>
        <w:t>fourth</w:t>
      </w:r>
      <w:r w:rsidR="00A93D14" w:rsidRPr="009009FC">
        <w:rPr>
          <w:rFonts w:ascii="Arial" w:hAnsi="Arial" w:cs="Arial"/>
          <w:sz w:val="22"/>
        </w:rPr>
        <w:t>-</w:t>
      </w:r>
      <w:r w:rsidR="00C36109" w:rsidRPr="009009FC">
        <w:rPr>
          <w:rFonts w:ascii="Arial" w:hAnsi="Arial" w:cs="Arial"/>
          <w:sz w:val="22"/>
        </w:rPr>
        <w:t>quarter</w:t>
      </w:r>
      <w:r w:rsidR="000C772F" w:rsidRPr="009009FC">
        <w:rPr>
          <w:rFonts w:ascii="Arial" w:hAnsi="Arial" w:cs="Arial"/>
          <w:sz w:val="22"/>
        </w:rPr>
        <w:t xml:space="preserve"> </w:t>
      </w:r>
      <w:r w:rsidR="000009AD" w:rsidRPr="009009FC">
        <w:rPr>
          <w:rFonts w:ascii="Arial" w:hAnsi="Arial" w:cs="Arial"/>
          <w:sz w:val="22"/>
        </w:rPr>
        <w:t>2019</w:t>
      </w:r>
      <w:r w:rsidR="0015541E" w:rsidRPr="009009FC">
        <w:rPr>
          <w:rFonts w:ascii="Arial" w:hAnsi="Arial" w:cs="Arial"/>
          <w:sz w:val="22"/>
        </w:rPr>
        <w:t xml:space="preserve"> </w:t>
      </w:r>
      <w:r w:rsidR="00B7062A" w:rsidRPr="009009FC">
        <w:rPr>
          <w:rFonts w:ascii="Arial" w:hAnsi="Arial" w:cs="Arial"/>
          <w:sz w:val="22"/>
        </w:rPr>
        <w:t xml:space="preserve">adjusted </w:t>
      </w:r>
      <w:r w:rsidR="00D55C30" w:rsidRPr="009009FC">
        <w:rPr>
          <w:rFonts w:ascii="Arial" w:hAnsi="Arial" w:cs="Arial"/>
          <w:sz w:val="22"/>
        </w:rPr>
        <w:t>earning</w:t>
      </w:r>
      <w:r w:rsidR="00EE3DB1" w:rsidRPr="009009FC">
        <w:rPr>
          <w:rFonts w:ascii="Arial" w:hAnsi="Arial" w:cs="Arial"/>
          <w:sz w:val="22"/>
        </w:rPr>
        <w:t>s per share of $2.11, a</w:t>
      </w:r>
      <w:r w:rsidR="00E159EA" w:rsidRPr="009009FC">
        <w:rPr>
          <w:rFonts w:ascii="Arial" w:hAnsi="Arial" w:cs="Arial"/>
          <w:sz w:val="22"/>
        </w:rPr>
        <w:t>n</w:t>
      </w:r>
      <w:r w:rsidR="00EE3DB1" w:rsidRPr="009009FC">
        <w:rPr>
          <w:rFonts w:ascii="Arial" w:hAnsi="Arial" w:cs="Arial"/>
          <w:sz w:val="22"/>
        </w:rPr>
        <w:t xml:space="preserve"> 8.8</w:t>
      </w:r>
      <w:r w:rsidR="00763D9B" w:rsidRPr="009009FC">
        <w:rPr>
          <w:rFonts w:ascii="Arial" w:hAnsi="Arial" w:cs="Arial"/>
          <w:sz w:val="22"/>
        </w:rPr>
        <w:t>% increase over the same period last year</w:t>
      </w:r>
      <w:r w:rsidR="00B7062A" w:rsidRPr="009009FC">
        <w:rPr>
          <w:rFonts w:ascii="Arial" w:hAnsi="Arial" w:cs="Arial"/>
          <w:sz w:val="22"/>
        </w:rPr>
        <w:t xml:space="preserve">. </w:t>
      </w:r>
      <w:r w:rsidR="00F04CB9" w:rsidRPr="009009FC">
        <w:rPr>
          <w:rFonts w:ascii="Arial" w:hAnsi="Arial" w:cs="Arial"/>
          <w:sz w:val="22"/>
        </w:rPr>
        <w:t xml:space="preserve"> </w:t>
      </w:r>
      <w:r w:rsidR="003B1BF8" w:rsidRPr="009009FC">
        <w:rPr>
          <w:rFonts w:ascii="Arial" w:hAnsi="Arial" w:cs="Arial"/>
          <w:sz w:val="22"/>
        </w:rPr>
        <w:t xml:space="preserve">The company’s results highlight the strong volume growth in the U.S. Domestic segment and the impact of </w:t>
      </w:r>
      <w:r w:rsidR="00F015A3" w:rsidRPr="009009FC">
        <w:rPr>
          <w:rFonts w:ascii="Arial" w:hAnsi="Arial" w:cs="Arial"/>
          <w:sz w:val="22"/>
        </w:rPr>
        <w:t>successful</w:t>
      </w:r>
      <w:r w:rsidR="003B1BF8" w:rsidRPr="009009FC">
        <w:rPr>
          <w:rFonts w:ascii="Arial" w:hAnsi="Arial" w:cs="Arial"/>
          <w:sz w:val="22"/>
        </w:rPr>
        <w:t xml:space="preserve"> execution from all segments.</w:t>
      </w:r>
    </w:p>
    <w:p w14:paraId="073AD5A5" w14:textId="77777777" w:rsidR="009D7F9A" w:rsidRPr="009009FC" w:rsidRDefault="009D7F9A" w:rsidP="000E624D">
      <w:pPr>
        <w:rPr>
          <w:rFonts w:ascii="Arial" w:hAnsi="Arial" w:cs="Arial"/>
          <w:color w:val="FF0000"/>
          <w:sz w:val="22"/>
          <w:szCs w:val="22"/>
        </w:rPr>
      </w:pPr>
    </w:p>
    <w:p w14:paraId="7722C772" w14:textId="04063BBF" w:rsidR="00D55C30" w:rsidRPr="009009FC" w:rsidRDefault="007C6A90" w:rsidP="000E624D">
      <w:pPr>
        <w:rPr>
          <w:rFonts w:ascii="Arial" w:hAnsi="Arial" w:cs="Arial"/>
          <w:sz w:val="22"/>
        </w:rPr>
      </w:pPr>
      <w:r w:rsidRPr="009009FC">
        <w:rPr>
          <w:rFonts w:ascii="Arial" w:hAnsi="Arial" w:cs="Arial"/>
          <w:sz w:val="22"/>
        </w:rPr>
        <w:t>“</w:t>
      </w:r>
      <w:r w:rsidR="001B3D8F" w:rsidRPr="009009FC">
        <w:rPr>
          <w:rFonts w:ascii="Arial" w:hAnsi="Arial" w:cs="Arial"/>
          <w:sz w:val="22"/>
          <w:szCs w:val="22"/>
          <w:lang w:val="en"/>
        </w:rPr>
        <w:t>Our network improvements from transformation enabled UPS to embrace a surge in demand for air products while at the same time generate productivity improvements and positive operating leverage</w:t>
      </w:r>
      <w:r w:rsidRPr="009009FC">
        <w:rPr>
          <w:rFonts w:ascii="Arial" w:hAnsi="Arial" w:cs="Arial"/>
          <w:sz w:val="22"/>
        </w:rPr>
        <w:t>,” said David Abney, UPS chairman and CEO</w:t>
      </w:r>
      <w:r w:rsidR="00541809" w:rsidRPr="009009FC">
        <w:rPr>
          <w:rFonts w:ascii="Arial" w:hAnsi="Arial" w:cs="Arial"/>
          <w:sz w:val="22"/>
        </w:rPr>
        <w:t xml:space="preserve">. </w:t>
      </w:r>
      <w:r w:rsidR="00555DE9" w:rsidRPr="009009FC">
        <w:rPr>
          <w:rFonts w:ascii="Arial" w:hAnsi="Arial" w:cs="Arial"/>
          <w:sz w:val="22"/>
        </w:rPr>
        <w:t xml:space="preserve"> </w:t>
      </w:r>
      <w:r w:rsidRPr="009009FC">
        <w:rPr>
          <w:rFonts w:ascii="Arial" w:hAnsi="Arial" w:cs="Arial"/>
          <w:sz w:val="22"/>
        </w:rPr>
        <w:t>“</w:t>
      </w:r>
      <w:r w:rsidR="00454505" w:rsidRPr="009009FC">
        <w:rPr>
          <w:rFonts w:ascii="Arial" w:hAnsi="Arial" w:cs="Arial"/>
          <w:sz w:val="22"/>
        </w:rPr>
        <w:t>Looking to 2020, w</w:t>
      </w:r>
      <w:r w:rsidR="004918A3" w:rsidRPr="009009FC">
        <w:rPr>
          <w:rFonts w:ascii="Arial" w:hAnsi="Arial" w:cs="Arial"/>
          <w:sz w:val="22"/>
        </w:rPr>
        <w:t xml:space="preserve">e </w:t>
      </w:r>
      <w:r w:rsidR="00EB1A54" w:rsidRPr="009009FC">
        <w:rPr>
          <w:rFonts w:ascii="Arial" w:hAnsi="Arial" w:cs="Arial"/>
          <w:sz w:val="22"/>
        </w:rPr>
        <w:t xml:space="preserve">will </w:t>
      </w:r>
      <w:r w:rsidR="004918A3" w:rsidRPr="009009FC">
        <w:rPr>
          <w:rFonts w:ascii="Arial" w:hAnsi="Arial" w:cs="Arial"/>
          <w:sz w:val="22"/>
        </w:rPr>
        <w:t>continu</w:t>
      </w:r>
      <w:r w:rsidR="00EB1A54" w:rsidRPr="009009FC">
        <w:rPr>
          <w:rFonts w:ascii="Arial" w:hAnsi="Arial" w:cs="Arial"/>
          <w:sz w:val="22"/>
        </w:rPr>
        <w:t>e</w:t>
      </w:r>
      <w:r w:rsidR="004918A3" w:rsidRPr="009009FC">
        <w:rPr>
          <w:rFonts w:ascii="Arial" w:hAnsi="Arial" w:cs="Arial"/>
          <w:sz w:val="22"/>
        </w:rPr>
        <w:t xml:space="preserve"> to</w:t>
      </w:r>
      <w:r w:rsidR="00E2481B" w:rsidRPr="009009FC">
        <w:rPr>
          <w:rFonts w:ascii="Arial" w:hAnsi="Arial" w:cs="Arial"/>
          <w:sz w:val="22"/>
        </w:rPr>
        <w:t xml:space="preserve"> adapt to the changing environment</w:t>
      </w:r>
      <w:r w:rsidR="0050119C" w:rsidRPr="009009FC">
        <w:rPr>
          <w:rFonts w:ascii="Arial" w:hAnsi="Arial" w:cs="Arial"/>
          <w:sz w:val="22"/>
        </w:rPr>
        <w:t>, strengthen our</w:t>
      </w:r>
      <w:r w:rsidR="008F1532" w:rsidRPr="009009FC">
        <w:rPr>
          <w:rFonts w:ascii="Arial" w:hAnsi="Arial" w:cs="Arial"/>
          <w:sz w:val="22"/>
        </w:rPr>
        <w:t xml:space="preserve"> network </w:t>
      </w:r>
      <w:r w:rsidR="008F1532" w:rsidRPr="00EA36BF">
        <w:rPr>
          <w:rFonts w:ascii="Arial" w:hAnsi="Arial" w:cs="Arial"/>
          <w:sz w:val="22"/>
        </w:rPr>
        <w:t xml:space="preserve">and </w:t>
      </w:r>
      <w:r w:rsidR="0050119C" w:rsidRPr="00EA36BF">
        <w:rPr>
          <w:rFonts w:ascii="Arial" w:hAnsi="Arial" w:cs="Arial"/>
          <w:sz w:val="22"/>
        </w:rPr>
        <w:t xml:space="preserve">create </w:t>
      </w:r>
      <w:r w:rsidR="008F1532" w:rsidRPr="00EA36BF">
        <w:rPr>
          <w:rFonts w:ascii="Arial" w:hAnsi="Arial" w:cs="Arial"/>
          <w:sz w:val="22"/>
        </w:rPr>
        <w:t xml:space="preserve">new </w:t>
      </w:r>
      <w:r w:rsidR="00454505" w:rsidRPr="00EA36BF">
        <w:rPr>
          <w:rFonts w:ascii="Arial" w:hAnsi="Arial" w:cs="Arial"/>
          <w:sz w:val="22"/>
        </w:rPr>
        <w:t xml:space="preserve">solutions </w:t>
      </w:r>
      <w:r w:rsidR="007C1DA6" w:rsidRPr="00EA36BF">
        <w:rPr>
          <w:rFonts w:ascii="Arial" w:hAnsi="Arial" w:cs="Arial"/>
          <w:sz w:val="22"/>
        </w:rPr>
        <w:t xml:space="preserve">to </w:t>
      </w:r>
      <w:r w:rsidR="00B05680" w:rsidRPr="00EA36BF">
        <w:rPr>
          <w:rFonts w:ascii="Arial" w:hAnsi="Arial" w:cs="Arial"/>
          <w:sz w:val="22"/>
        </w:rPr>
        <w:t xml:space="preserve">support our strategic growth initiatives and </w:t>
      </w:r>
      <w:r w:rsidR="007C1DA6" w:rsidRPr="00EA36BF">
        <w:rPr>
          <w:rFonts w:ascii="Arial" w:hAnsi="Arial" w:cs="Arial"/>
          <w:sz w:val="22"/>
        </w:rPr>
        <w:t xml:space="preserve">help </w:t>
      </w:r>
      <w:r w:rsidR="00B05680" w:rsidRPr="00EA36BF">
        <w:rPr>
          <w:rFonts w:ascii="Arial" w:hAnsi="Arial" w:cs="Arial"/>
          <w:sz w:val="22"/>
        </w:rPr>
        <w:t>our customers</w:t>
      </w:r>
      <w:r w:rsidR="0084011B" w:rsidRPr="00EA36BF">
        <w:rPr>
          <w:rFonts w:ascii="Arial" w:hAnsi="Arial" w:cs="Arial"/>
          <w:sz w:val="22"/>
        </w:rPr>
        <w:t xml:space="preserve"> </w:t>
      </w:r>
      <w:r w:rsidR="001B3D8F" w:rsidRPr="00EA36BF">
        <w:rPr>
          <w:rFonts w:ascii="Arial" w:hAnsi="Arial" w:cs="Arial"/>
          <w:sz w:val="22"/>
        </w:rPr>
        <w:t xml:space="preserve">grow and </w:t>
      </w:r>
      <w:r w:rsidR="007C1DA6" w:rsidRPr="00EA36BF">
        <w:rPr>
          <w:rFonts w:ascii="Arial" w:hAnsi="Arial" w:cs="Arial"/>
          <w:sz w:val="22"/>
        </w:rPr>
        <w:t>compete</w:t>
      </w:r>
      <w:r w:rsidR="004918A3" w:rsidRPr="00EA36BF">
        <w:rPr>
          <w:rFonts w:ascii="Arial" w:hAnsi="Arial" w:cs="Arial"/>
          <w:sz w:val="22"/>
        </w:rPr>
        <w:t>.</w:t>
      </w:r>
      <w:r w:rsidR="00111F2F" w:rsidRPr="00EA36BF">
        <w:rPr>
          <w:rFonts w:ascii="Arial" w:hAnsi="Arial" w:cs="Arial"/>
          <w:sz w:val="22"/>
        </w:rPr>
        <w:t>”</w:t>
      </w:r>
      <w:r w:rsidR="00AF271E" w:rsidRPr="009009FC">
        <w:rPr>
          <w:rFonts w:ascii="Arial" w:hAnsi="Arial" w:cs="Arial"/>
          <w:sz w:val="22"/>
        </w:rPr>
        <w:t xml:space="preserve"> </w:t>
      </w:r>
    </w:p>
    <w:p w14:paraId="0C4A5C93" w14:textId="77777777" w:rsidR="00B60032" w:rsidRPr="009009FC" w:rsidRDefault="00B60032" w:rsidP="000E624D">
      <w:pPr>
        <w:rPr>
          <w:rFonts w:ascii="Arial" w:hAnsi="Arial" w:cs="Arial"/>
          <w:sz w:val="22"/>
        </w:rPr>
      </w:pPr>
    </w:p>
    <w:p w14:paraId="1BCE2622" w14:textId="49162E27" w:rsidR="00457E38" w:rsidRPr="009009FC" w:rsidRDefault="004E61C6" w:rsidP="00457E38">
      <w:pPr>
        <w:rPr>
          <w:rFonts w:ascii="Arial" w:hAnsi="Arial" w:cs="Arial"/>
          <w:sz w:val="22"/>
          <w:szCs w:val="22"/>
        </w:rPr>
      </w:pPr>
      <w:r w:rsidRPr="009009FC">
        <w:rPr>
          <w:rFonts w:ascii="Arial" w:hAnsi="Arial" w:cs="Arial"/>
          <w:sz w:val="22"/>
          <w:szCs w:val="22"/>
        </w:rPr>
        <w:t>In the</w:t>
      </w:r>
      <w:r w:rsidR="006460D1" w:rsidRPr="009009FC">
        <w:rPr>
          <w:rFonts w:ascii="Arial" w:hAnsi="Arial" w:cs="Arial"/>
          <w:sz w:val="22"/>
          <w:szCs w:val="22"/>
        </w:rPr>
        <w:t xml:space="preserve"> fourth</w:t>
      </w:r>
      <w:r w:rsidRPr="009009FC">
        <w:rPr>
          <w:rFonts w:ascii="Arial" w:hAnsi="Arial" w:cs="Arial"/>
          <w:sz w:val="22"/>
          <w:szCs w:val="22"/>
        </w:rPr>
        <w:t xml:space="preserve"> </w:t>
      </w:r>
      <w:r w:rsidR="006460D1" w:rsidRPr="009009FC">
        <w:rPr>
          <w:rFonts w:ascii="Arial" w:hAnsi="Arial" w:cs="Arial"/>
          <w:sz w:val="22"/>
          <w:szCs w:val="22"/>
        </w:rPr>
        <w:t xml:space="preserve">quarter </w:t>
      </w:r>
      <w:r w:rsidR="00EB1A54" w:rsidRPr="009009FC">
        <w:rPr>
          <w:rFonts w:ascii="Arial" w:hAnsi="Arial" w:cs="Arial"/>
          <w:sz w:val="22"/>
          <w:szCs w:val="22"/>
        </w:rPr>
        <w:t xml:space="preserve">of </w:t>
      </w:r>
      <w:r w:rsidR="006460D1" w:rsidRPr="009009FC">
        <w:rPr>
          <w:rFonts w:ascii="Arial" w:hAnsi="Arial" w:cs="Arial"/>
          <w:sz w:val="22"/>
          <w:szCs w:val="22"/>
        </w:rPr>
        <w:t xml:space="preserve">2019, </w:t>
      </w:r>
      <w:r w:rsidRPr="009009FC">
        <w:rPr>
          <w:rFonts w:ascii="Arial" w:hAnsi="Arial" w:cs="Arial"/>
          <w:sz w:val="22"/>
          <w:szCs w:val="22"/>
        </w:rPr>
        <w:t>the company incurred</w:t>
      </w:r>
      <w:r w:rsidR="006460D1" w:rsidRPr="009009FC">
        <w:rPr>
          <w:rFonts w:ascii="Arial" w:hAnsi="Arial" w:cs="Arial"/>
          <w:sz w:val="22"/>
          <w:szCs w:val="22"/>
        </w:rPr>
        <w:t xml:space="preserve"> a non-cash, after-tax mark-to-market (MTM) pension charge of $1.8 billion, an after-tax transformation charge of $39 million, and U.S. Domestic after-tax legal contingency and expense charges of $91 million, predominantly related to the New York cigarette case.  </w:t>
      </w:r>
      <w:r w:rsidR="00457E38" w:rsidRPr="009009FC">
        <w:rPr>
          <w:rFonts w:ascii="Arial" w:hAnsi="Arial" w:cs="Arial"/>
          <w:sz w:val="22"/>
          <w:szCs w:val="22"/>
        </w:rPr>
        <w:t>T</w:t>
      </w:r>
      <w:r w:rsidR="00555DE9" w:rsidRPr="009009FC">
        <w:rPr>
          <w:rFonts w:ascii="Arial" w:hAnsi="Arial" w:cs="Arial"/>
          <w:sz w:val="22"/>
          <w:szCs w:val="22"/>
        </w:rPr>
        <w:t>he t</w:t>
      </w:r>
      <w:r w:rsidR="00457E38" w:rsidRPr="009009FC">
        <w:rPr>
          <w:rFonts w:ascii="Arial" w:hAnsi="Arial" w:cs="Arial"/>
          <w:sz w:val="22"/>
          <w:szCs w:val="22"/>
        </w:rPr>
        <w:t>otal</w:t>
      </w:r>
      <w:r w:rsidR="00EE3DB1" w:rsidRPr="009009FC">
        <w:rPr>
          <w:rFonts w:ascii="Arial" w:hAnsi="Arial" w:cs="Arial"/>
          <w:sz w:val="22"/>
          <w:szCs w:val="22"/>
        </w:rPr>
        <w:t xml:space="preserve"> impact to EPS </w:t>
      </w:r>
      <w:r w:rsidRPr="009009FC">
        <w:rPr>
          <w:rFonts w:ascii="Arial" w:hAnsi="Arial" w:cs="Arial"/>
          <w:sz w:val="22"/>
          <w:szCs w:val="22"/>
        </w:rPr>
        <w:t xml:space="preserve">was </w:t>
      </w:r>
      <w:r w:rsidR="00EE3DB1" w:rsidRPr="009009FC">
        <w:rPr>
          <w:rFonts w:ascii="Arial" w:hAnsi="Arial" w:cs="Arial"/>
          <w:sz w:val="22"/>
          <w:szCs w:val="22"/>
        </w:rPr>
        <w:t>$2.23</w:t>
      </w:r>
      <w:r w:rsidR="00457E38" w:rsidRPr="009009FC">
        <w:rPr>
          <w:rFonts w:ascii="Arial" w:hAnsi="Arial" w:cs="Arial"/>
          <w:sz w:val="22"/>
          <w:szCs w:val="22"/>
        </w:rPr>
        <w:t xml:space="preserve"> per diluted share.  </w:t>
      </w:r>
      <w:r w:rsidR="007F724E" w:rsidRPr="009009FC">
        <w:rPr>
          <w:rFonts w:ascii="Arial" w:hAnsi="Arial" w:cs="Arial"/>
          <w:sz w:val="22"/>
          <w:szCs w:val="22"/>
        </w:rPr>
        <w:t>MTM</w:t>
      </w:r>
      <w:r w:rsidR="00457E38" w:rsidRPr="009009FC">
        <w:rPr>
          <w:rFonts w:ascii="Arial" w:hAnsi="Arial" w:cs="Arial"/>
          <w:sz w:val="22"/>
          <w:szCs w:val="22"/>
        </w:rPr>
        <w:t xml:space="preserve"> pension charges of $1.42 per diluted share were included in the </w:t>
      </w:r>
      <w:r w:rsidR="00DA76C7" w:rsidRPr="009009FC">
        <w:rPr>
          <w:rFonts w:ascii="Arial" w:hAnsi="Arial" w:cs="Arial"/>
          <w:sz w:val="22"/>
          <w:szCs w:val="22"/>
        </w:rPr>
        <w:t>c</w:t>
      </w:r>
      <w:r w:rsidR="00457E38" w:rsidRPr="009009FC">
        <w:rPr>
          <w:rFonts w:ascii="Arial" w:hAnsi="Arial" w:cs="Arial"/>
          <w:sz w:val="22"/>
          <w:szCs w:val="22"/>
        </w:rPr>
        <w:t xml:space="preserve">ompany’s </w:t>
      </w:r>
      <w:r w:rsidRPr="009009FC">
        <w:rPr>
          <w:rFonts w:ascii="Arial" w:hAnsi="Arial" w:cs="Arial"/>
          <w:sz w:val="22"/>
          <w:szCs w:val="22"/>
        </w:rPr>
        <w:t xml:space="preserve">fourth-quarter </w:t>
      </w:r>
      <w:r w:rsidR="00457E38" w:rsidRPr="009009FC">
        <w:rPr>
          <w:rFonts w:ascii="Arial" w:hAnsi="Arial" w:cs="Arial"/>
          <w:sz w:val="22"/>
          <w:szCs w:val="22"/>
        </w:rPr>
        <w:t>GAAP results in the prior-year period.</w:t>
      </w:r>
    </w:p>
    <w:p w14:paraId="4E9998B4" w14:textId="77777777" w:rsidR="006460D1" w:rsidRPr="009009FC" w:rsidRDefault="006460D1" w:rsidP="00457E38">
      <w:pPr>
        <w:rPr>
          <w:rFonts w:ascii="Arial" w:hAnsi="Arial" w:cs="Arial"/>
          <w:sz w:val="22"/>
          <w:szCs w:val="22"/>
        </w:rPr>
      </w:pPr>
    </w:p>
    <w:p w14:paraId="75840DA0" w14:textId="77777777" w:rsidR="00E77F05" w:rsidRPr="009009FC" w:rsidRDefault="00E77F05" w:rsidP="00C73DB7">
      <w:pPr>
        <w:rPr>
          <w:rFonts w:ascii="Arial" w:hAnsi="Arial" w:cs="Arial"/>
          <w:sz w:val="22"/>
        </w:rPr>
      </w:pPr>
    </w:p>
    <w:tbl>
      <w:tblPr>
        <w:tblStyle w:val="Mkatabulky"/>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8"/>
        <w:gridCol w:w="1359"/>
        <w:gridCol w:w="1630"/>
        <w:gridCol w:w="1595"/>
        <w:gridCol w:w="1404"/>
      </w:tblGrid>
      <w:tr w:rsidR="007E52AE" w:rsidRPr="009009FC" w14:paraId="55A1D2D4" w14:textId="77777777" w:rsidTr="00C73DB7">
        <w:trPr>
          <w:trHeight w:val="503"/>
        </w:trPr>
        <w:tc>
          <w:tcPr>
            <w:tcW w:w="3588" w:type="dxa"/>
          </w:tcPr>
          <w:p w14:paraId="660BA3F7" w14:textId="77777777" w:rsidR="007E52AE" w:rsidRPr="009009FC" w:rsidRDefault="007E52AE" w:rsidP="00723799">
            <w:pPr>
              <w:rPr>
                <w:rFonts w:ascii="Arial" w:hAnsi="Arial" w:cs="Arial"/>
                <w:b/>
                <w:sz w:val="20"/>
                <w:szCs w:val="22"/>
                <w:u w:val="single"/>
              </w:rPr>
            </w:pPr>
            <w:r w:rsidRPr="009009FC">
              <w:rPr>
                <w:rFonts w:ascii="Arial" w:hAnsi="Arial" w:cs="Arial"/>
                <w:b/>
                <w:sz w:val="20"/>
                <w:szCs w:val="22"/>
                <w:u w:val="single"/>
              </w:rPr>
              <w:t>Consolidated Results</w:t>
            </w:r>
          </w:p>
        </w:tc>
        <w:tc>
          <w:tcPr>
            <w:tcW w:w="1359" w:type="dxa"/>
          </w:tcPr>
          <w:p w14:paraId="679E29D9" w14:textId="77777777" w:rsidR="007E52AE" w:rsidRPr="009009FC" w:rsidRDefault="007E52AE" w:rsidP="005A5BC6">
            <w:pPr>
              <w:jc w:val="right"/>
              <w:rPr>
                <w:rFonts w:ascii="Arial" w:hAnsi="Arial" w:cs="Arial"/>
                <w:b/>
                <w:sz w:val="20"/>
                <w:szCs w:val="22"/>
                <w:u w:val="single"/>
              </w:rPr>
            </w:pPr>
          </w:p>
          <w:p w14:paraId="39B851FC" w14:textId="77777777" w:rsidR="007E52AE" w:rsidRPr="009009FC" w:rsidRDefault="006546D2">
            <w:pPr>
              <w:jc w:val="right"/>
              <w:rPr>
                <w:rFonts w:ascii="Arial" w:hAnsi="Arial" w:cs="Arial"/>
                <w:b/>
                <w:sz w:val="20"/>
                <w:szCs w:val="22"/>
                <w:u w:val="single"/>
              </w:rPr>
            </w:pPr>
            <w:r w:rsidRPr="009009FC">
              <w:rPr>
                <w:rFonts w:ascii="Arial" w:hAnsi="Arial" w:cs="Arial"/>
                <w:b/>
                <w:sz w:val="20"/>
                <w:szCs w:val="22"/>
                <w:u w:val="single"/>
              </w:rPr>
              <w:t>4</w:t>
            </w:r>
            <w:r w:rsidR="007E52AE" w:rsidRPr="009009FC">
              <w:rPr>
                <w:rFonts w:ascii="Arial" w:hAnsi="Arial" w:cs="Arial"/>
                <w:b/>
                <w:sz w:val="20"/>
                <w:szCs w:val="22"/>
                <w:u w:val="single"/>
              </w:rPr>
              <w:t>Q 2019</w:t>
            </w:r>
          </w:p>
        </w:tc>
        <w:tc>
          <w:tcPr>
            <w:tcW w:w="1630" w:type="dxa"/>
          </w:tcPr>
          <w:p w14:paraId="6F2DF674" w14:textId="77777777" w:rsidR="007E52AE" w:rsidRPr="009009FC" w:rsidRDefault="007E52AE" w:rsidP="005A5BC6">
            <w:pPr>
              <w:jc w:val="right"/>
              <w:rPr>
                <w:rFonts w:ascii="Arial" w:hAnsi="Arial" w:cs="Arial"/>
                <w:b/>
                <w:sz w:val="20"/>
                <w:szCs w:val="22"/>
                <w:u w:val="single"/>
              </w:rPr>
            </w:pPr>
            <w:r w:rsidRPr="009009FC">
              <w:rPr>
                <w:rFonts w:ascii="Arial" w:hAnsi="Arial" w:cs="Arial"/>
                <w:b/>
                <w:sz w:val="20"/>
                <w:szCs w:val="22"/>
                <w:u w:val="single"/>
              </w:rPr>
              <w:t>Adjusted</w:t>
            </w:r>
          </w:p>
          <w:p w14:paraId="5154AC09" w14:textId="77777777" w:rsidR="007E52AE" w:rsidRPr="009009FC" w:rsidRDefault="006546D2">
            <w:pPr>
              <w:jc w:val="right"/>
              <w:rPr>
                <w:rFonts w:ascii="Arial" w:hAnsi="Arial" w:cs="Arial"/>
                <w:b/>
                <w:sz w:val="20"/>
                <w:szCs w:val="22"/>
                <w:u w:val="single"/>
              </w:rPr>
            </w:pPr>
            <w:r w:rsidRPr="009009FC">
              <w:rPr>
                <w:rFonts w:ascii="Arial" w:hAnsi="Arial" w:cs="Arial"/>
                <w:b/>
                <w:sz w:val="20"/>
                <w:szCs w:val="22"/>
                <w:u w:val="single"/>
              </w:rPr>
              <w:t>4</w:t>
            </w:r>
            <w:r w:rsidR="007E52AE" w:rsidRPr="009009FC">
              <w:rPr>
                <w:rFonts w:ascii="Arial" w:hAnsi="Arial" w:cs="Arial"/>
                <w:b/>
                <w:sz w:val="20"/>
                <w:szCs w:val="22"/>
                <w:u w:val="single"/>
              </w:rPr>
              <w:t>Q 2019</w:t>
            </w:r>
          </w:p>
        </w:tc>
        <w:tc>
          <w:tcPr>
            <w:tcW w:w="1595" w:type="dxa"/>
          </w:tcPr>
          <w:p w14:paraId="3858C4B0" w14:textId="77777777" w:rsidR="007E52AE" w:rsidRPr="009009FC" w:rsidRDefault="007E52AE" w:rsidP="005A5BC6">
            <w:pPr>
              <w:jc w:val="right"/>
              <w:rPr>
                <w:rFonts w:ascii="Arial" w:hAnsi="Arial" w:cs="Arial"/>
                <w:b/>
                <w:sz w:val="20"/>
                <w:szCs w:val="22"/>
                <w:u w:val="single"/>
              </w:rPr>
            </w:pPr>
          </w:p>
          <w:p w14:paraId="407E7199" w14:textId="77777777" w:rsidR="007E52AE" w:rsidRPr="009009FC" w:rsidRDefault="006546D2">
            <w:pPr>
              <w:jc w:val="right"/>
              <w:rPr>
                <w:rFonts w:ascii="Arial" w:hAnsi="Arial" w:cs="Arial"/>
                <w:b/>
                <w:sz w:val="20"/>
                <w:szCs w:val="22"/>
                <w:u w:val="single"/>
              </w:rPr>
            </w:pPr>
            <w:r w:rsidRPr="009009FC">
              <w:rPr>
                <w:rFonts w:ascii="Arial" w:hAnsi="Arial" w:cs="Arial"/>
                <w:b/>
                <w:sz w:val="20"/>
                <w:szCs w:val="22"/>
                <w:u w:val="single"/>
              </w:rPr>
              <w:t>4</w:t>
            </w:r>
            <w:r w:rsidR="007E52AE" w:rsidRPr="009009FC">
              <w:rPr>
                <w:rFonts w:ascii="Arial" w:hAnsi="Arial" w:cs="Arial"/>
                <w:b/>
                <w:sz w:val="20"/>
                <w:szCs w:val="22"/>
                <w:u w:val="single"/>
              </w:rPr>
              <w:t>Q 2018</w:t>
            </w:r>
          </w:p>
        </w:tc>
        <w:tc>
          <w:tcPr>
            <w:tcW w:w="1404" w:type="dxa"/>
          </w:tcPr>
          <w:p w14:paraId="4DD8D65E" w14:textId="77777777" w:rsidR="007E52AE" w:rsidRPr="009009FC" w:rsidRDefault="007E52AE" w:rsidP="007E52AE">
            <w:pPr>
              <w:jc w:val="right"/>
              <w:rPr>
                <w:rFonts w:ascii="Arial" w:hAnsi="Arial" w:cs="Arial"/>
                <w:b/>
                <w:sz w:val="20"/>
                <w:szCs w:val="22"/>
                <w:u w:val="single"/>
              </w:rPr>
            </w:pPr>
            <w:r w:rsidRPr="009009FC">
              <w:rPr>
                <w:rFonts w:ascii="Arial" w:hAnsi="Arial" w:cs="Arial"/>
                <w:b/>
                <w:sz w:val="20"/>
                <w:szCs w:val="22"/>
                <w:u w:val="single"/>
              </w:rPr>
              <w:t>Adjusted</w:t>
            </w:r>
          </w:p>
          <w:p w14:paraId="12A4C18C" w14:textId="77777777" w:rsidR="007E52AE" w:rsidRPr="009009FC" w:rsidRDefault="006546D2" w:rsidP="007E52AE">
            <w:pPr>
              <w:jc w:val="right"/>
              <w:rPr>
                <w:rFonts w:ascii="Arial" w:hAnsi="Arial" w:cs="Arial"/>
                <w:b/>
                <w:sz w:val="20"/>
                <w:szCs w:val="22"/>
                <w:u w:val="single"/>
              </w:rPr>
            </w:pPr>
            <w:r w:rsidRPr="009009FC">
              <w:rPr>
                <w:rFonts w:ascii="Arial" w:hAnsi="Arial" w:cs="Arial"/>
                <w:b/>
                <w:sz w:val="20"/>
                <w:szCs w:val="22"/>
                <w:u w:val="single"/>
              </w:rPr>
              <w:t>4</w:t>
            </w:r>
            <w:r w:rsidR="007E52AE" w:rsidRPr="009009FC">
              <w:rPr>
                <w:rFonts w:ascii="Arial" w:hAnsi="Arial" w:cs="Arial"/>
                <w:b/>
                <w:sz w:val="20"/>
                <w:szCs w:val="22"/>
                <w:u w:val="single"/>
              </w:rPr>
              <w:t>Q 2018</w:t>
            </w:r>
          </w:p>
        </w:tc>
      </w:tr>
      <w:tr w:rsidR="00AF254A" w:rsidRPr="009009FC" w14:paraId="3D9ED317" w14:textId="77777777" w:rsidTr="00C73DB7">
        <w:trPr>
          <w:trHeight w:val="246"/>
        </w:trPr>
        <w:tc>
          <w:tcPr>
            <w:tcW w:w="3588" w:type="dxa"/>
          </w:tcPr>
          <w:p w14:paraId="3C21E6FB" w14:textId="77777777" w:rsidR="00AF254A" w:rsidRPr="009009FC" w:rsidRDefault="00AF254A" w:rsidP="00AF254A">
            <w:pPr>
              <w:rPr>
                <w:rFonts w:ascii="Arial" w:hAnsi="Arial" w:cs="Arial"/>
                <w:sz w:val="20"/>
                <w:szCs w:val="22"/>
              </w:rPr>
            </w:pPr>
            <w:r w:rsidRPr="009009FC">
              <w:rPr>
                <w:rFonts w:ascii="Arial" w:hAnsi="Arial" w:cs="Arial"/>
                <w:sz w:val="20"/>
                <w:szCs w:val="22"/>
              </w:rPr>
              <w:t>Revenue</w:t>
            </w:r>
          </w:p>
        </w:tc>
        <w:tc>
          <w:tcPr>
            <w:tcW w:w="1359" w:type="dxa"/>
          </w:tcPr>
          <w:p w14:paraId="7BA70E76" w14:textId="77777777" w:rsidR="00AF254A" w:rsidRPr="009009FC" w:rsidRDefault="00AF254A" w:rsidP="00AF254A">
            <w:pPr>
              <w:jc w:val="right"/>
              <w:rPr>
                <w:rFonts w:ascii="Arial" w:hAnsi="Arial" w:cs="Arial"/>
                <w:sz w:val="20"/>
                <w:szCs w:val="22"/>
              </w:rPr>
            </w:pPr>
            <w:r w:rsidRPr="009009FC">
              <w:rPr>
                <w:rFonts w:ascii="Arial" w:hAnsi="Arial" w:cs="Arial"/>
                <w:sz w:val="20"/>
                <w:szCs w:val="22"/>
              </w:rPr>
              <w:t>$20,568 M</w:t>
            </w:r>
          </w:p>
        </w:tc>
        <w:tc>
          <w:tcPr>
            <w:tcW w:w="1630" w:type="dxa"/>
          </w:tcPr>
          <w:p w14:paraId="52E2B88E" w14:textId="77777777" w:rsidR="00AF254A" w:rsidRPr="009009FC" w:rsidRDefault="00AF254A" w:rsidP="00AF254A">
            <w:pPr>
              <w:jc w:val="right"/>
              <w:rPr>
                <w:rFonts w:ascii="Arial" w:hAnsi="Arial" w:cs="Arial"/>
                <w:sz w:val="20"/>
                <w:szCs w:val="22"/>
              </w:rPr>
            </w:pPr>
          </w:p>
        </w:tc>
        <w:tc>
          <w:tcPr>
            <w:tcW w:w="1595" w:type="dxa"/>
          </w:tcPr>
          <w:p w14:paraId="5ECF0ACF" w14:textId="77777777" w:rsidR="00AF254A" w:rsidRPr="009009FC" w:rsidRDefault="00AF254A" w:rsidP="00AF254A">
            <w:pPr>
              <w:jc w:val="right"/>
              <w:rPr>
                <w:rFonts w:ascii="Arial" w:hAnsi="Arial" w:cs="Arial"/>
                <w:sz w:val="20"/>
                <w:szCs w:val="22"/>
              </w:rPr>
            </w:pPr>
            <w:r w:rsidRPr="009009FC">
              <w:rPr>
                <w:rFonts w:ascii="Arial" w:hAnsi="Arial" w:cs="Arial"/>
                <w:sz w:val="20"/>
                <w:szCs w:val="22"/>
              </w:rPr>
              <w:t>$19,848 M</w:t>
            </w:r>
          </w:p>
        </w:tc>
        <w:tc>
          <w:tcPr>
            <w:tcW w:w="1404" w:type="dxa"/>
          </w:tcPr>
          <w:p w14:paraId="47DE7E44" w14:textId="77777777" w:rsidR="00AF254A" w:rsidRPr="009009FC" w:rsidRDefault="00AF254A" w:rsidP="00AF254A">
            <w:pPr>
              <w:jc w:val="right"/>
              <w:rPr>
                <w:rFonts w:ascii="Arial" w:hAnsi="Arial" w:cs="Arial"/>
                <w:sz w:val="20"/>
                <w:szCs w:val="22"/>
              </w:rPr>
            </w:pPr>
          </w:p>
        </w:tc>
      </w:tr>
      <w:tr w:rsidR="00AF254A" w:rsidRPr="009009FC" w14:paraId="0B4E8EBA" w14:textId="77777777" w:rsidTr="00C73DB7">
        <w:trPr>
          <w:trHeight w:val="246"/>
        </w:trPr>
        <w:tc>
          <w:tcPr>
            <w:tcW w:w="3588" w:type="dxa"/>
          </w:tcPr>
          <w:p w14:paraId="1114F1C6" w14:textId="77777777" w:rsidR="00AF254A" w:rsidRPr="009009FC" w:rsidRDefault="00AF254A" w:rsidP="00AF254A">
            <w:pPr>
              <w:rPr>
                <w:rFonts w:ascii="Arial" w:hAnsi="Arial" w:cs="Arial"/>
                <w:sz w:val="20"/>
                <w:szCs w:val="22"/>
              </w:rPr>
            </w:pPr>
            <w:r w:rsidRPr="009009FC">
              <w:rPr>
                <w:rFonts w:ascii="Arial" w:hAnsi="Arial" w:cs="Arial"/>
                <w:sz w:val="20"/>
                <w:szCs w:val="22"/>
              </w:rPr>
              <w:t>Net Income</w:t>
            </w:r>
            <w:r w:rsidR="00747EB5" w:rsidRPr="009009FC">
              <w:rPr>
                <w:rFonts w:ascii="Arial" w:hAnsi="Arial" w:cs="Arial"/>
                <w:sz w:val="20"/>
                <w:szCs w:val="22"/>
              </w:rPr>
              <w:t>/</w:t>
            </w:r>
            <w:r w:rsidR="000253EC" w:rsidRPr="009009FC">
              <w:rPr>
                <w:rFonts w:ascii="Arial" w:hAnsi="Arial" w:cs="Arial"/>
                <w:sz w:val="20"/>
                <w:szCs w:val="22"/>
              </w:rPr>
              <w:t>Loss</w:t>
            </w:r>
          </w:p>
        </w:tc>
        <w:tc>
          <w:tcPr>
            <w:tcW w:w="1359" w:type="dxa"/>
          </w:tcPr>
          <w:p w14:paraId="6B8BF94A" w14:textId="77777777" w:rsidR="00AF254A" w:rsidRPr="009009FC" w:rsidRDefault="009655FC" w:rsidP="00AF254A">
            <w:pPr>
              <w:jc w:val="right"/>
              <w:rPr>
                <w:rFonts w:ascii="Arial" w:hAnsi="Arial" w:cs="Arial"/>
                <w:sz w:val="20"/>
                <w:szCs w:val="22"/>
              </w:rPr>
            </w:pPr>
            <w:r w:rsidRPr="009009FC">
              <w:rPr>
                <w:rFonts w:ascii="Arial" w:hAnsi="Arial" w:cs="Arial"/>
                <w:sz w:val="20"/>
                <w:szCs w:val="22"/>
              </w:rPr>
              <w:t>($106</w:t>
            </w:r>
            <w:r w:rsidR="0093374F" w:rsidRPr="009009FC">
              <w:rPr>
                <w:rFonts w:ascii="Arial" w:hAnsi="Arial" w:cs="Arial"/>
                <w:sz w:val="20"/>
                <w:szCs w:val="22"/>
              </w:rPr>
              <w:t xml:space="preserve"> M</w:t>
            </w:r>
            <w:r w:rsidRPr="009009FC">
              <w:rPr>
                <w:rFonts w:ascii="Arial" w:hAnsi="Arial" w:cs="Arial"/>
                <w:sz w:val="20"/>
                <w:szCs w:val="22"/>
              </w:rPr>
              <w:t>)</w:t>
            </w:r>
          </w:p>
        </w:tc>
        <w:tc>
          <w:tcPr>
            <w:tcW w:w="1630" w:type="dxa"/>
          </w:tcPr>
          <w:p w14:paraId="73E78D35" w14:textId="77777777" w:rsidR="00AF254A" w:rsidRPr="009009FC" w:rsidRDefault="009655FC" w:rsidP="00AF254A">
            <w:pPr>
              <w:jc w:val="right"/>
              <w:rPr>
                <w:rFonts w:ascii="Arial" w:hAnsi="Arial" w:cs="Arial"/>
                <w:sz w:val="20"/>
                <w:szCs w:val="22"/>
              </w:rPr>
            </w:pPr>
            <w:r w:rsidRPr="009009FC">
              <w:rPr>
                <w:rFonts w:ascii="Arial" w:hAnsi="Arial" w:cs="Arial"/>
                <w:sz w:val="20"/>
                <w:szCs w:val="22"/>
              </w:rPr>
              <w:t>$1,840</w:t>
            </w:r>
            <w:r w:rsidR="00AF254A" w:rsidRPr="009009FC">
              <w:rPr>
                <w:rFonts w:ascii="Arial" w:hAnsi="Arial" w:cs="Arial"/>
                <w:sz w:val="20"/>
                <w:szCs w:val="22"/>
              </w:rPr>
              <w:t xml:space="preserve"> M</w:t>
            </w:r>
          </w:p>
        </w:tc>
        <w:tc>
          <w:tcPr>
            <w:tcW w:w="1595" w:type="dxa"/>
          </w:tcPr>
          <w:p w14:paraId="152117E0" w14:textId="77777777" w:rsidR="00AF254A" w:rsidRPr="009009FC" w:rsidRDefault="00AF254A" w:rsidP="00AF254A">
            <w:pPr>
              <w:jc w:val="right"/>
              <w:rPr>
                <w:rFonts w:ascii="Arial" w:hAnsi="Arial" w:cs="Arial"/>
                <w:sz w:val="20"/>
                <w:szCs w:val="22"/>
              </w:rPr>
            </w:pPr>
            <w:r w:rsidRPr="009009FC">
              <w:rPr>
                <w:rFonts w:ascii="Arial" w:hAnsi="Arial" w:cs="Arial"/>
                <w:sz w:val="20"/>
                <w:szCs w:val="22"/>
              </w:rPr>
              <w:t>$453 M</w:t>
            </w:r>
          </w:p>
        </w:tc>
        <w:tc>
          <w:tcPr>
            <w:tcW w:w="1404" w:type="dxa"/>
          </w:tcPr>
          <w:p w14:paraId="319DBC53" w14:textId="77777777" w:rsidR="00AF254A" w:rsidRPr="009009FC" w:rsidRDefault="00AF254A" w:rsidP="00AF254A">
            <w:pPr>
              <w:jc w:val="right"/>
              <w:rPr>
                <w:rFonts w:ascii="Arial" w:hAnsi="Arial" w:cs="Arial"/>
                <w:sz w:val="20"/>
                <w:szCs w:val="22"/>
              </w:rPr>
            </w:pPr>
            <w:r w:rsidRPr="009009FC">
              <w:rPr>
                <w:rFonts w:ascii="Arial" w:hAnsi="Arial" w:cs="Arial"/>
                <w:sz w:val="20"/>
                <w:szCs w:val="22"/>
              </w:rPr>
              <w:t>$1,690 M</w:t>
            </w:r>
          </w:p>
        </w:tc>
      </w:tr>
      <w:tr w:rsidR="00AF254A" w:rsidRPr="009009FC" w14:paraId="52773F11" w14:textId="77777777" w:rsidTr="00C73DB7">
        <w:trPr>
          <w:trHeight w:val="246"/>
        </w:trPr>
        <w:tc>
          <w:tcPr>
            <w:tcW w:w="3588" w:type="dxa"/>
          </w:tcPr>
          <w:p w14:paraId="5FC62F7D" w14:textId="77777777" w:rsidR="00AF254A" w:rsidRPr="009009FC" w:rsidRDefault="00AF254A" w:rsidP="00747EB5">
            <w:pPr>
              <w:rPr>
                <w:rFonts w:ascii="Arial" w:hAnsi="Arial" w:cs="Arial"/>
                <w:sz w:val="20"/>
                <w:szCs w:val="22"/>
              </w:rPr>
            </w:pPr>
            <w:r w:rsidRPr="009009FC">
              <w:rPr>
                <w:rFonts w:ascii="Arial" w:hAnsi="Arial" w:cs="Arial"/>
                <w:sz w:val="20"/>
                <w:szCs w:val="22"/>
              </w:rPr>
              <w:t>Diluted Earnings</w:t>
            </w:r>
            <w:r w:rsidR="00747EB5" w:rsidRPr="009009FC">
              <w:rPr>
                <w:rFonts w:ascii="Arial" w:hAnsi="Arial" w:cs="Arial"/>
                <w:sz w:val="20"/>
                <w:szCs w:val="22"/>
              </w:rPr>
              <w:t>/Loss</w:t>
            </w:r>
            <w:r w:rsidR="00E439F8" w:rsidRPr="009009FC">
              <w:rPr>
                <w:rFonts w:ascii="Arial" w:hAnsi="Arial" w:cs="Arial"/>
                <w:sz w:val="20"/>
                <w:szCs w:val="22"/>
              </w:rPr>
              <w:t xml:space="preserve"> </w:t>
            </w:r>
            <w:r w:rsidRPr="009009FC">
              <w:rPr>
                <w:rFonts w:ascii="Arial" w:hAnsi="Arial" w:cs="Arial"/>
                <w:sz w:val="20"/>
                <w:szCs w:val="22"/>
              </w:rPr>
              <w:t>Per Share</w:t>
            </w:r>
          </w:p>
        </w:tc>
        <w:tc>
          <w:tcPr>
            <w:tcW w:w="1359" w:type="dxa"/>
          </w:tcPr>
          <w:p w14:paraId="5118B7E9" w14:textId="77777777" w:rsidR="00AF254A" w:rsidRPr="009009FC" w:rsidRDefault="009655FC" w:rsidP="00AF254A">
            <w:pPr>
              <w:jc w:val="right"/>
              <w:rPr>
                <w:rFonts w:ascii="Arial" w:hAnsi="Arial" w:cs="Arial"/>
                <w:sz w:val="20"/>
                <w:szCs w:val="22"/>
              </w:rPr>
            </w:pPr>
            <w:r w:rsidRPr="009009FC">
              <w:rPr>
                <w:rFonts w:ascii="Arial" w:hAnsi="Arial" w:cs="Arial"/>
                <w:sz w:val="20"/>
                <w:szCs w:val="22"/>
              </w:rPr>
              <w:t>($0.12)</w:t>
            </w:r>
          </w:p>
        </w:tc>
        <w:tc>
          <w:tcPr>
            <w:tcW w:w="1630" w:type="dxa"/>
          </w:tcPr>
          <w:p w14:paraId="3C5435E5" w14:textId="77777777" w:rsidR="00AF254A" w:rsidRPr="009009FC" w:rsidRDefault="00AF254A" w:rsidP="00AF254A">
            <w:pPr>
              <w:jc w:val="right"/>
              <w:rPr>
                <w:rFonts w:ascii="Arial" w:hAnsi="Arial" w:cs="Arial"/>
                <w:sz w:val="20"/>
                <w:szCs w:val="22"/>
              </w:rPr>
            </w:pPr>
            <w:r w:rsidRPr="009009FC">
              <w:rPr>
                <w:rFonts w:ascii="Arial" w:hAnsi="Arial" w:cs="Arial"/>
                <w:sz w:val="20"/>
                <w:szCs w:val="22"/>
              </w:rPr>
              <w:t>$2.11</w:t>
            </w:r>
          </w:p>
        </w:tc>
        <w:tc>
          <w:tcPr>
            <w:tcW w:w="1595" w:type="dxa"/>
          </w:tcPr>
          <w:p w14:paraId="05A45A47" w14:textId="77777777" w:rsidR="00AF254A" w:rsidRPr="009009FC" w:rsidRDefault="00AF254A" w:rsidP="00AF254A">
            <w:pPr>
              <w:jc w:val="right"/>
              <w:rPr>
                <w:rFonts w:ascii="Arial" w:hAnsi="Arial" w:cs="Arial"/>
                <w:sz w:val="20"/>
                <w:szCs w:val="22"/>
              </w:rPr>
            </w:pPr>
            <w:r w:rsidRPr="009009FC">
              <w:rPr>
                <w:rFonts w:ascii="Arial" w:hAnsi="Arial" w:cs="Arial"/>
                <w:sz w:val="20"/>
                <w:szCs w:val="22"/>
              </w:rPr>
              <w:t>$0.52</w:t>
            </w:r>
          </w:p>
        </w:tc>
        <w:tc>
          <w:tcPr>
            <w:tcW w:w="1404" w:type="dxa"/>
          </w:tcPr>
          <w:p w14:paraId="0D27FF3B" w14:textId="77777777" w:rsidR="00AF254A" w:rsidRPr="009009FC" w:rsidRDefault="00AF254A" w:rsidP="00AF254A">
            <w:pPr>
              <w:jc w:val="right"/>
              <w:rPr>
                <w:rFonts w:ascii="Arial" w:hAnsi="Arial" w:cs="Arial"/>
                <w:sz w:val="20"/>
                <w:szCs w:val="22"/>
              </w:rPr>
            </w:pPr>
            <w:r w:rsidRPr="009009FC">
              <w:rPr>
                <w:rFonts w:ascii="Arial" w:hAnsi="Arial" w:cs="Arial"/>
                <w:sz w:val="20"/>
                <w:szCs w:val="22"/>
              </w:rPr>
              <w:t>$1.94</w:t>
            </w:r>
          </w:p>
        </w:tc>
      </w:tr>
    </w:tbl>
    <w:p w14:paraId="43BB57B3" w14:textId="77777777" w:rsidR="00087CB9" w:rsidRPr="009009FC" w:rsidRDefault="00087CB9" w:rsidP="008F286A">
      <w:pPr>
        <w:rPr>
          <w:rFonts w:ascii="Arial" w:hAnsi="Arial" w:cs="Arial"/>
          <w:sz w:val="20"/>
          <w:szCs w:val="20"/>
        </w:rPr>
      </w:pPr>
    </w:p>
    <w:p w14:paraId="052056C8" w14:textId="77777777" w:rsidR="00C27D1C" w:rsidRPr="009009FC" w:rsidRDefault="00C27D1C" w:rsidP="00B53E29">
      <w:pPr>
        <w:rPr>
          <w:rFonts w:ascii="Arial" w:hAnsi="Arial" w:cs="Arial"/>
          <w:sz w:val="22"/>
        </w:rPr>
      </w:pPr>
    </w:p>
    <w:p w14:paraId="44ADE796" w14:textId="77777777" w:rsidR="00C27D1C" w:rsidRPr="009009FC" w:rsidRDefault="00C27D1C" w:rsidP="00C27D1C">
      <w:pPr>
        <w:rPr>
          <w:rFonts w:ascii="Arial" w:hAnsi="Arial" w:cs="Arial"/>
          <w:sz w:val="20"/>
          <w:szCs w:val="20"/>
          <w:vertAlign w:val="subscript"/>
        </w:rPr>
      </w:pPr>
      <w:r w:rsidRPr="009009FC">
        <w:rPr>
          <w:rFonts w:ascii="Arial" w:hAnsi="Arial" w:cs="Arial"/>
          <w:b/>
          <w:sz w:val="20"/>
          <w:szCs w:val="20"/>
          <w:vertAlign w:val="subscript"/>
        </w:rPr>
        <w:t>* “</w:t>
      </w:r>
      <w:r w:rsidR="007F724E" w:rsidRPr="009009FC">
        <w:rPr>
          <w:rFonts w:ascii="Arial" w:hAnsi="Arial" w:cs="Arial"/>
          <w:sz w:val="20"/>
          <w:szCs w:val="20"/>
          <w:vertAlign w:val="subscript"/>
        </w:rPr>
        <w:t xml:space="preserve">Adjusted” </w:t>
      </w:r>
      <w:r w:rsidRPr="009009FC">
        <w:rPr>
          <w:rFonts w:ascii="Arial" w:hAnsi="Arial" w:cs="Arial"/>
          <w:sz w:val="20"/>
          <w:szCs w:val="20"/>
          <w:vertAlign w:val="subscript"/>
        </w:rPr>
        <w:t>amounts presented in this release are non-GAAP financial measures. See the appendix to this release for a discussion of non-GAAP financial metrics, including a reconciliation to the most closely correlated GAAP measure.</w:t>
      </w:r>
    </w:p>
    <w:p w14:paraId="5E9A306B" w14:textId="77777777" w:rsidR="000357D2" w:rsidRPr="009009FC" w:rsidRDefault="000357D2" w:rsidP="00B53E29">
      <w:pPr>
        <w:rPr>
          <w:rFonts w:ascii="Arial" w:hAnsi="Arial" w:cs="Arial"/>
          <w:sz w:val="22"/>
        </w:rPr>
      </w:pPr>
    </w:p>
    <w:p w14:paraId="2419D39D" w14:textId="77777777" w:rsidR="00311602" w:rsidRDefault="00311602" w:rsidP="00B53E29">
      <w:pPr>
        <w:rPr>
          <w:rFonts w:ascii="Arial" w:hAnsi="Arial" w:cs="Arial"/>
          <w:sz w:val="22"/>
        </w:rPr>
      </w:pPr>
    </w:p>
    <w:p w14:paraId="45733B11" w14:textId="77777777" w:rsidR="00033304" w:rsidRDefault="00033304" w:rsidP="00B53E29">
      <w:pPr>
        <w:rPr>
          <w:rFonts w:ascii="Arial" w:hAnsi="Arial" w:cs="Arial"/>
          <w:sz w:val="22"/>
        </w:rPr>
      </w:pPr>
    </w:p>
    <w:p w14:paraId="70ADD563" w14:textId="77777777" w:rsidR="00033304" w:rsidRDefault="00033304" w:rsidP="00B53E29">
      <w:pPr>
        <w:rPr>
          <w:rFonts w:ascii="Arial" w:hAnsi="Arial" w:cs="Arial"/>
          <w:sz w:val="22"/>
        </w:rPr>
      </w:pPr>
    </w:p>
    <w:p w14:paraId="48DD3BE6" w14:textId="77777777" w:rsidR="00822B46" w:rsidRDefault="00822B46" w:rsidP="00B53E29">
      <w:pPr>
        <w:rPr>
          <w:rFonts w:ascii="Arial" w:hAnsi="Arial" w:cs="Arial"/>
          <w:sz w:val="22"/>
        </w:rPr>
      </w:pPr>
    </w:p>
    <w:p w14:paraId="4F6787E9" w14:textId="77777777" w:rsidR="00B53E29" w:rsidRPr="009009FC" w:rsidRDefault="000E02CF" w:rsidP="00B53E29">
      <w:pPr>
        <w:rPr>
          <w:rFonts w:ascii="Arial" w:hAnsi="Arial" w:cs="Arial"/>
          <w:sz w:val="22"/>
        </w:rPr>
      </w:pPr>
      <w:r w:rsidRPr="009009FC">
        <w:rPr>
          <w:rFonts w:ascii="Arial" w:hAnsi="Arial" w:cs="Arial"/>
          <w:sz w:val="22"/>
        </w:rPr>
        <w:t xml:space="preserve">For the total company in </w:t>
      </w:r>
      <w:r w:rsidR="006546D2" w:rsidRPr="009009FC">
        <w:rPr>
          <w:rFonts w:ascii="Arial" w:hAnsi="Arial" w:cs="Arial"/>
          <w:sz w:val="22"/>
        </w:rPr>
        <w:t>4</w:t>
      </w:r>
      <w:r w:rsidRPr="009009FC">
        <w:rPr>
          <w:rFonts w:ascii="Arial" w:hAnsi="Arial" w:cs="Arial"/>
          <w:sz w:val="22"/>
        </w:rPr>
        <w:t xml:space="preserve">Q </w:t>
      </w:r>
      <w:r w:rsidR="000009AD" w:rsidRPr="009009FC">
        <w:rPr>
          <w:rFonts w:ascii="Arial" w:hAnsi="Arial" w:cs="Arial"/>
          <w:sz w:val="22"/>
        </w:rPr>
        <w:t>2019</w:t>
      </w:r>
      <w:r w:rsidRPr="009009FC">
        <w:rPr>
          <w:rFonts w:ascii="Arial" w:hAnsi="Arial" w:cs="Arial"/>
          <w:sz w:val="22"/>
        </w:rPr>
        <w:t>:</w:t>
      </w:r>
    </w:p>
    <w:p w14:paraId="51D5CBA9" w14:textId="77777777" w:rsidR="008F286A" w:rsidRPr="009009FC" w:rsidRDefault="008F286A" w:rsidP="00B53E29">
      <w:pPr>
        <w:rPr>
          <w:rFonts w:ascii="Arial" w:hAnsi="Arial" w:cs="Arial"/>
          <w:sz w:val="22"/>
        </w:rPr>
      </w:pPr>
    </w:p>
    <w:p w14:paraId="11F30051" w14:textId="77777777" w:rsidR="0084011B" w:rsidRPr="009009FC" w:rsidRDefault="0084011B" w:rsidP="0084011B">
      <w:pPr>
        <w:pStyle w:val="Odstavecseseznamem"/>
        <w:numPr>
          <w:ilvl w:val="0"/>
          <w:numId w:val="2"/>
        </w:numPr>
        <w:rPr>
          <w:rFonts w:ascii="Arial" w:hAnsi="Arial" w:cs="Arial"/>
          <w:sz w:val="22"/>
          <w:szCs w:val="22"/>
        </w:rPr>
      </w:pPr>
      <w:r w:rsidRPr="009009FC">
        <w:rPr>
          <w:rFonts w:ascii="Arial" w:hAnsi="Arial" w:cs="Arial"/>
          <w:sz w:val="22"/>
          <w:szCs w:val="22"/>
        </w:rPr>
        <w:t>Average daily volume levels exceeded 26.6 mill</w:t>
      </w:r>
      <w:r w:rsidR="006B5F24" w:rsidRPr="009009FC">
        <w:rPr>
          <w:rFonts w:ascii="Arial" w:hAnsi="Arial" w:cs="Arial"/>
          <w:sz w:val="22"/>
          <w:szCs w:val="22"/>
        </w:rPr>
        <w:t>ion</w:t>
      </w:r>
      <w:r w:rsidR="00EB1A54" w:rsidRPr="009009FC">
        <w:rPr>
          <w:rFonts w:ascii="Arial" w:hAnsi="Arial" w:cs="Arial"/>
          <w:sz w:val="22"/>
          <w:szCs w:val="22"/>
        </w:rPr>
        <w:t xml:space="preserve"> packages</w:t>
      </w:r>
      <w:r w:rsidRPr="009009FC">
        <w:rPr>
          <w:rFonts w:ascii="Arial" w:hAnsi="Arial" w:cs="Arial"/>
          <w:sz w:val="22"/>
          <w:szCs w:val="22"/>
        </w:rPr>
        <w:t xml:space="preserve">, </w:t>
      </w:r>
      <w:r w:rsidR="002159DF" w:rsidRPr="009009FC">
        <w:rPr>
          <w:rFonts w:ascii="Arial" w:hAnsi="Arial" w:cs="Arial"/>
          <w:sz w:val="22"/>
          <w:szCs w:val="22"/>
        </w:rPr>
        <w:t xml:space="preserve">an increase of 7.5%, </w:t>
      </w:r>
      <w:r w:rsidRPr="009009FC">
        <w:rPr>
          <w:rFonts w:ascii="Arial" w:hAnsi="Arial" w:cs="Arial"/>
          <w:sz w:val="22"/>
          <w:szCs w:val="22"/>
        </w:rPr>
        <w:t xml:space="preserve">driven by high demand for air services in the U.S. </w:t>
      </w:r>
    </w:p>
    <w:p w14:paraId="325FE8CF" w14:textId="054E2132" w:rsidR="00B73348" w:rsidRPr="009009FC" w:rsidRDefault="00EE0794" w:rsidP="005F7EC6">
      <w:pPr>
        <w:pStyle w:val="Odstavecseseznamem"/>
        <w:numPr>
          <w:ilvl w:val="0"/>
          <w:numId w:val="2"/>
        </w:numPr>
        <w:rPr>
          <w:rFonts w:ascii="Arial" w:hAnsi="Arial" w:cs="Arial"/>
          <w:sz w:val="22"/>
        </w:rPr>
      </w:pPr>
      <w:r w:rsidRPr="009009FC">
        <w:rPr>
          <w:rFonts w:ascii="Arial" w:hAnsi="Arial" w:cs="Arial"/>
          <w:sz w:val="22"/>
        </w:rPr>
        <w:t>C</w:t>
      </w:r>
      <w:r w:rsidR="0001152C" w:rsidRPr="009009FC">
        <w:rPr>
          <w:rFonts w:ascii="Arial" w:hAnsi="Arial" w:cs="Arial"/>
          <w:sz w:val="22"/>
        </w:rPr>
        <w:t xml:space="preserve">onsolidated </w:t>
      </w:r>
      <w:r w:rsidRPr="009009FC">
        <w:rPr>
          <w:rFonts w:ascii="Arial" w:hAnsi="Arial" w:cs="Arial"/>
          <w:sz w:val="22"/>
        </w:rPr>
        <w:t>revenue increased</w:t>
      </w:r>
      <w:r w:rsidR="00EA1FCE" w:rsidRPr="009009FC">
        <w:rPr>
          <w:rFonts w:ascii="Arial" w:hAnsi="Arial" w:cs="Arial"/>
          <w:sz w:val="22"/>
        </w:rPr>
        <w:t xml:space="preserve"> </w:t>
      </w:r>
      <w:r w:rsidR="00BA384A" w:rsidRPr="009009FC">
        <w:rPr>
          <w:rFonts w:ascii="Arial" w:hAnsi="Arial" w:cs="Arial"/>
          <w:sz w:val="22"/>
        </w:rPr>
        <w:t>3.6</w:t>
      </w:r>
      <w:r w:rsidR="00D96C9C" w:rsidRPr="009009FC">
        <w:rPr>
          <w:rFonts w:ascii="Arial" w:hAnsi="Arial" w:cs="Arial"/>
          <w:sz w:val="22"/>
        </w:rPr>
        <w:t xml:space="preserve">% </w:t>
      </w:r>
      <w:r w:rsidR="00BA384A" w:rsidRPr="009009FC">
        <w:rPr>
          <w:rFonts w:ascii="Arial" w:hAnsi="Arial" w:cs="Arial"/>
          <w:sz w:val="22"/>
        </w:rPr>
        <w:t>to $20.6</w:t>
      </w:r>
      <w:r w:rsidR="005F7EC6" w:rsidRPr="009009FC">
        <w:rPr>
          <w:rFonts w:ascii="Arial" w:hAnsi="Arial" w:cs="Arial"/>
          <w:sz w:val="22"/>
        </w:rPr>
        <w:t xml:space="preserve"> </w:t>
      </w:r>
      <w:r w:rsidR="0001152C" w:rsidRPr="009009FC">
        <w:rPr>
          <w:rFonts w:ascii="Arial" w:hAnsi="Arial" w:cs="Arial"/>
          <w:sz w:val="22"/>
        </w:rPr>
        <w:t>billion</w:t>
      </w:r>
      <w:r w:rsidR="00794A7B" w:rsidRPr="009009FC">
        <w:rPr>
          <w:rFonts w:ascii="Arial" w:hAnsi="Arial" w:cs="Arial"/>
          <w:sz w:val="22"/>
        </w:rPr>
        <w:t xml:space="preserve">, </w:t>
      </w:r>
      <w:r w:rsidR="006B5F24" w:rsidRPr="009009FC">
        <w:rPr>
          <w:rFonts w:ascii="Arial" w:hAnsi="Arial" w:cs="Arial"/>
          <w:sz w:val="22"/>
        </w:rPr>
        <w:t>due to</w:t>
      </w:r>
      <w:r w:rsidR="00613688" w:rsidRPr="009009FC">
        <w:rPr>
          <w:rFonts w:ascii="Arial" w:hAnsi="Arial" w:cs="Arial"/>
          <w:sz w:val="22"/>
        </w:rPr>
        <w:t xml:space="preserve"> strong average da</w:t>
      </w:r>
      <w:r w:rsidR="0057132D" w:rsidRPr="009009FC">
        <w:rPr>
          <w:rFonts w:ascii="Arial" w:hAnsi="Arial" w:cs="Arial"/>
          <w:sz w:val="22"/>
        </w:rPr>
        <w:t xml:space="preserve">ily </w:t>
      </w:r>
      <w:r w:rsidR="00E2481B" w:rsidRPr="009009FC">
        <w:rPr>
          <w:rFonts w:ascii="Arial" w:hAnsi="Arial" w:cs="Arial"/>
          <w:sz w:val="22"/>
        </w:rPr>
        <w:t>volume</w:t>
      </w:r>
      <w:r w:rsidR="00403AEB" w:rsidRPr="009009FC">
        <w:rPr>
          <w:rFonts w:ascii="Arial" w:hAnsi="Arial" w:cs="Arial"/>
          <w:sz w:val="22"/>
        </w:rPr>
        <w:t xml:space="preserve"> growth</w:t>
      </w:r>
      <w:r w:rsidR="00E2481B" w:rsidRPr="009009FC">
        <w:rPr>
          <w:rFonts w:ascii="Arial" w:hAnsi="Arial" w:cs="Arial"/>
          <w:sz w:val="22"/>
        </w:rPr>
        <w:t xml:space="preserve"> </w:t>
      </w:r>
      <w:r w:rsidR="006B5F24" w:rsidRPr="009009FC">
        <w:rPr>
          <w:rFonts w:ascii="Arial" w:hAnsi="Arial" w:cs="Arial"/>
          <w:sz w:val="22"/>
        </w:rPr>
        <w:t xml:space="preserve">during the </w:t>
      </w:r>
      <w:r w:rsidR="00EB1A54" w:rsidRPr="009009FC">
        <w:rPr>
          <w:rFonts w:ascii="Arial" w:hAnsi="Arial" w:cs="Arial"/>
          <w:sz w:val="22"/>
        </w:rPr>
        <w:t xml:space="preserve">peak </w:t>
      </w:r>
      <w:r w:rsidR="006B5F24" w:rsidRPr="009009FC">
        <w:rPr>
          <w:rFonts w:ascii="Arial" w:hAnsi="Arial" w:cs="Arial"/>
          <w:sz w:val="22"/>
        </w:rPr>
        <w:t>holiday season.</w:t>
      </w:r>
      <w:r w:rsidR="00613688" w:rsidRPr="009009FC">
        <w:rPr>
          <w:rFonts w:ascii="Arial" w:hAnsi="Arial" w:cs="Arial"/>
          <w:sz w:val="22"/>
        </w:rPr>
        <w:t xml:space="preserve">  </w:t>
      </w:r>
      <w:r w:rsidR="00794A7B" w:rsidRPr="009009FC">
        <w:rPr>
          <w:rFonts w:ascii="Arial" w:hAnsi="Arial" w:cs="Arial"/>
          <w:sz w:val="22"/>
        </w:rPr>
        <w:t xml:space="preserve">  </w:t>
      </w:r>
    </w:p>
    <w:p w14:paraId="24732EAF" w14:textId="77777777" w:rsidR="00B85D96" w:rsidRPr="009009FC" w:rsidRDefault="0084011B" w:rsidP="008328FF">
      <w:pPr>
        <w:pStyle w:val="Odstavecseseznamem"/>
        <w:numPr>
          <w:ilvl w:val="0"/>
          <w:numId w:val="2"/>
        </w:numPr>
        <w:rPr>
          <w:rFonts w:ascii="Arial" w:hAnsi="Arial" w:cs="Arial"/>
          <w:sz w:val="22"/>
          <w:szCs w:val="22"/>
        </w:rPr>
      </w:pPr>
      <w:r w:rsidRPr="009009FC">
        <w:rPr>
          <w:rFonts w:ascii="Arial" w:hAnsi="Arial" w:cs="Arial"/>
          <w:sz w:val="22"/>
        </w:rPr>
        <w:t>O</w:t>
      </w:r>
      <w:r w:rsidR="00A3766C" w:rsidRPr="009009FC">
        <w:rPr>
          <w:rFonts w:ascii="Arial" w:hAnsi="Arial" w:cs="Arial"/>
          <w:sz w:val="22"/>
        </w:rPr>
        <w:t xml:space="preserve">perating profit </w:t>
      </w:r>
      <w:r w:rsidRPr="009009FC">
        <w:rPr>
          <w:rFonts w:ascii="Arial" w:hAnsi="Arial" w:cs="Arial"/>
          <w:sz w:val="22"/>
        </w:rPr>
        <w:t>grew</w:t>
      </w:r>
      <w:r w:rsidR="005354BA" w:rsidRPr="009009FC">
        <w:rPr>
          <w:rFonts w:ascii="Arial" w:hAnsi="Arial" w:cs="Arial"/>
          <w:sz w:val="22"/>
        </w:rPr>
        <w:t xml:space="preserve"> </w:t>
      </w:r>
      <w:r w:rsidR="00BA384A" w:rsidRPr="009009FC">
        <w:rPr>
          <w:rFonts w:ascii="Arial" w:hAnsi="Arial" w:cs="Arial"/>
          <w:sz w:val="22"/>
        </w:rPr>
        <w:t>6.4</w:t>
      </w:r>
      <w:r w:rsidR="006057A9" w:rsidRPr="009009FC">
        <w:rPr>
          <w:rFonts w:ascii="Arial" w:hAnsi="Arial" w:cs="Arial"/>
          <w:sz w:val="22"/>
        </w:rPr>
        <w:t xml:space="preserve">%, and </w:t>
      </w:r>
      <w:r w:rsidR="00BA384A" w:rsidRPr="009009FC">
        <w:rPr>
          <w:rFonts w:ascii="Arial" w:hAnsi="Arial" w:cs="Arial"/>
          <w:sz w:val="22"/>
        </w:rPr>
        <w:t>13.7</w:t>
      </w:r>
      <w:r w:rsidR="00B60032" w:rsidRPr="009009FC">
        <w:rPr>
          <w:rFonts w:ascii="Arial" w:hAnsi="Arial" w:cs="Arial"/>
          <w:sz w:val="22"/>
        </w:rPr>
        <w:t xml:space="preserve">% </w:t>
      </w:r>
      <w:r w:rsidR="00B60032" w:rsidRPr="009009FC">
        <w:rPr>
          <w:rFonts w:ascii="Arial" w:hAnsi="Arial" w:cs="Arial"/>
          <w:sz w:val="22"/>
          <w:szCs w:val="22"/>
        </w:rPr>
        <w:t>on an adjusted basis</w:t>
      </w:r>
      <w:r w:rsidR="008328FF" w:rsidRPr="009009FC">
        <w:rPr>
          <w:rFonts w:ascii="Arial" w:hAnsi="Arial" w:cs="Arial"/>
          <w:sz w:val="22"/>
          <w:szCs w:val="22"/>
        </w:rPr>
        <w:t xml:space="preserve">, </w:t>
      </w:r>
      <w:r w:rsidRPr="009009FC">
        <w:rPr>
          <w:rFonts w:ascii="Arial" w:hAnsi="Arial" w:cs="Arial"/>
          <w:sz w:val="22"/>
          <w:szCs w:val="22"/>
        </w:rPr>
        <w:t xml:space="preserve">with margin improvement </w:t>
      </w:r>
      <w:r w:rsidR="00E2481B" w:rsidRPr="009009FC">
        <w:rPr>
          <w:rFonts w:ascii="Arial" w:hAnsi="Arial" w:cs="Arial"/>
          <w:sz w:val="22"/>
          <w:szCs w:val="22"/>
        </w:rPr>
        <w:t xml:space="preserve">across </w:t>
      </w:r>
      <w:r w:rsidR="00774183" w:rsidRPr="009009FC">
        <w:rPr>
          <w:rFonts w:ascii="Arial" w:hAnsi="Arial" w:cs="Arial"/>
          <w:sz w:val="22"/>
          <w:szCs w:val="22"/>
        </w:rPr>
        <w:t xml:space="preserve">all segments. </w:t>
      </w:r>
    </w:p>
    <w:p w14:paraId="71D2AF1C" w14:textId="77777777" w:rsidR="005A5BC6" w:rsidRPr="009009FC" w:rsidRDefault="005A5BC6" w:rsidP="00AA6C14">
      <w:pPr>
        <w:ind w:firstLine="720"/>
        <w:rPr>
          <w:rFonts w:ascii="Arial" w:hAnsi="Arial" w:cs="Arial"/>
          <w:sz w:val="22"/>
        </w:rPr>
      </w:pPr>
    </w:p>
    <w:p w14:paraId="3A94C693" w14:textId="77777777" w:rsidR="00670138" w:rsidRPr="009009FC" w:rsidRDefault="00670138" w:rsidP="00670138">
      <w:pPr>
        <w:rPr>
          <w:rFonts w:ascii="Arial" w:hAnsi="Arial" w:cs="Arial"/>
          <w:b/>
          <w:sz w:val="22"/>
          <w:szCs w:val="22"/>
          <w:u w:val="single"/>
          <w:lang w:val="en"/>
        </w:rPr>
      </w:pPr>
      <w:r w:rsidRPr="009009FC">
        <w:rPr>
          <w:rFonts w:ascii="Arial" w:hAnsi="Arial" w:cs="Arial"/>
          <w:b/>
          <w:sz w:val="22"/>
          <w:szCs w:val="22"/>
          <w:u w:val="single"/>
          <w:lang w:val="en"/>
        </w:rPr>
        <w:t>U.S. Domestic Segment</w:t>
      </w:r>
    </w:p>
    <w:p w14:paraId="7892C38D" w14:textId="77777777" w:rsidR="00670138" w:rsidRPr="009009FC" w:rsidRDefault="00670138" w:rsidP="00670138">
      <w:pPr>
        <w:rPr>
          <w:rFonts w:ascii="Arial" w:hAnsi="Arial" w:cs="Arial"/>
          <w:sz w:val="22"/>
          <w:szCs w:val="22"/>
          <w:lang w:val="en"/>
        </w:rPr>
      </w:pPr>
    </w:p>
    <w:p w14:paraId="3164E35F" w14:textId="70BAEF80" w:rsidR="00670138" w:rsidRPr="009009FC" w:rsidRDefault="00DF1767" w:rsidP="00111E05">
      <w:pPr>
        <w:rPr>
          <w:rFonts w:ascii="Arial" w:hAnsi="Arial" w:cs="Arial"/>
          <w:sz w:val="22"/>
          <w:szCs w:val="22"/>
          <w:lang w:val="en"/>
        </w:rPr>
      </w:pPr>
      <w:r w:rsidRPr="009009FC">
        <w:rPr>
          <w:rFonts w:ascii="Arial" w:hAnsi="Arial" w:cs="Arial"/>
          <w:sz w:val="22"/>
          <w:szCs w:val="22"/>
          <w:lang w:val="en"/>
        </w:rPr>
        <w:t>T</w:t>
      </w:r>
      <w:r w:rsidR="00153A74" w:rsidRPr="009009FC">
        <w:rPr>
          <w:rFonts w:ascii="Arial" w:hAnsi="Arial" w:cs="Arial"/>
          <w:sz w:val="22"/>
          <w:szCs w:val="22"/>
          <w:lang w:val="en"/>
        </w:rPr>
        <w:t xml:space="preserve">he </w:t>
      </w:r>
      <w:r w:rsidR="001D7E4C" w:rsidRPr="009009FC">
        <w:rPr>
          <w:rFonts w:ascii="Arial" w:hAnsi="Arial" w:cs="Arial"/>
          <w:sz w:val="22"/>
          <w:szCs w:val="22"/>
          <w:lang w:val="en"/>
        </w:rPr>
        <w:t>U.S. Domestic segment</w:t>
      </w:r>
      <w:r w:rsidR="00A62B5D" w:rsidRPr="009009FC">
        <w:rPr>
          <w:rFonts w:ascii="Arial" w:hAnsi="Arial" w:cs="Arial"/>
          <w:sz w:val="22"/>
          <w:szCs w:val="22"/>
          <w:lang w:val="en"/>
        </w:rPr>
        <w:t xml:space="preserve"> benefited</w:t>
      </w:r>
      <w:r w:rsidR="00153A74" w:rsidRPr="009009FC">
        <w:rPr>
          <w:rFonts w:ascii="Arial" w:hAnsi="Arial" w:cs="Arial"/>
          <w:sz w:val="22"/>
          <w:szCs w:val="22"/>
          <w:lang w:val="en"/>
        </w:rPr>
        <w:t xml:space="preserve"> </w:t>
      </w:r>
      <w:r w:rsidR="00A62B5D" w:rsidRPr="009009FC">
        <w:rPr>
          <w:rFonts w:ascii="Arial" w:hAnsi="Arial" w:cs="Arial"/>
          <w:sz w:val="22"/>
          <w:szCs w:val="22"/>
          <w:lang w:val="en"/>
        </w:rPr>
        <w:t>from several transformatio</w:t>
      </w:r>
      <w:r w:rsidR="00CB73F1" w:rsidRPr="009009FC">
        <w:rPr>
          <w:rFonts w:ascii="Arial" w:hAnsi="Arial" w:cs="Arial"/>
          <w:sz w:val="22"/>
          <w:szCs w:val="22"/>
          <w:lang w:val="en"/>
        </w:rPr>
        <w:t>n initiatives</w:t>
      </w:r>
      <w:r w:rsidR="0093374F" w:rsidRPr="009009FC">
        <w:rPr>
          <w:rFonts w:ascii="Arial" w:hAnsi="Arial" w:cs="Arial"/>
          <w:sz w:val="22"/>
          <w:szCs w:val="22"/>
          <w:lang w:val="en"/>
        </w:rPr>
        <w:t>,</w:t>
      </w:r>
      <w:r w:rsidR="00CB73F1" w:rsidRPr="009009FC">
        <w:rPr>
          <w:rFonts w:ascii="Arial" w:hAnsi="Arial" w:cs="Arial"/>
          <w:sz w:val="22"/>
          <w:szCs w:val="22"/>
          <w:lang w:val="en"/>
        </w:rPr>
        <w:t xml:space="preserve"> including</w:t>
      </w:r>
      <w:r w:rsidR="00A62B5D" w:rsidRPr="009009FC">
        <w:rPr>
          <w:rFonts w:ascii="Arial" w:hAnsi="Arial" w:cs="Arial"/>
          <w:sz w:val="22"/>
          <w:szCs w:val="22"/>
          <w:lang w:val="en"/>
        </w:rPr>
        <w:t xml:space="preserve"> increased </w:t>
      </w:r>
      <w:r w:rsidR="00CB73F1" w:rsidRPr="009009FC">
        <w:rPr>
          <w:rFonts w:ascii="Arial" w:hAnsi="Arial" w:cs="Arial"/>
          <w:sz w:val="22"/>
          <w:szCs w:val="22"/>
          <w:lang w:val="en"/>
        </w:rPr>
        <w:t xml:space="preserve">automated capacity </w:t>
      </w:r>
      <w:r w:rsidR="00A62B5D" w:rsidRPr="009009FC">
        <w:rPr>
          <w:rFonts w:ascii="Arial" w:hAnsi="Arial" w:cs="Arial"/>
          <w:sz w:val="22"/>
          <w:szCs w:val="22"/>
          <w:lang w:val="en"/>
        </w:rPr>
        <w:t xml:space="preserve">and </w:t>
      </w:r>
      <w:r w:rsidR="00EC502E" w:rsidRPr="009009FC">
        <w:rPr>
          <w:rFonts w:ascii="Arial" w:hAnsi="Arial" w:cs="Arial"/>
          <w:sz w:val="22"/>
          <w:szCs w:val="22"/>
          <w:lang w:val="en"/>
        </w:rPr>
        <w:t>new</w:t>
      </w:r>
      <w:r w:rsidR="00A62B5D" w:rsidRPr="009009FC">
        <w:rPr>
          <w:rFonts w:ascii="Arial" w:hAnsi="Arial" w:cs="Arial"/>
          <w:sz w:val="22"/>
          <w:szCs w:val="22"/>
          <w:lang w:val="en"/>
        </w:rPr>
        <w:t xml:space="preserve"> aircraft added to the global </w:t>
      </w:r>
      <w:r w:rsidR="008B3F5F" w:rsidRPr="009009FC">
        <w:rPr>
          <w:rFonts w:ascii="Arial" w:hAnsi="Arial" w:cs="Arial"/>
          <w:sz w:val="22"/>
          <w:szCs w:val="22"/>
          <w:lang w:val="en"/>
        </w:rPr>
        <w:t xml:space="preserve">air fleet, </w:t>
      </w:r>
      <w:r w:rsidR="00CB73F1" w:rsidRPr="009009FC">
        <w:rPr>
          <w:rFonts w:ascii="Arial" w:hAnsi="Arial" w:cs="Arial"/>
          <w:sz w:val="22"/>
          <w:szCs w:val="22"/>
          <w:lang w:val="en"/>
        </w:rPr>
        <w:t xml:space="preserve">which positioned </w:t>
      </w:r>
      <w:r w:rsidR="00EB1A54" w:rsidRPr="009009FC">
        <w:rPr>
          <w:rFonts w:ascii="Arial" w:hAnsi="Arial" w:cs="Arial"/>
          <w:sz w:val="22"/>
          <w:szCs w:val="22"/>
          <w:lang w:val="en"/>
        </w:rPr>
        <w:t>UPS</w:t>
      </w:r>
      <w:r w:rsidR="00CB73F1" w:rsidRPr="009009FC">
        <w:rPr>
          <w:rFonts w:ascii="Arial" w:hAnsi="Arial" w:cs="Arial"/>
          <w:sz w:val="22"/>
          <w:szCs w:val="22"/>
          <w:lang w:val="en"/>
        </w:rPr>
        <w:t xml:space="preserve"> </w:t>
      </w:r>
      <w:r w:rsidR="003D0330" w:rsidRPr="009009FC">
        <w:rPr>
          <w:rFonts w:ascii="Arial" w:hAnsi="Arial" w:cs="Arial"/>
          <w:sz w:val="22"/>
          <w:szCs w:val="22"/>
          <w:lang w:val="en"/>
        </w:rPr>
        <w:t>to handle</w:t>
      </w:r>
      <w:r w:rsidR="008B3F5F" w:rsidRPr="009009FC">
        <w:rPr>
          <w:rFonts w:ascii="Arial" w:hAnsi="Arial" w:cs="Arial"/>
          <w:sz w:val="22"/>
          <w:szCs w:val="22"/>
          <w:lang w:val="en"/>
        </w:rPr>
        <w:t xml:space="preserve"> volume growth</w:t>
      </w:r>
      <w:r w:rsidR="0095052F" w:rsidRPr="009009FC">
        <w:rPr>
          <w:rFonts w:ascii="Arial" w:hAnsi="Arial" w:cs="Arial"/>
          <w:sz w:val="22"/>
          <w:szCs w:val="22"/>
          <w:lang w:val="en"/>
        </w:rPr>
        <w:t xml:space="preserve"> in each month of the quarter</w:t>
      </w:r>
      <w:r w:rsidR="008B3F5F" w:rsidRPr="009009FC">
        <w:rPr>
          <w:rFonts w:ascii="Arial" w:hAnsi="Arial" w:cs="Arial"/>
          <w:sz w:val="22"/>
          <w:szCs w:val="22"/>
          <w:lang w:val="en"/>
        </w:rPr>
        <w:t xml:space="preserve">. </w:t>
      </w:r>
      <w:r w:rsidR="00555DE9" w:rsidRPr="009009FC">
        <w:rPr>
          <w:rFonts w:ascii="Arial" w:hAnsi="Arial" w:cs="Arial"/>
          <w:sz w:val="22"/>
          <w:szCs w:val="22"/>
          <w:lang w:val="en"/>
        </w:rPr>
        <w:t xml:space="preserve"> </w:t>
      </w:r>
      <w:r w:rsidR="008B3F5F" w:rsidRPr="009009FC">
        <w:rPr>
          <w:rFonts w:ascii="Arial" w:hAnsi="Arial" w:cs="Arial"/>
          <w:sz w:val="22"/>
          <w:szCs w:val="22"/>
          <w:lang w:val="en"/>
        </w:rPr>
        <w:t>T</w:t>
      </w:r>
      <w:r w:rsidR="00153A74" w:rsidRPr="009009FC">
        <w:rPr>
          <w:rFonts w:ascii="Arial" w:hAnsi="Arial" w:cs="Arial"/>
          <w:sz w:val="22"/>
          <w:szCs w:val="22"/>
          <w:lang w:val="en"/>
        </w:rPr>
        <w:t xml:space="preserve">otal volume across all products grew </w:t>
      </w:r>
      <w:r w:rsidR="008B3F5F" w:rsidRPr="009009FC">
        <w:rPr>
          <w:rFonts w:ascii="Arial" w:hAnsi="Arial" w:cs="Arial"/>
          <w:sz w:val="22"/>
          <w:szCs w:val="22"/>
          <w:lang w:val="en"/>
        </w:rPr>
        <w:t>nearly</w:t>
      </w:r>
      <w:r w:rsidR="00153A74" w:rsidRPr="009009FC">
        <w:rPr>
          <w:rFonts w:ascii="Arial" w:hAnsi="Arial" w:cs="Arial"/>
          <w:sz w:val="22"/>
          <w:szCs w:val="22"/>
          <w:lang w:val="en"/>
        </w:rPr>
        <w:t xml:space="preserve"> 9%</w:t>
      </w:r>
      <w:r w:rsidR="00EE4537" w:rsidRPr="009009FC">
        <w:rPr>
          <w:rFonts w:ascii="Arial" w:hAnsi="Arial" w:cs="Arial"/>
          <w:sz w:val="22"/>
          <w:szCs w:val="22"/>
          <w:lang w:val="en"/>
        </w:rPr>
        <w:t xml:space="preserve">. </w:t>
      </w:r>
      <w:r w:rsidR="009D6C2B" w:rsidRPr="009009FC">
        <w:t xml:space="preserve"> </w:t>
      </w:r>
      <w:r w:rsidR="009D6C2B" w:rsidRPr="009009FC">
        <w:rPr>
          <w:rFonts w:ascii="Arial" w:hAnsi="Arial" w:cs="Arial"/>
          <w:sz w:val="22"/>
          <w:szCs w:val="22"/>
          <w:lang w:val="en"/>
        </w:rPr>
        <w:t xml:space="preserve">Growth was driven by the structural shift to faster delivery in retail and </w:t>
      </w:r>
      <w:r w:rsidR="00CB3EA8" w:rsidRPr="009009FC">
        <w:rPr>
          <w:rFonts w:ascii="Arial" w:hAnsi="Arial" w:cs="Arial"/>
          <w:sz w:val="22"/>
          <w:szCs w:val="22"/>
          <w:lang w:val="en"/>
        </w:rPr>
        <w:t xml:space="preserve">           </w:t>
      </w:r>
      <w:r w:rsidR="009D6C2B" w:rsidRPr="009009FC">
        <w:rPr>
          <w:rFonts w:ascii="Arial" w:hAnsi="Arial" w:cs="Arial"/>
          <w:sz w:val="22"/>
          <w:szCs w:val="22"/>
          <w:lang w:val="en"/>
        </w:rPr>
        <w:t>e-commerce, and from competitive wins.  UPS experienced growth from a number of large and SMB customers, with the growth led by UPS’s largest customer, Amazon.</w:t>
      </w:r>
    </w:p>
    <w:p w14:paraId="067383C4" w14:textId="77777777" w:rsidR="0021108D" w:rsidRPr="009009FC" w:rsidRDefault="0021108D" w:rsidP="00111E05">
      <w:pPr>
        <w:rPr>
          <w:rFonts w:ascii="Arial" w:hAnsi="Arial" w:cs="Arial"/>
          <w:sz w:val="22"/>
          <w:szCs w:val="22"/>
          <w:lang w:val="en"/>
        </w:rPr>
      </w:pPr>
    </w:p>
    <w:p w14:paraId="189297EC" w14:textId="79F28118" w:rsidR="0021108D" w:rsidRPr="009009FC" w:rsidRDefault="00484FAD" w:rsidP="00111E05">
      <w:pPr>
        <w:rPr>
          <w:rFonts w:ascii="Arial" w:hAnsi="Arial" w:cs="Arial"/>
          <w:sz w:val="22"/>
          <w:szCs w:val="22"/>
          <w:lang w:val="en"/>
        </w:rPr>
      </w:pPr>
      <w:r w:rsidRPr="00EA36BF">
        <w:rPr>
          <w:rFonts w:ascii="Arial" w:hAnsi="Arial" w:cs="Arial"/>
          <w:sz w:val="22"/>
          <w:szCs w:val="22"/>
          <w:lang w:val="en"/>
        </w:rPr>
        <w:t>“</w:t>
      </w:r>
      <w:r w:rsidR="001B3D8F" w:rsidRPr="00EA36BF">
        <w:rPr>
          <w:rFonts w:ascii="Arial" w:hAnsi="Arial" w:cs="Arial"/>
          <w:sz w:val="22"/>
        </w:rPr>
        <w:t xml:space="preserve">We processed record volume during the </w:t>
      </w:r>
      <w:r w:rsidR="00993C1A" w:rsidRPr="00EA36BF">
        <w:rPr>
          <w:rFonts w:ascii="Arial" w:hAnsi="Arial" w:cs="Arial"/>
          <w:sz w:val="22"/>
        </w:rPr>
        <w:t xml:space="preserve">quarter as customers took full </w:t>
      </w:r>
      <w:r w:rsidR="00311602" w:rsidRPr="00EA36BF">
        <w:rPr>
          <w:rFonts w:ascii="Arial" w:hAnsi="Arial" w:cs="Arial"/>
          <w:sz w:val="22"/>
        </w:rPr>
        <w:t>advantage of the capabilities of</w:t>
      </w:r>
      <w:r w:rsidR="00993C1A" w:rsidRPr="00EA36BF">
        <w:rPr>
          <w:rFonts w:ascii="Arial" w:hAnsi="Arial" w:cs="Arial"/>
          <w:sz w:val="22"/>
        </w:rPr>
        <w:t xml:space="preserve"> our integrated network and broad portfolio of solutions</w:t>
      </w:r>
      <w:r w:rsidR="005102CD" w:rsidRPr="00EA36BF">
        <w:rPr>
          <w:rFonts w:ascii="Arial" w:hAnsi="Arial" w:cs="Arial"/>
          <w:sz w:val="22"/>
          <w:szCs w:val="22"/>
          <w:lang w:val="en"/>
        </w:rPr>
        <w:t xml:space="preserve">,” said Abney. </w:t>
      </w:r>
      <w:r w:rsidR="008C1CE5" w:rsidRPr="00EA36BF">
        <w:rPr>
          <w:rFonts w:ascii="Arial" w:hAnsi="Arial" w:cs="Arial"/>
          <w:sz w:val="22"/>
          <w:szCs w:val="22"/>
          <w:lang w:val="en"/>
        </w:rPr>
        <w:t xml:space="preserve"> </w:t>
      </w:r>
      <w:r w:rsidR="005102CD" w:rsidRPr="00EA36BF">
        <w:rPr>
          <w:rFonts w:ascii="Arial" w:hAnsi="Arial" w:cs="Arial"/>
          <w:sz w:val="22"/>
          <w:szCs w:val="22"/>
          <w:lang w:val="en"/>
        </w:rPr>
        <w:t>“</w:t>
      </w:r>
      <w:r w:rsidR="00993C1A" w:rsidRPr="00EA36BF">
        <w:rPr>
          <w:rFonts w:ascii="Arial" w:hAnsi="Arial" w:cs="Arial"/>
          <w:sz w:val="22"/>
          <w:szCs w:val="22"/>
          <w:lang w:val="en"/>
        </w:rPr>
        <w:t xml:space="preserve">Given the tremendous opportunities ahead, </w:t>
      </w:r>
      <w:r w:rsidR="00290384">
        <w:rPr>
          <w:rFonts w:ascii="Arial" w:hAnsi="Arial" w:cs="Arial"/>
          <w:sz w:val="22"/>
          <w:szCs w:val="22"/>
          <w:lang w:val="en"/>
        </w:rPr>
        <w:t xml:space="preserve">we </w:t>
      </w:r>
      <w:r w:rsidR="00875423" w:rsidRPr="00875423">
        <w:rPr>
          <w:rFonts w:ascii="Arial" w:hAnsi="Arial" w:cs="Arial"/>
          <w:sz w:val="22"/>
          <w:szCs w:val="22"/>
          <w:lang w:val="en"/>
        </w:rPr>
        <w:t>have elected to implement SMB initiatives now to speed up our network and broaden our weekend operations, actions that wi</w:t>
      </w:r>
      <w:r w:rsidR="00875423">
        <w:rPr>
          <w:rFonts w:ascii="Arial" w:hAnsi="Arial" w:cs="Arial"/>
          <w:sz w:val="22"/>
          <w:szCs w:val="22"/>
          <w:lang w:val="en"/>
        </w:rPr>
        <w:t xml:space="preserve">ll improve our competitiveness and </w:t>
      </w:r>
      <w:r w:rsidR="00875423" w:rsidRPr="00875423">
        <w:rPr>
          <w:rFonts w:ascii="Arial" w:hAnsi="Arial" w:cs="Arial"/>
          <w:sz w:val="22"/>
          <w:szCs w:val="22"/>
          <w:lang w:val="en"/>
        </w:rPr>
        <w:t>generate gro</w:t>
      </w:r>
      <w:r w:rsidR="00875423">
        <w:rPr>
          <w:rFonts w:ascii="Arial" w:hAnsi="Arial" w:cs="Arial"/>
          <w:sz w:val="22"/>
          <w:szCs w:val="22"/>
          <w:lang w:val="en"/>
        </w:rPr>
        <w:t>wth</w:t>
      </w:r>
      <w:r w:rsidR="00152690" w:rsidRPr="00EA36BF">
        <w:rPr>
          <w:rFonts w:ascii="Arial" w:hAnsi="Arial" w:cs="Arial"/>
          <w:sz w:val="22"/>
          <w:szCs w:val="22"/>
          <w:lang w:val="en"/>
        </w:rPr>
        <w:t>.</w:t>
      </w:r>
      <w:r w:rsidR="005102CD" w:rsidRPr="00EA36BF">
        <w:rPr>
          <w:rFonts w:ascii="Arial" w:hAnsi="Arial" w:cs="Arial"/>
          <w:sz w:val="22"/>
          <w:szCs w:val="22"/>
          <w:lang w:val="en"/>
        </w:rPr>
        <w:t>”</w:t>
      </w:r>
    </w:p>
    <w:p w14:paraId="4ADB0888" w14:textId="77777777" w:rsidR="009243FA" w:rsidRPr="009009FC" w:rsidRDefault="009243FA" w:rsidP="000E624D">
      <w:pPr>
        <w:rPr>
          <w:rFonts w:ascii="Arial" w:hAnsi="Arial" w:cs="Arial"/>
          <w:sz w:val="22"/>
        </w:rPr>
      </w:pPr>
    </w:p>
    <w:tbl>
      <w:tblPr>
        <w:tblStyle w:val="Mkatabulky"/>
        <w:tblW w:w="905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1551"/>
        <w:gridCol w:w="1551"/>
        <w:gridCol w:w="1551"/>
        <w:gridCol w:w="1551"/>
      </w:tblGrid>
      <w:tr w:rsidR="005060EB" w:rsidRPr="009009FC" w14:paraId="3DACEB3D" w14:textId="77777777" w:rsidTr="005060EB">
        <w:tc>
          <w:tcPr>
            <w:tcW w:w="2855" w:type="dxa"/>
          </w:tcPr>
          <w:p w14:paraId="4FE33467" w14:textId="77777777" w:rsidR="005060EB" w:rsidRPr="009009FC" w:rsidRDefault="005060EB" w:rsidP="005060EB">
            <w:pPr>
              <w:rPr>
                <w:rFonts w:ascii="Arial" w:hAnsi="Arial" w:cs="Arial"/>
                <w:b/>
                <w:sz w:val="20"/>
                <w:szCs w:val="22"/>
                <w:u w:val="single"/>
              </w:rPr>
            </w:pPr>
          </w:p>
          <w:p w14:paraId="5A5E3BF1" w14:textId="77777777" w:rsidR="005060EB" w:rsidRPr="009009FC" w:rsidRDefault="005060EB" w:rsidP="005060EB">
            <w:pPr>
              <w:rPr>
                <w:rFonts w:ascii="Arial" w:hAnsi="Arial" w:cs="Arial"/>
                <w:b/>
                <w:sz w:val="20"/>
                <w:szCs w:val="22"/>
                <w:u w:val="single"/>
              </w:rPr>
            </w:pPr>
          </w:p>
        </w:tc>
        <w:tc>
          <w:tcPr>
            <w:tcW w:w="1551" w:type="dxa"/>
          </w:tcPr>
          <w:p w14:paraId="6C2E754C" w14:textId="77777777" w:rsidR="005060EB" w:rsidRPr="009009FC" w:rsidRDefault="005060EB" w:rsidP="005060EB">
            <w:pPr>
              <w:jc w:val="right"/>
              <w:rPr>
                <w:rFonts w:ascii="Arial" w:hAnsi="Arial" w:cs="Arial"/>
                <w:b/>
                <w:sz w:val="20"/>
                <w:szCs w:val="22"/>
                <w:u w:val="single"/>
              </w:rPr>
            </w:pPr>
          </w:p>
          <w:p w14:paraId="4D56E243" w14:textId="77777777" w:rsidR="005060EB" w:rsidRPr="009009FC" w:rsidRDefault="005060EB" w:rsidP="005060EB">
            <w:pPr>
              <w:jc w:val="right"/>
              <w:rPr>
                <w:rFonts w:ascii="Arial" w:hAnsi="Arial" w:cs="Arial"/>
                <w:b/>
                <w:sz w:val="20"/>
                <w:szCs w:val="22"/>
                <w:u w:val="single"/>
              </w:rPr>
            </w:pPr>
            <w:r w:rsidRPr="009009FC">
              <w:rPr>
                <w:rFonts w:ascii="Arial" w:hAnsi="Arial" w:cs="Arial"/>
                <w:b/>
                <w:sz w:val="20"/>
                <w:szCs w:val="22"/>
                <w:u w:val="single"/>
              </w:rPr>
              <w:t>4Q 2019</w:t>
            </w:r>
          </w:p>
        </w:tc>
        <w:tc>
          <w:tcPr>
            <w:tcW w:w="1551" w:type="dxa"/>
          </w:tcPr>
          <w:p w14:paraId="193315B6" w14:textId="77777777" w:rsidR="005060EB" w:rsidRPr="009009FC" w:rsidRDefault="005060EB" w:rsidP="005060EB">
            <w:pPr>
              <w:jc w:val="right"/>
              <w:rPr>
                <w:rFonts w:ascii="Arial" w:hAnsi="Arial" w:cs="Arial"/>
                <w:b/>
                <w:sz w:val="20"/>
                <w:szCs w:val="22"/>
                <w:u w:val="single"/>
              </w:rPr>
            </w:pPr>
            <w:r w:rsidRPr="009009FC">
              <w:rPr>
                <w:rFonts w:ascii="Arial" w:hAnsi="Arial" w:cs="Arial"/>
                <w:b/>
                <w:sz w:val="20"/>
                <w:szCs w:val="22"/>
                <w:u w:val="single"/>
              </w:rPr>
              <w:t>Adjusted</w:t>
            </w:r>
          </w:p>
          <w:p w14:paraId="57D493C6" w14:textId="77777777" w:rsidR="005060EB" w:rsidRPr="009009FC" w:rsidRDefault="005060EB" w:rsidP="005060EB">
            <w:pPr>
              <w:jc w:val="right"/>
              <w:rPr>
                <w:rFonts w:ascii="Arial" w:hAnsi="Arial" w:cs="Arial"/>
                <w:b/>
                <w:sz w:val="20"/>
                <w:szCs w:val="22"/>
                <w:u w:val="single"/>
              </w:rPr>
            </w:pPr>
            <w:r w:rsidRPr="009009FC">
              <w:rPr>
                <w:rFonts w:ascii="Arial" w:hAnsi="Arial" w:cs="Arial"/>
                <w:b/>
                <w:sz w:val="20"/>
                <w:szCs w:val="22"/>
                <w:u w:val="single"/>
              </w:rPr>
              <w:t>4Q 2019</w:t>
            </w:r>
          </w:p>
        </w:tc>
        <w:tc>
          <w:tcPr>
            <w:tcW w:w="1551" w:type="dxa"/>
          </w:tcPr>
          <w:p w14:paraId="1135F6AA" w14:textId="77777777" w:rsidR="005060EB" w:rsidRPr="009009FC" w:rsidRDefault="005060EB" w:rsidP="005060EB">
            <w:pPr>
              <w:jc w:val="right"/>
              <w:rPr>
                <w:rFonts w:ascii="Arial" w:hAnsi="Arial" w:cs="Arial"/>
                <w:b/>
                <w:sz w:val="20"/>
                <w:szCs w:val="22"/>
                <w:u w:val="single"/>
              </w:rPr>
            </w:pPr>
          </w:p>
          <w:p w14:paraId="5E44822A" w14:textId="77777777" w:rsidR="005060EB" w:rsidRPr="009009FC" w:rsidRDefault="005060EB" w:rsidP="005060EB">
            <w:pPr>
              <w:jc w:val="right"/>
              <w:rPr>
                <w:rFonts w:ascii="Arial" w:hAnsi="Arial" w:cs="Arial"/>
                <w:b/>
                <w:sz w:val="20"/>
                <w:szCs w:val="22"/>
                <w:u w:val="single"/>
              </w:rPr>
            </w:pPr>
            <w:r w:rsidRPr="009009FC">
              <w:rPr>
                <w:rFonts w:ascii="Arial" w:hAnsi="Arial" w:cs="Arial"/>
                <w:b/>
                <w:sz w:val="20"/>
                <w:szCs w:val="22"/>
                <w:u w:val="single"/>
              </w:rPr>
              <w:t>4Q 2018</w:t>
            </w:r>
          </w:p>
        </w:tc>
        <w:tc>
          <w:tcPr>
            <w:tcW w:w="1551" w:type="dxa"/>
          </w:tcPr>
          <w:p w14:paraId="05427E1F" w14:textId="77777777" w:rsidR="005060EB" w:rsidRPr="009009FC" w:rsidRDefault="005060EB" w:rsidP="005060EB">
            <w:pPr>
              <w:jc w:val="right"/>
              <w:rPr>
                <w:rFonts w:ascii="Arial" w:hAnsi="Arial" w:cs="Arial"/>
                <w:b/>
                <w:sz w:val="20"/>
                <w:szCs w:val="22"/>
                <w:u w:val="single"/>
              </w:rPr>
            </w:pPr>
            <w:r w:rsidRPr="009009FC">
              <w:rPr>
                <w:rFonts w:ascii="Arial" w:hAnsi="Arial" w:cs="Arial"/>
                <w:b/>
                <w:sz w:val="20"/>
                <w:szCs w:val="22"/>
                <w:u w:val="single"/>
              </w:rPr>
              <w:t>Adjusted</w:t>
            </w:r>
          </w:p>
          <w:p w14:paraId="62ED1E36" w14:textId="77777777" w:rsidR="005060EB" w:rsidRPr="009009FC" w:rsidRDefault="005060EB" w:rsidP="005060EB">
            <w:pPr>
              <w:jc w:val="right"/>
              <w:rPr>
                <w:rFonts w:ascii="Arial" w:hAnsi="Arial" w:cs="Arial"/>
                <w:b/>
                <w:sz w:val="20"/>
                <w:szCs w:val="22"/>
                <w:u w:val="single"/>
              </w:rPr>
            </w:pPr>
            <w:r w:rsidRPr="009009FC">
              <w:rPr>
                <w:rFonts w:ascii="Arial" w:hAnsi="Arial" w:cs="Arial"/>
                <w:b/>
                <w:sz w:val="20"/>
                <w:szCs w:val="22"/>
                <w:u w:val="single"/>
              </w:rPr>
              <w:t>4Q 2018</w:t>
            </w:r>
          </w:p>
        </w:tc>
      </w:tr>
      <w:tr w:rsidR="005060EB" w:rsidRPr="009009FC" w14:paraId="39F24B99" w14:textId="77777777" w:rsidTr="005060EB">
        <w:tc>
          <w:tcPr>
            <w:tcW w:w="2855" w:type="dxa"/>
          </w:tcPr>
          <w:p w14:paraId="2DC95309" w14:textId="77777777" w:rsidR="005060EB" w:rsidRPr="009009FC" w:rsidRDefault="005060EB" w:rsidP="005060EB">
            <w:pPr>
              <w:rPr>
                <w:rFonts w:ascii="Arial" w:hAnsi="Arial" w:cs="Arial"/>
                <w:sz w:val="20"/>
                <w:szCs w:val="22"/>
              </w:rPr>
            </w:pPr>
            <w:r w:rsidRPr="009009FC">
              <w:rPr>
                <w:rFonts w:ascii="Arial" w:hAnsi="Arial" w:cs="Arial"/>
                <w:sz w:val="20"/>
                <w:szCs w:val="22"/>
              </w:rPr>
              <w:t>Revenue</w:t>
            </w:r>
          </w:p>
        </w:tc>
        <w:tc>
          <w:tcPr>
            <w:tcW w:w="1551" w:type="dxa"/>
          </w:tcPr>
          <w:p w14:paraId="1F834BE0" w14:textId="77777777" w:rsidR="005060EB" w:rsidRPr="009009FC" w:rsidRDefault="005060EB" w:rsidP="005060EB">
            <w:pPr>
              <w:jc w:val="right"/>
              <w:rPr>
                <w:rFonts w:ascii="Arial" w:hAnsi="Arial" w:cs="Arial"/>
                <w:sz w:val="20"/>
                <w:szCs w:val="22"/>
              </w:rPr>
            </w:pPr>
            <w:r w:rsidRPr="009009FC">
              <w:rPr>
                <w:rFonts w:ascii="Arial" w:hAnsi="Arial" w:cs="Arial"/>
                <w:sz w:val="20"/>
                <w:szCs w:val="22"/>
              </w:rPr>
              <w:t>$13,408 M</w:t>
            </w:r>
          </w:p>
        </w:tc>
        <w:tc>
          <w:tcPr>
            <w:tcW w:w="1551" w:type="dxa"/>
          </w:tcPr>
          <w:p w14:paraId="0B028E6B" w14:textId="77777777" w:rsidR="005060EB" w:rsidRPr="009009FC" w:rsidRDefault="005060EB" w:rsidP="005060EB">
            <w:pPr>
              <w:jc w:val="right"/>
              <w:rPr>
                <w:rFonts w:ascii="Arial" w:hAnsi="Arial" w:cs="Arial"/>
                <w:sz w:val="20"/>
                <w:szCs w:val="22"/>
              </w:rPr>
            </w:pPr>
          </w:p>
        </w:tc>
        <w:tc>
          <w:tcPr>
            <w:tcW w:w="1551" w:type="dxa"/>
          </w:tcPr>
          <w:p w14:paraId="7C1E61A1" w14:textId="77777777" w:rsidR="005060EB" w:rsidRPr="009009FC" w:rsidRDefault="005060EB" w:rsidP="005060EB">
            <w:pPr>
              <w:jc w:val="right"/>
              <w:rPr>
                <w:rFonts w:ascii="Arial" w:hAnsi="Arial" w:cs="Arial"/>
                <w:sz w:val="20"/>
                <w:szCs w:val="22"/>
              </w:rPr>
            </w:pPr>
            <w:r w:rsidRPr="009009FC">
              <w:rPr>
                <w:rFonts w:ascii="Arial" w:hAnsi="Arial" w:cs="Arial"/>
                <w:sz w:val="20"/>
                <w:szCs w:val="22"/>
              </w:rPr>
              <w:t>$12,575 M</w:t>
            </w:r>
          </w:p>
        </w:tc>
        <w:tc>
          <w:tcPr>
            <w:tcW w:w="1551" w:type="dxa"/>
          </w:tcPr>
          <w:p w14:paraId="3494579F" w14:textId="77777777" w:rsidR="005060EB" w:rsidRPr="009009FC" w:rsidRDefault="005060EB" w:rsidP="005060EB">
            <w:pPr>
              <w:jc w:val="right"/>
              <w:rPr>
                <w:rFonts w:ascii="Arial" w:hAnsi="Arial" w:cs="Arial"/>
                <w:sz w:val="20"/>
                <w:szCs w:val="22"/>
              </w:rPr>
            </w:pPr>
          </w:p>
        </w:tc>
      </w:tr>
      <w:tr w:rsidR="005060EB" w:rsidRPr="009009FC" w14:paraId="5AB94576" w14:textId="77777777" w:rsidTr="005060EB">
        <w:tc>
          <w:tcPr>
            <w:tcW w:w="2855" w:type="dxa"/>
          </w:tcPr>
          <w:p w14:paraId="1F4B0872" w14:textId="77777777" w:rsidR="005060EB" w:rsidRPr="009009FC" w:rsidRDefault="005060EB" w:rsidP="005060EB">
            <w:pPr>
              <w:rPr>
                <w:rFonts w:ascii="Arial" w:hAnsi="Arial" w:cs="Arial"/>
                <w:sz w:val="20"/>
                <w:szCs w:val="22"/>
              </w:rPr>
            </w:pPr>
            <w:r w:rsidRPr="009009FC">
              <w:rPr>
                <w:rFonts w:ascii="Arial" w:hAnsi="Arial" w:cs="Arial"/>
                <w:sz w:val="20"/>
                <w:szCs w:val="22"/>
              </w:rPr>
              <w:t xml:space="preserve">Operating profit </w:t>
            </w:r>
          </w:p>
        </w:tc>
        <w:tc>
          <w:tcPr>
            <w:tcW w:w="1551" w:type="dxa"/>
          </w:tcPr>
          <w:p w14:paraId="1C8FCB6B" w14:textId="77777777" w:rsidR="005060EB" w:rsidRPr="009009FC" w:rsidRDefault="005060EB" w:rsidP="005060EB">
            <w:pPr>
              <w:jc w:val="right"/>
              <w:rPr>
                <w:rFonts w:ascii="Arial" w:hAnsi="Arial" w:cs="Arial"/>
                <w:sz w:val="20"/>
                <w:szCs w:val="22"/>
              </w:rPr>
            </w:pPr>
            <w:r w:rsidRPr="009009FC">
              <w:rPr>
                <w:rFonts w:ascii="Arial" w:hAnsi="Arial" w:cs="Arial"/>
                <w:sz w:val="20"/>
                <w:szCs w:val="22"/>
              </w:rPr>
              <w:t>$1,074 M</w:t>
            </w:r>
          </w:p>
        </w:tc>
        <w:tc>
          <w:tcPr>
            <w:tcW w:w="1551" w:type="dxa"/>
          </w:tcPr>
          <w:p w14:paraId="537B7EB8" w14:textId="77777777" w:rsidR="005060EB" w:rsidRPr="009009FC" w:rsidRDefault="005060EB" w:rsidP="005060EB">
            <w:pPr>
              <w:jc w:val="right"/>
              <w:rPr>
                <w:rFonts w:ascii="Arial" w:hAnsi="Arial" w:cs="Arial"/>
                <w:sz w:val="20"/>
                <w:szCs w:val="22"/>
              </w:rPr>
            </w:pPr>
            <w:r w:rsidRPr="009009FC">
              <w:rPr>
                <w:rFonts w:ascii="Arial" w:hAnsi="Arial" w:cs="Arial"/>
                <w:sz w:val="20"/>
                <w:szCs w:val="22"/>
              </w:rPr>
              <w:t>$ 1,207 M</w:t>
            </w:r>
          </w:p>
        </w:tc>
        <w:tc>
          <w:tcPr>
            <w:tcW w:w="1551" w:type="dxa"/>
          </w:tcPr>
          <w:p w14:paraId="43B9312F" w14:textId="77777777" w:rsidR="005060EB" w:rsidRPr="009009FC" w:rsidRDefault="005060EB" w:rsidP="005060EB">
            <w:pPr>
              <w:jc w:val="right"/>
              <w:rPr>
                <w:rFonts w:ascii="Arial" w:hAnsi="Arial" w:cs="Arial"/>
                <w:sz w:val="20"/>
                <w:szCs w:val="22"/>
              </w:rPr>
            </w:pPr>
            <w:r w:rsidRPr="009009FC">
              <w:rPr>
                <w:rFonts w:ascii="Arial" w:hAnsi="Arial" w:cs="Arial"/>
                <w:sz w:val="20"/>
                <w:szCs w:val="22"/>
              </w:rPr>
              <w:t>$999 M</w:t>
            </w:r>
          </w:p>
        </w:tc>
        <w:tc>
          <w:tcPr>
            <w:tcW w:w="1551" w:type="dxa"/>
          </w:tcPr>
          <w:p w14:paraId="32A0B7D5" w14:textId="77777777" w:rsidR="005060EB" w:rsidRPr="009009FC" w:rsidRDefault="005060EB" w:rsidP="005060EB">
            <w:pPr>
              <w:jc w:val="right"/>
              <w:rPr>
                <w:rFonts w:ascii="Arial" w:hAnsi="Arial" w:cs="Arial"/>
                <w:sz w:val="20"/>
                <w:szCs w:val="22"/>
              </w:rPr>
            </w:pPr>
            <w:r w:rsidRPr="009009FC">
              <w:rPr>
                <w:rFonts w:ascii="Arial" w:hAnsi="Arial" w:cs="Arial"/>
                <w:sz w:val="20"/>
                <w:szCs w:val="22"/>
              </w:rPr>
              <w:t>$999 M</w:t>
            </w:r>
          </w:p>
        </w:tc>
      </w:tr>
    </w:tbl>
    <w:p w14:paraId="10AAACF7" w14:textId="77777777" w:rsidR="00003422" w:rsidRPr="009009FC" w:rsidRDefault="00003422" w:rsidP="000E624D">
      <w:pPr>
        <w:rPr>
          <w:rFonts w:ascii="Arial" w:hAnsi="Arial" w:cs="Arial"/>
          <w:sz w:val="22"/>
        </w:rPr>
      </w:pPr>
    </w:p>
    <w:p w14:paraId="7EBA452F" w14:textId="77777777" w:rsidR="00615614" w:rsidRPr="009009FC" w:rsidRDefault="00F71D1E" w:rsidP="00E068F2">
      <w:pPr>
        <w:pStyle w:val="Odstavecseseznamem"/>
        <w:numPr>
          <w:ilvl w:val="0"/>
          <w:numId w:val="2"/>
        </w:numPr>
        <w:rPr>
          <w:rFonts w:ascii="Arial" w:hAnsi="Arial" w:cs="Arial"/>
          <w:sz w:val="22"/>
        </w:rPr>
      </w:pPr>
      <w:r w:rsidRPr="009009FC">
        <w:rPr>
          <w:rFonts w:ascii="Arial" w:hAnsi="Arial" w:cs="Arial"/>
          <w:sz w:val="22"/>
        </w:rPr>
        <w:t xml:space="preserve">Revenue </w:t>
      </w:r>
      <w:r w:rsidR="00BD4141" w:rsidRPr="009009FC">
        <w:rPr>
          <w:rFonts w:ascii="Arial" w:hAnsi="Arial" w:cs="Arial"/>
          <w:sz w:val="22"/>
        </w:rPr>
        <w:t>grew</w:t>
      </w:r>
      <w:r w:rsidR="00BA384A" w:rsidRPr="009009FC">
        <w:rPr>
          <w:rFonts w:ascii="Arial" w:hAnsi="Arial" w:cs="Arial"/>
          <w:sz w:val="22"/>
        </w:rPr>
        <w:t xml:space="preserve"> $833 </w:t>
      </w:r>
      <w:r w:rsidR="007F724E" w:rsidRPr="009009FC">
        <w:rPr>
          <w:rFonts w:ascii="Arial" w:hAnsi="Arial" w:cs="Arial"/>
          <w:sz w:val="22"/>
        </w:rPr>
        <w:t>m</w:t>
      </w:r>
      <w:r w:rsidR="00BD4141" w:rsidRPr="009009FC">
        <w:rPr>
          <w:rFonts w:ascii="Arial" w:hAnsi="Arial" w:cs="Arial"/>
          <w:sz w:val="22"/>
        </w:rPr>
        <w:t xml:space="preserve">illion, a </w:t>
      </w:r>
      <w:r w:rsidR="00BA384A" w:rsidRPr="009009FC">
        <w:rPr>
          <w:rFonts w:ascii="Arial" w:hAnsi="Arial" w:cs="Arial"/>
          <w:sz w:val="22"/>
        </w:rPr>
        <w:t>more than 6.5</w:t>
      </w:r>
      <w:r w:rsidRPr="009009FC">
        <w:rPr>
          <w:rFonts w:ascii="Arial" w:hAnsi="Arial" w:cs="Arial"/>
          <w:sz w:val="22"/>
        </w:rPr>
        <w:t>%</w:t>
      </w:r>
      <w:r w:rsidR="00BD4141" w:rsidRPr="009009FC">
        <w:rPr>
          <w:rFonts w:ascii="Arial" w:hAnsi="Arial" w:cs="Arial"/>
          <w:sz w:val="22"/>
        </w:rPr>
        <w:t xml:space="preserve"> increase</w:t>
      </w:r>
      <w:r w:rsidR="00B34243" w:rsidRPr="009009FC">
        <w:rPr>
          <w:rFonts w:ascii="Arial" w:hAnsi="Arial" w:cs="Arial"/>
          <w:sz w:val="22"/>
        </w:rPr>
        <w:t>, with growth across all products</w:t>
      </w:r>
      <w:r w:rsidR="007E25BE" w:rsidRPr="009009FC">
        <w:rPr>
          <w:rFonts w:ascii="Arial" w:hAnsi="Arial" w:cs="Arial"/>
          <w:sz w:val="22"/>
        </w:rPr>
        <w:t>.</w:t>
      </w:r>
    </w:p>
    <w:p w14:paraId="4AFD2AE3" w14:textId="51924849" w:rsidR="00C66981" w:rsidRPr="009009FC" w:rsidRDefault="009243FA" w:rsidP="00972995">
      <w:pPr>
        <w:pStyle w:val="Odstavecseseznamem"/>
        <w:numPr>
          <w:ilvl w:val="0"/>
          <w:numId w:val="2"/>
        </w:numPr>
        <w:rPr>
          <w:rFonts w:ascii="Arial" w:hAnsi="Arial" w:cs="Arial"/>
          <w:sz w:val="22"/>
        </w:rPr>
      </w:pPr>
      <w:r w:rsidRPr="009009FC">
        <w:rPr>
          <w:rFonts w:ascii="Arial" w:hAnsi="Arial" w:cs="Arial"/>
          <w:sz w:val="22"/>
          <w:szCs w:val="22"/>
        </w:rPr>
        <w:t xml:space="preserve">Operating profit increased </w:t>
      </w:r>
      <w:r w:rsidR="00C66436" w:rsidRPr="009009FC">
        <w:rPr>
          <w:rFonts w:ascii="Arial" w:hAnsi="Arial" w:cs="Arial"/>
          <w:sz w:val="22"/>
          <w:szCs w:val="22"/>
        </w:rPr>
        <w:t>7.5</w:t>
      </w:r>
      <w:r w:rsidR="00F71D1E" w:rsidRPr="009009FC">
        <w:rPr>
          <w:rFonts w:ascii="Arial" w:hAnsi="Arial" w:cs="Arial"/>
          <w:sz w:val="22"/>
          <w:szCs w:val="22"/>
        </w:rPr>
        <w:t>%,</w:t>
      </w:r>
      <w:r w:rsidR="00E5038A" w:rsidRPr="009009FC">
        <w:rPr>
          <w:rFonts w:ascii="Arial" w:hAnsi="Arial" w:cs="Arial"/>
          <w:sz w:val="22"/>
          <w:szCs w:val="22"/>
        </w:rPr>
        <w:t xml:space="preserve"> </w:t>
      </w:r>
      <w:r w:rsidR="006B0370" w:rsidRPr="009009FC">
        <w:rPr>
          <w:rFonts w:ascii="Arial" w:hAnsi="Arial" w:cs="Arial"/>
          <w:sz w:val="22"/>
          <w:szCs w:val="22"/>
        </w:rPr>
        <w:t xml:space="preserve">up </w:t>
      </w:r>
      <w:r w:rsidR="0093299D" w:rsidRPr="009009FC">
        <w:rPr>
          <w:rFonts w:ascii="Arial" w:hAnsi="Arial" w:cs="Arial"/>
          <w:sz w:val="22"/>
          <w:szCs w:val="22"/>
        </w:rPr>
        <w:t xml:space="preserve">over </w:t>
      </w:r>
      <w:r w:rsidR="006B0370" w:rsidRPr="009009FC">
        <w:rPr>
          <w:rFonts w:ascii="Arial" w:hAnsi="Arial" w:cs="Arial"/>
          <w:sz w:val="22"/>
          <w:szCs w:val="22"/>
        </w:rPr>
        <w:t>20</w:t>
      </w:r>
      <w:r w:rsidR="00B60032" w:rsidRPr="009009FC">
        <w:rPr>
          <w:rFonts w:ascii="Arial" w:hAnsi="Arial" w:cs="Arial"/>
          <w:sz w:val="22"/>
          <w:szCs w:val="22"/>
        </w:rPr>
        <w:t>% on an adjusted basis</w:t>
      </w:r>
      <w:r w:rsidR="00CA7DF7" w:rsidRPr="009009FC">
        <w:rPr>
          <w:rFonts w:ascii="Arial" w:hAnsi="Arial" w:cs="Arial"/>
          <w:sz w:val="22"/>
          <w:szCs w:val="22"/>
        </w:rPr>
        <w:t>.</w:t>
      </w:r>
    </w:p>
    <w:p w14:paraId="6D632865" w14:textId="1307DC9E" w:rsidR="003E23ED" w:rsidRPr="009009FC" w:rsidRDefault="000E328E" w:rsidP="00972995">
      <w:pPr>
        <w:pStyle w:val="Odstavecseseznamem"/>
        <w:numPr>
          <w:ilvl w:val="0"/>
          <w:numId w:val="2"/>
        </w:numPr>
        <w:rPr>
          <w:rFonts w:ascii="Arial" w:hAnsi="Arial" w:cs="Arial"/>
          <w:sz w:val="22"/>
        </w:rPr>
      </w:pPr>
      <w:r w:rsidRPr="009009FC">
        <w:rPr>
          <w:rFonts w:ascii="Arial" w:hAnsi="Arial" w:cs="Arial"/>
          <w:sz w:val="22"/>
          <w:szCs w:val="22"/>
        </w:rPr>
        <w:t>Operating m</w:t>
      </w:r>
      <w:r w:rsidR="0066686D" w:rsidRPr="009009FC">
        <w:rPr>
          <w:rFonts w:ascii="Arial" w:hAnsi="Arial" w:cs="Arial"/>
          <w:sz w:val="22"/>
          <w:szCs w:val="22"/>
        </w:rPr>
        <w:t>argin</w:t>
      </w:r>
      <w:r w:rsidR="009400C9" w:rsidRPr="009009FC">
        <w:rPr>
          <w:rFonts w:ascii="Arial" w:hAnsi="Arial" w:cs="Arial"/>
          <w:sz w:val="22"/>
          <w:szCs w:val="22"/>
        </w:rPr>
        <w:t xml:space="preserve"> was</w:t>
      </w:r>
      <w:r w:rsidR="0033239A" w:rsidRPr="009009FC">
        <w:rPr>
          <w:rFonts w:ascii="Arial" w:hAnsi="Arial" w:cs="Arial"/>
          <w:sz w:val="22"/>
          <w:szCs w:val="22"/>
        </w:rPr>
        <w:t xml:space="preserve"> 8</w:t>
      </w:r>
      <w:r w:rsidR="009400C9" w:rsidRPr="009009FC">
        <w:rPr>
          <w:rFonts w:ascii="Arial" w:hAnsi="Arial" w:cs="Arial"/>
          <w:sz w:val="22"/>
          <w:szCs w:val="22"/>
        </w:rPr>
        <w:t>%; adjusted operating margin</w:t>
      </w:r>
      <w:r w:rsidR="00EC502E" w:rsidRPr="009009FC">
        <w:rPr>
          <w:rFonts w:ascii="Arial" w:hAnsi="Arial" w:cs="Arial"/>
          <w:sz w:val="22"/>
          <w:szCs w:val="22"/>
        </w:rPr>
        <w:t xml:space="preserve"> expanded 11</w:t>
      </w:r>
      <w:r w:rsidR="0033239A" w:rsidRPr="009009FC">
        <w:rPr>
          <w:rFonts w:ascii="Arial" w:hAnsi="Arial" w:cs="Arial"/>
          <w:sz w:val="22"/>
          <w:szCs w:val="22"/>
        </w:rPr>
        <w:t>0</w:t>
      </w:r>
      <w:r w:rsidR="00ED51D4" w:rsidRPr="009009FC">
        <w:rPr>
          <w:rFonts w:ascii="Arial" w:hAnsi="Arial" w:cs="Arial"/>
          <w:sz w:val="22"/>
          <w:szCs w:val="22"/>
        </w:rPr>
        <w:t xml:space="preserve"> basis points</w:t>
      </w:r>
      <w:r w:rsidR="00AB06B1" w:rsidRPr="009009FC">
        <w:rPr>
          <w:rFonts w:ascii="Arial" w:hAnsi="Arial" w:cs="Arial"/>
          <w:sz w:val="22"/>
          <w:szCs w:val="22"/>
        </w:rPr>
        <w:t>.</w:t>
      </w:r>
    </w:p>
    <w:p w14:paraId="1011940B" w14:textId="56A1DFD9" w:rsidR="000E328E" w:rsidRPr="009009FC" w:rsidRDefault="003E23ED" w:rsidP="00972995">
      <w:pPr>
        <w:pStyle w:val="Odstavecseseznamem"/>
        <w:numPr>
          <w:ilvl w:val="0"/>
          <w:numId w:val="2"/>
        </w:numPr>
        <w:rPr>
          <w:rFonts w:ascii="Arial" w:hAnsi="Arial" w:cs="Arial"/>
          <w:sz w:val="22"/>
        </w:rPr>
      </w:pPr>
      <w:r w:rsidRPr="009009FC">
        <w:rPr>
          <w:rFonts w:ascii="Arial" w:hAnsi="Arial" w:cs="Arial"/>
          <w:sz w:val="22"/>
          <w:szCs w:val="22"/>
        </w:rPr>
        <w:t xml:space="preserve">Unit costs declined </w:t>
      </w:r>
      <w:r w:rsidR="0093374F" w:rsidRPr="009009FC">
        <w:rPr>
          <w:rFonts w:ascii="Arial" w:hAnsi="Arial" w:cs="Arial"/>
          <w:sz w:val="22"/>
          <w:szCs w:val="22"/>
        </w:rPr>
        <w:t>2.1</w:t>
      </w:r>
      <w:r w:rsidR="004164F9" w:rsidRPr="009009FC">
        <w:rPr>
          <w:rFonts w:ascii="Arial" w:hAnsi="Arial" w:cs="Arial"/>
          <w:sz w:val="22"/>
          <w:szCs w:val="22"/>
        </w:rPr>
        <w:t>%</w:t>
      </w:r>
      <w:r w:rsidR="00D1228E" w:rsidRPr="009009FC">
        <w:rPr>
          <w:rFonts w:ascii="Arial" w:hAnsi="Arial" w:cs="Arial"/>
          <w:sz w:val="22"/>
          <w:szCs w:val="22"/>
        </w:rPr>
        <w:t>;</w:t>
      </w:r>
      <w:r w:rsidR="004164F9" w:rsidRPr="009009FC">
        <w:rPr>
          <w:rFonts w:ascii="Arial" w:hAnsi="Arial" w:cs="Arial"/>
          <w:sz w:val="22"/>
          <w:szCs w:val="22"/>
        </w:rPr>
        <w:t xml:space="preserve"> on an adjusted basis down </w:t>
      </w:r>
      <w:r w:rsidR="0093374F" w:rsidRPr="009009FC">
        <w:rPr>
          <w:rFonts w:ascii="Arial" w:hAnsi="Arial" w:cs="Arial"/>
          <w:sz w:val="22"/>
          <w:szCs w:val="22"/>
        </w:rPr>
        <w:t>3.2</w:t>
      </w:r>
      <w:r w:rsidR="004164F9" w:rsidRPr="009009FC">
        <w:rPr>
          <w:rFonts w:ascii="Arial" w:hAnsi="Arial" w:cs="Arial"/>
          <w:sz w:val="22"/>
          <w:szCs w:val="22"/>
        </w:rPr>
        <w:t xml:space="preserve">%, contributing to </w:t>
      </w:r>
      <w:r w:rsidR="00987B90" w:rsidRPr="009009FC">
        <w:rPr>
          <w:rFonts w:ascii="Arial" w:hAnsi="Arial" w:cs="Arial"/>
          <w:sz w:val="22"/>
          <w:szCs w:val="22"/>
        </w:rPr>
        <w:t>the third consecutive quarter of positive operating</w:t>
      </w:r>
      <w:r w:rsidR="0093374F" w:rsidRPr="009009FC">
        <w:rPr>
          <w:rFonts w:ascii="Arial" w:hAnsi="Arial" w:cs="Arial"/>
          <w:sz w:val="22"/>
          <w:szCs w:val="22"/>
        </w:rPr>
        <w:t xml:space="preserve"> leverage</w:t>
      </w:r>
      <w:r w:rsidR="00F90791" w:rsidRPr="009009FC">
        <w:rPr>
          <w:rFonts w:ascii="Arial" w:hAnsi="Arial" w:cs="Arial"/>
          <w:sz w:val="22"/>
          <w:szCs w:val="22"/>
        </w:rPr>
        <w:t>.</w:t>
      </w:r>
      <w:r w:rsidR="002A0188" w:rsidRPr="009009FC">
        <w:rPr>
          <w:rFonts w:ascii="Arial" w:hAnsi="Arial" w:cs="Arial"/>
          <w:sz w:val="22"/>
          <w:szCs w:val="22"/>
        </w:rPr>
        <w:t xml:space="preserve"> </w:t>
      </w:r>
      <w:r w:rsidR="001B3D8F" w:rsidRPr="009009FC">
        <w:rPr>
          <w:rFonts w:ascii="Arial" w:hAnsi="Arial" w:cs="Arial"/>
          <w:sz w:val="22"/>
          <w:szCs w:val="22"/>
        </w:rPr>
        <w:t xml:space="preserve"> </w:t>
      </w:r>
    </w:p>
    <w:p w14:paraId="0D692C76" w14:textId="77777777" w:rsidR="007F724E" w:rsidRPr="009009FC" w:rsidRDefault="007F724E" w:rsidP="009140E6">
      <w:pPr>
        <w:rPr>
          <w:rFonts w:ascii="Arial" w:hAnsi="Arial" w:cs="Arial"/>
          <w:b/>
          <w:sz w:val="22"/>
          <w:szCs w:val="22"/>
          <w:u w:val="single"/>
          <w:lang w:val="en"/>
        </w:rPr>
      </w:pPr>
    </w:p>
    <w:p w14:paraId="16DB62C4" w14:textId="77777777" w:rsidR="009140E6" w:rsidRPr="009009FC" w:rsidRDefault="009140E6" w:rsidP="009140E6">
      <w:pPr>
        <w:rPr>
          <w:rFonts w:ascii="Arial" w:hAnsi="Arial" w:cs="Arial"/>
          <w:b/>
          <w:sz w:val="22"/>
          <w:szCs w:val="22"/>
          <w:u w:val="single"/>
          <w:lang w:val="en"/>
        </w:rPr>
      </w:pPr>
      <w:r w:rsidRPr="009009FC">
        <w:rPr>
          <w:rFonts w:ascii="Arial" w:hAnsi="Arial" w:cs="Arial"/>
          <w:b/>
          <w:sz w:val="22"/>
          <w:szCs w:val="22"/>
          <w:u w:val="single"/>
          <w:lang w:val="en"/>
        </w:rPr>
        <w:t>International Segment</w:t>
      </w:r>
    </w:p>
    <w:p w14:paraId="7968C002" w14:textId="77777777" w:rsidR="00E77F05" w:rsidRPr="009009FC" w:rsidRDefault="00E77F05" w:rsidP="007769A9">
      <w:pPr>
        <w:ind w:firstLine="720"/>
        <w:rPr>
          <w:rFonts w:ascii="Arial" w:hAnsi="Arial" w:cs="Arial"/>
          <w:sz w:val="22"/>
        </w:rPr>
      </w:pPr>
    </w:p>
    <w:p w14:paraId="429AFF84" w14:textId="77777777" w:rsidR="006C0702" w:rsidRPr="009009FC" w:rsidRDefault="00443B83" w:rsidP="00745549">
      <w:pPr>
        <w:rPr>
          <w:rFonts w:ascii="Arial" w:hAnsi="Arial" w:cs="Arial"/>
          <w:sz w:val="22"/>
        </w:rPr>
      </w:pPr>
      <w:r w:rsidRPr="009009FC">
        <w:rPr>
          <w:rFonts w:ascii="Arial" w:hAnsi="Arial" w:cs="Arial"/>
          <w:sz w:val="22"/>
        </w:rPr>
        <w:t>Th</w:t>
      </w:r>
      <w:r w:rsidR="007C38AC" w:rsidRPr="009009FC">
        <w:rPr>
          <w:rFonts w:ascii="Arial" w:hAnsi="Arial" w:cs="Arial"/>
          <w:sz w:val="22"/>
        </w:rPr>
        <w:t xml:space="preserve">e International segment </w:t>
      </w:r>
      <w:r w:rsidR="00AA436F" w:rsidRPr="009009FC">
        <w:rPr>
          <w:rFonts w:ascii="Arial" w:hAnsi="Arial" w:cs="Arial"/>
          <w:sz w:val="22"/>
        </w:rPr>
        <w:t xml:space="preserve">delivered </w:t>
      </w:r>
      <w:r w:rsidR="006B0DC9" w:rsidRPr="009009FC">
        <w:rPr>
          <w:rFonts w:ascii="Arial" w:hAnsi="Arial" w:cs="Arial"/>
          <w:sz w:val="22"/>
        </w:rPr>
        <w:t xml:space="preserve">higher </w:t>
      </w:r>
      <w:r w:rsidR="00AA436F" w:rsidRPr="009009FC">
        <w:rPr>
          <w:rFonts w:ascii="Arial" w:hAnsi="Arial" w:cs="Arial"/>
          <w:sz w:val="22"/>
        </w:rPr>
        <w:t xml:space="preserve">profit and </w:t>
      </w:r>
      <w:r w:rsidR="00514344" w:rsidRPr="009009FC">
        <w:rPr>
          <w:rFonts w:ascii="Arial" w:hAnsi="Arial" w:cs="Arial"/>
          <w:sz w:val="22"/>
        </w:rPr>
        <w:t xml:space="preserve">expanded operating </w:t>
      </w:r>
      <w:r w:rsidR="008C1CE5" w:rsidRPr="009009FC">
        <w:rPr>
          <w:rFonts w:ascii="Arial" w:hAnsi="Arial" w:cs="Arial"/>
          <w:sz w:val="22"/>
        </w:rPr>
        <w:t>margin</w:t>
      </w:r>
      <w:r w:rsidR="006B0DC9" w:rsidRPr="009009FC">
        <w:rPr>
          <w:rFonts w:ascii="Arial" w:hAnsi="Arial" w:cs="Arial"/>
          <w:sz w:val="22"/>
        </w:rPr>
        <w:t>,</w:t>
      </w:r>
      <w:r w:rsidR="00AA436F" w:rsidRPr="009009FC">
        <w:rPr>
          <w:rFonts w:ascii="Arial" w:hAnsi="Arial" w:cs="Arial"/>
          <w:sz w:val="22"/>
        </w:rPr>
        <w:t xml:space="preserve"> </w:t>
      </w:r>
      <w:r w:rsidR="006B0DC9" w:rsidRPr="009009FC">
        <w:rPr>
          <w:rFonts w:ascii="Arial" w:hAnsi="Arial" w:cs="Arial"/>
          <w:sz w:val="22"/>
        </w:rPr>
        <w:t>adapting well to the</w:t>
      </w:r>
      <w:r w:rsidR="00AA436F" w:rsidRPr="009009FC">
        <w:rPr>
          <w:rFonts w:ascii="Arial" w:hAnsi="Arial" w:cs="Arial"/>
          <w:sz w:val="22"/>
        </w:rPr>
        <w:t xml:space="preserve"> </w:t>
      </w:r>
      <w:r w:rsidR="006B0DC9" w:rsidRPr="009009FC">
        <w:rPr>
          <w:rFonts w:ascii="Arial" w:hAnsi="Arial" w:cs="Arial"/>
          <w:sz w:val="22"/>
        </w:rPr>
        <w:t>dynamic</w:t>
      </w:r>
      <w:r w:rsidR="00AA436F" w:rsidRPr="009009FC">
        <w:rPr>
          <w:rFonts w:ascii="Arial" w:hAnsi="Arial" w:cs="Arial"/>
          <w:sz w:val="22"/>
        </w:rPr>
        <w:t xml:space="preserve"> macro environment</w:t>
      </w:r>
      <w:r w:rsidR="005C2E34" w:rsidRPr="009009FC">
        <w:rPr>
          <w:rFonts w:ascii="Arial" w:hAnsi="Arial" w:cs="Arial"/>
          <w:sz w:val="22"/>
        </w:rPr>
        <w:t xml:space="preserve">. </w:t>
      </w:r>
      <w:r w:rsidR="00555DE9" w:rsidRPr="009009FC">
        <w:rPr>
          <w:rFonts w:ascii="Arial" w:hAnsi="Arial" w:cs="Arial"/>
          <w:sz w:val="22"/>
        </w:rPr>
        <w:t xml:space="preserve"> </w:t>
      </w:r>
      <w:r w:rsidR="00AA436F" w:rsidRPr="009009FC">
        <w:rPr>
          <w:rFonts w:ascii="Arial" w:hAnsi="Arial" w:cs="Arial"/>
          <w:sz w:val="22"/>
        </w:rPr>
        <w:t xml:space="preserve">Strong execution, cost management and </w:t>
      </w:r>
      <w:r w:rsidR="009D7F9A" w:rsidRPr="009009FC">
        <w:rPr>
          <w:rFonts w:ascii="Arial" w:hAnsi="Arial" w:cs="Arial"/>
          <w:sz w:val="22"/>
        </w:rPr>
        <w:t xml:space="preserve">a </w:t>
      </w:r>
      <w:r w:rsidR="00AA436F" w:rsidRPr="009009FC">
        <w:rPr>
          <w:rFonts w:ascii="Arial" w:hAnsi="Arial" w:cs="Arial"/>
          <w:sz w:val="22"/>
        </w:rPr>
        <w:t xml:space="preserve">strategic focus on market and </w:t>
      </w:r>
      <w:r w:rsidR="00B9171B" w:rsidRPr="009009FC">
        <w:rPr>
          <w:rFonts w:ascii="Arial" w:hAnsi="Arial" w:cs="Arial"/>
          <w:sz w:val="22"/>
        </w:rPr>
        <w:t>e-commerce opportunities</w:t>
      </w:r>
      <w:r w:rsidR="00AA436F" w:rsidRPr="009009FC">
        <w:rPr>
          <w:rFonts w:ascii="Arial" w:hAnsi="Arial" w:cs="Arial"/>
          <w:sz w:val="22"/>
        </w:rPr>
        <w:t xml:space="preserve"> enabled </w:t>
      </w:r>
      <w:r w:rsidR="00EB1A54" w:rsidRPr="009009FC">
        <w:rPr>
          <w:rFonts w:ascii="Arial" w:hAnsi="Arial" w:cs="Arial"/>
          <w:sz w:val="22"/>
        </w:rPr>
        <w:t xml:space="preserve">the </w:t>
      </w:r>
      <w:r w:rsidR="00D90882" w:rsidRPr="009009FC">
        <w:rPr>
          <w:rFonts w:ascii="Arial" w:hAnsi="Arial" w:cs="Arial"/>
          <w:sz w:val="22"/>
        </w:rPr>
        <w:t>solid</w:t>
      </w:r>
      <w:r w:rsidR="00AA436F" w:rsidRPr="009009FC">
        <w:rPr>
          <w:rFonts w:ascii="Arial" w:hAnsi="Arial" w:cs="Arial"/>
          <w:sz w:val="22"/>
        </w:rPr>
        <w:t xml:space="preserve"> performance </w:t>
      </w:r>
      <w:r w:rsidR="00EB1A54" w:rsidRPr="009009FC">
        <w:rPr>
          <w:rFonts w:ascii="Arial" w:hAnsi="Arial" w:cs="Arial"/>
          <w:sz w:val="22"/>
        </w:rPr>
        <w:t xml:space="preserve">for </w:t>
      </w:r>
      <w:r w:rsidR="00AA436F" w:rsidRPr="009009FC">
        <w:rPr>
          <w:rFonts w:ascii="Arial" w:hAnsi="Arial" w:cs="Arial"/>
          <w:sz w:val="22"/>
        </w:rPr>
        <w:t>the quarter</w:t>
      </w:r>
      <w:r w:rsidR="00514344" w:rsidRPr="009009FC">
        <w:rPr>
          <w:rFonts w:ascii="Arial" w:hAnsi="Arial" w:cs="Arial"/>
          <w:sz w:val="22"/>
        </w:rPr>
        <w:t>.</w:t>
      </w:r>
      <w:r w:rsidR="005C2E34" w:rsidRPr="009009FC">
        <w:rPr>
          <w:rFonts w:ascii="Arial" w:hAnsi="Arial" w:cs="Arial"/>
          <w:sz w:val="22"/>
        </w:rPr>
        <w:t xml:space="preserve"> </w:t>
      </w:r>
    </w:p>
    <w:p w14:paraId="4F494F48" w14:textId="77777777" w:rsidR="00CC7E18" w:rsidRPr="009009FC" w:rsidRDefault="00CC7E18" w:rsidP="00745549">
      <w:pPr>
        <w:rPr>
          <w:rFonts w:ascii="Arial" w:hAnsi="Arial" w:cs="Arial"/>
          <w:sz w:val="22"/>
        </w:rPr>
      </w:pPr>
    </w:p>
    <w:tbl>
      <w:tblPr>
        <w:tblStyle w:val="Mkatabulky"/>
        <w:tblW w:w="905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1551"/>
        <w:gridCol w:w="1551"/>
        <w:gridCol w:w="1551"/>
        <w:gridCol w:w="1551"/>
      </w:tblGrid>
      <w:tr w:rsidR="005060EB" w:rsidRPr="009009FC" w14:paraId="452BCF12" w14:textId="77777777" w:rsidTr="00274530">
        <w:tc>
          <w:tcPr>
            <w:tcW w:w="2855" w:type="dxa"/>
          </w:tcPr>
          <w:p w14:paraId="4A735F50" w14:textId="77777777" w:rsidR="005060EB" w:rsidRPr="009009FC" w:rsidRDefault="005060EB" w:rsidP="00274530">
            <w:pPr>
              <w:rPr>
                <w:rFonts w:ascii="Arial" w:hAnsi="Arial" w:cs="Arial"/>
                <w:b/>
                <w:sz w:val="20"/>
                <w:szCs w:val="22"/>
                <w:u w:val="single"/>
              </w:rPr>
            </w:pPr>
          </w:p>
          <w:p w14:paraId="471C57F4" w14:textId="77777777" w:rsidR="005060EB" w:rsidRPr="009009FC" w:rsidRDefault="005060EB" w:rsidP="00274530">
            <w:pPr>
              <w:rPr>
                <w:rFonts w:ascii="Arial" w:hAnsi="Arial" w:cs="Arial"/>
                <w:b/>
                <w:sz w:val="20"/>
                <w:szCs w:val="22"/>
                <w:u w:val="single"/>
              </w:rPr>
            </w:pPr>
          </w:p>
        </w:tc>
        <w:tc>
          <w:tcPr>
            <w:tcW w:w="1551" w:type="dxa"/>
          </w:tcPr>
          <w:p w14:paraId="256707F4" w14:textId="77777777" w:rsidR="005060EB" w:rsidRPr="009009FC" w:rsidRDefault="005060EB" w:rsidP="00274530">
            <w:pPr>
              <w:jc w:val="right"/>
              <w:rPr>
                <w:rFonts w:ascii="Arial" w:hAnsi="Arial" w:cs="Arial"/>
                <w:b/>
                <w:sz w:val="20"/>
                <w:szCs w:val="22"/>
                <w:u w:val="single"/>
              </w:rPr>
            </w:pPr>
          </w:p>
          <w:p w14:paraId="7CA8ED16" w14:textId="77777777" w:rsidR="005060EB" w:rsidRPr="009009FC" w:rsidRDefault="005060EB" w:rsidP="00274530">
            <w:pPr>
              <w:jc w:val="right"/>
              <w:rPr>
                <w:rFonts w:ascii="Arial" w:hAnsi="Arial" w:cs="Arial"/>
                <w:b/>
                <w:sz w:val="20"/>
                <w:szCs w:val="22"/>
                <w:u w:val="single"/>
              </w:rPr>
            </w:pPr>
            <w:r w:rsidRPr="009009FC">
              <w:rPr>
                <w:rFonts w:ascii="Arial" w:hAnsi="Arial" w:cs="Arial"/>
                <w:b/>
                <w:sz w:val="20"/>
                <w:szCs w:val="22"/>
                <w:u w:val="single"/>
              </w:rPr>
              <w:t>4Q 2019</w:t>
            </w:r>
          </w:p>
        </w:tc>
        <w:tc>
          <w:tcPr>
            <w:tcW w:w="1551" w:type="dxa"/>
          </w:tcPr>
          <w:p w14:paraId="779C4FD6" w14:textId="77777777" w:rsidR="005060EB" w:rsidRPr="009009FC" w:rsidRDefault="005060EB" w:rsidP="00274530">
            <w:pPr>
              <w:jc w:val="right"/>
              <w:rPr>
                <w:rFonts w:ascii="Arial" w:hAnsi="Arial" w:cs="Arial"/>
                <w:b/>
                <w:sz w:val="20"/>
                <w:szCs w:val="22"/>
                <w:u w:val="single"/>
              </w:rPr>
            </w:pPr>
            <w:r w:rsidRPr="009009FC">
              <w:rPr>
                <w:rFonts w:ascii="Arial" w:hAnsi="Arial" w:cs="Arial"/>
                <w:b/>
                <w:sz w:val="20"/>
                <w:szCs w:val="22"/>
                <w:u w:val="single"/>
              </w:rPr>
              <w:t>Adjusted</w:t>
            </w:r>
          </w:p>
          <w:p w14:paraId="42AFC5D8" w14:textId="77777777" w:rsidR="005060EB" w:rsidRPr="009009FC" w:rsidRDefault="005060EB" w:rsidP="00274530">
            <w:pPr>
              <w:jc w:val="right"/>
              <w:rPr>
                <w:rFonts w:ascii="Arial" w:hAnsi="Arial" w:cs="Arial"/>
                <w:b/>
                <w:sz w:val="20"/>
                <w:szCs w:val="22"/>
                <w:u w:val="single"/>
              </w:rPr>
            </w:pPr>
            <w:r w:rsidRPr="009009FC">
              <w:rPr>
                <w:rFonts w:ascii="Arial" w:hAnsi="Arial" w:cs="Arial"/>
                <w:b/>
                <w:sz w:val="20"/>
                <w:szCs w:val="22"/>
                <w:u w:val="single"/>
              </w:rPr>
              <w:t>4Q 2019</w:t>
            </w:r>
          </w:p>
        </w:tc>
        <w:tc>
          <w:tcPr>
            <w:tcW w:w="1551" w:type="dxa"/>
          </w:tcPr>
          <w:p w14:paraId="6C45C81B" w14:textId="77777777" w:rsidR="005060EB" w:rsidRPr="009009FC" w:rsidRDefault="005060EB" w:rsidP="00274530">
            <w:pPr>
              <w:jc w:val="right"/>
              <w:rPr>
                <w:rFonts w:ascii="Arial" w:hAnsi="Arial" w:cs="Arial"/>
                <w:b/>
                <w:sz w:val="20"/>
                <w:szCs w:val="22"/>
                <w:u w:val="single"/>
              </w:rPr>
            </w:pPr>
          </w:p>
          <w:p w14:paraId="4C1AAF71" w14:textId="77777777" w:rsidR="005060EB" w:rsidRPr="009009FC" w:rsidRDefault="005060EB" w:rsidP="00274530">
            <w:pPr>
              <w:jc w:val="right"/>
              <w:rPr>
                <w:rFonts w:ascii="Arial" w:hAnsi="Arial" w:cs="Arial"/>
                <w:b/>
                <w:sz w:val="20"/>
                <w:szCs w:val="22"/>
                <w:u w:val="single"/>
              </w:rPr>
            </w:pPr>
            <w:r w:rsidRPr="009009FC">
              <w:rPr>
                <w:rFonts w:ascii="Arial" w:hAnsi="Arial" w:cs="Arial"/>
                <w:b/>
                <w:sz w:val="20"/>
                <w:szCs w:val="22"/>
                <w:u w:val="single"/>
              </w:rPr>
              <w:t>4Q 2018</w:t>
            </w:r>
          </w:p>
        </w:tc>
        <w:tc>
          <w:tcPr>
            <w:tcW w:w="1551" w:type="dxa"/>
          </w:tcPr>
          <w:p w14:paraId="36C950CD" w14:textId="77777777" w:rsidR="005060EB" w:rsidRPr="009009FC" w:rsidRDefault="005060EB" w:rsidP="00274530">
            <w:pPr>
              <w:jc w:val="right"/>
              <w:rPr>
                <w:rFonts w:ascii="Arial" w:hAnsi="Arial" w:cs="Arial"/>
                <w:b/>
                <w:sz w:val="20"/>
                <w:szCs w:val="22"/>
                <w:u w:val="single"/>
              </w:rPr>
            </w:pPr>
            <w:r w:rsidRPr="009009FC">
              <w:rPr>
                <w:rFonts w:ascii="Arial" w:hAnsi="Arial" w:cs="Arial"/>
                <w:b/>
                <w:sz w:val="20"/>
                <w:szCs w:val="22"/>
                <w:u w:val="single"/>
              </w:rPr>
              <w:t>Adjusted</w:t>
            </w:r>
          </w:p>
          <w:p w14:paraId="642D9EA3" w14:textId="77777777" w:rsidR="005060EB" w:rsidRPr="009009FC" w:rsidRDefault="005060EB" w:rsidP="00274530">
            <w:pPr>
              <w:jc w:val="right"/>
              <w:rPr>
                <w:rFonts w:ascii="Arial" w:hAnsi="Arial" w:cs="Arial"/>
                <w:b/>
                <w:sz w:val="20"/>
                <w:szCs w:val="22"/>
                <w:u w:val="single"/>
              </w:rPr>
            </w:pPr>
            <w:r w:rsidRPr="009009FC">
              <w:rPr>
                <w:rFonts w:ascii="Arial" w:hAnsi="Arial" w:cs="Arial"/>
                <w:b/>
                <w:sz w:val="20"/>
                <w:szCs w:val="22"/>
                <w:u w:val="single"/>
              </w:rPr>
              <w:t>4Q 2018</w:t>
            </w:r>
          </w:p>
        </w:tc>
      </w:tr>
      <w:tr w:rsidR="005060EB" w:rsidRPr="009009FC" w14:paraId="40C7F49B" w14:textId="77777777" w:rsidTr="00274530">
        <w:tc>
          <w:tcPr>
            <w:tcW w:w="2855" w:type="dxa"/>
          </w:tcPr>
          <w:p w14:paraId="3CB3C90B" w14:textId="77777777" w:rsidR="005060EB" w:rsidRPr="009009FC" w:rsidRDefault="005060EB" w:rsidP="00274530">
            <w:pPr>
              <w:rPr>
                <w:rFonts w:ascii="Arial" w:hAnsi="Arial" w:cs="Arial"/>
                <w:sz w:val="20"/>
                <w:szCs w:val="22"/>
              </w:rPr>
            </w:pPr>
            <w:r w:rsidRPr="009009FC">
              <w:rPr>
                <w:rFonts w:ascii="Arial" w:hAnsi="Arial" w:cs="Arial"/>
                <w:sz w:val="20"/>
                <w:szCs w:val="22"/>
              </w:rPr>
              <w:t>Revenue</w:t>
            </w:r>
          </w:p>
        </w:tc>
        <w:tc>
          <w:tcPr>
            <w:tcW w:w="1551" w:type="dxa"/>
          </w:tcPr>
          <w:p w14:paraId="58348D3A" w14:textId="77777777" w:rsidR="005060EB" w:rsidRPr="009009FC" w:rsidRDefault="005060EB" w:rsidP="00274530">
            <w:pPr>
              <w:jc w:val="right"/>
              <w:rPr>
                <w:rFonts w:ascii="Arial" w:hAnsi="Arial" w:cs="Arial"/>
                <w:sz w:val="20"/>
                <w:szCs w:val="22"/>
              </w:rPr>
            </w:pPr>
            <w:r w:rsidRPr="009009FC">
              <w:rPr>
                <w:rFonts w:ascii="Arial" w:hAnsi="Arial" w:cs="Arial"/>
                <w:sz w:val="20"/>
                <w:szCs w:val="22"/>
              </w:rPr>
              <w:t>$3,762 M</w:t>
            </w:r>
          </w:p>
        </w:tc>
        <w:tc>
          <w:tcPr>
            <w:tcW w:w="1551" w:type="dxa"/>
          </w:tcPr>
          <w:p w14:paraId="731AC8ED" w14:textId="77777777" w:rsidR="005060EB" w:rsidRPr="009009FC" w:rsidRDefault="005060EB" w:rsidP="00274530">
            <w:pPr>
              <w:jc w:val="right"/>
              <w:rPr>
                <w:rFonts w:ascii="Arial" w:hAnsi="Arial" w:cs="Arial"/>
                <w:sz w:val="20"/>
                <w:szCs w:val="22"/>
              </w:rPr>
            </w:pPr>
          </w:p>
        </w:tc>
        <w:tc>
          <w:tcPr>
            <w:tcW w:w="1551" w:type="dxa"/>
          </w:tcPr>
          <w:p w14:paraId="659B2AA6" w14:textId="77777777" w:rsidR="005060EB" w:rsidRPr="009009FC" w:rsidRDefault="005060EB" w:rsidP="00274530">
            <w:pPr>
              <w:jc w:val="right"/>
              <w:rPr>
                <w:rFonts w:ascii="Arial" w:hAnsi="Arial" w:cs="Arial"/>
                <w:sz w:val="20"/>
                <w:szCs w:val="22"/>
              </w:rPr>
            </w:pPr>
            <w:r w:rsidRPr="009009FC">
              <w:rPr>
                <w:rFonts w:ascii="Arial" w:hAnsi="Arial" w:cs="Arial"/>
                <w:sz w:val="20"/>
                <w:szCs w:val="22"/>
              </w:rPr>
              <w:t>$3,829 M</w:t>
            </w:r>
          </w:p>
        </w:tc>
        <w:tc>
          <w:tcPr>
            <w:tcW w:w="1551" w:type="dxa"/>
          </w:tcPr>
          <w:p w14:paraId="0CC01A91" w14:textId="77777777" w:rsidR="005060EB" w:rsidRPr="009009FC" w:rsidRDefault="005060EB" w:rsidP="00274530">
            <w:pPr>
              <w:jc w:val="right"/>
              <w:rPr>
                <w:rFonts w:ascii="Arial" w:hAnsi="Arial" w:cs="Arial"/>
                <w:sz w:val="20"/>
                <w:szCs w:val="22"/>
              </w:rPr>
            </w:pPr>
          </w:p>
        </w:tc>
      </w:tr>
      <w:tr w:rsidR="005060EB" w:rsidRPr="009009FC" w14:paraId="2EDB8639" w14:textId="77777777" w:rsidTr="00274530">
        <w:tc>
          <w:tcPr>
            <w:tcW w:w="2855" w:type="dxa"/>
          </w:tcPr>
          <w:p w14:paraId="51FFC688" w14:textId="77777777" w:rsidR="005060EB" w:rsidRPr="009009FC" w:rsidRDefault="005060EB" w:rsidP="00274530">
            <w:pPr>
              <w:rPr>
                <w:rFonts w:ascii="Arial" w:hAnsi="Arial" w:cs="Arial"/>
                <w:sz w:val="20"/>
                <w:szCs w:val="22"/>
              </w:rPr>
            </w:pPr>
            <w:r w:rsidRPr="009009FC">
              <w:rPr>
                <w:rFonts w:ascii="Arial" w:hAnsi="Arial" w:cs="Arial"/>
                <w:sz w:val="20"/>
                <w:szCs w:val="22"/>
              </w:rPr>
              <w:t xml:space="preserve">Operating profit </w:t>
            </w:r>
          </w:p>
        </w:tc>
        <w:tc>
          <w:tcPr>
            <w:tcW w:w="1551" w:type="dxa"/>
          </w:tcPr>
          <w:p w14:paraId="5C7042A5" w14:textId="77777777" w:rsidR="005060EB" w:rsidRPr="009009FC" w:rsidRDefault="005060EB" w:rsidP="00274530">
            <w:pPr>
              <w:jc w:val="right"/>
              <w:rPr>
                <w:rFonts w:ascii="Arial" w:hAnsi="Arial" w:cs="Arial"/>
                <w:sz w:val="20"/>
                <w:szCs w:val="22"/>
              </w:rPr>
            </w:pPr>
            <w:r w:rsidRPr="009009FC">
              <w:rPr>
                <w:rFonts w:ascii="Arial" w:hAnsi="Arial" w:cs="Arial"/>
                <w:sz w:val="20"/>
                <w:szCs w:val="22"/>
              </w:rPr>
              <w:t>$799 M</w:t>
            </w:r>
          </w:p>
        </w:tc>
        <w:tc>
          <w:tcPr>
            <w:tcW w:w="1551" w:type="dxa"/>
          </w:tcPr>
          <w:p w14:paraId="59B99BB7" w14:textId="77777777" w:rsidR="005060EB" w:rsidRPr="009009FC" w:rsidRDefault="005060EB" w:rsidP="00274530">
            <w:pPr>
              <w:jc w:val="right"/>
              <w:rPr>
                <w:rFonts w:ascii="Arial" w:hAnsi="Arial" w:cs="Arial"/>
                <w:sz w:val="20"/>
                <w:szCs w:val="22"/>
              </w:rPr>
            </w:pPr>
            <w:r w:rsidRPr="009009FC">
              <w:rPr>
                <w:rFonts w:ascii="Arial" w:hAnsi="Arial" w:cs="Arial"/>
                <w:sz w:val="20"/>
                <w:szCs w:val="22"/>
              </w:rPr>
              <w:t>$ 809 M</w:t>
            </w:r>
          </w:p>
        </w:tc>
        <w:tc>
          <w:tcPr>
            <w:tcW w:w="1551" w:type="dxa"/>
          </w:tcPr>
          <w:p w14:paraId="4097AB46" w14:textId="77777777" w:rsidR="005060EB" w:rsidRPr="009009FC" w:rsidRDefault="005060EB" w:rsidP="00274530">
            <w:pPr>
              <w:jc w:val="right"/>
              <w:rPr>
                <w:rFonts w:ascii="Arial" w:hAnsi="Arial" w:cs="Arial"/>
                <w:sz w:val="20"/>
                <w:szCs w:val="22"/>
              </w:rPr>
            </w:pPr>
            <w:r w:rsidRPr="009009FC">
              <w:rPr>
                <w:rFonts w:ascii="Arial" w:hAnsi="Arial" w:cs="Arial"/>
                <w:sz w:val="20"/>
                <w:szCs w:val="22"/>
              </w:rPr>
              <w:t>$781 M</w:t>
            </w:r>
          </w:p>
        </w:tc>
        <w:tc>
          <w:tcPr>
            <w:tcW w:w="1551" w:type="dxa"/>
          </w:tcPr>
          <w:p w14:paraId="15927692" w14:textId="77777777" w:rsidR="005060EB" w:rsidRPr="009009FC" w:rsidRDefault="005060EB" w:rsidP="00274530">
            <w:pPr>
              <w:jc w:val="right"/>
              <w:rPr>
                <w:rFonts w:ascii="Arial" w:hAnsi="Arial" w:cs="Arial"/>
                <w:sz w:val="20"/>
                <w:szCs w:val="22"/>
              </w:rPr>
            </w:pPr>
            <w:r w:rsidRPr="009009FC">
              <w:rPr>
                <w:rFonts w:ascii="Arial" w:hAnsi="Arial" w:cs="Arial"/>
                <w:sz w:val="20"/>
                <w:szCs w:val="22"/>
              </w:rPr>
              <w:t>$781 M</w:t>
            </w:r>
          </w:p>
        </w:tc>
      </w:tr>
    </w:tbl>
    <w:p w14:paraId="36B9019D" w14:textId="77777777" w:rsidR="001C5A2A" w:rsidRPr="009009FC" w:rsidRDefault="001C5A2A" w:rsidP="00512620">
      <w:pPr>
        <w:ind w:left="720" w:hanging="720"/>
        <w:rPr>
          <w:rFonts w:ascii="Arial" w:hAnsi="Arial" w:cs="Arial"/>
          <w:szCs w:val="22"/>
        </w:rPr>
      </w:pPr>
    </w:p>
    <w:p w14:paraId="727FB3C2" w14:textId="3D280BD2" w:rsidR="006B0370" w:rsidRPr="009009FC" w:rsidRDefault="006B0370" w:rsidP="006B0370">
      <w:pPr>
        <w:pStyle w:val="Odstavecseseznamem"/>
        <w:numPr>
          <w:ilvl w:val="0"/>
          <w:numId w:val="2"/>
        </w:numPr>
        <w:rPr>
          <w:rFonts w:ascii="Arial" w:hAnsi="Arial" w:cs="Arial"/>
          <w:sz w:val="22"/>
          <w:szCs w:val="22"/>
        </w:rPr>
      </w:pPr>
      <w:r w:rsidRPr="009009FC">
        <w:rPr>
          <w:rFonts w:ascii="Arial" w:hAnsi="Arial" w:cs="Arial"/>
          <w:sz w:val="22"/>
        </w:rPr>
        <w:t xml:space="preserve">Export volume was down slightly as gains on intra-Europe, intra-Asia and U.S. export trade lanes </w:t>
      </w:r>
      <w:r w:rsidR="0093299D" w:rsidRPr="009009FC">
        <w:rPr>
          <w:rFonts w:ascii="Arial" w:hAnsi="Arial" w:cs="Arial"/>
          <w:sz w:val="22"/>
        </w:rPr>
        <w:t>did not fully</w:t>
      </w:r>
      <w:r w:rsidRPr="009009FC">
        <w:rPr>
          <w:rFonts w:ascii="Arial" w:hAnsi="Arial" w:cs="Arial"/>
          <w:sz w:val="22"/>
        </w:rPr>
        <w:t xml:space="preserve"> offset the decline</w:t>
      </w:r>
      <w:r w:rsidR="0093299D" w:rsidRPr="009009FC">
        <w:rPr>
          <w:rFonts w:ascii="Arial" w:hAnsi="Arial" w:cs="Arial"/>
          <w:sz w:val="22"/>
        </w:rPr>
        <w:t>s into and out of the U.K. and</w:t>
      </w:r>
      <w:r w:rsidRPr="009009FC">
        <w:rPr>
          <w:rFonts w:ascii="Arial" w:hAnsi="Arial" w:cs="Arial"/>
          <w:sz w:val="22"/>
        </w:rPr>
        <w:t xml:space="preserve"> on the Asia-U.S. lane.</w:t>
      </w:r>
    </w:p>
    <w:p w14:paraId="6E4D2A95" w14:textId="77777777" w:rsidR="002D1BA3" w:rsidRPr="009009FC" w:rsidRDefault="00A3766C" w:rsidP="006B0370">
      <w:pPr>
        <w:pStyle w:val="Odstavecseseznamem"/>
        <w:numPr>
          <w:ilvl w:val="0"/>
          <w:numId w:val="2"/>
        </w:numPr>
        <w:rPr>
          <w:rFonts w:ascii="Arial" w:hAnsi="Arial" w:cs="Arial"/>
          <w:sz w:val="22"/>
          <w:szCs w:val="22"/>
        </w:rPr>
      </w:pPr>
      <w:r w:rsidRPr="009009FC">
        <w:rPr>
          <w:rFonts w:ascii="Arial" w:hAnsi="Arial" w:cs="Arial"/>
          <w:sz w:val="22"/>
          <w:szCs w:val="22"/>
        </w:rPr>
        <w:t>O</w:t>
      </w:r>
      <w:r w:rsidR="00C66436" w:rsidRPr="009009FC">
        <w:rPr>
          <w:rFonts w:ascii="Arial" w:hAnsi="Arial" w:cs="Arial"/>
          <w:sz w:val="22"/>
          <w:szCs w:val="22"/>
        </w:rPr>
        <w:t xml:space="preserve">perating profit increased </w:t>
      </w:r>
      <w:r w:rsidR="006B0DC9" w:rsidRPr="009009FC">
        <w:rPr>
          <w:rFonts w:ascii="Arial" w:hAnsi="Arial" w:cs="Arial"/>
          <w:sz w:val="22"/>
          <w:szCs w:val="22"/>
        </w:rPr>
        <w:t>more than</w:t>
      </w:r>
      <w:r w:rsidR="00C66436" w:rsidRPr="009009FC">
        <w:rPr>
          <w:rFonts w:ascii="Arial" w:hAnsi="Arial" w:cs="Arial"/>
          <w:sz w:val="22"/>
          <w:szCs w:val="22"/>
        </w:rPr>
        <w:t xml:space="preserve"> 2%</w:t>
      </w:r>
      <w:r w:rsidR="007F724E" w:rsidRPr="009009FC">
        <w:rPr>
          <w:rFonts w:ascii="Arial" w:hAnsi="Arial" w:cs="Arial"/>
          <w:sz w:val="22"/>
          <w:szCs w:val="22"/>
        </w:rPr>
        <w:t>, and</w:t>
      </w:r>
      <w:r w:rsidR="00BD4141" w:rsidRPr="009009FC">
        <w:rPr>
          <w:rFonts w:ascii="Arial" w:hAnsi="Arial" w:cs="Arial"/>
          <w:sz w:val="22"/>
          <w:szCs w:val="22"/>
        </w:rPr>
        <w:t xml:space="preserve"> by</w:t>
      </w:r>
      <w:r w:rsidR="00C66436" w:rsidRPr="009009FC">
        <w:rPr>
          <w:rFonts w:ascii="Arial" w:hAnsi="Arial" w:cs="Arial"/>
          <w:sz w:val="22"/>
          <w:szCs w:val="22"/>
        </w:rPr>
        <w:t xml:space="preserve"> 3.6</w:t>
      </w:r>
      <w:r w:rsidR="00D83CF6" w:rsidRPr="009009FC">
        <w:rPr>
          <w:rFonts w:ascii="Arial" w:hAnsi="Arial" w:cs="Arial"/>
          <w:sz w:val="22"/>
          <w:szCs w:val="22"/>
        </w:rPr>
        <w:t xml:space="preserve">% </w:t>
      </w:r>
      <w:r w:rsidR="00C03A16" w:rsidRPr="009009FC">
        <w:rPr>
          <w:rFonts w:ascii="Arial" w:hAnsi="Arial" w:cs="Arial"/>
          <w:sz w:val="22"/>
          <w:szCs w:val="22"/>
        </w:rPr>
        <w:t xml:space="preserve">on an </w:t>
      </w:r>
      <w:r w:rsidR="002A0188" w:rsidRPr="009009FC">
        <w:rPr>
          <w:rFonts w:ascii="Arial" w:hAnsi="Arial" w:cs="Arial"/>
          <w:sz w:val="22"/>
          <w:szCs w:val="22"/>
        </w:rPr>
        <w:t>adjusted basis</w:t>
      </w:r>
      <w:r w:rsidR="00C00956" w:rsidRPr="009009FC">
        <w:rPr>
          <w:rFonts w:ascii="Arial" w:hAnsi="Arial" w:cs="Arial"/>
          <w:sz w:val="22"/>
          <w:szCs w:val="22"/>
        </w:rPr>
        <w:t>.</w:t>
      </w:r>
    </w:p>
    <w:p w14:paraId="21678579" w14:textId="77777777" w:rsidR="004360A5" w:rsidRPr="009009FC" w:rsidRDefault="004360A5" w:rsidP="008218FA">
      <w:pPr>
        <w:pStyle w:val="Odstavecseseznamem"/>
        <w:numPr>
          <w:ilvl w:val="0"/>
          <w:numId w:val="2"/>
        </w:numPr>
        <w:rPr>
          <w:rFonts w:ascii="Arial" w:hAnsi="Arial" w:cs="Arial"/>
          <w:sz w:val="22"/>
          <w:szCs w:val="22"/>
        </w:rPr>
      </w:pPr>
      <w:r w:rsidRPr="009009FC">
        <w:rPr>
          <w:rFonts w:ascii="Arial" w:hAnsi="Arial" w:cs="Arial"/>
          <w:sz w:val="22"/>
          <w:szCs w:val="22"/>
        </w:rPr>
        <w:lastRenderedPageBreak/>
        <w:t>Industry</w:t>
      </w:r>
      <w:r w:rsidR="00ED7461" w:rsidRPr="009009FC">
        <w:rPr>
          <w:rFonts w:ascii="Arial" w:hAnsi="Arial" w:cs="Arial"/>
          <w:sz w:val="22"/>
          <w:szCs w:val="22"/>
        </w:rPr>
        <w:t>-</w:t>
      </w:r>
      <w:r w:rsidRPr="009009FC">
        <w:rPr>
          <w:rFonts w:ascii="Arial" w:hAnsi="Arial" w:cs="Arial"/>
          <w:sz w:val="22"/>
          <w:szCs w:val="22"/>
        </w:rPr>
        <w:t xml:space="preserve">leading </w:t>
      </w:r>
      <w:r w:rsidR="001E50E1" w:rsidRPr="009009FC">
        <w:rPr>
          <w:rFonts w:ascii="Arial" w:hAnsi="Arial" w:cs="Arial"/>
          <w:sz w:val="22"/>
          <w:szCs w:val="22"/>
        </w:rPr>
        <w:t xml:space="preserve">operating </w:t>
      </w:r>
      <w:r w:rsidRPr="009009FC">
        <w:rPr>
          <w:rFonts w:ascii="Arial" w:hAnsi="Arial" w:cs="Arial"/>
          <w:sz w:val="22"/>
          <w:szCs w:val="22"/>
        </w:rPr>
        <w:t xml:space="preserve">margin </w:t>
      </w:r>
      <w:r w:rsidR="00056264" w:rsidRPr="009009FC">
        <w:rPr>
          <w:rFonts w:ascii="Arial" w:hAnsi="Arial" w:cs="Arial"/>
          <w:sz w:val="22"/>
          <w:szCs w:val="22"/>
        </w:rPr>
        <w:t>remained</w:t>
      </w:r>
      <w:r w:rsidR="006262A3" w:rsidRPr="009009FC">
        <w:rPr>
          <w:rFonts w:ascii="Arial" w:hAnsi="Arial" w:cs="Arial"/>
          <w:sz w:val="22"/>
          <w:szCs w:val="22"/>
        </w:rPr>
        <w:t xml:space="preserve"> strong at 21.2</w:t>
      </w:r>
      <w:r w:rsidR="00E2710D" w:rsidRPr="009009FC">
        <w:rPr>
          <w:rFonts w:ascii="Arial" w:hAnsi="Arial" w:cs="Arial"/>
          <w:sz w:val="22"/>
          <w:szCs w:val="22"/>
        </w:rPr>
        <w:t>%; adjust</w:t>
      </w:r>
      <w:r w:rsidR="00D90882" w:rsidRPr="009009FC">
        <w:rPr>
          <w:rFonts w:ascii="Arial" w:hAnsi="Arial" w:cs="Arial"/>
          <w:sz w:val="22"/>
          <w:szCs w:val="22"/>
        </w:rPr>
        <w:t>ed operating margin expanded 110</w:t>
      </w:r>
      <w:r w:rsidR="00E2710D" w:rsidRPr="009009FC">
        <w:rPr>
          <w:rFonts w:ascii="Arial" w:hAnsi="Arial" w:cs="Arial"/>
          <w:sz w:val="22"/>
          <w:szCs w:val="22"/>
        </w:rPr>
        <w:t xml:space="preserve"> basis points</w:t>
      </w:r>
      <w:r w:rsidR="001E50E1" w:rsidRPr="009009FC">
        <w:rPr>
          <w:rFonts w:ascii="Arial" w:hAnsi="Arial" w:cs="Arial"/>
          <w:sz w:val="22"/>
          <w:szCs w:val="22"/>
        </w:rPr>
        <w:t xml:space="preserve">. </w:t>
      </w:r>
    </w:p>
    <w:p w14:paraId="1B7849CD" w14:textId="77777777" w:rsidR="0061713E" w:rsidRPr="009009FC" w:rsidRDefault="0061713E" w:rsidP="004914AA">
      <w:pPr>
        <w:rPr>
          <w:rFonts w:ascii="Arial" w:hAnsi="Arial" w:cs="Arial"/>
          <w:b/>
          <w:sz w:val="22"/>
          <w:szCs w:val="22"/>
          <w:u w:val="single"/>
        </w:rPr>
      </w:pPr>
    </w:p>
    <w:p w14:paraId="70B404F4" w14:textId="77777777" w:rsidR="006B5F24" w:rsidRPr="009009FC" w:rsidRDefault="006B5F24" w:rsidP="004914AA">
      <w:pPr>
        <w:rPr>
          <w:rFonts w:ascii="Arial" w:hAnsi="Arial" w:cs="Arial"/>
          <w:b/>
          <w:sz w:val="22"/>
          <w:szCs w:val="22"/>
          <w:u w:val="single"/>
        </w:rPr>
      </w:pPr>
    </w:p>
    <w:p w14:paraId="452EE96B" w14:textId="77777777" w:rsidR="006B5F24" w:rsidRPr="009009FC" w:rsidRDefault="006B5F24" w:rsidP="004914AA">
      <w:pPr>
        <w:rPr>
          <w:rFonts w:ascii="Arial" w:hAnsi="Arial" w:cs="Arial"/>
          <w:b/>
          <w:sz w:val="22"/>
          <w:szCs w:val="22"/>
          <w:u w:val="single"/>
        </w:rPr>
      </w:pPr>
    </w:p>
    <w:p w14:paraId="5C0A3FCE" w14:textId="77777777" w:rsidR="00CE1B73" w:rsidRPr="009009FC" w:rsidRDefault="00CE1B73" w:rsidP="009140E6">
      <w:pPr>
        <w:rPr>
          <w:rFonts w:ascii="Arial" w:hAnsi="Arial" w:cs="Arial"/>
          <w:b/>
          <w:sz w:val="22"/>
          <w:szCs w:val="22"/>
          <w:u w:val="single"/>
          <w:lang w:val="en"/>
        </w:rPr>
      </w:pPr>
    </w:p>
    <w:p w14:paraId="57029231" w14:textId="77777777" w:rsidR="009140E6" w:rsidRPr="009009FC" w:rsidRDefault="009140E6" w:rsidP="009140E6">
      <w:pPr>
        <w:rPr>
          <w:rFonts w:ascii="Arial" w:hAnsi="Arial" w:cs="Arial"/>
          <w:b/>
          <w:sz w:val="22"/>
          <w:szCs w:val="22"/>
          <w:u w:val="single"/>
          <w:lang w:val="en"/>
        </w:rPr>
      </w:pPr>
      <w:r w:rsidRPr="009009FC">
        <w:rPr>
          <w:rFonts w:ascii="Arial" w:hAnsi="Arial" w:cs="Arial"/>
          <w:b/>
          <w:sz w:val="22"/>
          <w:szCs w:val="22"/>
          <w:u w:val="single"/>
          <w:lang w:val="en"/>
        </w:rPr>
        <w:t>Supply Chain and Freight Segment</w:t>
      </w:r>
    </w:p>
    <w:p w14:paraId="18AF4096" w14:textId="77777777" w:rsidR="008C72A1" w:rsidRPr="009009FC" w:rsidRDefault="008C72A1" w:rsidP="009140E6">
      <w:pPr>
        <w:rPr>
          <w:rFonts w:ascii="Arial" w:hAnsi="Arial" w:cs="Arial"/>
          <w:b/>
          <w:sz w:val="22"/>
          <w:szCs w:val="22"/>
          <w:u w:val="single"/>
          <w:lang w:val="en"/>
        </w:rPr>
      </w:pPr>
    </w:p>
    <w:p w14:paraId="164D8BB8" w14:textId="77777777" w:rsidR="008C72A1" w:rsidRPr="009009FC" w:rsidRDefault="001872B5" w:rsidP="009140E6">
      <w:pPr>
        <w:rPr>
          <w:rFonts w:ascii="Arial" w:hAnsi="Arial" w:cs="Arial"/>
          <w:sz w:val="22"/>
          <w:szCs w:val="22"/>
          <w:lang w:val="en"/>
        </w:rPr>
      </w:pPr>
      <w:r w:rsidRPr="009009FC">
        <w:rPr>
          <w:rFonts w:ascii="Arial" w:hAnsi="Arial" w:cs="Arial"/>
          <w:sz w:val="22"/>
          <w:szCs w:val="22"/>
          <w:lang w:val="en"/>
        </w:rPr>
        <w:t xml:space="preserve">Supply Chain and Freight </w:t>
      </w:r>
      <w:r w:rsidR="003359DC" w:rsidRPr="009009FC">
        <w:rPr>
          <w:rFonts w:ascii="Arial" w:hAnsi="Arial" w:cs="Arial"/>
          <w:sz w:val="22"/>
          <w:szCs w:val="22"/>
          <w:lang w:val="en"/>
        </w:rPr>
        <w:t xml:space="preserve">produced strong profit growth in the quarter. </w:t>
      </w:r>
      <w:r w:rsidR="00555DE9" w:rsidRPr="009009FC">
        <w:rPr>
          <w:rFonts w:ascii="Arial" w:hAnsi="Arial" w:cs="Arial"/>
          <w:sz w:val="22"/>
          <w:szCs w:val="22"/>
          <w:lang w:val="en"/>
        </w:rPr>
        <w:t xml:space="preserve"> </w:t>
      </w:r>
      <w:r w:rsidR="003359DC" w:rsidRPr="009009FC">
        <w:rPr>
          <w:rFonts w:ascii="Arial" w:hAnsi="Arial" w:cs="Arial"/>
          <w:sz w:val="22"/>
          <w:szCs w:val="22"/>
          <w:lang w:val="en"/>
        </w:rPr>
        <w:t xml:space="preserve">The segment also expanded operating margins </w:t>
      </w:r>
      <w:r w:rsidR="001A21C4" w:rsidRPr="009009FC">
        <w:rPr>
          <w:rFonts w:ascii="Arial" w:hAnsi="Arial" w:cs="Arial"/>
          <w:sz w:val="22"/>
          <w:szCs w:val="22"/>
          <w:lang w:val="en"/>
        </w:rPr>
        <w:t>driven by</w:t>
      </w:r>
      <w:r w:rsidR="00E2710D" w:rsidRPr="009009FC">
        <w:rPr>
          <w:rFonts w:ascii="Arial" w:hAnsi="Arial" w:cs="Arial"/>
          <w:sz w:val="22"/>
          <w:szCs w:val="22"/>
          <w:lang w:val="en"/>
        </w:rPr>
        <w:t xml:space="preserve"> </w:t>
      </w:r>
      <w:r w:rsidR="003359DC" w:rsidRPr="009009FC">
        <w:rPr>
          <w:rFonts w:ascii="Arial" w:hAnsi="Arial" w:cs="Arial"/>
          <w:sz w:val="22"/>
          <w:szCs w:val="22"/>
          <w:lang w:val="en"/>
        </w:rPr>
        <w:t xml:space="preserve">disciplined </w:t>
      </w:r>
      <w:r w:rsidR="00E2710D" w:rsidRPr="009009FC">
        <w:rPr>
          <w:rFonts w:ascii="Arial" w:hAnsi="Arial" w:cs="Arial"/>
          <w:sz w:val="22"/>
          <w:szCs w:val="22"/>
          <w:lang w:val="en"/>
        </w:rPr>
        <w:t xml:space="preserve">cost management actions </w:t>
      </w:r>
      <w:r w:rsidR="003359DC" w:rsidRPr="009009FC">
        <w:rPr>
          <w:rFonts w:ascii="Arial" w:hAnsi="Arial" w:cs="Arial"/>
          <w:sz w:val="22"/>
          <w:szCs w:val="22"/>
          <w:lang w:val="en"/>
        </w:rPr>
        <w:t xml:space="preserve">and continued focus on growing </w:t>
      </w:r>
      <w:r w:rsidR="00D1228E" w:rsidRPr="009009FC">
        <w:rPr>
          <w:rFonts w:ascii="Arial" w:hAnsi="Arial" w:cs="Arial"/>
          <w:sz w:val="22"/>
          <w:szCs w:val="22"/>
          <w:lang w:val="en"/>
        </w:rPr>
        <w:t>its</w:t>
      </w:r>
      <w:r w:rsidR="003359DC" w:rsidRPr="009009FC">
        <w:rPr>
          <w:rFonts w:ascii="Arial" w:hAnsi="Arial" w:cs="Arial"/>
          <w:sz w:val="22"/>
          <w:szCs w:val="22"/>
          <w:lang w:val="en"/>
        </w:rPr>
        <w:t xml:space="preserve"> </w:t>
      </w:r>
      <w:r w:rsidR="009D7F9A" w:rsidRPr="009009FC">
        <w:rPr>
          <w:rFonts w:ascii="Arial" w:hAnsi="Arial" w:cs="Arial"/>
          <w:sz w:val="22"/>
          <w:szCs w:val="22"/>
          <w:lang w:val="en"/>
        </w:rPr>
        <w:t>SMB</w:t>
      </w:r>
      <w:r w:rsidR="003359DC" w:rsidRPr="009009FC">
        <w:rPr>
          <w:rFonts w:ascii="Arial" w:hAnsi="Arial" w:cs="Arial"/>
          <w:sz w:val="22"/>
          <w:szCs w:val="22"/>
          <w:lang w:val="en"/>
        </w:rPr>
        <w:t xml:space="preserve"> customer base</w:t>
      </w:r>
      <w:r w:rsidR="00C92D8C" w:rsidRPr="009009FC">
        <w:rPr>
          <w:rFonts w:ascii="Arial" w:hAnsi="Arial" w:cs="Arial"/>
          <w:sz w:val="22"/>
          <w:szCs w:val="22"/>
          <w:lang w:val="en"/>
        </w:rPr>
        <w:t xml:space="preserve">. </w:t>
      </w:r>
    </w:p>
    <w:p w14:paraId="37F5C16D" w14:textId="77777777" w:rsidR="009140E6" w:rsidRPr="009009FC" w:rsidRDefault="009140E6" w:rsidP="004914AA">
      <w:pPr>
        <w:rPr>
          <w:rFonts w:ascii="Arial" w:hAnsi="Arial" w:cs="Arial"/>
          <w:b/>
          <w:sz w:val="22"/>
          <w:szCs w:val="22"/>
          <w:u w:val="single"/>
        </w:rPr>
      </w:pPr>
    </w:p>
    <w:tbl>
      <w:tblPr>
        <w:tblStyle w:val="Mkatabulky"/>
        <w:tblW w:w="905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1551"/>
        <w:gridCol w:w="1551"/>
        <w:gridCol w:w="1551"/>
        <w:gridCol w:w="1551"/>
      </w:tblGrid>
      <w:tr w:rsidR="00722DB9" w:rsidRPr="009009FC" w14:paraId="7952C9B3" w14:textId="77777777" w:rsidTr="00274530">
        <w:tc>
          <w:tcPr>
            <w:tcW w:w="2855" w:type="dxa"/>
          </w:tcPr>
          <w:p w14:paraId="6A0A332F" w14:textId="77777777" w:rsidR="00722DB9" w:rsidRPr="009009FC" w:rsidRDefault="00722DB9" w:rsidP="00274530">
            <w:pPr>
              <w:rPr>
                <w:rFonts w:ascii="Arial" w:hAnsi="Arial" w:cs="Arial"/>
                <w:b/>
                <w:sz w:val="20"/>
                <w:szCs w:val="22"/>
                <w:u w:val="single"/>
              </w:rPr>
            </w:pPr>
          </w:p>
          <w:p w14:paraId="245A81F2" w14:textId="77777777" w:rsidR="00722DB9" w:rsidRPr="009009FC" w:rsidRDefault="00722DB9" w:rsidP="00274530">
            <w:pPr>
              <w:rPr>
                <w:rFonts w:ascii="Arial" w:hAnsi="Arial" w:cs="Arial"/>
                <w:b/>
                <w:sz w:val="20"/>
                <w:szCs w:val="22"/>
                <w:u w:val="single"/>
              </w:rPr>
            </w:pPr>
          </w:p>
        </w:tc>
        <w:tc>
          <w:tcPr>
            <w:tcW w:w="1551" w:type="dxa"/>
          </w:tcPr>
          <w:p w14:paraId="3F37DBA9" w14:textId="77777777" w:rsidR="00722DB9" w:rsidRPr="009009FC" w:rsidRDefault="00722DB9" w:rsidP="00274530">
            <w:pPr>
              <w:jc w:val="right"/>
              <w:rPr>
                <w:rFonts w:ascii="Arial" w:hAnsi="Arial" w:cs="Arial"/>
                <w:b/>
                <w:sz w:val="20"/>
                <w:szCs w:val="22"/>
                <w:u w:val="single"/>
              </w:rPr>
            </w:pPr>
          </w:p>
          <w:p w14:paraId="5CF2A574" w14:textId="77777777" w:rsidR="00722DB9" w:rsidRPr="009009FC" w:rsidRDefault="00722DB9" w:rsidP="00274530">
            <w:pPr>
              <w:jc w:val="right"/>
              <w:rPr>
                <w:rFonts w:ascii="Arial" w:hAnsi="Arial" w:cs="Arial"/>
                <w:b/>
                <w:sz w:val="20"/>
                <w:szCs w:val="22"/>
                <w:u w:val="single"/>
              </w:rPr>
            </w:pPr>
            <w:r w:rsidRPr="009009FC">
              <w:rPr>
                <w:rFonts w:ascii="Arial" w:hAnsi="Arial" w:cs="Arial"/>
                <w:b/>
                <w:sz w:val="20"/>
                <w:szCs w:val="22"/>
                <w:u w:val="single"/>
              </w:rPr>
              <w:t>4Q 2019</w:t>
            </w:r>
          </w:p>
        </w:tc>
        <w:tc>
          <w:tcPr>
            <w:tcW w:w="1551" w:type="dxa"/>
          </w:tcPr>
          <w:p w14:paraId="63C242C8" w14:textId="77777777" w:rsidR="00722DB9" w:rsidRPr="009009FC" w:rsidRDefault="00722DB9" w:rsidP="00274530">
            <w:pPr>
              <w:jc w:val="right"/>
              <w:rPr>
                <w:rFonts w:ascii="Arial" w:hAnsi="Arial" w:cs="Arial"/>
                <w:b/>
                <w:sz w:val="20"/>
                <w:szCs w:val="22"/>
                <w:u w:val="single"/>
              </w:rPr>
            </w:pPr>
            <w:r w:rsidRPr="009009FC">
              <w:rPr>
                <w:rFonts w:ascii="Arial" w:hAnsi="Arial" w:cs="Arial"/>
                <w:b/>
                <w:sz w:val="20"/>
                <w:szCs w:val="22"/>
                <w:u w:val="single"/>
              </w:rPr>
              <w:t>Adjusted</w:t>
            </w:r>
          </w:p>
          <w:p w14:paraId="2E88E539" w14:textId="77777777" w:rsidR="00722DB9" w:rsidRPr="009009FC" w:rsidRDefault="00722DB9" w:rsidP="00274530">
            <w:pPr>
              <w:jc w:val="right"/>
              <w:rPr>
                <w:rFonts w:ascii="Arial" w:hAnsi="Arial" w:cs="Arial"/>
                <w:b/>
                <w:sz w:val="20"/>
                <w:szCs w:val="22"/>
                <w:u w:val="single"/>
              </w:rPr>
            </w:pPr>
            <w:r w:rsidRPr="009009FC">
              <w:rPr>
                <w:rFonts w:ascii="Arial" w:hAnsi="Arial" w:cs="Arial"/>
                <w:b/>
                <w:sz w:val="20"/>
                <w:szCs w:val="22"/>
                <w:u w:val="single"/>
              </w:rPr>
              <w:t>4Q 2019</w:t>
            </w:r>
          </w:p>
        </w:tc>
        <w:tc>
          <w:tcPr>
            <w:tcW w:w="1551" w:type="dxa"/>
          </w:tcPr>
          <w:p w14:paraId="54CE8B21" w14:textId="77777777" w:rsidR="00722DB9" w:rsidRPr="009009FC" w:rsidRDefault="00722DB9" w:rsidP="00274530">
            <w:pPr>
              <w:jc w:val="right"/>
              <w:rPr>
                <w:rFonts w:ascii="Arial" w:hAnsi="Arial" w:cs="Arial"/>
                <w:b/>
                <w:sz w:val="20"/>
                <w:szCs w:val="22"/>
                <w:u w:val="single"/>
              </w:rPr>
            </w:pPr>
          </w:p>
          <w:p w14:paraId="12BC5F83" w14:textId="77777777" w:rsidR="00722DB9" w:rsidRPr="009009FC" w:rsidRDefault="00722DB9" w:rsidP="00274530">
            <w:pPr>
              <w:jc w:val="right"/>
              <w:rPr>
                <w:rFonts w:ascii="Arial" w:hAnsi="Arial" w:cs="Arial"/>
                <w:b/>
                <w:sz w:val="20"/>
                <w:szCs w:val="22"/>
                <w:u w:val="single"/>
              </w:rPr>
            </w:pPr>
            <w:r w:rsidRPr="009009FC">
              <w:rPr>
                <w:rFonts w:ascii="Arial" w:hAnsi="Arial" w:cs="Arial"/>
                <w:b/>
                <w:sz w:val="20"/>
                <w:szCs w:val="22"/>
                <w:u w:val="single"/>
              </w:rPr>
              <w:t>4Q 2018</w:t>
            </w:r>
          </w:p>
        </w:tc>
        <w:tc>
          <w:tcPr>
            <w:tcW w:w="1551" w:type="dxa"/>
          </w:tcPr>
          <w:p w14:paraId="5FA8D4FE" w14:textId="77777777" w:rsidR="00722DB9" w:rsidRPr="009009FC" w:rsidRDefault="00722DB9" w:rsidP="00274530">
            <w:pPr>
              <w:jc w:val="right"/>
              <w:rPr>
                <w:rFonts w:ascii="Arial" w:hAnsi="Arial" w:cs="Arial"/>
                <w:b/>
                <w:sz w:val="20"/>
                <w:szCs w:val="22"/>
                <w:u w:val="single"/>
              </w:rPr>
            </w:pPr>
            <w:r w:rsidRPr="009009FC">
              <w:rPr>
                <w:rFonts w:ascii="Arial" w:hAnsi="Arial" w:cs="Arial"/>
                <w:b/>
                <w:sz w:val="20"/>
                <w:szCs w:val="22"/>
                <w:u w:val="single"/>
              </w:rPr>
              <w:t>Adjusted</w:t>
            </w:r>
          </w:p>
          <w:p w14:paraId="6AFFFB26" w14:textId="77777777" w:rsidR="00722DB9" w:rsidRPr="009009FC" w:rsidRDefault="00722DB9" w:rsidP="00274530">
            <w:pPr>
              <w:jc w:val="right"/>
              <w:rPr>
                <w:rFonts w:ascii="Arial" w:hAnsi="Arial" w:cs="Arial"/>
                <w:b/>
                <w:sz w:val="20"/>
                <w:szCs w:val="22"/>
                <w:u w:val="single"/>
              </w:rPr>
            </w:pPr>
            <w:r w:rsidRPr="009009FC">
              <w:rPr>
                <w:rFonts w:ascii="Arial" w:hAnsi="Arial" w:cs="Arial"/>
                <w:b/>
                <w:sz w:val="20"/>
                <w:szCs w:val="22"/>
                <w:u w:val="single"/>
              </w:rPr>
              <w:t>4Q 2018</w:t>
            </w:r>
          </w:p>
        </w:tc>
      </w:tr>
      <w:tr w:rsidR="00722DB9" w:rsidRPr="009009FC" w14:paraId="5D8418B7" w14:textId="77777777" w:rsidTr="00274530">
        <w:tc>
          <w:tcPr>
            <w:tcW w:w="2855" w:type="dxa"/>
          </w:tcPr>
          <w:p w14:paraId="7810E39E" w14:textId="77777777" w:rsidR="00722DB9" w:rsidRPr="009009FC" w:rsidRDefault="00722DB9" w:rsidP="00274530">
            <w:pPr>
              <w:rPr>
                <w:rFonts w:ascii="Arial" w:hAnsi="Arial" w:cs="Arial"/>
                <w:sz w:val="20"/>
                <w:szCs w:val="22"/>
              </w:rPr>
            </w:pPr>
            <w:r w:rsidRPr="009009FC">
              <w:rPr>
                <w:rFonts w:ascii="Arial" w:hAnsi="Arial" w:cs="Arial"/>
                <w:sz w:val="20"/>
                <w:szCs w:val="22"/>
              </w:rPr>
              <w:t>Revenue</w:t>
            </w:r>
          </w:p>
        </w:tc>
        <w:tc>
          <w:tcPr>
            <w:tcW w:w="1551" w:type="dxa"/>
          </w:tcPr>
          <w:p w14:paraId="3AF90D86" w14:textId="77777777" w:rsidR="00722DB9" w:rsidRPr="009009FC" w:rsidRDefault="00722DB9" w:rsidP="00274530">
            <w:pPr>
              <w:jc w:val="right"/>
              <w:rPr>
                <w:rFonts w:ascii="Arial" w:hAnsi="Arial" w:cs="Arial"/>
                <w:sz w:val="20"/>
                <w:szCs w:val="22"/>
              </w:rPr>
            </w:pPr>
            <w:r w:rsidRPr="009009FC">
              <w:rPr>
                <w:rFonts w:ascii="Arial" w:hAnsi="Arial" w:cs="Arial"/>
                <w:sz w:val="20"/>
                <w:szCs w:val="22"/>
              </w:rPr>
              <w:t>$3,398 M</w:t>
            </w:r>
          </w:p>
        </w:tc>
        <w:tc>
          <w:tcPr>
            <w:tcW w:w="1551" w:type="dxa"/>
          </w:tcPr>
          <w:p w14:paraId="7F88A185" w14:textId="77777777" w:rsidR="00722DB9" w:rsidRPr="009009FC" w:rsidRDefault="00722DB9" w:rsidP="00274530">
            <w:pPr>
              <w:jc w:val="right"/>
              <w:rPr>
                <w:rFonts w:ascii="Arial" w:hAnsi="Arial" w:cs="Arial"/>
                <w:sz w:val="20"/>
                <w:szCs w:val="22"/>
              </w:rPr>
            </w:pPr>
          </w:p>
        </w:tc>
        <w:tc>
          <w:tcPr>
            <w:tcW w:w="1551" w:type="dxa"/>
          </w:tcPr>
          <w:p w14:paraId="37A97556" w14:textId="77777777" w:rsidR="00722DB9" w:rsidRPr="009009FC" w:rsidRDefault="00722DB9" w:rsidP="00274530">
            <w:pPr>
              <w:jc w:val="right"/>
              <w:rPr>
                <w:rFonts w:ascii="Arial" w:hAnsi="Arial" w:cs="Arial"/>
                <w:sz w:val="20"/>
                <w:szCs w:val="22"/>
              </w:rPr>
            </w:pPr>
            <w:r w:rsidRPr="009009FC">
              <w:rPr>
                <w:rFonts w:ascii="Arial" w:hAnsi="Arial" w:cs="Arial"/>
                <w:sz w:val="20"/>
                <w:szCs w:val="22"/>
              </w:rPr>
              <w:t>$3,444 M</w:t>
            </w:r>
          </w:p>
        </w:tc>
        <w:tc>
          <w:tcPr>
            <w:tcW w:w="1551" w:type="dxa"/>
          </w:tcPr>
          <w:p w14:paraId="7B072E31" w14:textId="77777777" w:rsidR="00722DB9" w:rsidRPr="009009FC" w:rsidRDefault="00722DB9" w:rsidP="00274530">
            <w:pPr>
              <w:jc w:val="right"/>
              <w:rPr>
                <w:rFonts w:ascii="Arial" w:hAnsi="Arial" w:cs="Arial"/>
                <w:sz w:val="20"/>
                <w:szCs w:val="22"/>
              </w:rPr>
            </w:pPr>
          </w:p>
        </w:tc>
      </w:tr>
      <w:tr w:rsidR="00722DB9" w:rsidRPr="009009FC" w14:paraId="7D02123D" w14:textId="77777777" w:rsidTr="00274530">
        <w:tc>
          <w:tcPr>
            <w:tcW w:w="2855" w:type="dxa"/>
          </w:tcPr>
          <w:p w14:paraId="2FB51BB1" w14:textId="77777777" w:rsidR="00722DB9" w:rsidRPr="009009FC" w:rsidRDefault="00722DB9" w:rsidP="00274530">
            <w:pPr>
              <w:rPr>
                <w:rFonts w:ascii="Arial" w:hAnsi="Arial" w:cs="Arial"/>
                <w:sz w:val="20"/>
                <w:szCs w:val="22"/>
              </w:rPr>
            </w:pPr>
            <w:r w:rsidRPr="009009FC">
              <w:rPr>
                <w:rFonts w:ascii="Arial" w:hAnsi="Arial" w:cs="Arial"/>
                <w:sz w:val="20"/>
                <w:szCs w:val="22"/>
              </w:rPr>
              <w:t xml:space="preserve">Operating profit </w:t>
            </w:r>
          </w:p>
        </w:tc>
        <w:tc>
          <w:tcPr>
            <w:tcW w:w="1551" w:type="dxa"/>
          </w:tcPr>
          <w:p w14:paraId="51F42EC4" w14:textId="77777777" w:rsidR="00722DB9" w:rsidRPr="009009FC" w:rsidRDefault="00722DB9" w:rsidP="00274530">
            <w:pPr>
              <w:jc w:val="right"/>
              <w:rPr>
                <w:rFonts w:ascii="Arial" w:hAnsi="Arial" w:cs="Arial"/>
                <w:sz w:val="20"/>
                <w:szCs w:val="22"/>
              </w:rPr>
            </w:pPr>
            <w:r w:rsidRPr="009009FC">
              <w:rPr>
                <w:rFonts w:ascii="Arial" w:hAnsi="Arial" w:cs="Arial"/>
                <w:sz w:val="20"/>
                <w:szCs w:val="22"/>
              </w:rPr>
              <w:t>$260 M</w:t>
            </w:r>
          </w:p>
        </w:tc>
        <w:tc>
          <w:tcPr>
            <w:tcW w:w="1551" w:type="dxa"/>
          </w:tcPr>
          <w:p w14:paraId="1FB2EA66" w14:textId="77777777" w:rsidR="00722DB9" w:rsidRPr="009009FC" w:rsidRDefault="00722DB9" w:rsidP="00274530">
            <w:pPr>
              <w:jc w:val="right"/>
              <w:rPr>
                <w:rFonts w:ascii="Arial" w:hAnsi="Arial" w:cs="Arial"/>
                <w:sz w:val="20"/>
                <w:szCs w:val="22"/>
              </w:rPr>
            </w:pPr>
            <w:r w:rsidRPr="009009FC">
              <w:rPr>
                <w:rFonts w:ascii="Arial" w:hAnsi="Arial" w:cs="Arial"/>
                <w:sz w:val="20"/>
                <w:szCs w:val="22"/>
              </w:rPr>
              <w:t>$ 262 M</w:t>
            </w:r>
          </w:p>
        </w:tc>
        <w:tc>
          <w:tcPr>
            <w:tcW w:w="1551" w:type="dxa"/>
          </w:tcPr>
          <w:p w14:paraId="2DD712B0" w14:textId="77777777" w:rsidR="00722DB9" w:rsidRPr="009009FC" w:rsidRDefault="00722DB9" w:rsidP="00274530">
            <w:pPr>
              <w:jc w:val="right"/>
              <w:rPr>
                <w:rFonts w:ascii="Arial" w:hAnsi="Arial" w:cs="Arial"/>
                <w:sz w:val="20"/>
                <w:szCs w:val="22"/>
              </w:rPr>
            </w:pPr>
            <w:r w:rsidRPr="009009FC">
              <w:rPr>
                <w:rFonts w:ascii="Arial" w:hAnsi="Arial" w:cs="Arial"/>
                <w:sz w:val="20"/>
                <w:szCs w:val="22"/>
              </w:rPr>
              <w:t>$224 M</w:t>
            </w:r>
          </w:p>
        </w:tc>
        <w:tc>
          <w:tcPr>
            <w:tcW w:w="1551" w:type="dxa"/>
          </w:tcPr>
          <w:p w14:paraId="2EF4B64A" w14:textId="77777777" w:rsidR="00722DB9" w:rsidRPr="009009FC" w:rsidRDefault="00722DB9" w:rsidP="00274530">
            <w:pPr>
              <w:jc w:val="right"/>
              <w:rPr>
                <w:rFonts w:ascii="Arial" w:hAnsi="Arial" w:cs="Arial"/>
                <w:sz w:val="20"/>
                <w:szCs w:val="22"/>
              </w:rPr>
            </w:pPr>
            <w:r w:rsidRPr="009009FC">
              <w:rPr>
                <w:rFonts w:ascii="Arial" w:hAnsi="Arial" w:cs="Arial"/>
                <w:sz w:val="20"/>
                <w:szCs w:val="22"/>
              </w:rPr>
              <w:t>$224 M</w:t>
            </w:r>
          </w:p>
        </w:tc>
      </w:tr>
    </w:tbl>
    <w:p w14:paraId="5382BACD" w14:textId="77777777" w:rsidR="001C5A2A" w:rsidRPr="009009FC" w:rsidRDefault="001C5A2A" w:rsidP="00B85D96">
      <w:pPr>
        <w:rPr>
          <w:rFonts w:ascii="Arial" w:hAnsi="Arial" w:cs="Arial"/>
          <w:sz w:val="22"/>
          <w:szCs w:val="22"/>
        </w:rPr>
      </w:pPr>
    </w:p>
    <w:p w14:paraId="59452210" w14:textId="77777777" w:rsidR="00373CA6" w:rsidRPr="009009FC" w:rsidRDefault="00A3766C" w:rsidP="00BC4D81">
      <w:pPr>
        <w:pStyle w:val="Odstavecseseznamem"/>
        <w:numPr>
          <w:ilvl w:val="0"/>
          <w:numId w:val="2"/>
        </w:numPr>
        <w:rPr>
          <w:rFonts w:ascii="Arial" w:hAnsi="Arial" w:cs="Arial"/>
          <w:iCs/>
          <w:sz w:val="22"/>
          <w:szCs w:val="22"/>
        </w:rPr>
      </w:pPr>
      <w:r w:rsidRPr="009009FC">
        <w:rPr>
          <w:rFonts w:ascii="Arial" w:hAnsi="Arial" w:cs="Arial"/>
          <w:iCs/>
          <w:sz w:val="22"/>
          <w:szCs w:val="22"/>
        </w:rPr>
        <w:t>Operating</w:t>
      </w:r>
      <w:r w:rsidR="00F27262" w:rsidRPr="009009FC">
        <w:rPr>
          <w:rFonts w:ascii="Arial" w:hAnsi="Arial" w:cs="Arial"/>
          <w:iCs/>
          <w:sz w:val="22"/>
          <w:szCs w:val="22"/>
        </w:rPr>
        <w:t xml:space="preserve"> </w:t>
      </w:r>
      <w:r w:rsidR="00C66436" w:rsidRPr="009009FC">
        <w:rPr>
          <w:rFonts w:ascii="Arial" w:hAnsi="Arial" w:cs="Arial"/>
          <w:iCs/>
          <w:sz w:val="22"/>
          <w:szCs w:val="22"/>
        </w:rPr>
        <w:t xml:space="preserve">profit increased </w:t>
      </w:r>
      <w:r w:rsidR="00EB1A54" w:rsidRPr="009009FC">
        <w:rPr>
          <w:rFonts w:ascii="Arial" w:hAnsi="Arial" w:cs="Arial"/>
          <w:iCs/>
          <w:sz w:val="22"/>
          <w:szCs w:val="22"/>
        </w:rPr>
        <w:t xml:space="preserve">more than </w:t>
      </w:r>
      <w:r w:rsidR="00C66436" w:rsidRPr="009009FC">
        <w:rPr>
          <w:rFonts w:ascii="Arial" w:hAnsi="Arial" w:cs="Arial"/>
          <w:iCs/>
          <w:sz w:val="22"/>
          <w:szCs w:val="22"/>
        </w:rPr>
        <w:t>16</w:t>
      </w:r>
      <w:r w:rsidR="007C38AC" w:rsidRPr="009009FC">
        <w:rPr>
          <w:rFonts w:ascii="Arial" w:hAnsi="Arial" w:cs="Arial"/>
          <w:iCs/>
          <w:sz w:val="22"/>
          <w:szCs w:val="22"/>
        </w:rPr>
        <w:t xml:space="preserve">%, and </w:t>
      </w:r>
      <w:r w:rsidR="00C66436" w:rsidRPr="009009FC">
        <w:rPr>
          <w:rFonts w:ascii="Arial" w:hAnsi="Arial" w:cs="Arial"/>
          <w:iCs/>
          <w:sz w:val="22"/>
          <w:szCs w:val="22"/>
        </w:rPr>
        <w:t>by 17</w:t>
      </w:r>
      <w:r w:rsidR="00056264" w:rsidRPr="009009FC">
        <w:rPr>
          <w:rFonts w:ascii="Arial" w:hAnsi="Arial" w:cs="Arial"/>
          <w:iCs/>
          <w:sz w:val="22"/>
          <w:szCs w:val="22"/>
        </w:rPr>
        <w:t xml:space="preserve">% </w:t>
      </w:r>
      <w:r w:rsidR="00A05C12" w:rsidRPr="009009FC">
        <w:rPr>
          <w:rFonts w:ascii="Arial" w:hAnsi="Arial" w:cs="Arial"/>
          <w:iCs/>
          <w:sz w:val="22"/>
          <w:szCs w:val="22"/>
        </w:rPr>
        <w:t>on an adjusted basis.</w:t>
      </w:r>
    </w:p>
    <w:p w14:paraId="4C38A69D" w14:textId="0A2B5388" w:rsidR="003359DC" w:rsidRPr="009009FC" w:rsidRDefault="006262A3" w:rsidP="003359DC">
      <w:pPr>
        <w:pStyle w:val="Odstavecseseznamem"/>
        <w:numPr>
          <w:ilvl w:val="0"/>
          <w:numId w:val="2"/>
        </w:numPr>
        <w:rPr>
          <w:rFonts w:ascii="Arial" w:hAnsi="Arial" w:cs="Arial"/>
          <w:iCs/>
          <w:sz w:val="22"/>
          <w:szCs w:val="22"/>
        </w:rPr>
      </w:pPr>
      <w:r w:rsidRPr="009009FC">
        <w:rPr>
          <w:rFonts w:ascii="Arial" w:hAnsi="Arial" w:cs="Arial"/>
          <w:iCs/>
          <w:sz w:val="22"/>
          <w:szCs w:val="22"/>
        </w:rPr>
        <w:t xml:space="preserve">Logistics, </w:t>
      </w:r>
      <w:r w:rsidR="003359DC" w:rsidRPr="009009FC">
        <w:rPr>
          <w:rFonts w:ascii="Arial" w:hAnsi="Arial" w:cs="Arial"/>
          <w:iCs/>
          <w:sz w:val="22"/>
          <w:szCs w:val="22"/>
        </w:rPr>
        <w:t>Marken and UPS Freight delivered revenue growth.</w:t>
      </w:r>
    </w:p>
    <w:p w14:paraId="345CB6F8" w14:textId="77777777" w:rsidR="003359DC" w:rsidRPr="009009FC" w:rsidRDefault="003359DC" w:rsidP="003359DC">
      <w:pPr>
        <w:pStyle w:val="Odstavecseseznamem"/>
        <w:numPr>
          <w:ilvl w:val="0"/>
          <w:numId w:val="2"/>
        </w:numPr>
        <w:rPr>
          <w:rFonts w:ascii="Arial" w:hAnsi="Arial" w:cs="Arial"/>
          <w:iCs/>
          <w:sz w:val="22"/>
          <w:szCs w:val="22"/>
        </w:rPr>
      </w:pPr>
      <w:r w:rsidRPr="009009FC">
        <w:rPr>
          <w:rFonts w:ascii="Arial" w:hAnsi="Arial" w:cs="Arial"/>
          <w:iCs/>
          <w:sz w:val="22"/>
          <w:szCs w:val="22"/>
        </w:rPr>
        <w:t xml:space="preserve">Logistics and Marken grew profits </w:t>
      </w:r>
      <w:r w:rsidR="00D1228E" w:rsidRPr="009009FC">
        <w:rPr>
          <w:rFonts w:ascii="Arial" w:hAnsi="Arial" w:cs="Arial"/>
          <w:iCs/>
          <w:sz w:val="22"/>
          <w:szCs w:val="22"/>
        </w:rPr>
        <w:t xml:space="preserve">by </w:t>
      </w:r>
      <w:r w:rsidRPr="009009FC">
        <w:rPr>
          <w:rFonts w:ascii="Arial" w:hAnsi="Arial" w:cs="Arial"/>
          <w:iCs/>
          <w:sz w:val="22"/>
          <w:szCs w:val="22"/>
        </w:rPr>
        <w:t>double</w:t>
      </w:r>
      <w:r w:rsidR="00EB1A54" w:rsidRPr="009009FC">
        <w:rPr>
          <w:rFonts w:ascii="Arial" w:hAnsi="Arial" w:cs="Arial"/>
          <w:iCs/>
          <w:sz w:val="22"/>
          <w:szCs w:val="22"/>
        </w:rPr>
        <w:t xml:space="preserve"> </w:t>
      </w:r>
      <w:r w:rsidRPr="009009FC">
        <w:rPr>
          <w:rFonts w:ascii="Arial" w:hAnsi="Arial" w:cs="Arial"/>
          <w:iCs/>
          <w:sz w:val="22"/>
          <w:szCs w:val="22"/>
        </w:rPr>
        <w:t>digits</w:t>
      </w:r>
      <w:r w:rsidR="00D1228E" w:rsidRPr="009009FC">
        <w:rPr>
          <w:rFonts w:ascii="Arial" w:hAnsi="Arial" w:cs="Arial"/>
          <w:iCs/>
          <w:sz w:val="22"/>
          <w:szCs w:val="22"/>
        </w:rPr>
        <w:t>,</w:t>
      </w:r>
      <w:r w:rsidRPr="009009FC">
        <w:rPr>
          <w:rFonts w:ascii="Arial" w:hAnsi="Arial" w:cs="Arial"/>
          <w:iCs/>
          <w:sz w:val="22"/>
          <w:szCs w:val="22"/>
        </w:rPr>
        <w:t xml:space="preserve"> which helped offset softer conditions in Forwarding and truck</w:t>
      </w:r>
      <w:r w:rsidR="009655FC" w:rsidRPr="009009FC">
        <w:rPr>
          <w:rFonts w:ascii="Arial" w:hAnsi="Arial" w:cs="Arial"/>
          <w:iCs/>
          <w:sz w:val="22"/>
          <w:szCs w:val="22"/>
        </w:rPr>
        <w:t>load</w:t>
      </w:r>
      <w:r w:rsidRPr="009009FC">
        <w:rPr>
          <w:rFonts w:ascii="Arial" w:hAnsi="Arial" w:cs="Arial"/>
          <w:iCs/>
          <w:sz w:val="22"/>
          <w:szCs w:val="22"/>
        </w:rPr>
        <w:t xml:space="preserve"> brokerage.</w:t>
      </w:r>
    </w:p>
    <w:p w14:paraId="63E40B14" w14:textId="77777777" w:rsidR="007769A9" w:rsidRPr="009009FC" w:rsidRDefault="00900C8B" w:rsidP="00900C8B">
      <w:pPr>
        <w:pStyle w:val="Odstavecseseznamem"/>
        <w:numPr>
          <w:ilvl w:val="0"/>
          <w:numId w:val="2"/>
        </w:numPr>
        <w:rPr>
          <w:rFonts w:ascii="Arial" w:hAnsi="Arial" w:cs="Arial"/>
          <w:sz w:val="22"/>
          <w:szCs w:val="22"/>
        </w:rPr>
      </w:pPr>
      <w:r w:rsidRPr="009009FC">
        <w:rPr>
          <w:rFonts w:ascii="Arial" w:hAnsi="Arial" w:cs="Arial"/>
          <w:sz w:val="22"/>
          <w:szCs w:val="22"/>
          <w:lang w:val="en"/>
        </w:rPr>
        <w:t>UPS Freight produced an increase in revenue per LTL (less-than-truc</w:t>
      </w:r>
      <w:r w:rsidR="006A5723" w:rsidRPr="009009FC">
        <w:rPr>
          <w:rFonts w:ascii="Arial" w:hAnsi="Arial" w:cs="Arial"/>
          <w:sz w:val="22"/>
          <w:szCs w:val="22"/>
          <w:lang w:val="en"/>
        </w:rPr>
        <w:t xml:space="preserve">kload) hundredweight of </w:t>
      </w:r>
      <w:r w:rsidR="00B5772F" w:rsidRPr="009009FC">
        <w:rPr>
          <w:rFonts w:ascii="Arial" w:hAnsi="Arial" w:cs="Arial"/>
          <w:sz w:val="22"/>
          <w:szCs w:val="22"/>
          <w:lang w:val="en"/>
        </w:rPr>
        <w:t>2.5</w:t>
      </w:r>
      <w:r w:rsidRPr="009009FC">
        <w:rPr>
          <w:rFonts w:ascii="Arial" w:hAnsi="Arial" w:cs="Arial"/>
          <w:sz w:val="22"/>
          <w:szCs w:val="22"/>
          <w:lang w:val="en"/>
        </w:rPr>
        <w:t>%, driven by i</w:t>
      </w:r>
      <w:r w:rsidR="00C92D8C" w:rsidRPr="009009FC">
        <w:rPr>
          <w:rFonts w:ascii="Arial" w:hAnsi="Arial" w:cs="Arial"/>
          <w:sz w:val="22"/>
          <w:szCs w:val="22"/>
          <w:lang w:val="en"/>
        </w:rPr>
        <w:t>ts focus on</w:t>
      </w:r>
      <w:r w:rsidR="00E05800" w:rsidRPr="009009FC">
        <w:rPr>
          <w:rFonts w:ascii="Arial" w:hAnsi="Arial" w:cs="Arial"/>
          <w:sz w:val="22"/>
          <w:szCs w:val="22"/>
          <w:lang w:val="en"/>
        </w:rPr>
        <w:t xml:space="preserve"> </w:t>
      </w:r>
      <w:r w:rsidR="00EB1A54" w:rsidRPr="009009FC">
        <w:rPr>
          <w:rFonts w:ascii="Arial" w:hAnsi="Arial" w:cs="Arial"/>
          <w:sz w:val="22"/>
          <w:szCs w:val="22"/>
          <w:lang w:val="en"/>
        </w:rPr>
        <w:t>SMBs</w:t>
      </w:r>
      <w:r w:rsidRPr="009009FC">
        <w:rPr>
          <w:rFonts w:ascii="Arial" w:hAnsi="Arial" w:cs="Arial"/>
          <w:sz w:val="22"/>
          <w:szCs w:val="22"/>
          <w:lang w:val="en"/>
        </w:rPr>
        <w:t>.</w:t>
      </w:r>
    </w:p>
    <w:p w14:paraId="3E89E6F1" w14:textId="77777777" w:rsidR="00A44025" w:rsidRPr="009009FC" w:rsidRDefault="00A44025" w:rsidP="00A44025">
      <w:pPr>
        <w:jc w:val="center"/>
        <w:rPr>
          <w:rFonts w:ascii="Arial" w:hAnsi="Arial" w:cs="Arial"/>
          <w:sz w:val="20"/>
          <w:szCs w:val="20"/>
        </w:rPr>
      </w:pPr>
    </w:p>
    <w:p w14:paraId="4B6D7BE0" w14:textId="77777777" w:rsidR="006546D2" w:rsidRPr="009009FC" w:rsidRDefault="006546D2" w:rsidP="006546D2">
      <w:pPr>
        <w:rPr>
          <w:rFonts w:ascii="Arial" w:hAnsi="Arial" w:cs="Arial"/>
          <w:b/>
          <w:u w:val="single"/>
        </w:rPr>
      </w:pPr>
      <w:r w:rsidRPr="009009FC">
        <w:rPr>
          <w:rFonts w:ascii="Arial" w:hAnsi="Arial" w:cs="Arial"/>
          <w:b/>
          <w:u w:val="single"/>
        </w:rPr>
        <w:t>Full-year 2019 Consolidated Results</w:t>
      </w:r>
    </w:p>
    <w:p w14:paraId="42360F6D" w14:textId="77777777" w:rsidR="006546D2" w:rsidRPr="009009FC" w:rsidRDefault="006546D2" w:rsidP="006546D2">
      <w:pPr>
        <w:rPr>
          <w:rFonts w:ascii="Arial" w:hAnsi="Arial" w:cs="Arial"/>
          <w:sz w:val="20"/>
          <w:szCs w:val="20"/>
        </w:rPr>
      </w:pPr>
    </w:p>
    <w:p w14:paraId="2EFA9447" w14:textId="77BB5791" w:rsidR="00A40711" w:rsidRPr="009009FC" w:rsidRDefault="00F90791" w:rsidP="00A40711">
      <w:pPr>
        <w:pStyle w:val="Odstavecseseznamem"/>
        <w:numPr>
          <w:ilvl w:val="0"/>
          <w:numId w:val="2"/>
        </w:numPr>
        <w:rPr>
          <w:rFonts w:ascii="Arial" w:hAnsi="Arial" w:cs="Arial"/>
          <w:sz w:val="22"/>
        </w:rPr>
      </w:pPr>
      <w:r w:rsidRPr="009009FC">
        <w:rPr>
          <w:rFonts w:ascii="Arial" w:hAnsi="Arial" w:cs="Arial"/>
          <w:sz w:val="22"/>
        </w:rPr>
        <w:t xml:space="preserve">UPS’s transformation investments </w:t>
      </w:r>
      <w:r w:rsidR="00A40711" w:rsidRPr="009009FC">
        <w:rPr>
          <w:rFonts w:ascii="Arial" w:hAnsi="Arial" w:cs="Arial"/>
          <w:sz w:val="22"/>
        </w:rPr>
        <w:t xml:space="preserve">generated </w:t>
      </w:r>
      <w:r w:rsidR="006B0DC9" w:rsidRPr="009009FC">
        <w:rPr>
          <w:rFonts w:ascii="Arial" w:hAnsi="Arial" w:cs="Arial"/>
          <w:sz w:val="22"/>
        </w:rPr>
        <w:t xml:space="preserve">higher total revenue, </w:t>
      </w:r>
      <w:r w:rsidR="00A40711" w:rsidRPr="009009FC">
        <w:rPr>
          <w:rFonts w:ascii="Arial" w:hAnsi="Arial" w:cs="Arial"/>
          <w:sz w:val="22"/>
        </w:rPr>
        <w:t xml:space="preserve">operating profit growth and margin expansion in all segments. </w:t>
      </w:r>
    </w:p>
    <w:p w14:paraId="5E172CCD" w14:textId="32F39780" w:rsidR="00907C83" w:rsidRPr="009009FC" w:rsidRDefault="00907C83" w:rsidP="00907C83">
      <w:pPr>
        <w:pStyle w:val="Odstavecseseznamem"/>
        <w:numPr>
          <w:ilvl w:val="0"/>
          <w:numId w:val="2"/>
        </w:numPr>
        <w:rPr>
          <w:rFonts w:ascii="Arial" w:hAnsi="Arial" w:cs="Arial"/>
          <w:sz w:val="22"/>
        </w:rPr>
      </w:pPr>
      <w:r w:rsidRPr="009009FC">
        <w:rPr>
          <w:rFonts w:ascii="Arial" w:hAnsi="Arial" w:cs="Arial"/>
          <w:sz w:val="22"/>
        </w:rPr>
        <w:t>Full-year 2019 diluted EPS totaled $5.11; adjusted diluted EPS was $7.53</w:t>
      </w:r>
      <w:r w:rsidR="004E61C6" w:rsidRPr="009009FC">
        <w:rPr>
          <w:rFonts w:ascii="Arial" w:hAnsi="Arial" w:cs="Arial"/>
          <w:sz w:val="22"/>
        </w:rPr>
        <w:t xml:space="preserve">, excluding the impacts of </w:t>
      </w:r>
      <w:r w:rsidR="00A24CD5">
        <w:rPr>
          <w:rFonts w:ascii="Arial" w:hAnsi="Arial" w:cs="Arial"/>
          <w:sz w:val="22"/>
        </w:rPr>
        <w:t xml:space="preserve">the </w:t>
      </w:r>
      <w:r w:rsidR="004E61C6" w:rsidRPr="009009FC">
        <w:rPr>
          <w:rFonts w:ascii="Arial" w:hAnsi="Arial" w:cs="Arial"/>
          <w:sz w:val="22"/>
        </w:rPr>
        <w:t>MTM pension charge, transformation charges and legal contingencies</w:t>
      </w:r>
      <w:r w:rsidRPr="009009FC">
        <w:rPr>
          <w:rFonts w:ascii="Arial" w:hAnsi="Arial" w:cs="Arial"/>
          <w:sz w:val="22"/>
        </w:rPr>
        <w:t>.</w:t>
      </w:r>
    </w:p>
    <w:p w14:paraId="3A1E997A" w14:textId="77777777" w:rsidR="006546D2" w:rsidRPr="009009FC" w:rsidRDefault="006546D2" w:rsidP="006546D2">
      <w:pPr>
        <w:pStyle w:val="Odstavecseseznamem"/>
        <w:numPr>
          <w:ilvl w:val="0"/>
          <w:numId w:val="2"/>
        </w:numPr>
        <w:rPr>
          <w:rFonts w:ascii="Arial" w:hAnsi="Arial" w:cs="Arial"/>
          <w:sz w:val="22"/>
        </w:rPr>
      </w:pPr>
      <w:r w:rsidRPr="009009FC">
        <w:rPr>
          <w:rFonts w:ascii="Arial" w:hAnsi="Arial" w:cs="Arial"/>
          <w:sz w:val="22"/>
        </w:rPr>
        <w:t xml:space="preserve">Total revenue increased </w:t>
      </w:r>
      <w:r w:rsidR="009655FC" w:rsidRPr="009009FC">
        <w:rPr>
          <w:rFonts w:ascii="Arial" w:hAnsi="Arial" w:cs="Arial"/>
          <w:sz w:val="22"/>
        </w:rPr>
        <w:t>to</w:t>
      </w:r>
      <w:r w:rsidR="00C66436" w:rsidRPr="009009FC">
        <w:rPr>
          <w:rFonts w:ascii="Arial" w:hAnsi="Arial" w:cs="Arial"/>
          <w:sz w:val="22"/>
        </w:rPr>
        <w:t xml:space="preserve"> </w:t>
      </w:r>
      <w:r w:rsidR="001864A8" w:rsidRPr="009009FC">
        <w:rPr>
          <w:rFonts w:ascii="Arial" w:hAnsi="Arial" w:cs="Arial"/>
          <w:sz w:val="22"/>
        </w:rPr>
        <w:t>$74</w:t>
      </w:r>
      <w:r w:rsidRPr="009009FC">
        <w:rPr>
          <w:rFonts w:ascii="Arial" w:hAnsi="Arial" w:cs="Arial"/>
          <w:sz w:val="22"/>
        </w:rPr>
        <w:t xml:space="preserve"> billion, driven by strong volume g</w:t>
      </w:r>
      <w:r w:rsidR="001864A8" w:rsidRPr="009009FC">
        <w:rPr>
          <w:rFonts w:ascii="Arial" w:hAnsi="Arial" w:cs="Arial"/>
          <w:sz w:val="22"/>
        </w:rPr>
        <w:t>rowth in the U.S.</w:t>
      </w:r>
    </w:p>
    <w:p w14:paraId="42F2B177" w14:textId="77777777" w:rsidR="006546D2" w:rsidRPr="009009FC" w:rsidRDefault="007F724E" w:rsidP="006546D2">
      <w:pPr>
        <w:pStyle w:val="Odstavecseseznamem"/>
        <w:numPr>
          <w:ilvl w:val="0"/>
          <w:numId w:val="2"/>
        </w:numPr>
        <w:rPr>
          <w:rFonts w:ascii="Arial" w:hAnsi="Arial" w:cs="Arial"/>
          <w:sz w:val="22"/>
          <w:szCs w:val="22"/>
        </w:rPr>
      </w:pPr>
      <w:r w:rsidRPr="009009FC">
        <w:rPr>
          <w:rFonts w:ascii="Arial" w:hAnsi="Arial" w:cs="Arial"/>
          <w:sz w:val="22"/>
        </w:rPr>
        <w:t>C</w:t>
      </w:r>
      <w:r w:rsidR="001B46E2" w:rsidRPr="009009FC">
        <w:rPr>
          <w:rFonts w:ascii="Arial" w:hAnsi="Arial" w:cs="Arial"/>
          <w:sz w:val="22"/>
        </w:rPr>
        <w:t xml:space="preserve">apital expenditures were </w:t>
      </w:r>
      <w:r w:rsidRPr="009009FC">
        <w:rPr>
          <w:rFonts w:ascii="Arial" w:hAnsi="Arial" w:cs="Arial"/>
          <w:sz w:val="22"/>
        </w:rPr>
        <w:t xml:space="preserve">$6.4 billion, and on an adjusted basis </w:t>
      </w:r>
      <w:r w:rsidR="001B46E2" w:rsidRPr="009009FC">
        <w:rPr>
          <w:rFonts w:ascii="Arial" w:hAnsi="Arial" w:cs="Arial"/>
          <w:sz w:val="22"/>
        </w:rPr>
        <w:t>$6.5</w:t>
      </w:r>
      <w:r w:rsidR="006546D2" w:rsidRPr="009009FC">
        <w:rPr>
          <w:rFonts w:ascii="Arial" w:hAnsi="Arial" w:cs="Arial"/>
          <w:sz w:val="22"/>
        </w:rPr>
        <w:t xml:space="preserve"> billion</w:t>
      </w:r>
      <w:r w:rsidRPr="009009FC">
        <w:rPr>
          <w:rFonts w:ascii="Arial" w:hAnsi="Arial" w:cs="Arial"/>
          <w:sz w:val="22"/>
        </w:rPr>
        <w:t>,</w:t>
      </w:r>
      <w:r w:rsidR="006546D2" w:rsidRPr="009009FC">
        <w:rPr>
          <w:rFonts w:ascii="Arial" w:hAnsi="Arial" w:cs="Arial"/>
          <w:sz w:val="22"/>
        </w:rPr>
        <w:t xml:space="preserve"> to support network enhancements</w:t>
      </w:r>
      <w:r w:rsidR="006546D2" w:rsidRPr="009009FC">
        <w:rPr>
          <w:rFonts w:ascii="Arial" w:hAnsi="Arial" w:cs="Arial"/>
          <w:sz w:val="22"/>
          <w:szCs w:val="22"/>
        </w:rPr>
        <w:t xml:space="preserve">. </w:t>
      </w:r>
    </w:p>
    <w:p w14:paraId="738EFB64" w14:textId="77777777" w:rsidR="009D7F9A" w:rsidRPr="009009FC" w:rsidRDefault="009D7F9A" w:rsidP="009D7F9A">
      <w:pPr>
        <w:pStyle w:val="Odstavecseseznamem"/>
        <w:numPr>
          <w:ilvl w:val="0"/>
          <w:numId w:val="2"/>
        </w:numPr>
        <w:rPr>
          <w:rFonts w:ascii="Arial" w:hAnsi="Arial" w:cs="Arial"/>
          <w:sz w:val="22"/>
        </w:rPr>
      </w:pPr>
      <w:r w:rsidRPr="009009FC">
        <w:rPr>
          <w:rFonts w:ascii="Arial" w:hAnsi="Arial" w:cs="Arial"/>
          <w:sz w:val="22"/>
        </w:rPr>
        <w:t xml:space="preserve">Annual adjusted free cash flow </w:t>
      </w:r>
      <w:r w:rsidR="00E2481B" w:rsidRPr="009009FC">
        <w:rPr>
          <w:rFonts w:ascii="Arial" w:hAnsi="Arial" w:cs="Arial"/>
          <w:sz w:val="22"/>
        </w:rPr>
        <w:t xml:space="preserve">exceeded </w:t>
      </w:r>
      <w:r w:rsidRPr="009009FC">
        <w:rPr>
          <w:rFonts w:ascii="Arial" w:hAnsi="Arial" w:cs="Arial"/>
          <w:sz w:val="22"/>
        </w:rPr>
        <w:t>$4.1 billion.</w:t>
      </w:r>
    </w:p>
    <w:p w14:paraId="4F4F3160" w14:textId="77777777" w:rsidR="006546D2" w:rsidRPr="009009FC" w:rsidRDefault="006262A3" w:rsidP="006546D2">
      <w:pPr>
        <w:pStyle w:val="Odstavecseseznamem"/>
        <w:numPr>
          <w:ilvl w:val="0"/>
          <w:numId w:val="2"/>
        </w:numPr>
        <w:rPr>
          <w:rFonts w:ascii="Arial" w:hAnsi="Arial" w:cs="Arial"/>
          <w:sz w:val="22"/>
        </w:rPr>
      </w:pPr>
      <w:r w:rsidRPr="009009FC">
        <w:rPr>
          <w:rFonts w:ascii="Arial" w:hAnsi="Arial" w:cs="Arial"/>
          <w:sz w:val="22"/>
        </w:rPr>
        <w:t>Dividends paid were $3.3 bi</w:t>
      </w:r>
      <w:r w:rsidR="006546D2" w:rsidRPr="009009FC">
        <w:rPr>
          <w:rFonts w:ascii="Arial" w:hAnsi="Arial" w:cs="Arial"/>
          <w:sz w:val="22"/>
        </w:rPr>
        <w:t xml:space="preserve">llion, </w:t>
      </w:r>
      <w:r w:rsidR="006B0DC9" w:rsidRPr="009009FC">
        <w:rPr>
          <w:rFonts w:ascii="Arial" w:hAnsi="Arial" w:cs="Arial"/>
          <w:sz w:val="22"/>
        </w:rPr>
        <w:t>a per-</w:t>
      </w:r>
      <w:r w:rsidRPr="009009FC">
        <w:rPr>
          <w:rFonts w:ascii="Arial" w:hAnsi="Arial" w:cs="Arial"/>
          <w:sz w:val="22"/>
        </w:rPr>
        <w:t>share increase of 5.5</w:t>
      </w:r>
      <w:r w:rsidR="006546D2" w:rsidRPr="009009FC">
        <w:rPr>
          <w:rFonts w:ascii="Arial" w:hAnsi="Arial" w:cs="Arial"/>
          <w:sz w:val="22"/>
        </w:rPr>
        <w:t>% over the prior year</w:t>
      </w:r>
      <w:r w:rsidR="004830D0" w:rsidRPr="009009FC">
        <w:rPr>
          <w:rFonts w:ascii="Arial" w:hAnsi="Arial" w:cs="Arial"/>
          <w:sz w:val="22"/>
        </w:rPr>
        <w:t>.</w:t>
      </w:r>
    </w:p>
    <w:p w14:paraId="2C260811" w14:textId="77777777" w:rsidR="006546D2" w:rsidRPr="009009FC" w:rsidRDefault="006262A3" w:rsidP="006546D2">
      <w:pPr>
        <w:pStyle w:val="Odstavecseseznamem"/>
        <w:numPr>
          <w:ilvl w:val="0"/>
          <w:numId w:val="2"/>
        </w:numPr>
        <w:rPr>
          <w:rFonts w:ascii="Arial" w:hAnsi="Arial" w:cs="Arial"/>
          <w:sz w:val="22"/>
        </w:rPr>
      </w:pPr>
      <w:r w:rsidRPr="009009FC">
        <w:rPr>
          <w:rFonts w:ascii="Arial" w:hAnsi="Arial" w:cs="Arial"/>
          <w:sz w:val="22"/>
        </w:rPr>
        <w:t>The company repurchased more than 9</w:t>
      </w:r>
      <w:r w:rsidR="006546D2" w:rsidRPr="009009FC">
        <w:rPr>
          <w:rFonts w:ascii="Arial" w:hAnsi="Arial" w:cs="Arial"/>
          <w:sz w:val="22"/>
        </w:rPr>
        <w:t xml:space="preserve"> milli</w:t>
      </w:r>
      <w:r w:rsidRPr="009009FC">
        <w:rPr>
          <w:rFonts w:ascii="Arial" w:hAnsi="Arial" w:cs="Arial"/>
          <w:sz w:val="22"/>
        </w:rPr>
        <w:t>on shares for approximately $1</w:t>
      </w:r>
      <w:r w:rsidR="006546D2" w:rsidRPr="009009FC">
        <w:rPr>
          <w:rFonts w:ascii="Arial" w:hAnsi="Arial" w:cs="Arial"/>
          <w:sz w:val="22"/>
        </w:rPr>
        <w:t xml:space="preserve"> billion.</w:t>
      </w:r>
    </w:p>
    <w:p w14:paraId="4A1045FF" w14:textId="77777777" w:rsidR="006546D2" w:rsidRPr="009009FC" w:rsidRDefault="006546D2" w:rsidP="006546D2">
      <w:pPr>
        <w:rPr>
          <w:rFonts w:ascii="Arial" w:hAnsi="Arial" w:cs="Arial"/>
          <w:sz w:val="20"/>
          <w:szCs w:val="20"/>
        </w:rPr>
      </w:pPr>
    </w:p>
    <w:p w14:paraId="6D5A2EF6" w14:textId="77777777" w:rsidR="005A5BC6" w:rsidRPr="009009FC" w:rsidRDefault="005A5BC6" w:rsidP="005A5BC6">
      <w:pPr>
        <w:rPr>
          <w:rFonts w:ascii="Arial" w:hAnsi="Arial" w:cs="Arial"/>
          <w:b/>
          <w:u w:val="single"/>
        </w:rPr>
      </w:pPr>
      <w:r w:rsidRPr="009009FC">
        <w:rPr>
          <w:rFonts w:ascii="Arial" w:hAnsi="Arial" w:cs="Arial"/>
          <w:b/>
          <w:u w:val="single"/>
        </w:rPr>
        <w:t>Outlook</w:t>
      </w:r>
    </w:p>
    <w:p w14:paraId="37C87FB7" w14:textId="77777777" w:rsidR="005A5BC6" w:rsidRPr="009009FC" w:rsidRDefault="005A5BC6" w:rsidP="005A5BC6">
      <w:pPr>
        <w:ind w:firstLine="720"/>
        <w:rPr>
          <w:rFonts w:ascii="Arial" w:hAnsi="Arial" w:cs="Arial"/>
        </w:rPr>
      </w:pPr>
    </w:p>
    <w:p w14:paraId="21D85C22" w14:textId="77777777" w:rsidR="003A69AF" w:rsidRPr="009009FC" w:rsidRDefault="005A5BC6" w:rsidP="00AB429A">
      <w:pPr>
        <w:rPr>
          <w:rFonts w:ascii="Arial" w:hAnsi="Arial" w:cs="Arial"/>
          <w:sz w:val="22"/>
          <w:szCs w:val="22"/>
        </w:rPr>
      </w:pPr>
      <w:r w:rsidRPr="009009FC">
        <w:rPr>
          <w:rFonts w:ascii="Arial" w:hAnsi="Arial" w:cs="Arial"/>
          <w:sz w:val="22"/>
          <w:szCs w:val="22"/>
        </w:rPr>
        <w:t>The company provides guidance on an adjusted (non-GAAP) basis because it is not possible to predict or provide a reconciliation reflecting the impact of future pension mark-to-market adjustments</w:t>
      </w:r>
      <w:r w:rsidR="001D1E65" w:rsidRPr="009009FC">
        <w:rPr>
          <w:rFonts w:ascii="Arial" w:hAnsi="Arial" w:cs="Arial"/>
          <w:sz w:val="22"/>
          <w:szCs w:val="22"/>
        </w:rPr>
        <w:t xml:space="preserve"> or other unanticipated events</w:t>
      </w:r>
      <w:r w:rsidRPr="009009FC">
        <w:rPr>
          <w:rFonts w:ascii="Arial" w:hAnsi="Arial" w:cs="Arial"/>
          <w:sz w:val="22"/>
          <w:szCs w:val="22"/>
        </w:rPr>
        <w:t>, which would be included in reported (GAAP) results and could be material.</w:t>
      </w:r>
    </w:p>
    <w:p w14:paraId="0453573A" w14:textId="77777777" w:rsidR="006C0702" w:rsidRPr="009009FC" w:rsidRDefault="006C0702" w:rsidP="00EB1D47">
      <w:pPr>
        <w:ind w:firstLine="720"/>
        <w:rPr>
          <w:rFonts w:ascii="Arial" w:hAnsi="Arial" w:cs="Arial"/>
          <w:sz w:val="22"/>
          <w:szCs w:val="22"/>
        </w:rPr>
      </w:pPr>
    </w:p>
    <w:p w14:paraId="0C45FB81" w14:textId="0DECBAA3" w:rsidR="004C46DD" w:rsidRPr="009009FC" w:rsidRDefault="002501ED" w:rsidP="00CC1777">
      <w:pPr>
        <w:rPr>
          <w:rFonts w:ascii="Arial" w:hAnsi="Arial" w:cs="Arial"/>
          <w:sz w:val="22"/>
          <w:szCs w:val="22"/>
        </w:rPr>
      </w:pPr>
      <w:r w:rsidRPr="009009FC">
        <w:rPr>
          <w:rFonts w:ascii="Arial" w:hAnsi="Arial"/>
          <w:sz w:val="22"/>
          <w:szCs w:val="22"/>
        </w:rPr>
        <w:t>“</w:t>
      </w:r>
      <w:r w:rsidR="00D4568F" w:rsidRPr="009009FC">
        <w:rPr>
          <w:rFonts w:ascii="Arial" w:hAnsi="Arial"/>
          <w:sz w:val="22"/>
          <w:szCs w:val="22"/>
        </w:rPr>
        <w:t xml:space="preserve">UPS </w:t>
      </w:r>
      <w:r w:rsidR="00354621" w:rsidRPr="009009FC">
        <w:rPr>
          <w:rFonts w:ascii="Arial" w:hAnsi="Arial"/>
          <w:sz w:val="22"/>
          <w:szCs w:val="22"/>
        </w:rPr>
        <w:t>managed</w:t>
      </w:r>
      <w:r w:rsidR="00D4568F" w:rsidRPr="009009FC">
        <w:rPr>
          <w:rFonts w:ascii="Arial" w:hAnsi="Arial"/>
          <w:sz w:val="22"/>
          <w:szCs w:val="22"/>
        </w:rPr>
        <w:t xml:space="preserve"> through several challenges </w:t>
      </w:r>
      <w:r w:rsidR="0044039D" w:rsidRPr="009009FC">
        <w:rPr>
          <w:rFonts w:ascii="Arial" w:hAnsi="Arial"/>
          <w:sz w:val="22"/>
          <w:szCs w:val="22"/>
        </w:rPr>
        <w:t>in 2019</w:t>
      </w:r>
      <w:r w:rsidR="00D4568F" w:rsidRPr="009009FC">
        <w:rPr>
          <w:rFonts w:ascii="Arial" w:hAnsi="Arial"/>
          <w:sz w:val="22"/>
          <w:szCs w:val="22"/>
        </w:rPr>
        <w:t>, including declines in industrial production</w:t>
      </w:r>
      <w:r w:rsidR="00AA6C14" w:rsidRPr="009009FC">
        <w:rPr>
          <w:rFonts w:ascii="Arial" w:hAnsi="Arial" w:cs="Arial"/>
          <w:sz w:val="22"/>
          <w:szCs w:val="22"/>
        </w:rPr>
        <w:t>,</w:t>
      </w:r>
      <w:r w:rsidR="004C46DD" w:rsidRPr="009009FC">
        <w:rPr>
          <w:rFonts w:ascii="Arial" w:hAnsi="Arial" w:cs="Arial"/>
          <w:sz w:val="22"/>
          <w:szCs w:val="22"/>
        </w:rPr>
        <w:t>”</w:t>
      </w:r>
      <w:r w:rsidR="00E05800" w:rsidRPr="009009FC">
        <w:rPr>
          <w:rFonts w:ascii="Arial" w:hAnsi="Arial"/>
          <w:sz w:val="22"/>
          <w:szCs w:val="22"/>
        </w:rPr>
        <w:t xml:space="preserve"> said Brian Newman</w:t>
      </w:r>
      <w:r w:rsidR="004C46DD" w:rsidRPr="009009FC">
        <w:rPr>
          <w:rFonts w:ascii="Arial" w:hAnsi="Arial"/>
          <w:sz w:val="22"/>
          <w:szCs w:val="22"/>
        </w:rPr>
        <w:t xml:space="preserve">, </w:t>
      </w:r>
      <w:r w:rsidR="00E05800" w:rsidRPr="009009FC">
        <w:rPr>
          <w:rFonts w:ascii="Arial" w:hAnsi="Arial"/>
          <w:sz w:val="22"/>
          <w:szCs w:val="22"/>
        </w:rPr>
        <w:t>UPS’s</w:t>
      </w:r>
      <w:r w:rsidR="00833324" w:rsidRPr="009009FC">
        <w:rPr>
          <w:rFonts w:ascii="Arial" w:hAnsi="Arial"/>
          <w:sz w:val="22"/>
          <w:szCs w:val="22"/>
        </w:rPr>
        <w:t xml:space="preserve"> </w:t>
      </w:r>
      <w:r w:rsidR="00E815CD" w:rsidRPr="009009FC">
        <w:rPr>
          <w:rFonts w:ascii="Arial" w:hAnsi="Arial"/>
          <w:sz w:val="22"/>
          <w:szCs w:val="22"/>
        </w:rPr>
        <w:t>chief financial officer.</w:t>
      </w:r>
      <w:r w:rsidR="00555DE9" w:rsidRPr="009009FC">
        <w:rPr>
          <w:rFonts w:ascii="Arial" w:hAnsi="Arial"/>
          <w:sz w:val="22"/>
          <w:szCs w:val="22"/>
        </w:rPr>
        <w:t xml:space="preserve"> </w:t>
      </w:r>
      <w:r w:rsidR="00E815CD" w:rsidRPr="009009FC">
        <w:rPr>
          <w:rFonts w:ascii="Arial" w:hAnsi="Arial"/>
          <w:sz w:val="22"/>
          <w:szCs w:val="22"/>
        </w:rPr>
        <w:t xml:space="preserve"> “</w:t>
      </w:r>
      <w:r w:rsidR="00251374" w:rsidRPr="009009FC">
        <w:rPr>
          <w:rFonts w:ascii="Arial" w:hAnsi="Arial" w:cs="Arial"/>
          <w:sz w:val="22"/>
          <w:szCs w:val="22"/>
        </w:rPr>
        <w:t>W</w:t>
      </w:r>
      <w:r w:rsidR="00D4568F" w:rsidRPr="009009FC">
        <w:rPr>
          <w:rFonts w:ascii="Arial" w:hAnsi="Arial" w:cs="Arial"/>
          <w:sz w:val="22"/>
          <w:szCs w:val="22"/>
        </w:rPr>
        <w:t>e were able to leverage t</w:t>
      </w:r>
      <w:r w:rsidR="00CB2017" w:rsidRPr="009009FC">
        <w:rPr>
          <w:rFonts w:ascii="Arial" w:hAnsi="Arial" w:cs="Arial"/>
          <w:sz w:val="22"/>
          <w:szCs w:val="22"/>
        </w:rPr>
        <w:t xml:space="preserve">he </w:t>
      </w:r>
      <w:r w:rsidR="00251374" w:rsidRPr="009009FC">
        <w:rPr>
          <w:rFonts w:ascii="Arial" w:hAnsi="Arial" w:cs="Arial"/>
          <w:sz w:val="22"/>
          <w:szCs w:val="22"/>
        </w:rPr>
        <w:t xml:space="preserve">capital </w:t>
      </w:r>
      <w:r w:rsidR="00CB2017" w:rsidRPr="009009FC">
        <w:rPr>
          <w:rFonts w:ascii="Arial" w:hAnsi="Arial" w:cs="Arial"/>
          <w:sz w:val="22"/>
          <w:szCs w:val="22"/>
        </w:rPr>
        <w:t xml:space="preserve">investments </w:t>
      </w:r>
      <w:r w:rsidR="00D4568F" w:rsidRPr="009009FC">
        <w:rPr>
          <w:rFonts w:ascii="Arial" w:hAnsi="Arial" w:cs="Arial"/>
          <w:sz w:val="22"/>
          <w:szCs w:val="22"/>
        </w:rPr>
        <w:t>we</w:t>
      </w:r>
      <w:r w:rsidR="0084756E" w:rsidRPr="009009FC">
        <w:rPr>
          <w:rFonts w:ascii="Arial" w:hAnsi="Arial" w:cs="Arial"/>
          <w:sz w:val="22"/>
          <w:szCs w:val="22"/>
        </w:rPr>
        <w:t xml:space="preserve"> ha</w:t>
      </w:r>
      <w:r w:rsidR="00D4568F" w:rsidRPr="009009FC">
        <w:rPr>
          <w:rFonts w:ascii="Arial" w:hAnsi="Arial" w:cs="Arial"/>
          <w:sz w:val="22"/>
          <w:szCs w:val="22"/>
        </w:rPr>
        <w:t xml:space="preserve">ve made to grow profits and expand </w:t>
      </w:r>
      <w:r w:rsidR="00D4568F" w:rsidRPr="00EA36BF">
        <w:rPr>
          <w:rFonts w:ascii="Arial" w:hAnsi="Arial" w:cs="Arial"/>
          <w:sz w:val="22"/>
          <w:szCs w:val="22"/>
        </w:rPr>
        <w:t>margin</w:t>
      </w:r>
      <w:r w:rsidR="00965C80" w:rsidRPr="00EA36BF">
        <w:rPr>
          <w:rFonts w:ascii="Arial" w:hAnsi="Arial" w:cs="Arial"/>
          <w:sz w:val="22"/>
          <w:szCs w:val="22"/>
        </w:rPr>
        <w:t xml:space="preserve">s, and </w:t>
      </w:r>
      <w:r w:rsidR="00251374" w:rsidRPr="00EA36BF">
        <w:rPr>
          <w:rFonts w:ascii="Arial" w:hAnsi="Arial" w:cs="Arial"/>
          <w:sz w:val="22"/>
          <w:szCs w:val="22"/>
        </w:rPr>
        <w:t xml:space="preserve">we are </w:t>
      </w:r>
      <w:r w:rsidR="00290384">
        <w:rPr>
          <w:rFonts w:ascii="Arial" w:hAnsi="Arial" w:cs="Arial"/>
          <w:sz w:val="22"/>
          <w:szCs w:val="22"/>
        </w:rPr>
        <w:t>fast-tracking</w:t>
      </w:r>
      <w:r w:rsidR="00251374" w:rsidRPr="00EA36BF">
        <w:rPr>
          <w:rFonts w:ascii="Arial" w:hAnsi="Arial" w:cs="Arial"/>
          <w:sz w:val="22"/>
          <w:szCs w:val="22"/>
        </w:rPr>
        <w:t xml:space="preserve"> our initiatives in 2020 to </w:t>
      </w:r>
      <w:r w:rsidR="00354621" w:rsidRPr="00EA36BF">
        <w:rPr>
          <w:rFonts w:ascii="Arial" w:hAnsi="Arial" w:cs="Arial"/>
          <w:sz w:val="22"/>
          <w:szCs w:val="22"/>
        </w:rPr>
        <w:t xml:space="preserve">better position UPS to </w:t>
      </w:r>
      <w:r w:rsidR="0043328C">
        <w:rPr>
          <w:rFonts w:ascii="Arial" w:hAnsi="Arial" w:cs="Arial"/>
          <w:sz w:val="22"/>
          <w:szCs w:val="22"/>
        </w:rPr>
        <w:t>capitalize</w:t>
      </w:r>
      <w:r w:rsidR="00354621" w:rsidRPr="00EA36BF">
        <w:rPr>
          <w:rFonts w:ascii="Arial" w:hAnsi="Arial" w:cs="Arial"/>
          <w:sz w:val="22"/>
          <w:szCs w:val="22"/>
        </w:rPr>
        <w:t xml:space="preserve"> on </w:t>
      </w:r>
      <w:r w:rsidR="00311602" w:rsidRPr="00EA36BF">
        <w:rPr>
          <w:rFonts w:ascii="Arial" w:hAnsi="Arial" w:cs="Arial"/>
          <w:sz w:val="22"/>
          <w:szCs w:val="22"/>
        </w:rPr>
        <w:t xml:space="preserve">structural changes in the market and </w:t>
      </w:r>
      <w:r w:rsidR="00251374" w:rsidRPr="00EA36BF">
        <w:rPr>
          <w:rFonts w:ascii="Arial" w:hAnsi="Arial" w:cs="Arial"/>
          <w:sz w:val="22"/>
          <w:szCs w:val="22"/>
        </w:rPr>
        <w:t xml:space="preserve">growth </w:t>
      </w:r>
      <w:r w:rsidR="00354621" w:rsidRPr="00EA36BF">
        <w:rPr>
          <w:rFonts w:ascii="Arial" w:hAnsi="Arial" w:cs="Arial"/>
          <w:sz w:val="22"/>
          <w:szCs w:val="22"/>
        </w:rPr>
        <w:t>opportunities</w:t>
      </w:r>
      <w:r w:rsidR="00A3766C" w:rsidRPr="00EA36BF">
        <w:rPr>
          <w:rFonts w:ascii="Arial" w:hAnsi="Arial" w:cs="Arial"/>
          <w:sz w:val="22"/>
          <w:szCs w:val="22"/>
        </w:rPr>
        <w:t>.</w:t>
      </w:r>
      <w:r w:rsidR="004C46DD" w:rsidRPr="00EA36BF">
        <w:rPr>
          <w:rFonts w:ascii="Arial" w:hAnsi="Arial" w:cs="Arial"/>
          <w:sz w:val="22"/>
          <w:szCs w:val="22"/>
        </w:rPr>
        <w:t>”</w:t>
      </w:r>
    </w:p>
    <w:p w14:paraId="73CE3683" w14:textId="77777777" w:rsidR="006B626C" w:rsidRPr="009009FC" w:rsidRDefault="006B626C" w:rsidP="002501ED">
      <w:pPr>
        <w:rPr>
          <w:rFonts w:ascii="Arial" w:hAnsi="Arial"/>
          <w:color w:val="FF0000"/>
          <w:sz w:val="22"/>
        </w:rPr>
      </w:pPr>
    </w:p>
    <w:p w14:paraId="490E37B3" w14:textId="3BAAA0B6" w:rsidR="00CE6139" w:rsidRPr="009009FC" w:rsidRDefault="006A5723" w:rsidP="00875423">
      <w:pPr>
        <w:pStyle w:val="Odstavecseseznamem"/>
        <w:numPr>
          <w:ilvl w:val="0"/>
          <w:numId w:val="2"/>
        </w:numPr>
        <w:rPr>
          <w:rFonts w:ascii="Arial" w:hAnsi="Arial" w:cs="Arial"/>
          <w:sz w:val="22"/>
        </w:rPr>
      </w:pPr>
      <w:r w:rsidRPr="009009FC">
        <w:rPr>
          <w:rFonts w:ascii="Arial" w:hAnsi="Arial" w:cs="Arial"/>
          <w:sz w:val="22"/>
        </w:rPr>
        <w:t xml:space="preserve">Adjusted, diluted earnings per share </w:t>
      </w:r>
      <w:r w:rsidR="00EB1A54" w:rsidRPr="009009FC">
        <w:rPr>
          <w:rFonts w:ascii="Arial" w:hAnsi="Arial" w:cs="Arial"/>
          <w:sz w:val="22"/>
        </w:rPr>
        <w:t xml:space="preserve">are </w:t>
      </w:r>
      <w:r w:rsidR="00CE6139" w:rsidRPr="009009FC">
        <w:rPr>
          <w:rFonts w:ascii="Arial" w:hAnsi="Arial" w:cs="Arial"/>
          <w:sz w:val="22"/>
        </w:rPr>
        <w:t xml:space="preserve">expected </w:t>
      </w:r>
      <w:r w:rsidRPr="009009FC">
        <w:rPr>
          <w:rFonts w:ascii="Arial" w:hAnsi="Arial" w:cs="Arial"/>
          <w:sz w:val="22"/>
        </w:rPr>
        <w:t xml:space="preserve">to be in a range </w:t>
      </w:r>
      <w:r w:rsidRPr="009009FC">
        <w:rPr>
          <w:rFonts w:ascii="Arial" w:hAnsi="Arial" w:cs="Arial"/>
          <w:sz w:val="22"/>
          <w:szCs w:val="22"/>
        </w:rPr>
        <w:t xml:space="preserve">of </w:t>
      </w:r>
      <w:r w:rsidR="009D6C2B" w:rsidRPr="009009FC">
        <w:rPr>
          <w:rFonts w:ascii="Arial" w:hAnsi="Arial" w:cs="Arial"/>
          <w:sz w:val="22"/>
          <w:szCs w:val="22"/>
        </w:rPr>
        <w:t>$7.76 to $8.06</w:t>
      </w:r>
      <w:r w:rsidRPr="009009FC">
        <w:rPr>
          <w:rFonts w:ascii="Arial" w:hAnsi="Arial" w:cs="Arial"/>
          <w:sz w:val="22"/>
          <w:szCs w:val="22"/>
        </w:rPr>
        <w:t>,</w:t>
      </w:r>
      <w:r w:rsidRPr="009009FC">
        <w:rPr>
          <w:rFonts w:ascii="Arial" w:hAnsi="Arial" w:cs="Arial"/>
          <w:sz w:val="22"/>
        </w:rPr>
        <w:t xml:space="preserve"> which includes </w:t>
      </w:r>
      <w:r w:rsidR="006921E9" w:rsidRPr="009009FC">
        <w:rPr>
          <w:rFonts w:ascii="Arial" w:hAnsi="Arial" w:cs="Arial"/>
          <w:sz w:val="22"/>
        </w:rPr>
        <w:t xml:space="preserve">forecasted weakness </w:t>
      </w:r>
      <w:r w:rsidR="00E439F8" w:rsidRPr="009009FC">
        <w:rPr>
          <w:rFonts w:ascii="Arial" w:hAnsi="Arial" w:cs="Arial"/>
          <w:sz w:val="22"/>
        </w:rPr>
        <w:t>on</w:t>
      </w:r>
      <w:r w:rsidR="006921E9" w:rsidRPr="009009FC">
        <w:rPr>
          <w:rFonts w:ascii="Arial" w:hAnsi="Arial" w:cs="Arial"/>
          <w:sz w:val="22"/>
        </w:rPr>
        <w:t xml:space="preserve"> the industrial side of the </w:t>
      </w:r>
      <w:r w:rsidR="00F668B6" w:rsidRPr="009009FC">
        <w:rPr>
          <w:rFonts w:ascii="Arial" w:hAnsi="Arial" w:cs="Arial"/>
          <w:sz w:val="22"/>
        </w:rPr>
        <w:t xml:space="preserve">U.S. and </w:t>
      </w:r>
      <w:r w:rsidR="006921E9" w:rsidRPr="009009FC">
        <w:rPr>
          <w:rFonts w:ascii="Arial" w:hAnsi="Arial" w:cs="Arial"/>
          <w:sz w:val="22"/>
        </w:rPr>
        <w:t>global</w:t>
      </w:r>
      <w:r w:rsidR="00350B35" w:rsidRPr="009009FC">
        <w:rPr>
          <w:rFonts w:ascii="Arial" w:hAnsi="Arial" w:cs="Arial"/>
          <w:sz w:val="22"/>
        </w:rPr>
        <w:t xml:space="preserve"> </w:t>
      </w:r>
      <w:r w:rsidR="006921E9" w:rsidRPr="009009FC">
        <w:rPr>
          <w:rFonts w:ascii="Arial" w:hAnsi="Arial" w:cs="Arial"/>
          <w:sz w:val="22"/>
        </w:rPr>
        <w:t>econom</w:t>
      </w:r>
      <w:r w:rsidR="00CE6139" w:rsidRPr="009009FC">
        <w:rPr>
          <w:rFonts w:ascii="Arial" w:hAnsi="Arial" w:cs="Arial"/>
          <w:sz w:val="22"/>
        </w:rPr>
        <w:t>ies</w:t>
      </w:r>
      <w:r w:rsidR="006921E9" w:rsidRPr="009009FC">
        <w:rPr>
          <w:rFonts w:ascii="Arial" w:hAnsi="Arial" w:cs="Arial"/>
          <w:sz w:val="22"/>
        </w:rPr>
        <w:t xml:space="preserve"> as well as </w:t>
      </w:r>
      <w:r w:rsidR="00AF1ACB" w:rsidRPr="009009FC">
        <w:rPr>
          <w:rFonts w:ascii="Arial" w:hAnsi="Arial" w:cs="Arial"/>
          <w:sz w:val="22"/>
        </w:rPr>
        <w:t>spending on SMB initiatives</w:t>
      </w:r>
      <w:r w:rsidR="00257CE0" w:rsidRPr="009009FC">
        <w:rPr>
          <w:rFonts w:ascii="Arial" w:hAnsi="Arial" w:cs="Arial"/>
          <w:sz w:val="22"/>
        </w:rPr>
        <w:t xml:space="preserve"> </w:t>
      </w:r>
      <w:r w:rsidR="000603E6" w:rsidRPr="009009FC">
        <w:rPr>
          <w:rFonts w:ascii="Arial" w:hAnsi="Arial" w:cs="Arial"/>
          <w:sz w:val="22"/>
        </w:rPr>
        <w:t xml:space="preserve">that </w:t>
      </w:r>
      <w:r w:rsidR="0061609D" w:rsidRPr="009009FC">
        <w:rPr>
          <w:rFonts w:ascii="Arial" w:hAnsi="Arial" w:cs="Arial"/>
          <w:sz w:val="22"/>
        </w:rPr>
        <w:t xml:space="preserve">will </w:t>
      </w:r>
      <w:r w:rsidR="0044039D" w:rsidRPr="009009FC">
        <w:rPr>
          <w:rFonts w:ascii="Arial" w:hAnsi="Arial" w:cs="Arial"/>
          <w:sz w:val="22"/>
        </w:rPr>
        <w:t xml:space="preserve">significantly </w:t>
      </w:r>
      <w:r w:rsidR="000603E6" w:rsidRPr="009009FC">
        <w:rPr>
          <w:rFonts w:ascii="Arial" w:hAnsi="Arial" w:cs="Arial"/>
          <w:sz w:val="22"/>
        </w:rPr>
        <w:t>increase UPS competi</w:t>
      </w:r>
      <w:r w:rsidR="00E439F8" w:rsidRPr="009009FC">
        <w:rPr>
          <w:rFonts w:ascii="Arial" w:hAnsi="Arial" w:cs="Arial"/>
          <w:sz w:val="22"/>
        </w:rPr>
        <w:t>ti</w:t>
      </w:r>
      <w:r w:rsidR="000603E6" w:rsidRPr="009009FC">
        <w:rPr>
          <w:rFonts w:ascii="Arial" w:hAnsi="Arial" w:cs="Arial"/>
          <w:sz w:val="22"/>
        </w:rPr>
        <w:t>veness</w:t>
      </w:r>
      <w:r w:rsidR="00875423">
        <w:rPr>
          <w:rFonts w:ascii="Arial" w:hAnsi="Arial" w:cs="Arial"/>
          <w:sz w:val="22"/>
        </w:rPr>
        <w:t xml:space="preserve"> </w:t>
      </w:r>
      <w:r w:rsidR="00875423" w:rsidRPr="00875423">
        <w:rPr>
          <w:rFonts w:ascii="Arial" w:hAnsi="Arial" w:cs="Arial"/>
          <w:sz w:val="22"/>
        </w:rPr>
        <w:t>and will be EPS accretive in 2021</w:t>
      </w:r>
      <w:r w:rsidR="000603E6" w:rsidRPr="009009FC">
        <w:rPr>
          <w:rFonts w:ascii="Arial" w:hAnsi="Arial" w:cs="Arial"/>
          <w:sz w:val="22"/>
        </w:rPr>
        <w:t>.</w:t>
      </w:r>
    </w:p>
    <w:p w14:paraId="417BAE76" w14:textId="77777777" w:rsidR="006A5723" w:rsidRPr="009009FC" w:rsidRDefault="006A5723" w:rsidP="000603E6">
      <w:pPr>
        <w:pStyle w:val="Odstavecseseznamem"/>
        <w:numPr>
          <w:ilvl w:val="0"/>
          <w:numId w:val="2"/>
        </w:numPr>
      </w:pPr>
      <w:r w:rsidRPr="009009FC">
        <w:rPr>
          <w:rFonts w:ascii="Arial" w:hAnsi="Arial" w:cs="Arial"/>
          <w:sz w:val="22"/>
        </w:rPr>
        <w:lastRenderedPageBreak/>
        <w:t xml:space="preserve">The 2020 effective tax rate </w:t>
      </w:r>
      <w:r w:rsidR="00566EE2" w:rsidRPr="009009FC">
        <w:rPr>
          <w:rFonts w:ascii="Arial" w:hAnsi="Arial" w:cs="Arial"/>
          <w:sz w:val="22"/>
        </w:rPr>
        <w:t xml:space="preserve">is expected to </w:t>
      </w:r>
      <w:r w:rsidRPr="009009FC">
        <w:rPr>
          <w:rFonts w:ascii="Arial" w:hAnsi="Arial" w:cs="Arial"/>
          <w:sz w:val="22"/>
        </w:rPr>
        <w:t xml:space="preserve">be </w:t>
      </w:r>
      <w:r w:rsidR="0061609D" w:rsidRPr="009009FC">
        <w:rPr>
          <w:rFonts w:ascii="Arial" w:hAnsi="Arial" w:cs="Arial"/>
          <w:sz w:val="22"/>
        </w:rPr>
        <w:t xml:space="preserve">between 22.5 and </w:t>
      </w:r>
      <w:r w:rsidR="000F617E" w:rsidRPr="009009FC">
        <w:rPr>
          <w:rFonts w:ascii="Arial" w:hAnsi="Arial" w:cs="Arial"/>
          <w:sz w:val="22"/>
        </w:rPr>
        <w:t>23</w:t>
      </w:r>
      <w:r w:rsidR="0061609D" w:rsidRPr="009009FC">
        <w:rPr>
          <w:rFonts w:ascii="Arial" w:hAnsi="Arial" w:cs="Arial"/>
          <w:sz w:val="22"/>
        </w:rPr>
        <w:t>.5 percent.</w:t>
      </w:r>
    </w:p>
    <w:p w14:paraId="40E0B5F1" w14:textId="77777777" w:rsidR="00DD2357" w:rsidRPr="009009FC" w:rsidRDefault="006A5723" w:rsidP="00DD2357">
      <w:pPr>
        <w:pStyle w:val="Odstavecseseznamem"/>
        <w:numPr>
          <w:ilvl w:val="0"/>
          <w:numId w:val="2"/>
        </w:numPr>
        <w:rPr>
          <w:rFonts w:ascii="Arial" w:hAnsi="Arial" w:cs="Arial"/>
          <w:sz w:val="22"/>
        </w:rPr>
      </w:pPr>
      <w:r w:rsidRPr="009009FC">
        <w:rPr>
          <w:rFonts w:ascii="Arial" w:hAnsi="Arial" w:cs="Arial"/>
          <w:sz w:val="22"/>
        </w:rPr>
        <w:t xml:space="preserve">Capital expenditures are planned </w:t>
      </w:r>
      <w:r w:rsidR="006921E9" w:rsidRPr="009009FC">
        <w:rPr>
          <w:rFonts w:ascii="Arial" w:hAnsi="Arial" w:cs="Arial"/>
          <w:sz w:val="22"/>
        </w:rPr>
        <w:t xml:space="preserve">to be </w:t>
      </w:r>
      <w:r w:rsidR="006B5FF3" w:rsidRPr="009009FC">
        <w:rPr>
          <w:rFonts w:ascii="Arial" w:hAnsi="Arial" w:cs="Arial"/>
          <w:sz w:val="22"/>
        </w:rPr>
        <w:t>around</w:t>
      </w:r>
      <w:r w:rsidR="006921E9" w:rsidRPr="009009FC">
        <w:rPr>
          <w:rFonts w:ascii="Arial" w:hAnsi="Arial" w:cs="Arial"/>
          <w:sz w:val="22"/>
        </w:rPr>
        <w:t xml:space="preserve"> $6.</w:t>
      </w:r>
      <w:r w:rsidR="0061609D" w:rsidRPr="009009FC">
        <w:rPr>
          <w:rFonts w:ascii="Arial" w:hAnsi="Arial" w:cs="Arial"/>
          <w:sz w:val="22"/>
        </w:rPr>
        <w:t>7</w:t>
      </w:r>
      <w:r w:rsidR="006921E9" w:rsidRPr="009009FC">
        <w:rPr>
          <w:rFonts w:ascii="Arial" w:hAnsi="Arial" w:cs="Arial"/>
          <w:sz w:val="22"/>
        </w:rPr>
        <w:t xml:space="preserve"> </w:t>
      </w:r>
      <w:r w:rsidR="0062108A" w:rsidRPr="009009FC">
        <w:rPr>
          <w:rFonts w:ascii="Arial" w:hAnsi="Arial" w:cs="Arial"/>
          <w:sz w:val="22"/>
        </w:rPr>
        <w:t>b</w:t>
      </w:r>
      <w:r w:rsidR="006921E9" w:rsidRPr="009009FC">
        <w:rPr>
          <w:rFonts w:ascii="Arial" w:hAnsi="Arial" w:cs="Arial"/>
          <w:sz w:val="22"/>
        </w:rPr>
        <w:t xml:space="preserve">illion, </w:t>
      </w:r>
      <w:r w:rsidR="00DD2357" w:rsidRPr="009009FC">
        <w:rPr>
          <w:rFonts w:ascii="Arial" w:hAnsi="Arial" w:cs="Arial"/>
          <w:sz w:val="22"/>
        </w:rPr>
        <w:t xml:space="preserve">primarily to support global facility and automation expansions.  </w:t>
      </w:r>
    </w:p>
    <w:p w14:paraId="07B0A690" w14:textId="130D6654" w:rsidR="000603E6" w:rsidRPr="009009FC" w:rsidRDefault="00965C80" w:rsidP="00DD2357">
      <w:pPr>
        <w:pStyle w:val="Odstavecseseznamem"/>
        <w:numPr>
          <w:ilvl w:val="0"/>
          <w:numId w:val="2"/>
        </w:numPr>
        <w:rPr>
          <w:rFonts w:ascii="Arial" w:hAnsi="Arial" w:cs="Arial"/>
          <w:sz w:val="22"/>
        </w:rPr>
      </w:pPr>
      <w:r w:rsidRPr="009009FC">
        <w:rPr>
          <w:rFonts w:ascii="Arial" w:hAnsi="Arial" w:cs="Arial"/>
          <w:sz w:val="22"/>
        </w:rPr>
        <w:t xml:space="preserve">Cash from operations is expected to be </w:t>
      </w:r>
      <w:r w:rsidR="00585F57" w:rsidRPr="009009FC">
        <w:rPr>
          <w:rFonts w:ascii="Arial" w:hAnsi="Arial" w:cs="Arial"/>
          <w:sz w:val="22"/>
        </w:rPr>
        <w:t xml:space="preserve">around </w:t>
      </w:r>
      <w:r w:rsidRPr="009009FC">
        <w:rPr>
          <w:rFonts w:ascii="Arial" w:hAnsi="Arial" w:cs="Arial"/>
          <w:sz w:val="22"/>
        </w:rPr>
        <w:t>$</w:t>
      </w:r>
      <w:r w:rsidR="0065556E" w:rsidRPr="009009FC">
        <w:rPr>
          <w:rFonts w:ascii="Arial" w:hAnsi="Arial" w:cs="Arial"/>
          <w:sz w:val="22"/>
        </w:rPr>
        <w:t>10</w:t>
      </w:r>
      <w:r w:rsidR="00585F57" w:rsidRPr="009009FC">
        <w:rPr>
          <w:rFonts w:ascii="Arial" w:hAnsi="Arial" w:cs="Arial"/>
          <w:sz w:val="22"/>
        </w:rPr>
        <w:t xml:space="preserve"> billion</w:t>
      </w:r>
      <w:r w:rsidR="00AD3D1F" w:rsidRPr="009009FC">
        <w:rPr>
          <w:rFonts w:ascii="Arial" w:hAnsi="Arial" w:cs="Arial"/>
          <w:sz w:val="22"/>
        </w:rPr>
        <w:t xml:space="preserve"> </w:t>
      </w:r>
      <w:r w:rsidRPr="009009FC">
        <w:rPr>
          <w:rFonts w:ascii="Arial" w:hAnsi="Arial" w:cs="Arial"/>
          <w:sz w:val="22"/>
        </w:rPr>
        <w:t>and free cash flow is anticipated to be between $4.3 and $4.</w:t>
      </w:r>
      <w:r w:rsidR="00886CC3" w:rsidRPr="009009FC">
        <w:rPr>
          <w:rFonts w:ascii="Arial" w:hAnsi="Arial" w:cs="Arial"/>
          <w:sz w:val="22"/>
        </w:rPr>
        <w:t>7</w:t>
      </w:r>
      <w:r w:rsidRPr="009009FC">
        <w:rPr>
          <w:rFonts w:ascii="Arial" w:hAnsi="Arial" w:cs="Arial"/>
          <w:sz w:val="22"/>
        </w:rPr>
        <w:t xml:space="preserve"> billion.</w:t>
      </w:r>
    </w:p>
    <w:p w14:paraId="041B718C" w14:textId="4D4095DB" w:rsidR="00EC6030" w:rsidRPr="00311602" w:rsidRDefault="006A5723" w:rsidP="00A75A9E">
      <w:pPr>
        <w:pStyle w:val="Odstavecseseznamem"/>
        <w:numPr>
          <w:ilvl w:val="0"/>
          <w:numId w:val="2"/>
        </w:numPr>
        <w:rPr>
          <w:rFonts w:ascii="Arial" w:hAnsi="Arial" w:cs="Arial"/>
          <w:sz w:val="22"/>
        </w:rPr>
      </w:pPr>
      <w:r w:rsidRPr="00311602">
        <w:rPr>
          <w:rFonts w:ascii="Arial" w:hAnsi="Arial" w:cs="Arial"/>
          <w:sz w:val="22"/>
        </w:rPr>
        <w:t>Transformation charges are excluded from guidance.</w:t>
      </w:r>
    </w:p>
    <w:p w14:paraId="4817BA36" w14:textId="77777777" w:rsidR="00CA31C8" w:rsidRDefault="00CA31C8" w:rsidP="00033304">
      <w:pPr>
        <w:jc w:val="center"/>
        <w:rPr>
          <w:rFonts w:ascii="Arial" w:hAnsi="Arial" w:cs="Arial"/>
          <w:color w:val="003436"/>
          <w:sz w:val="22"/>
          <w:szCs w:val="22"/>
        </w:rPr>
      </w:pPr>
    </w:p>
    <w:p w14:paraId="6F8EB48B" w14:textId="4B885452" w:rsidR="00945653" w:rsidRDefault="0092416D" w:rsidP="00033304">
      <w:pPr>
        <w:jc w:val="center"/>
        <w:rPr>
          <w:rFonts w:ascii="Arial" w:hAnsi="Arial" w:cs="Arial"/>
          <w:color w:val="003436"/>
          <w:sz w:val="22"/>
          <w:szCs w:val="22"/>
        </w:rPr>
      </w:pPr>
      <w:bookmarkStart w:id="0" w:name="_GoBack"/>
      <w:bookmarkEnd w:id="0"/>
      <w:r w:rsidRPr="00867759">
        <w:rPr>
          <w:rFonts w:ascii="Arial" w:hAnsi="Arial" w:cs="Arial"/>
          <w:color w:val="003436"/>
          <w:sz w:val="22"/>
          <w:szCs w:val="22"/>
        </w:rPr>
        <w:t># # #</w:t>
      </w:r>
      <w:r w:rsidR="00945653">
        <w:rPr>
          <w:rFonts w:ascii="Arial" w:hAnsi="Arial" w:cs="Arial"/>
          <w:color w:val="003436"/>
          <w:sz w:val="22"/>
          <w:szCs w:val="22"/>
        </w:rPr>
        <w:br w:type="page"/>
      </w:r>
    </w:p>
    <w:p w14:paraId="71E65E19" w14:textId="77777777" w:rsidR="00945653" w:rsidRPr="00D352EF" w:rsidRDefault="00945653" w:rsidP="00945653">
      <w:pPr>
        <w:rPr>
          <w:rFonts w:ascii="Arial" w:hAnsi="Arial" w:cs="Arial"/>
          <w:sz w:val="22"/>
          <w:szCs w:val="22"/>
          <w:u w:val="single"/>
        </w:rPr>
      </w:pPr>
      <w:r w:rsidRPr="00D352EF">
        <w:rPr>
          <w:rFonts w:ascii="Arial" w:hAnsi="Arial" w:cs="Arial"/>
          <w:b/>
          <w:sz w:val="22"/>
          <w:szCs w:val="22"/>
          <w:u w:val="single"/>
        </w:rPr>
        <w:lastRenderedPageBreak/>
        <w:t>Conference Call Information</w:t>
      </w:r>
    </w:p>
    <w:p w14:paraId="2DB4DD0B" w14:textId="77777777" w:rsidR="00945653" w:rsidRPr="00D352EF" w:rsidRDefault="00945653" w:rsidP="00945653">
      <w:pPr>
        <w:rPr>
          <w:rFonts w:ascii="Arial" w:hAnsi="Arial" w:cs="Arial"/>
          <w:sz w:val="22"/>
          <w:szCs w:val="22"/>
        </w:rPr>
      </w:pPr>
      <w:r w:rsidRPr="00D352EF">
        <w:rPr>
          <w:rFonts w:ascii="Arial" w:hAnsi="Arial" w:cs="Arial"/>
          <w:sz w:val="22"/>
          <w:szCs w:val="22"/>
        </w:rPr>
        <w:tab/>
      </w:r>
    </w:p>
    <w:p w14:paraId="0E90C17F" w14:textId="0DE7AD9B" w:rsidR="00945653" w:rsidRDefault="00945653" w:rsidP="00945653">
      <w:pPr>
        <w:rPr>
          <w:rFonts w:ascii="Arial" w:hAnsi="Arial" w:cs="Arial"/>
          <w:sz w:val="22"/>
          <w:szCs w:val="22"/>
        </w:rPr>
      </w:pPr>
      <w:r>
        <w:rPr>
          <w:rFonts w:ascii="Arial" w:hAnsi="Arial" w:cs="Arial"/>
          <w:sz w:val="22"/>
          <w:szCs w:val="22"/>
        </w:rPr>
        <w:t>UPS CEO David Abney and CFO Brian Newman</w:t>
      </w:r>
      <w:r w:rsidRPr="00D352EF">
        <w:rPr>
          <w:rFonts w:ascii="Arial" w:hAnsi="Arial" w:cs="Arial"/>
          <w:sz w:val="22"/>
          <w:szCs w:val="22"/>
        </w:rPr>
        <w:t xml:space="preserve"> will discuss </w:t>
      </w:r>
      <w:r>
        <w:rPr>
          <w:rFonts w:ascii="Arial" w:hAnsi="Arial" w:cs="Arial"/>
          <w:sz w:val="22"/>
          <w:szCs w:val="22"/>
        </w:rPr>
        <w:t>fourth</w:t>
      </w:r>
      <w:r w:rsidRPr="00D352EF">
        <w:rPr>
          <w:rFonts w:ascii="Arial" w:hAnsi="Arial" w:cs="Arial"/>
          <w:sz w:val="22"/>
          <w:szCs w:val="22"/>
        </w:rPr>
        <w:t xml:space="preserve">-quarter results with investors and analysts during a conference call at 8:30 a.m. ET, </w:t>
      </w:r>
      <w:r>
        <w:rPr>
          <w:rFonts w:ascii="Arial" w:hAnsi="Arial" w:cs="Arial"/>
          <w:sz w:val="22"/>
          <w:szCs w:val="22"/>
        </w:rPr>
        <w:t>January 30, 2020</w:t>
      </w:r>
      <w:r w:rsidRPr="00D352EF">
        <w:rPr>
          <w:rFonts w:ascii="Arial" w:hAnsi="Arial" w:cs="Arial"/>
          <w:sz w:val="22"/>
          <w:szCs w:val="22"/>
        </w:rPr>
        <w:t xml:space="preserve">.  That call will be open to others through a live Webcast.  To access the call, go to </w:t>
      </w:r>
      <w:hyperlink r:id="rId10" w:history="1">
        <w:r w:rsidRPr="00D352EF">
          <w:rPr>
            <w:rStyle w:val="Hypertextovodkaz"/>
            <w:rFonts w:ascii="Arial" w:hAnsi="Arial" w:cs="Arial"/>
            <w:sz w:val="22"/>
            <w:szCs w:val="22"/>
          </w:rPr>
          <w:t>www.investors.ups.com</w:t>
        </w:r>
      </w:hyperlink>
      <w:r w:rsidRPr="00D352EF">
        <w:rPr>
          <w:rFonts w:ascii="Arial" w:hAnsi="Arial" w:cs="Arial"/>
          <w:sz w:val="22"/>
          <w:szCs w:val="22"/>
          <w:u w:val="single"/>
        </w:rPr>
        <w:t xml:space="preserve"> </w:t>
      </w:r>
      <w:r w:rsidRPr="00D352EF">
        <w:rPr>
          <w:rFonts w:ascii="Arial" w:hAnsi="Arial" w:cs="Arial"/>
          <w:sz w:val="22"/>
          <w:szCs w:val="22"/>
        </w:rPr>
        <w:t>and click on “Earnings Webcast.”</w:t>
      </w:r>
      <w:r>
        <w:rPr>
          <w:rFonts w:ascii="Arial" w:hAnsi="Arial" w:cs="Arial"/>
          <w:sz w:val="22"/>
          <w:szCs w:val="22"/>
        </w:rPr>
        <w:t xml:space="preserve"> Additional financial information is included in the detailed financial schedules being posted on </w:t>
      </w:r>
      <w:hyperlink r:id="rId11" w:history="1">
        <w:r w:rsidRPr="00BA6445">
          <w:rPr>
            <w:rStyle w:val="Hypertextovodkaz"/>
            <w:rFonts w:ascii="Arial" w:hAnsi="Arial" w:cs="Arial"/>
            <w:sz w:val="22"/>
            <w:szCs w:val="22"/>
          </w:rPr>
          <w:t>www.investors.ups.com</w:t>
        </w:r>
      </w:hyperlink>
      <w:r>
        <w:rPr>
          <w:rFonts w:ascii="Arial" w:hAnsi="Arial" w:cs="Arial"/>
          <w:sz w:val="22"/>
          <w:szCs w:val="22"/>
        </w:rPr>
        <w:t xml:space="preserve"> under “Financials” and as filed with the SEC as an exhibit to our Current Report on Form 8-K.</w:t>
      </w:r>
    </w:p>
    <w:p w14:paraId="625BD816" w14:textId="77777777" w:rsidR="00945653" w:rsidRDefault="00945653" w:rsidP="00945653">
      <w:pPr>
        <w:rPr>
          <w:rFonts w:ascii="Arial" w:hAnsi="Arial" w:cs="Arial"/>
          <w:sz w:val="22"/>
          <w:szCs w:val="22"/>
        </w:rPr>
      </w:pPr>
    </w:p>
    <w:p w14:paraId="787DB19C" w14:textId="77777777" w:rsidR="00945653" w:rsidRPr="00E05C21" w:rsidRDefault="00945653" w:rsidP="00945653">
      <w:pPr>
        <w:spacing w:after="240"/>
        <w:rPr>
          <w:rFonts w:ascii="Arial" w:hAnsi="Arial" w:cs="Arial"/>
          <w:color w:val="000000"/>
          <w:sz w:val="22"/>
          <w:szCs w:val="22"/>
          <w:u w:val="single"/>
        </w:rPr>
      </w:pPr>
      <w:r w:rsidRPr="00E05C21">
        <w:rPr>
          <w:rFonts w:ascii="Arial" w:hAnsi="Arial" w:cs="Arial"/>
          <w:b/>
          <w:bCs/>
          <w:color w:val="000000"/>
          <w:sz w:val="22"/>
          <w:szCs w:val="22"/>
          <w:u w:val="single"/>
        </w:rPr>
        <w:t>About UPS</w:t>
      </w:r>
    </w:p>
    <w:p w14:paraId="201D2744" w14:textId="77777777" w:rsidR="00945653" w:rsidRPr="00945653" w:rsidRDefault="00945653" w:rsidP="00945653">
      <w:pPr>
        <w:rPr>
          <w:rFonts w:ascii="Arial" w:hAnsi="Arial" w:cs="Arial"/>
          <w:sz w:val="22"/>
          <w:szCs w:val="22"/>
        </w:rPr>
      </w:pPr>
      <w:r w:rsidRPr="00945653">
        <w:rPr>
          <w:rFonts w:ascii="Arial" w:hAnsi="Arial" w:cs="Arial"/>
          <w:sz w:val="22"/>
          <w:szCs w:val="22"/>
        </w:rPr>
        <w:t xml:space="preserve">UPS (NYSE: UPS) is a global leader in logistics, offering a broad range of solutions including transporting packages and freight; facilitating international trade, and deploying advanced technology to more efficiently manage the world of business. Headquartered in Atlanta, UPS serves more than 220 countries and territories worldwide. UPS was awarded </w:t>
      </w:r>
      <w:hyperlink r:id="rId12" w:history="1">
        <w:r w:rsidRPr="00945653">
          <w:rPr>
            <w:rStyle w:val="Hypertextovodkaz"/>
            <w:rFonts w:ascii="Arial" w:hAnsi="Arial" w:cs="Arial"/>
            <w:sz w:val="22"/>
            <w:szCs w:val="22"/>
          </w:rPr>
          <w:t>America’s Best Customer Service</w:t>
        </w:r>
      </w:hyperlink>
      <w:r w:rsidRPr="00945653">
        <w:rPr>
          <w:rFonts w:ascii="Arial" w:hAnsi="Arial" w:cs="Arial"/>
          <w:sz w:val="22"/>
          <w:szCs w:val="22"/>
        </w:rPr>
        <w:t xml:space="preserve"> company for Shipping and Delivery services by Newsweek magazine; Forbes </w:t>
      </w:r>
      <w:hyperlink r:id="rId13" w:anchor="tab:rank_industry:Transportation" w:history="1">
        <w:r w:rsidRPr="00945653">
          <w:rPr>
            <w:rStyle w:val="Hypertextovodkaz"/>
            <w:rFonts w:ascii="Arial" w:hAnsi="Arial" w:cs="Arial"/>
            <w:sz w:val="22"/>
            <w:szCs w:val="22"/>
          </w:rPr>
          <w:t>Most Valuable Brand in Transportation</w:t>
        </w:r>
      </w:hyperlink>
      <w:r w:rsidRPr="00945653">
        <w:rPr>
          <w:rFonts w:ascii="Arial" w:hAnsi="Arial" w:cs="Arial"/>
          <w:sz w:val="22"/>
          <w:szCs w:val="22"/>
        </w:rPr>
        <w:t xml:space="preserve">; and top rankings on the </w:t>
      </w:r>
      <w:hyperlink r:id="rId14" w:anchor="4309ad3b2bf0" w:history="1">
        <w:r w:rsidRPr="00945653">
          <w:rPr>
            <w:rStyle w:val="Hypertextovodkaz"/>
            <w:rFonts w:ascii="Arial" w:hAnsi="Arial" w:cs="Arial"/>
            <w:sz w:val="22"/>
            <w:szCs w:val="22"/>
          </w:rPr>
          <w:t>JUST 100</w:t>
        </w:r>
      </w:hyperlink>
      <w:r w:rsidRPr="00945653">
        <w:rPr>
          <w:rFonts w:ascii="Arial" w:hAnsi="Arial" w:cs="Arial"/>
          <w:sz w:val="22"/>
          <w:szCs w:val="22"/>
        </w:rPr>
        <w:t xml:space="preserve"> list for social responsibility, the Dow Jones Sustainability World Index, and the Harris Poll Reputation Quotient, among other prestigious rankings and awards. The company can be found on the web at </w:t>
      </w:r>
      <w:hyperlink r:id="rId15" w:tgtFrame="_blank" w:history="1">
        <w:r w:rsidRPr="00945653">
          <w:rPr>
            <w:rStyle w:val="Hypertextovodkaz"/>
            <w:rFonts w:ascii="Arial" w:hAnsi="Arial" w:cs="Arial"/>
            <w:sz w:val="22"/>
            <w:szCs w:val="22"/>
          </w:rPr>
          <w:t>ups.com</w:t>
        </w:r>
      </w:hyperlink>
      <w:r w:rsidRPr="00945653">
        <w:rPr>
          <w:rFonts w:ascii="Arial" w:hAnsi="Arial" w:cs="Arial"/>
          <w:sz w:val="22"/>
          <w:szCs w:val="22"/>
        </w:rPr>
        <w:t xml:space="preserve"> or </w:t>
      </w:r>
      <w:hyperlink r:id="rId16" w:tgtFrame="_blank" w:history="1">
        <w:r w:rsidRPr="00945653">
          <w:rPr>
            <w:rStyle w:val="Hypertextovodkaz"/>
            <w:rFonts w:ascii="Arial" w:hAnsi="Arial" w:cs="Arial"/>
            <w:sz w:val="22"/>
            <w:szCs w:val="22"/>
          </w:rPr>
          <w:t>pressroom.ups.com</w:t>
        </w:r>
      </w:hyperlink>
      <w:r w:rsidRPr="00945653">
        <w:rPr>
          <w:rFonts w:ascii="Arial" w:hAnsi="Arial" w:cs="Arial"/>
          <w:sz w:val="22"/>
          <w:szCs w:val="22"/>
        </w:rPr>
        <w:t xml:space="preserve"> and its corporate blog can be found at </w:t>
      </w:r>
      <w:hyperlink r:id="rId17" w:tgtFrame="_blank" w:history="1">
        <w:r w:rsidRPr="00945653">
          <w:rPr>
            <w:rStyle w:val="Hypertextovodkaz"/>
            <w:rFonts w:ascii="Arial" w:hAnsi="Arial" w:cs="Arial"/>
            <w:sz w:val="22"/>
            <w:szCs w:val="22"/>
          </w:rPr>
          <w:t>ups.com/longitudes</w:t>
        </w:r>
      </w:hyperlink>
      <w:r w:rsidRPr="00945653">
        <w:rPr>
          <w:rFonts w:ascii="Arial" w:hAnsi="Arial" w:cs="Arial"/>
          <w:sz w:val="22"/>
          <w:szCs w:val="22"/>
        </w:rPr>
        <w:t xml:space="preserve"> </w:t>
      </w:r>
      <w:r w:rsidRPr="00945653">
        <w:rPr>
          <w:rFonts w:ascii="Arial" w:hAnsi="Arial" w:cs="Arial"/>
          <w:color w:val="340500"/>
          <w:sz w:val="22"/>
          <w:szCs w:val="22"/>
        </w:rPr>
        <w:t xml:space="preserve">The company’s sustainability </w:t>
      </w:r>
      <w:proofErr w:type="spellStart"/>
      <w:r w:rsidRPr="00945653">
        <w:rPr>
          <w:rFonts w:ascii="Arial" w:hAnsi="Arial" w:cs="Arial"/>
          <w:color w:val="340500"/>
          <w:sz w:val="22"/>
          <w:szCs w:val="22"/>
        </w:rPr>
        <w:t>eNewsletter</w:t>
      </w:r>
      <w:proofErr w:type="spellEnd"/>
      <w:r w:rsidRPr="00945653">
        <w:rPr>
          <w:rFonts w:ascii="Arial" w:hAnsi="Arial" w:cs="Arial"/>
          <w:color w:val="340500"/>
          <w:sz w:val="22"/>
          <w:szCs w:val="22"/>
        </w:rPr>
        <w:t>, </w:t>
      </w:r>
      <w:r w:rsidRPr="00945653">
        <w:rPr>
          <w:rStyle w:val="Zdraznn"/>
          <w:rFonts w:ascii="Arial" w:hAnsi="Arial" w:cs="Arial"/>
          <w:color w:val="340500"/>
          <w:sz w:val="22"/>
          <w:szCs w:val="22"/>
        </w:rPr>
        <w:t>UPS Horizons</w:t>
      </w:r>
      <w:r w:rsidRPr="00945653">
        <w:rPr>
          <w:rFonts w:ascii="Arial" w:hAnsi="Arial" w:cs="Arial"/>
          <w:color w:val="340500"/>
          <w:sz w:val="22"/>
          <w:szCs w:val="22"/>
        </w:rPr>
        <w:t xml:space="preserve">, can be found at </w:t>
      </w:r>
      <w:hyperlink r:id="rId18" w:history="1">
        <w:r w:rsidRPr="00945653">
          <w:rPr>
            <w:rStyle w:val="Hypertextovodkaz"/>
            <w:rFonts w:ascii="Arial" w:hAnsi="Arial" w:cs="Arial"/>
            <w:sz w:val="22"/>
            <w:szCs w:val="22"/>
          </w:rPr>
          <w:t>ups.com/</w:t>
        </w:r>
        <w:proofErr w:type="spellStart"/>
        <w:r w:rsidRPr="00945653">
          <w:rPr>
            <w:rStyle w:val="Hypertextovodkaz"/>
            <w:rFonts w:ascii="Arial" w:hAnsi="Arial" w:cs="Arial"/>
            <w:sz w:val="22"/>
            <w:szCs w:val="22"/>
          </w:rPr>
          <w:t>sustainabilitynewsletter</w:t>
        </w:r>
        <w:proofErr w:type="spellEnd"/>
        <w:r w:rsidRPr="00945653">
          <w:rPr>
            <w:rStyle w:val="Hypertextovodkaz"/>
            <w:rFonts w:ascii="Arial" w:hAnsi="Arial" w:cs="Arial"/>
            <w:sz w:val="22"/>
            <w:szCs w:val="22"/>
          </w:rPr>
          <w:t>.</w:t>
        </w:r>
      </w:hyperlink>
      <w:r w:rsidRPr="00945653">
        <w:rPr>
          <w:rFonts w:ascii="Arial" w:hAnsi="Arial" w:cs="Arial"/>
          <w:color w:val="340500"/>
          <w:sz w:val="22"/>
          <w:szCs w:val="22"/>
        </w:rPr>
        <w:t xml:space="preserve"> </w:t>
      </w:r>
      <w:r w:rsidRPr="00945653">
        <w:rPr>
          <w:rFonts w:ascii="Arial" w:hAnsi="Arial" w:cs="Arial"/>
          <w:sz w:val="22"/>
          <w:szCs w:val="22"/>
        </w:rPr>
        <w:t>To get UPS news direct, follow </w:t>
      </w:r>
      <w:hyperlink r:id="rId19" w:tgtFrame="_blank" w:tooltip="@UPS_News" w:history="1">
        <w:r w:rsidRPr="00945653">
          <w:rPr>
            <w:rStyle w:val="Hypertextovodkaz"/>
            <w:rFonts w:ascii="Arial" w:hAnsi="Arial" w:cs="Arial"/>
            <w:sz w:val="22"/>
            <w:szCs w:val="22"/>
          </w:rPr>
          <w:t>@</w:t>
        </w:r>
        <w:proofErr w:type="spellStart"/>
        <w:r w:rsidRPr="00945653">
          <w:rPr>
            <w:rStyle w:val="Hypertextovodkaz"/>
            <w:rFonts w:ascii="Arial" w:hAnsi="Arial" w:cs="Arial"/>
            <w:sz w:val="22"/>
            <w:szCs w:val="22"/>
          </w:rPr>
          <w:t>UPS_News</w:t>
        </w:r>
        <w:proofErr w:type="spellEnd"/>
      </w:hyperlink>
      <w:r w:rsidRPr="00945653">
        <w:rPr>
          <w:rFonts w:ascii="Arial" w:hAnsi="Arial" w:cs="Arial"/>
          <w:sz w:val="22"/>
          <w:szCs w:val="22"/>
        </w:rPr>
        <w:t xml:space="preserve"> on Twitter. To ship with UPS, visit </w:t>
      </w:r>
      <w:hyperlink r:id="rId20" w:history="1">
        <w:r w:rsidRPr="00945653">
          <w:rPr>
            <w:rStyle w:val="Hypertextovodkaz"/>
            <w:rFonts w:ascii="Arial" w:hAnsi="Arial" w:cs="Arial"/>
            <w:sz w:val="22"/>
            <w:szCs w:val="22"/>
          </w:rPr>
          <w:t>ups.com/ship</w:t>
        </w:r>
      </w:hyperlink>
      <w:r w:rsidRPr="00945653">
        <w:rPr>
          <w:rFonts w:ascii="Arial" w:hAnsi="Arial" w:cs="Arial"/>
          <w:sz w:val="22"/>
          <w:szCs w:val="22"/>
        </w:rPr>
        <w:t>.</w:t>
      </w:r>
    </w:p>
    <w:p w14:paraId="3A127A30" w14:textId="77777777" w:rsidR="00945653" w:rsidRDefault="00945653" w:rsidP="00945653">
      <w:pPr>
        <w:rPr>
          <w:rFonts w:ascii="Arial" w:hAnsi="Arial" w:cs="Arial"/>
          <w:b/>
          <w:sz w:val="22"/>
          <w:szCs w:val="22"/>
          <w:u w:val="single"/>
        </w:rPr>
      </w:pPr>
    </w:p>
    <w:p w14:paraId="478B9E92" w14:textId="77777777" w:rsidR="00945653" w:rsidRPr="009E5710" w:rsidRDefault="00945653" w:rsidP="00945653">
      <w:pPr>
        <w:spacing w:line="288" w:lineRule="auto"/>
        <w:rPr>
          <w:rFonts w:ascii="Arial" w:eastAsia="Arial" w:hAnsi="Arial"/>
          <w:b/>
          <w:sz w:val="22"/>
        </w:rPr>
      </w:pPr>
      <w:r w:rsidRPr="009E5710">
        <w:rPr>
          <w:rFonts w:ascii="Arial" w:eastAsia="Arial" w:hAnsi="Arial"/>
          <w:b/>
          <w:color w:val="000000"/>
          <w:sz w:val="22"/>
          <w:u w:val="single" w:color="000000"/>
        </w:rPr>
        <w:t>Forward-Looking Statements</w:t>
      </w:r>
    </w:p>
    <w:p w14:paraId="524F2453" w14:textId="77777777" w:rsidR="00945653" w:rsidRPr="009E5710" w:rsidRDefault="00945653" w:rsidP="00945653">
      <w:pPr>
        <w:spacing w:line="288" w:lineRule="auto"/>
      </w:pPr>
    </w:p>
    <w:p w14:paraId="41316376" w14:textId="77777777" w:rsidR="00945653" w:rsidRDefault="00945653" w:rsidP="00945653">
      <w:pPr>
        <w:spacing w:line="288" w:lineRule="auto"/>
        <w:ind w:firstLine="720"/>
        <w:rPr>
          <w:rFonts w:ascii="Arial" w:eastAsia="Arial" w:hAnsi="Arial" w:cs="Arial"/>
          <w:sz w:val="22"/>
        </w:rPr>
      </w:pPr>
      <w:r>
        <w:rPr>
          <w:rFonts w:ascii="Arial" w:eastAsia="Arial" w:hAnsi="Arial" w:cs="Arial"/>
          <w:sz w:val="22"/>
        </w:rPr>
        <w:t>Except for historical information contained herein, the statements made in this release constitute forward-looking statements within the meaning of Section 27A of the Securities Act of 1933 and Section 21E of the Securities Exchange Act of 1934. Such forward-looking statements, including statements regarding the intent, belief or current expectations of UPS and its management regarding the company's strategic direction, prospects and future results, involve certain risks and uncertainties.</w:t>
      </w:r>
    </w:p>
    <w:p w14:paraId="1EC18182" w14:textId="77777777" w:rsidR="00945653" w:rsidRDefault="00945653" w:rsidP="00945653">
      <w:pPr>
        <w:spacing w:line="288" w:lineRule="auto"/>
        <w:ind w:firstLine="720"/>
        <w:rPr>
          <w:rFonts w:ascii="Arial" w:eastAsia="Arial" w:hAnsi="Arial" w:cs="Arial"/>
          <w:sz w:val="22"/>
        </w:rPr>
      </w:pPr>
    </w:p>
    <w:p w14:paraId="00921153" w14:textId="77777777" w:rsidR="00945653" w:rsidRPr="00857F60" w:rsidRDefault="00945653" w:rsidP="00945653">
      <w:pPr>
        <w:spacing w:line="288" w:lineRule="auto"/>
        <w:ind w:firstLine="720"/>
        <w:rPr>
          <w:rFonts w:ascii="Arial" w:eastAsia="Arial" w:hAnsi="Arial" w:cs="Arial"/>
          <w:sz w:val="22"/>
        </w:rPr>
      </w:pPr>
      <w:r>
        <w:rPr>
          <w:rFonts w:ascii="Arial" w:eastAsia="Arial" w:hAnsi="Arial" w:cs="Arial"/>
          <w:sz w:val="22"/>
        </w:rPr>
        <w:t>Certain factors may cause actual results to differ materially from those contemplated by the forward-looking statements, including changes in economic and other conditions in the markets in which we operate, governmental regulations (including tax laws and regulations), our competitive environment, the facts or assumptions underlying our health and pension benefit funding obligations, the results of negotiation and ratification of labor contracts, the impact of any strikes, work stoppages or slowdowns, changes in aviation and motor fuel prices, cyclical and seasonal fluctuations in our operating results, and other risks discussed in the company's Form 10-K and other filings with the Securities and Exchange Commission, which discussions are incorporated herein by reference.</w:t>
      </w:r>
    </w:p>
    <w:p w14:paraId="7EAF605C" w14:textId="77777777" w:rsidR="00945653" w:rsidRDefault="00945653" w:rsidP="00945653">
      <w:pPr>
        <w:spacing w:after="240" w:line="288" w:lineRule="auto"/>
        <w:ind w:firstLine="720"/>
        <w:rPr>
          <w:rFonts w:ascii="Arial" w:eastAsia="Arial" w:hAnsi="Arial" w:cs="Arial"/>
          <w:sz w:val="22"/>
        </w:rPr>
      </w:pPr>
    </w:p>
    <w:p w14:paraId="2910A701" w14:textId="77777777" w:rsidR="00945653" w:rsidRPr="009E5710" w:rsidRDefault="00945653" w:rsidP="00945653">
      <w:pPr>
        <w:spacing w:line="288" w:lineRule="auto"/>
        <w:rPr>
          <w:rFonts w:ascii="Arial" w:eastAsia="Arial" w:hAnsi="Arial"/>
          <w:b/>
          <w:sz w:val="22"/>
        </w:rPr>
      </w:pPr>
      <w:r w:rsidRPr="009E5710">
        <w:rPr>
          <w:rFonts w:ascii="Arial" w:eastAsia="Arial" w:hAnsi="Arial"/>
          <w:b/>
          <w:color w:val="000000"/>
          <w:sz w:val="22"/>
          <w:u w:val="single" w:color="000000"/>
        </w:rPr>
        <w:t>Reconciliation of GAAP and non-GAAP Financial Measures</w:t>
      </w:r>
    </w:p>
    <w:p w14:paraId="7EE3A0DC" w14:textId="77777777" w:rsidR="00945653" w:rsidRPr="009E5710" w:rsidRDefault="00945653" w:rsidP="00945653">
      <w:pPr>
        <w:spacing w:line="288" w:lineRule="auto"/>
      </w:pPr>
    </w:p>
    <w:p w14:paraId="7D9F0D68" w14:textId="77777777" w:rsidR="00945653" w:rsidRDefault="00945653" w:rsidP="00945653">
      <w:pPr>
        <w:spacing w:line="288" w:lineRule="auto"/>
        <w:ind w:firstLine="720"/>
        <w:rPr>
          <w:rFonts w:ascii="Arial" w:eastAsia="Arial" w:hAnsi="Arial" w:cs="Arial"/>
          <w:sz w:val="22"/>
        </w:rPr>
      </w:pPr>
      <w:r>
        <w:rPr>
          <w:rFonts w:ascii="Arial" w:eastAsia="Arial" w:hAnsi="Arial" w:cs="Arial"/>
          <w:sz w:val="22"/>
        </w:rPr>
        <w:t xml:space="preserve">We supplement the reporting of our financial information determined under generally accepted accounting principles ("GAAP") with certain non-GAAP financial measures, including, as applicable, "as adjusted" operating profit, operating margin, other income (expense), income (loss) before income taxes, income tax expense, net income and earnings per </w:t>
      </w:r>
      <w:r w:rsidRPr="0024655C">
        <w:rPr>
          <w:rFonts w:ascii="Arial" w:eastAsia="Arial" w:hAnsi="Arial" w:cs="Arial"/>
          <w:sz w:val="22"/>
        </w:rPr>
        <w:t>share.</w:t>
      </w:r>
      <w:r w:rsidRPr="00CF3F20">
        <w:rPr>
          <w:rFonts w:ascii="Arial" w:eastAsia="Arial" w:hAnsi="Arial" w:cs="Arial"/>
          <w:sz w:val="22"/>
        </w:rPr>
        <w:t xml:space="preserve"> </w:t>
      </w:r>
      <w:r>
        <w:rPr>
          <w:rFonts w:ascii="Arial" w:eastAsia="Arial" w:hAnsi="Arial" w:cs="Arial"/>
          <w:sz w:val="22"/>
        </w:rPr>
        <w:lastRenderedPageBreak/>
        <w:t xml:space="preserve">Additionally, we periodically disclose free cash flow, free cash flow excluding discretionary pension contributions, and capital expenditures including principal repayments of capital lease obligations. </w:t>
      </w:r>
      <w:r w:rsidRPr="00FE05F6">
        <w:rPr>
          <w:rFonts w:ascii="Arial" w:eastAsia="Arial" w:hAnsi="Arial" w:cs="Arial"/>
          <w:sz w:val="22"/>
        </w:rPr>
        <w:t>The equivalent measures determined in accordance with GAAP are also referred to as "reported" or</w:t>
      </w:r>
      <w:r>
        <w:rPr>
          <w:rFonts w:ascii="Arial" w:eastAsia="Arial" w:hAnsi="Arial" w:cs="Arial"/>
          <w:sz w:val="22"/>
        </w:rPr>
        <w:t xml:space="preserve"> "unadjusted.” </w:t>
      </w:r>
    </w:p>
    <w:p w14:paraId="59D247CA" w14:textId="77777777" w:rsidR="00945653" w:rsidRPr="00857F60" w:rsidRDefault="00945653" w:rsidP="00945653">
      <w:pPr>
        <w:spacing w:line="288" w:lineRule="auto"/>
        <w:ind w:firstLine="720"/>
        <w:rPr>
          <w:rFonts w:ascii="Arial" w:eastAsia="Arial" w:hAnsi="Arial" w:cs="Arial"/>
          <w:sz w:val="22"/>
        </w:rPr>
      </w:pPr>
    </w:p>
    <w:p w14:paraId="7318F7B5" w14:textId="77777777" w:rsidR="00945653" w:rsidRPr="00857F60" w:rsidRDefault="00945653" w:rsidP="00945653">
      <w:pPr>
        <w:spacing w:line="288" w:lineRule="auto"/>
        <w:ind w:firstLine="720"/>
        <w:rPr>
          <w:rFonts w:ascii="Arial" w:eastAsia="Arial" w:hAnsi="Arial" w:cs="Arial"/>
          <w:sz w:val="22"/>
        </w:rPr>
      </w:pPr>
      <w:r>
        <w:rPr>
          <w:rFonts w:ascii="Arial" w:eastAsia="Arial" w:hAnsi="Arial" w:cs="Arial"/>
          <w:sz w:val="22"/>
        </w:rPr>
        <w:t>We consider quantitative and qualitative factors in assessing whether to adjust for the impact of items that may be significant or that could affect an understanding of our ongoing financial and business performance or trends. Examples of items for which we may make adjustments include but are not limited to: amounts related to mark-to-market gains or losses (non-cash); recognition of contingencies; gains or losses associated with mergers, acquisitions, divestitures and other structural changes; charges related to restructuring programs such as the implementation of our Transformation strategy; asset impairments (non-cash); amounts related to changes in tax regulations or positions; amounts related to changes in foreign currency exchange rates and the impact of any hedging activities; other pension and postretirement related items; and debt modifications.</w:t>
      </w:r>
    </w:p>
    <w:p w14:paraId="1FE3C71A" w14:textId="77777777" w:rsidR="00945653" w:rsidRPr="00857F60" w:rsidRDefault="00945653" w:rsidP="00945653">
      <w:pPr>
        <w:spacing w:line="288" w:lineRule="auto"/>
        <w:ind w:firstLine="720"/>
        <w:rPr>
          <w:rFonts w:ascii="Arial" w:eastAsia="Arial" w:hAnsi="Arial" w:cs="Arial"/>
          <w:sz w:val="22"/>
        </w:rPr>
      </w:pPr>
    </w:p>
    <w:p w14:paraId="0059FD1A" w14:textId="77777777" w:rsidR="00945653" w:rsidRDefault="00945653" w:rsidP="00945653">
      <w:pPr>
        <w:spacing w:line="288" w:lineRule="auto"/>
        <w:ind w:firstLine="720"/>
        <w:rPr>
          <w:rFonts w:ascii="Arial" w:eastAsia="Arial" w:hAnsi="Arial" w:cs="Arial"/>
          <w:sz w:val="22"/>
        </w:rPr>
      </w:pPr>
      <w:r>
        <w:rPr>
          <w:rFonts w:ascii="Arial" w:eastAsia="Arial" w:hAnsi="Arial" w:cs="Arial"/>
          <w:sz w:val="22"/>
        </w:rPr>
        <w:t>We believe that these non-GAAP measures provide additional meaningful information to assist users of our financial statements in understanding our financial results and cash flows and assessing our ongoing performance, because they exclude items that may not be indicative of, or are unrelated to, our underlying operations and may provide a useful baseline for analyzing trends in our underlying businesses. Management uses these non-GAAP financial measures in making financial, operating and planning decisions. We also use certain of these measures for the determination of incentive compensation awards.</w:t>
      </w:r>
    </w:p>
    <w:p w14:paraId="174F7AF5" w14:textId="77777777" w:rsidR="00945653" w:rsidRPr="00857F60" w:rsidRDefault="00945653" w:rsidP="00945653">
      <w:pPr>
        <w:spacing w:line="288" w:lineRule="auto"/>
        <w:ind w:firstLine="720"/>
        <w:rPr>
          <w:rFonts w:ascii="Arial" w:eastAsia="Arial" w:hAnsi="Arial" w:cs="Arial"/>
          <w:sz w:val="22"/>
        </w:rPr>
      </w:pPr>
    </w:p>
    <w:p w14:paraId="5F2CB86F" w14:textId="77777777" w:rsidR="00945653" w:rsidRDefault="00945653" w:rsidP="00945653">
      <w:pPr>
        <w:spacing w:line="288" w:lineRule="auto"/>
        <w:ind w:firstLine="720"/>
        <w:rPr>
          <w:rFonts w:ascii="Arial" w:eastAsia="Arial" w:hAnsi="Arial" w:cs="Arial"/>
          <w:sz w:val="22"/>
        </w:rPr>
      </w:pPr>
      <w:r>
        <w:rPr>
          <w:rFonts w:ascii="Arial" w:eastAsia="Arial" w:hAnsi="Arial" w:cs="Arial"/>
          <w:sz w:val="22"/>
        </w:rPr>
        <w:t>Non-GAAP financial measures should be considered in addition to, and not as an alternative for, our reported results prepared in accordance with GAAP. Our non-GAAP financial information does not represent a comprehensive basis of accounting. Therefore, our non-GAAP financial information may not be comparable to similarly titled measures reported by other companies.</w:t>
      </w:r>
    </w:p>
    <w:p w14:paraId="51AC61B5" w14:textId="77777777" w:rsidR="00945653" w:rsidRDefault="00945653" w:rsidP="00945653">
      <w:pPr>
        <w:spacing w:line="288" w:lineRule="auto"/>
        <w:ind w:firstLine="720"/>
        <w:rPr>
          <w:rFonts w:ascii="Arial" w:eastAsia="Arial" w:hAnsi="Arial" w:cs="Arial"/>
          <w:i/>
          <w:sz w:val="22"/>
        </w:rPr>
      </w:pPr>
    </w:p>
    <w:p w14:paraId="5D2D3192" w14:textId="77777777" w:rsidR="00945653" w:rsidRDefault="00945653" w:rsidP="00945653">
      <w:pPr>
        <w:spacing w:line="288" w:lineRule="auto"/>
        <w:rPr>
          <w:rFonts w:ascii="Arial" w:eastAsia="Arial" w:hAnsi="Arial" w:cs="Arial"/>
          <w:i/>
          <w:sz w:val="22"/>
        </w:rPr>
      </w:pPr>
      <w:r>
        <w:rPr>
          <w:rFonts w:ascii="Arial" w:eastAsia="Arial" w:hAnsi="Arial" w:cs="Arial"/>
          <w:i/>
          <w:sz w:val="22"/>
        </w:rPr>
        <w:t>Impact of Changes in Foreign Currency Exchange Rates and Hedging Activities</w:t>
      </w:r>
    </w:p>
    <w:p w14:paraId="29D39F8F" w14:textId="77777777" w:rsidR="00945653" w:rsidRPr="009E5710" w:rsidRDefault="00945653" w:rsidP="00945653">
      <w:pPr>
        <w:spacing w:line="288" w:lineRule="auto"/>
      </w:pPr>
    </w:p>
    <w:p w14:paraId="369CEB8B" w14:textId="77777777" w:rsidR="00945653" w:rsidRDefault="00945653" w:rsidP="00945653">
      <w:pPr>
        <w:spacing w:line="288" w:lineRule="auto"/>
        <w:ind w:firstLine="720"/>
        <w:rPr>
          <w:rFonts w:ascii="Arial" w:eastAsia="Arial" w:hAnsi="Arial" w:cs="Arial"/>
          <w:sz w:val="22"/>
        </w:rPr>
      </w:pPr>
      <w:r>
        <w:rPr>
          <w:rFonts w:ascii="Arial" w:eastAsia="Arial" w:hAnsi="Arial" w:cs="Arial"/>
          <w:sz w:val="22"/>
        </w:rPr>
        <w:t>We supplement the reporting of our revenue, revenue per piece and operating profit with non-GAAP measures that exclude the period-over-period impact of foreign currency exchange rate changes and hedging activities. We believe currency-neutral revenue, revenue per piece and operating profit information allows users of our financial statements to understand growth trends in our products and results. We evaluate the performance of our International Package and Supply Chain and Freight segments on this currency-neutral basis.</w:t>
      </w:r>
    </w:p>
    <w:p w14:paraId="3D050EFC" w14:textId="77777777" w:rsidR="00945653" w:rsidRDefault="00945653" w:rsidP="00945653">
      <w:pPr>
        <w:spacing w:line="288" w:lineRule="auto"/>
        <w:ind w:firstLine="720"/>
        <w:rPr>
          <w:rFonts w:ascii="Arial" w:eastAsia="Arial" w:hAnsi="Arial" w:cs="Arial"/>
          <w:sz w:val="22"/>
        </w:rPr>
      </w:pPr>
    </w:p>
    <w:p w14:paraId="061CAB13" w14:textId="77777777" w:rsidR="00945653" w:rsidRDefault="00945653" w:rsidP="00945653">
      <w:pPr>
        <w:spacing w:line="288" w:lineRule="auto"/>
        <w:ind w:firstLine="720"/>
        <w:rPr>
          <w:rFonts w:ascii="Arial" w:eastAsia="Arial" w:hAnsi="Arial" w:cs="Arial"/>
          <w:sz w:val="22"/>
        </w:rPr>
      </w:pPr>
      <w:r>
        <w:rPr>
          <w:rFonts w:ascii="Arial" w:eastAsia="Arial" w:hAnsi="Arial" w:cs="Arial"/>
          <w:sz w:val="22"/>
        </w:rPr>
        <w:t xml:space="preserve">Currency-neutral revenue, revenue per piece and operating profit are calculated by dividing current period reported U.S. dollar revenue, revenue per piece and operating profit by the current period average exchange rates to derive current period local currency revenue, revenue per piece and operating profit. The derived amounts are then multiplied by the average foreign exchange rates used to translate the comparable results for each month in the prior year period (including the period over period impact of foreign currency hedging activities). The </w:t>
      </w:r>
      <w:r>
        <w:rPr>
          <w:rFonts w:ascii="Arial" w:eastAsia="Arial" w:hAnsi="Arial" w:cs="Arial"/>
          <w:sz w:val="22"/>
        </w:rPr>
        <w:lastRenderedPageBreak/>
        <w:t>difference between the current period reported U.S. dollar revenue, revenue per piece and operating profit and the derived current period U.S. dollar revenue, revenue per piece and operating profit is the period over period impact of currency fluctuations.</w:t>
      </w:r>
    </w:p>
    <w:p w14:paraId="14DB9CFF" w14:textId="77777777" w:rsidR="00945653" w:rsidRDefault="00945653" w:rsidP="00945653">
      <w:pPr>
        <w:spacing w:line="288" w:lineRule="auto"/>
        <w:rPr>
          <w:rFonts w:ascii="Arial" w:eastAsia="Arial" w:hAnsi="Arial" w:cs="Arial"/>
          <w:i/>
          <w:sz w:val="22"/>
        </w:rPr>
      </w:pPr>
    </w:p>
    <w:p w14:paraId="482292BE" w14:textId="77777777" w:rsidR="00945653" w:rsidRDefault="00945653" w:rsidP="00945653">
      <w:pPr>
        <w:spacing w:line="288" w:lineRule="auto"/>
        <w:rPr>
          <w:rFonts w:ascii="Arial" w:eastAsia="Arial" w:hAnsi="Arial" w:cs="Arial"/>
          <w:i/>
          <w:sz w:val="22"/>
        </w:rPr>
      </w:pPr>
      <w:r>
        <w:rPr>
          <w:rFonts w:ascii="Arial" w:eastAsia="Arial" w:hAnsi="Arial" w:cs="Arial"/>
          <w:i/>
          <w:sz w:val="22"/>
        </w:rPr>
        <w:t>Costs Related to Legal Contingencies and Expenses</w:t>
      </w:r>
    </w:p>
    <w:p w14:paraId="71644E06" w14:textId="77777777" w:rsidR="00945653" w:rsidRDefault="00945653" w:rsidP="00945653">
      <w:pPr>
        <w:spacing w:line="288" w:lineRule="auto"/>
        <w:rPr>
          <w:rFonts w:ascii="Arial" w:eastAsia="Arial" w:hAnsi="Arial" w:cs="Arial"/>
          <w:i/>
          <w:sz w:val="22"/>
        </w:rPr>
      </w:pPr>
    </w:p>
    <w:p w14:paraId="30123591" w14:textId="77777777" w:rsidR="00945653" w:rsidRDefault="00945653" w:rsidP="00945653">
      <w:pPr>
        <w:spacing w:line="288" w:lineRule="auto"/>
        <w:ind w:firstLine="720"/>
        <w:rPr>
          <w:rFonts w:ascii="Arial" w:eastAsia="Arial" w:hAnsi="Arial" w:cs="Arial"/>
          <w:sz w:val="22"/>
        </w:rPr>
      </w:pPr>
      <w:r>
        <w:rPr>
          <w:rFonts w:ascii="Arial" w:eastAsia="Arial" w:hAnsi="Arial" w:cs="Arial"/>
          <w:sz w:val="22"/>
        </w:rPr>
        <w:t>We supplement the presentation of our operating profit, operating margin, pre-tax income, net income and earnings per share with similar non-GAAP measures that exclude the impact of costs related to certain of our legal contingencies and expenses.  We believe this adjusted information provides a useful comparison of year-to-year financial performance without considering the impact of these contingencies and expenses. We evaluate our performance on this adjusted basis.</w:t>
      </w:r>
    </w:p>
    <w:p w14:paraId="459DB90B" w14:textId="77777777" w:rsidR="00945653" w:rsidRPr="009E5710" w:rsidRDefault="00945653" w:rsidP="00945653">
      <w:pPr>
        <w:spacing w:line="288" w:lineRule="auto"/>
      </w:pPr>
    </w:p>
    <w:p w14:paraId="4ED0ABC5" w14:textId="77777777" w:rsidR="00945653" w:rsidRDefault="00945653" w:rsidP="00945653">
      <w:pPr>
        <w:spacing w:line="288" w:lineRule="auto"/>
        <w:rPr>
          <w:rFonts w:ascii="Arial" w:eastAsia="Arial" w:hAnsi="Arial" w:cs="Arial"/>
          <w:i/>
          <w:sz w:val="22"/>
        </w:rPr>
      </w:pPr>
      <w:r>
        <w:rPr>
          <w:rFonts w:ascii="Arial" w:eastAsia="Arial" w:hAnsi="Arial" w:cs="Arial"/>
          <w:i/>
          <w:sz w:val="22"/>
        </w:rPr>
        <w:t>Costs Related to Restructuring Programs; Transformation Strategy Costs</w:t>
      </w:r>
    </w:p>
    <w:p w14:paraId="365A7710" w14:textId="77777777" w:rsidR="00945653" w:rsidRPr="009E5710" w:rsidRDefault="00945653" w:rsidP="00945653">
      <w:pPr>
        <w:spacing w:line="288" w:lineRule="auto"/>
      </w:pPr>
    </w:p>
    <w:p w14:paraId="47967A20" w14:textId="77777777" w:rsidR="00945653" w:rsidRDefault="00945653" w:rsidP="00945653">
      <w:pPr>
        <w:spacing w:line="288" w:lineRule="auto"/>
        <w:ind w:firstLine="720"/>
        <w:rPr>
          <w:rFonts w:ascii="Arial" w:eastAsia="Arial" w:hAnsi="Arial" w:cs="Arial"/>
          <w:sz w:val="22"/>
        </w:rPr>
      </w:pPr>
      <w:r>
        <w:rPr>
          <w:rFonts w:ascii="Arial" w:eastAsia="Arial" w:hAnsi="Arial" w:cs="Arial"/>
          <w:sz w:val="22"/>
        </w:rPr>
        <w:t>We supplement the presentation of our operating profit, operating margin, pre-tax income, net income and earnings per share with similar non-GAAP measures that exclude the impact of costs related to restructuring programs, including Transformation strategy costs.  We believe this adjusted information provides a useful comparison of year-to-year financial performance without considering the short-term impact of restructuring costs. We evaluate our performance on this adjusted basis.</w:t>
      </w:r>
    </w:p>
    <w:p w14:paraId="72D80B3E" w14:textId="77777777" w:rsidR="00945653" w:rsidRPr="00857F60" w:rsidRDefault="00945653" w:rsidP="00945653">
      <w:pPr>
        <w:spacing w:line="288" w:lineRule="auto"/>
        <w:ind w:firstLine="720"/>
        <w:rPr>
          <w:rFonts w:ascii="Arial" w:eastAsia="Arial" w:hAnsi="Arial" w:cs="Arial"/>
          <w:sz w:val="22"/>
        </w:rPr>
      </w:pPr>
    </w:p>
    <w:p w14:paraId="65343FC2" w14:textId="77777777" w:rsidR="00945653" w:rsidRPr="003C1268" w:rsidRDefault="00945653" w:rsidP="00945653">
      <w:pPr>
        <w:spacing w:after="240" w:line="288" w:lineRule="auto"/>
        <w:rPr>
          <w:rFonts w:ascii="Arial" w:eastAsia="Arial" w:hAnsi="Arial" w:cs="Arial"/>
          <w:i/>
          <w:sz w:val="22"/>
        </w:rPr>
      </w:pPr>
      <w:r w:rsidRPr="003C1268">
        <w:rPr>
          <w:rFonts w:ascii="Arial" w:eastAsia="Arial" w:hAnsi="Arial" w:cs="Arial"/>
          <w:i/>
          <w:sz w:val="22"/>
        </w:rPr>
        <w:t>Mark-To-Market Pension and Postretirement Adjustments</w:t>
      </w:r>
    </w:p>
    <w:p w14:paraId="207EE798" w14:textId="77777777" w:rsidR="00945653" w:rsidRPr="003C1268" w:rsidRDefault="00945653" w:rsidP="00945653">
      <w:pPr>
        <w:spacing w:line="288" w:lineRule="auto"/>
        <w:ind w:firstLine="720"/>
        <w:rPr>
          <w:rFonts w:ascii="Arial" w:eastAsia="Arial" w:hAnsi="Arial" w:cs="Arial"/>
          <w:sz w:val="22"/>
        </w:rPr>
      </w:pPr>
      <w:r w:rsidRPr="004F1712">
        <w:rPr>
          <w:rFonts w:ascii="Arial" w:eastAsia="Arial" w:hAnsi="Arial" w:cs="Arial"/>
          <w:sz w:val="22"/>
        </w:rPr>
        <w:t>We recognize changes in the fair value of plan assets and net actuarial gains and losses in excess of a 10% corridor for company-sponsored pension and post-retirement obligations immediately as part of net periodic benefit cost other than service cost. We supplement the presentation of our pre-tax income, net income and earnings per share with similar non-GAAP measures that exclude the impact of the portion of net periodic benefit cost other than service cost represented by the gains and losses recognized in excess of the 10% corridor and the related income tax effects. We believe excluding these mark-to-market impacts from our adjusted results provides important supplemental information to remove the volatility caused by short term changes in market interest rates, equity prices, and similar factors.</w:t>
      </w:r>
    </w:p>
    <w:p w14:paraId="3F877E32" w14:textId="77777777" w:rsidR="00945653" w:rsidRDefault="00945653" w:rsidP="00945653">
      <w:pPr>
        <w:spacing w:line="288" w:lineRule="auto"/>
        <w:ind w:firstLine="720"/>
        <w:rPr>
          <w:rFonts w:ascii="Arial" w:eastAsia="Arial" w:hAnsi="Arial" w:cs="Arial"/>
          <w:sz w:val="22"/>
        </w:rPr>
      </w:pPr>
    </w:p>
    <w:p w14:paraId="4C01250C" w14:textId="77777777" w:rsidR="00945653" w:rsidRPr="003C1268" w:rsidRDefault="00945653" w:rsidP="00945653">
      <w:pPr>
        <w:spacing w:line="288" w:lineRule="auto"/>
        <w:ind w:firstLine="720"/>
        <w:rPr>
          <w:rFonts w:ascii="Arial" w:eastAsia="Arial" w:hAnsi="Arial" w:cs="Arial"/>
          <w:sz w:val="22"/>
        </w:rPr>
      </w:pPr>
      <w:r w:rsidRPr="003C1268">
        <w:rPr>
          <w:rFonts w:ascii="Arial" w:eastAsia="Arial" w:hAnsi="Arial" w:cs="Arial"/>
          <w:sz w:val="22"/>
        </w:rPr>
        <w:t>This adjusted net periodic benefit cos</w:t>
      </w:r>
      <w:r>
        <w:rPr>
          <w:rFonts w:ascii="Arial" w:eastAsia="Arial" w:hAnsi="Arial" w:cs="Arial"/>
          <w:sz w:val="22"/>
        </w:rPr>
        <w:t>t ($754 million in 2019 and $615 million in 2018</w:t>
      </w:r>
      <w:r w:rsidRPr="003C1268">
        <w:rPr>
          <w:rFonts w:ascii="Arial" w:eastAsia="Arial" w:hAnsi="Arial" w:cs="Arial"/>
          <w:sz w:val="22"/>
        </w:rPr>
        <w:t>) is comparable to the accounting for our defined benefit plans in our quarterly reporting under U.S. GAAP, utilizing the expe</w:t>
      </w:r>
      <w:r>
        <w:rPr>
          <w:rFonts w:ascii="Arial" w:eastAsia="Arial" w:hAnsi="Arial" w:cs="Arial"/>
          <w:sz w:val="22"/>
        </w:rPr>
        <w:t>cted return on plan assets (7.68</w:t>
      </w:r>
      <w:r w:rsidRPr="003C1268">
        <w:rPr>
          <w:rFonts w:ascii="Arial" w:eastAsia="Arial" w:hAnsi="Arial" w:cs="Arial"/>
          <w:sz w:val="22"/>
        </w:rPr>
        <w:t>%</w:t>
      </w:r>
      <w:r>
        <w:rPr>
          <w:rFonts w:ascii="Arial" w:eastAsia="Arial" w:hAnsi="Arial" w:cs="Arial"/>
          <w:sz w:val="22"/>
        </w:rPr>
        <w:t xml:space="preserve"> in 2019</w:t>
      </w:r>
      <w:r w:rsidRPr="003C1268">
        <w:rPr>
          <w:rFonts w:ascii="Arial" w:eastAsia="Arial" w:hAnsi="Arial" w:cs="Arial"/>
          <w:sz w:val="22"/>
        </w:rPr>
        <w:t xml:space="preserve"> and </w:t>
      </w:r>
      <w:r>
        <w:rPr>
          <w:rFonts w:ascii="Arial" w:eastAsia="Arial" w:hAnsi="Arial" w:cs="Arial"/>
          <w:sz w:val="22"/>
        </w:rPr>
        <w:t>2018</w:t>
      </w:r>
      <w:r w:rsidRPr="003C1268">
        <w:rPr>
          <w:rFonts w:ascii="Arial" w:eastAsia="Arial" w:hAnsi="Arial" w:cs="Arial"/>
          <w:sz w:val="22"/>
        </w:rPr>
        <w:t>) and the discount rate used to determine net periodic bene</w:t>
      </w:r>
      <w:r>
        <w:rPr>
          <w:rFonts w:ascii="Arial" w:eastAsia="Arial" w:hAnsi="Arial" w:cs="Arial"/>
          <w:sz w:val="22"/>
        </w:rPr>
        <w:t>fit cost (4.45% in 2019 and 3.81% in 2018</w:t>
      </w:r>
      <w:r w:rsidRPr="003C1268">
        <w:rPr>
          <w:rFonts w:ascii="Arial" w:eastAsia="Arial" w:hAnsi="Arial" w:cs="Arial"/>
          <w:sz w:val="22"/>
        </w:rPr>
        <w:t>).  The non-adjusted net periodic benefit cost reflects the act</w:t>
      </w:r>
      <w:r>
        <w:rPr>
          <w:rFonts w:ascii="Arial" w:eastAsia="Arial" w:hAnsi="Arial" w:cs="Arial"/>
          <w:sz w:val="22"/>
        </w:rPr>
        <w:t>ual return on plan assets (17.57% in 2019</w:t>
      </w:r>
      <w:r w:rsidRPr="003C1268">
        <w:rPr>
          <w:rFonts w:ascii="Arial" w:eastAsia="Arial" w:hAnsi="Arial" w:cs="Arial"/>
          <w:sz w:val="22"/>
        </w:rPr>
        <w:t xml:space="preserve"> and </w:t>
      </w:r>
      <w:r>
        <w:rPr>
          <w:rFonts w:ascii="Arial" w:eastAsia="Arial" w:hAnsi="Arial" w:cs="Arial"/>
          <w:sz w:val="22"/>
        </w:rPr>
        <w:t>-2.38% in 2018</w:t>
      </w:r>
      <w:r w:rsidRPr="003C1268">
        <w:rPr>
          <w:rFonts w:ascii="Arial" w:eastAsia="Arial" w:hAnsi="Arial" w:cs="Arial"/>
          <w:sz w:val="22"/>
        </w:rPr>
        <w:t>) and the discount rate used to measure the projected benefit obligation at the De</w:t>
      </w:r>
      <w:r>
        <w:rPr>
          <w:rFonts w:ascii="Arial" w:eastAsia="Arial" w:hAnsi="Arial" w:cs="Arial"/>
          <w:sz w:val="22"/>
        </w:rPr>
        <w:t>cember 31 measurement date (3.55</w:t>
      </w:r>
      <w:r w:rsidRPr="003C1268">
        <w:rPr>
          <w:rFonts w:ascii="Arial" w:eastAsia="Arial" w:hAnsi="Arial" w:cs="Arial"/>
          <w:sz w:val="22"/>
        </w:rPr>
        <w:t>% in 201</w:t>
      </w:r>
      <w:r>
        <w:rPr>
          <w:rFonts w:ascii="Arial" w:eastAsia="Arial" w:hAnsi="Arial" w:cs="Arial"/>
          <w:sz w:val="22"/>
        </w:rPr>
        <w:t>9</w:t>
      </w:r>
      <w:r w:rsidRPr="003C1268">
        <w:rPr>
          <w:rFonts w:ascii="Arial" w:eastAsia="Arial" w:hAnsi="Arial" w:cs="Arial"/>
          <w:sz w:val="22"/>
        </w:rPr>
        <w:t xml:space="preserve"> and </w:t>
      </w:r>
      <w:r>
        <w:rPr>
          <w:rFonts w:ascii="Arial" w:eastAsia="Arial" w:hAnsi="Arial" w:cs="Arial"/>
          <w:sz w:val="22"/>
        </w:rPr>
        <w:t>4.45</w:t>
      </w:r>
      <w:r w:rsidRPr="003C1268">
        <w:rPr>
          <w:rFonts w:ascii="Arial" w:eastAsia="Arial" w:hAnsi="Arial" w:cs="Arial"/>
          <w:sz w:val="22"/>
        </w:rPr>
        <w:t>% in 201</w:t>
      </w:r>
      <w:r>
        <w:rPr>
          <w:rFonts w:ascii="Arial" w:eastAsia="Arial" w:hAnsi="Arial" w:cs="Arial"/>
          <w:sz w:val="22"/>
        </w:rPr>
        <w:t>8</w:t>
      </w:r>
      <w:r w:rsidRPr="003C1268">
        <w:rPr>
          <w:rFonts w:ascii="Arial" w:eastAsia="Arial" w:hAnsi="Arial" w:cs="Arial"/>
          <w:sz w:val="22"/>
        </w:rPr>
        <w:t>).</w:t>
      </w:r>
    </w:p>
    <w:p w14:paraId="62F711E0" w14:textId="77777777" w:rsidR="00945653" w:rsidRDefault="00945653" w:rsidP="00945653">
      <w:pPr>
        <w:spacing w:line="288" w:lineRule="auto"/>
        <w:ind w:firstLine="720"/>
        <w:rPr>
          <w:rFonts w:ascii="Arial" w:eastAsia="Arial" w:hAnsi="Arial" w:cs="Arial"/>
          <w:sz w:val="22"/>
        </w:rPr>
      </w:pPr>
    </w:p>
    <w:p w14:paraId="3B75BA62" w14:textId="77777777" w:rsidR="00945653" w:rsidRPr="00857F60" w:rsidRDefault="00945653" w:rsidP="00945653">
      <w:pPr>
        <w:spacing w:line="288" w:lineRule="auto"/>
        <w:ind w:firstLine="720"/>
        <w:rPr>
          <w:rFonts w:ascii="Arial" w:eastAsia="Arial" w:hAnsi="Arial" w:cs="Arial"/>
          <w:sz w:val="22"/>
        </w:rPr>
      </w:pPr>
      <w:r w:rsidRPr="003C1268">
        <w:rPr>
          <w:rFonts w:ascii="Arial" w:eastAsia="Arial" w:hAnsi="Arial" w:cs="Arial"/>
          <w:sz w:val="22"/>
        </w:rPr>
        <w:t xml:space="preserve">The deferred income tax effects of these mark-to-market pension and postretirement adjustments are calculated by multiplying the statutory tax rates applicable in each tax jurisdiction, including the U.S. federal jurisdiction and various U.S. state and non-U.S. </w:t>
      </w:r>
      <w:r w:rsidRPr="003C1268">
        <w:rPr>
          <w:rFonts w:ascii="Arial" w:eastAsia="Arial" w:hAnsi="Arial" w:cs="Arial"/>
          <w:sz w:val="22"/>
        </w:rPr>
        <w:lastRenderedPageBreak/>
        <w:t>jurisdictions, by the adjustments. The blended average of the applicable statutory t</w:t>
      </w:r>
      <w:r>
        <w:rPr>
          <w:rFonts w:ascii="Arial" w:eastAsia="Arial" w:hAnsi="Arial" w:cs="Arial"/>
          <w:sz w:val="22"/>
        </w:rPr>
        <w:t>ax rates in 2019 and 2018 was 23.9% and 24.0%, respectively.</w:t>
      </w:r>
    </w:p>
    <w:p w14:paraId="042E8998" w14:textId="77777777" w:rsidR="00A24CD5" w:rsidRDefault="00A24CD5" w:rsidP="00945653">
      <w:pPr>
        <w:spacing w:line="288" w:lineRule="auto"/>
        <w:rPr>
          <w:rFonts w:ascii="Arial" w:eastAsia="Arial" w:hAnsi="Arial" w:cs="Arial"/>
          <w:i/>
          <w:sz w:val="22"/>
        </w:rPr>
      </w:pPr>
    </w:p>
    <w:p w14:paraId="2E7C0CAE" w14:textId="77777777" w:rsidR="00945653" w:rsidRPr="003B639B" w:rsidRDefault="00945653" w:rsidP="00945653">
      <w:pPr>
        <w:spacing w:line="288" w:lineRule="auto"/>
        <w:rPr>
          <w:rFonts w:ascii="Arial" w:eastAsia="Arial" w:hAnsi="Arial" w:cs="Arial"/>
          <w:i/>
          <w:sz w:val="22"/>
        </w:rPr>
      </w:pPr>
      <w:r w:rsidRPr="003B639B">
        <w:rPr>
          <w:rFonts w:ascii="Arial" w:eastAsia="Arial" w:hAnsi="Arial" w:cs="Arial"/>
          <w:i/>
          <w:sz w:val="22"/>
        </w:rPr>
        <w:t>Free Cash Flow and Adjusted Capital Expenditures</w:t>
      </w:r>
    </w:p>
    <w:p w14:paraId="67FF4933" w14:textId="77777777" w:rsidR="00945653" w:rsidRPr="009E5710" w:rsidRDefault="00945653" w:rsidP="00945653">
      <w:pPr>
        <w:spacing w:line="288" w:lineRule="auto"/>
        <w:rPr>
          <w:rFonts w:ascii="Arial" w:eastAsia="Arial" w:hAnsi="Arial"/>
          <w:sz w:val="22"/>
        </w:rPr>
      </w:pPr>
    </w:p>
    <w:p w14:paraId="58E796A8" w14:textId="47A80923" w:rsidR="00945653" w:rsidRDefault="00945653" w:rsidP="00A24CD5">
      <w:pPr>
        <w:spacing w:line="288" w:lineRule="auto"/>
        <w:ind w:firstLine="720"/>
        <w:rPr>
          <w:rFonts w:ascii="Arial" w:eastAsia="Arial" w:hAnsi="Arial" w:cs="Arial"/>
          <w:sz w:val="22"/>
        </w:rPr>
      </w:pPr>
      <w:r w:rsidRPr="003B639B">
        <w:rPr>
          <w:rFonts w:ascii="Arial" w:eastAsia="Arial" w:hAnsi="Arial" w:cs="Arial"/>
          <w:sz w:val="22"/>
        </w:rPr>
        <w:t xml:space="preserve">We supplement the reporting of cash flows from operating activities with free cash flow, free cash flow excluding discretionary pension contributions and free cash flow plus principal repayments of capital lease obligations, non-GAAP liquidity measures. We believe </w:t>
      </w:r>
      <w:r>
        <w:rPr>
          <w:rFonts w:ascii="Arial" w:eastAsia="Arial" w:hAnsi="Arial" w:cs="Arial"/>
          <w:sz w:val="22"/>
        </w:rPr>
        <w:t xml:space="preserve">these </w:t>
      </w:r>
      <w:r w:rsidRPr="003B639B">
        <w:rPr>
          <w:rFonts w:ascii="Arial" w:eastAsia="Arial" w:hAnsi="Arial" w:cs="Arial"/>
          <w:sz w:val="22"/>
        </w:rPr>
        <w:t xml:space="preserve">free cash flow </w:t>
      </w:r>
      <w:r>
        <w:rPr>
          <w:rFonts w:ascii="Arial" w:eastAsia="Arial" w:hAnsi="Arial" w:cs="Arial"/>
          <w:sz w:val="22"/>
        </w:rPr>
        <w:t>measures are</w:t>
      </w:r>
      <w:r w:rsidRPr="003B639B">
        <w:rPr>
          <w:rFonts w:ascii="Arial" w:eastAsia="Arial" w:hAnsi="Arial" w:cs="Arial"/>
          <w:sz w:val="22"/>
        </w:rPr>
        <w:t xml:space="preserve"> important indicator</w:t>
      </w:r>
      <w:r>
        <w:rPr>
          <w:rFonts w:ascii="Arial" w:eastAsia="Arial" w:hAnsi="Arial" w:cs="Arial"/>
          <w:sz w:val="22"/>
        </w:rPr>
        <w:t>s</w:t>
      </w:r>
      <w:r w:rsidRPr="003B639B">
        <w:rPr>
          <w:rFonts w:ascii="Arial" w:eastAsia="Arial" w:hAnsi="Arial" w:cs="Arial"/>
          <w:sz w:val="22"/>
        </w:rPr>
        <w:t xml:space="preserve"> of how much cash is generated by regular business operations and we use </w:t>
      </w:r>
      <w:r>
        <w:rPr>
          <w:rFonts w:ascii="Arial" w:eastAsia="Arial" w:hAnsi="Arial" w:cs="Arial"/>
          <w:sz w:val="22"/>
        </w:rPr>
        <w:t>them</w:t>
      </w:r>
      <w:r w:rsidRPr="003B639B">
        <w:rPr>
          <w:rFonts w:ascii="Arial" w:eastAsia="Arial" w:hAnsi="Arial" w:cs="Arial"/>
          <w:sz w:val="22"/>
        </w:rPr>
        <w:t xml:space="preserve"> as a measure of incremental cash available to invest in our business, meet our debt obligations and return cash to shareowners. Additionally, we believe that adjusting ca</w:t>
      </w:r>
      <w:r>
        <w:rPr>
          <w:rFonts w:ascii="Arial" w:eastAsia="Arial" w:hAnsi="Arial" w:cs="Arial"/>
          <w:sz w:val="22"/>
        </w:rPr>
        <w:t>pital expenditures for principal</w:t>
      </w:r>
      <w:r w:rsidRPr="003B639B">
        <w:rPr>
          <w:rFonts w:ascii="Arial" w:eastAsia="Arial" w:hAnsi="Arial" w:cs="Arial"/>
          <w:sz w:val="22"/>
        </w:rPr>
        <w:t xml:space="preserve"> repayments of capital lease obligations </w:t>
      </w:r>
      <w:r>
        <w:rPr>
          <w:rFonts w:ascii="Arial" w:eastAsia="Arial" w:hAnsi="Arial" w:cs="Arial"/>
          <w:sz w:val="22"/>
        </w:rPr>
        <w:t xml:space="preserve">more appropriately </w:t>
      </w:r>
      <w:r w:rsidRPr="003B639B">
        <w:rPr>
          <w:rFonts w:ascii="Arial" w:eastAsia="Arial" w:hAnsi="Arial" w:cs="Arial"/>
          <w:sz w:val="22"/>
        </w:rPr>
        <w:t>reflects the overall cash that we have invested in capital assets.</w:t>
      </w:r>
      <w:r>
        <w:rPr>
          <w:i/>
          <w:sz w:val="16"/>
        </w:rPr>
        <w:t xml:space="preserve">   </w:t>
      </w:r>
      <w:r w:rsidRPr="003B639B">
        <w:rPr>
          <w:rFonts w:ascii="Arial" w:eastAsia="Arial" w:hAnsi="Arial" w:cs="Arial"/>
          <w:sz w:val="22"/>
        </w:rPr>
        <w:t xml:space="preserve">We calculate free cash flow as cash flows from operating activities less capital expenditures, proceeds from disposals of property, plant and equipment, and plus or minus the net changes in finance receivables </w:t>
      </w:r>
      <w:r>
        <w:rPr>
          <w:rFonts w:ascii="Arial" w:eastAsia="Arial" w:hAnsi="Arial" w:cs="Arial"/>
          <w:sz w:val="22"/>
        </w:rPr>
        <w:t>and other investing activities</w:t>
      </w:r>
      <w:r w:rsidRPr="003B639B">
        <w:rPr>
          <w:rFonts w:ascii="Arial" w:eastAsia="Arial" w:hAnsi="Arial" w:cs="Arial"/>
          <w:sz w:val="22"/>
        </w:rPr>
        <w:t xml:space="preserve">. </w:t>
      </w:r>
      <w:r>
        <w:rPr>
          <w:rFonts w:ascii="Arial" w:eastAsia="Arial" w:hAnsi="Arial" w:cs="Arial"/>
          <w:sz w:val="22"/>
        </w:rPr>
        <w:t xml:space="preserve">Free cash flow excluding discretionary pension contributions adds back any discretionary pension contributions made during the period.  </w:t>
      </w:r>
    </w:p>
    <w:p w14:paraId="147354DD" w14:textId="278B7143" w:rsidR="00945653" w:rsidRDefault="00945653">
      <w:pPr>
        <w:rPr>
          <w:rFonts w:ascii="Arial" w:eastAsia="Arial" w:hAnsi="Arial" w:cs="Arial"/>
          <w:sz w:val="22"/>
        </w:rPr>
      </w:pPr>
      <w:r>
        <w:rPr>
          <w:rFonts w:ascii="Arial" w:eastAsia="Arial" w:hAnsi="Arial" w:cs="Arial"/>
          <w:sz w:val="22"/>
        </w:rPr>
        <w:br w:type="page"/>
      </w:r>
    </w:p>
    <w:p w14:paraId="2B84DC0D" w14:textId="0D992585" w:rsidR="00945653" w:rsidRDefault="00945653" w:rsidP="00945653">
      <w:pPr>
        <w:rPr>
          <w:rFonts w:ascii="Arial" w:hAnsi="Arial" w:cs="Arial"/>
          <w:b/>
          <w:sz w:val="22"/>
          <w:szCs w:val="22"/>
          <w:u w:val="single"/>
        </w:rPr>
      </w:pPr>
      <w:r w:rsidRPr="00945653">
        <w:rPr>
          <w:noProof/>
        </w:rPr>
        <w:lastRenderedPageBreak/>
        <w:drawing>
          <wp:inline distT="0" distB="0" distL="0" distR="0" wp14:anchorId="55C48440" wp14:editId="68071E2C">
            <wp:extent cx="5943600" cy="589734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5897346"/>
                    </a:xfrm>
                    <a:prstGeom prst="rect">
                      <a:avLst/>
                    </a:prstGeom>
                    <a:noFill/>
                    <a:ln>
                      <a:noFill/>
                    </a:ln>
                  </pic:spPr>
                </pic:pic>
              </a:graphicData>
            </a:graphic>
          </wp:inline>
        </w:drawing>
      </w:r>
    </w:p>
    <w:p w14:paraId="741D689B" w14:textId="0FC82D66" w:rsidR="00945653" w:rsidRDefault="00945653">
      <w:pPr>
        <w:rPr>
          <w:rFonts w:ascii="Arial" w:hAnsi="Arial" w:cs="Arial"/>
          <w:b/>
          <w:sz w:val="22"/>
          <w:szCs w:val="22"/>
          <w:u w:val="single"/>
        </w:rPr>
      </w:pPr>
      <w:r>
        <w:rPr>
          <w:rFonts w:ascii="Arial" w:hAnsi="Arial" w:cs="Arial"/>
          <w:b/>
          <w:sz w:val="22"/>
          <w:szCs w:val="22"/>
          <w:u w:val="single"/>
        </w:rPr>
        <w:br w:type="page"/>
      </w:r>
    </w:p>
    <w:p w14:paraId="0D8262CC" w14:textId="42E0658C" w:rsidR="00945653" w:rsidRDefault="00945653" w:rsidP="00945653">
      <w:pPr>
        <w:rPr>
          <w:rFonts w:ascii="Arial" w:hAnsi="Arial" w:cs="Arial"/>
          <w:b/>
          <w:sz w:val="22"/>
          <w:szCs w:val="22"/>
          <w:u w:val="single"/>
        </w:rPr>
      </w:pPr>
      <w:r w:rsidRPr="00945653">
        <w:rPr>
          <w:noProof/>
        </w:rPr>
        <w:lastRenderedPageBreak/>
        <w:drawing>
          <wp:inline distT="0" distB="0" distL="0" distR="0" wp14:anchorId="31680A92" wp14:editId="20C1391A">
            <wp:extent cx="5943600" cy="4440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440681"/>
                    </a:xfrm>
                    <a:prstGeom prst="rect">
                      <a:avLst/>
                    </a:prstGeom>
                    <a:noFill/>
                    <a:ln>
                      <a:noFill/>
                    </a:ln>
                  </pic:spPr>
                </pic:pic>
              </a:graphicData>
            </a:graphic>
          </wp:inline>
        </w:drawing>
      </w:r>
    </w:p>
    <w:p w14:paraId="59545F16" w14:textId="77777777" w:rsidR="00033304" w:rsidRDefault="00033304" w:rsidP="00945653">
      <w:pPr>
        <w:rPr>
          <w:rFonts w:ascii="Arial" w:hAnsi="Arial" w:cs="Arial"/>
          <w:b/>
          <w:sz w:val="22"/>
          <w:szCs w:val="22"/>
          <w:u w:val="single"/>
        </w:rPr>
      </w:pPr>
    </w:p>
    <w:p w14:paraId="0303DE35" w14:textId="46703CCB" w:rsidR="00033304" w:rsidRDefault="00033304">
      <w:pPr>
        <w:rPr>
          <w:rFonts w:ascii="Arial" w:hAnsi="Arial" w:cs="Arial"/>
          <w:b/>
          <w:sz w:val="22"/>
          <w:szCs w:val="22"/>
          <w:u w:val="single"/>
        </w:rPr>
      </w:pPr>
      <w:r>
        <w:rPr>
          <w:rFonts w:ascii="Arial" w:hAnsi="Arial" w:cs="Arial"/>
          <w:b/>
          <w:sz w:val="22"/>
          <w:szCs w:val="22"/>
          <w:u w:val="single"/>
        </w:rPr>
        <w:br w:type="page"/>
      </w:r>
    </w:p>
    <w:p w14:paraId="5AD911A9" w14:textId="5355323D" w:rsidR="00033304" w:rsidRDefault="00033304" w:rsidP="00945653">
      <w:pPr>
        <w:rPr>
          <w:rFonts w:ascii="Arial" w:hAnsi="Arial" w:cs="Arial"/>
          <w:b/>
          <w:sz w:val="22"/>
          <w:szCs w:val="22"/>
          <w:u w:val="single"/>
        </w:rPr>
      </w:pPr>
      <w:r w:rsidRPr="00033304">
        <w:rPr>
          <w:noProof/>
        </w:rPr>
        <w:lastRenderedPageBreak/>
        <w:drawing>
          <wp:inline distT="0" distB="0" distL="0" distR="0" wp14:anchorId="41111C5A" wp14:editId="5A891168">
            <wp:extent cx="5943600" cy="449001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490014"/>
                    </a:xfrm>
                    <a:prstGeom prst="rect">
                      <a:avLst/>
                    </a:prstGeom>
                    <a:noFill/>
                    <a:ln>
                      <a:noFill/>
                    </a:ln>
                  </pic:spPr>
                </pic:pic>
              </a:graphicData>
            </a:graphic>
          </wp:inline>
        </w:drawing>
      </w:r>
    </w:p>
    <w:p w14:paraId="576DA1F0" w14:textId="77777777" w:rsidR="00033304" w:rsidRDefault="00033304" w:rsidP="00945653">
      <w:pPr>
        <w:rPr>
          <w:rFonts w:ascii="Arial" w:hAnsi="Arial" w:cs="Arial"/>
          <w:b/>
          <w:sz w:val="22"/>
          <w:szCs w:val="22"/>
          <w:u w:val="single"/>
        </w:rPr>
      </w:pPr>
    </w:p>
    <w:p w14:paraId="3CD0E0C8" w14:textId="344C266F" w:rsidR="00033304" w:rsidRDefault="00033304">
      <w:pPr>
        <w:rPr>
          <w:rFonts w:ascii="Arial" w:hAnsi="Arial" w:cs="Arial"/>
          <w:b/>
          <w:sz w:val="22"/>
          <w:szCs w:val="22"/>
          <w:u w:val="single"/>
        </w:rPr>
      </w:pPr>
      <w:r>
        <w:rPr>
          <w:rFonts w:ascii="Arial" w:hAnsi="Arial" w:cs="Arial"/>
          <w:b/>
          <w:sz w:val="22"/>
          <w:szCs w:val="22"/>
          <w:u w:val="single"/>
        </w:rPr>
        <w:br w:type="page"/>
      </w:r>
    </w:p>
    <w:p w14:paraId="686B38A1" w14:textId="3919BDF0" w:rsidR="00033304" w:rsidRDefault="00033304" w:rsidP="00945653">
      <w:pPr>
        <w:rPr>
          <w:rFonts w:ascii="Arial" w:hAnsi="Arial" w:cs="Arial"/>
          <w:b/>
          <w:sz w:val="22"/>
          <w:szCs w:val="22"/>
          <w:u w:val="single"/>
        </w:rPr>
      </w:pPr>
      <w:r w:rsidRPr="00033304">
        <w:rPr>
          <w:noProof/>
        </w:rPr>
        <w:lastRenderedPageBreak/>
        <w:drawing>
          <wp:inline distT="0" distB="0" distL="0" distR="0" wp14:anchorId="4F762ACC" wp14:editId="0EE9C43B">
            <wp:extent cx="5631815" cy="58953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1815" cy="5895340"/>
                    </a:xfrm>
                    <a:prstGeom prst="rect">
                      <a:avLst/>
                    </a:prstGeom>
                    <a:noFill/>
                    <a:ln>
                      <a:noFill/>
                    </a:ln>
                  </pic:spPr>
                </pic:pic>
              </a:graphicData>
            </a:graphic>
          </wp:inline>
        </w:drawing>
      </w:r>
    </w:p>
    <w:sectPr w:rsidR="00033304" w:rsidSect="000346B8">
      <w:headerReference w:type="default" r:id="rId25"/>
      <w:footerReference w:type="first" r:id="rId26"/>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F467E" w14:textId="77777777" w:rsidR="00582223" w:rsidRDefault="00582223">
      <w:r>
        <w:separator/>
      </w:r>
    </w:p>
  </w:endnote>
  <w:endnote w:type="continuationSeparator" w:id="0">
    <w:p w14:paraId="3DE1FE6D" w14:textId="77777777" w:rsidR="00582223" w:rsidRDefault="00582223">
      <w:r>
        <w:continuationSeparator/>
      </w:r>
    </w:p>
  </w:endnote>
  <w:endnote w:type="continuationNotice" w:id="1">
    <w:p w14:paraId="3B9C705E" w14:textId="77777777" w:rsidR="00582223" w:rsidRDefault="00582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440D" w14:textId="77777777" w:rsidR="008D7AC2" w:rsidRPr="00034414" w:rsidRDefault="008D7AC2" w:rsidP="00034414">
    <w:pPr>
      <w:pStyle w:val="Zpat"/>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3DC15" w14:textId="77777777" w:rsidR="00582223" w:rsidRDefault="00582223">
      <w:r>
        <w:separator/>
      </w:r>
    </w:p>
  </w:footnote>
  <w:footnote w:type="continuationSeparator" w:id="0">
    <w:p w14:paraId="01D05184" w14:textId="77777777" w:rsidR="00582223" w:rsidRDefault="00582223">
      <w:r>
        <w:continuationSeparator/>
      </w:r>
    </w:p>
  </w:footnote>
  <w:footnote w:type="continuationNotice" w:id="1">
    <w:p w14:paraId="6F1B5A8C" w14:textId="77777777" w:rsidR="00582223" w:rsidRDefault="00582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A806" w14:textId="77777777" w:rsidR="008D7AC2" w:rsidRPr="00602E69" w:rsidRDefault="008D7AC2" w:rsidP="00602E69">
    <w:pPr>
      <w:pStyle w:val="Zhlav"/>
      <w:jc w:val="right"/>
      <w:rPr>
        <w:rFonts w:ascii="Arial" w:hAnsi="Arial" w:cs="Arial"/>
        <w:sz w:val="18"/>
        <w:szCs w:val="18"/>
      </w:rPr>
    </w:pPr>
  </w:p>
  <w:p w14:paraId="3F65C193" w14:textId="77777777" w:rsidR="008D7AC2" w:rsidRPr="00AC447A" w:rsidRDefault="008D7AC2" w:rsidP="000346B8">
    <w:pPr>
      <w:pStyle w:val="Zhlav"/>
      <w:tabs>
        <w:tab w:val="clear" w:pos="4320"/>
        <w:tab w:val="center" w:pos="0"/>
        <w:tab w:val="left" w:pos="4665"/>
      </w:tabs>
      <w:ind w:left="3240" w:hanging="342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C63"/>
    <w:multiLevelType w:val="hybridMultilevel"/>
    <w:tmpl w:val="C11273E4"/>
    <w:lvl w:ilvl="0" w:tplc="04090001">
      <w:start w:val="1"/>
      <w:numFmt w:val="bullet"/>
      <w:lvlText w:val=""/>
      <w:lvlJc w:val="left"/>
      <w:pPr>
        <w:ind w:left="48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E69D8"/>
    <w:multiLevelType w:val="hybridMultilevel"/>
    <w:tmpl w:val="C3BEF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8C3DED"/>
    <w:multiLevelType w:val="hybridMultilevel"/>
    <w:tmpl w:val="FC2E1B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E401594"/>
    <w:multiLevelType w:val="hybridMultilevel"/>
    <w:tmpl w:val="19843BA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23D95"/>
    <w:multiLevelType w:val="hybridMultilevel"/>
    <w:tmpl w:val="8BB8812A"/>
    <w:lvl w:ilvl="0" w:tplc="9AB0D03A">
      <w:start w:val="1"/>
      <w:numFmt w:val="bullet"/>
      <w:lvlText w:val="•"/>
      <w:lvlJc w:val="left"/>
      <w:pPr>
        <w:tabs>
          <w:tab w:val="num" w:pos="720"/>
        </w:tabs>
        <w:ind w:left="720" w:hanging="360"/>
      </w:pPr>
      <w:rPr>
        <w:rFonts w:ascii="Arial" w:hAnsi="Arial" w:hint="default"/>
      </w:rPr>
    </w:lvl>
    <w:lvl w:ilvl="1" w:tplc="B89CE722">
      <w:start w:val="1"/>
      <w:numFmt w:val="bullet"/>
      <w:lvlText w:val="•"/>
      <w:lvlJc w:val="left"/>
      <w:pPr>
        <w:tabs>
          <w:tab w:val="num" w:pos="1440"/>
        </w:tabs>
        <w:ind w:left="1440" w:hanging="360"/>
      </w:pPr>
      <w:rPr>
        <w:rFonts w:ascii="Arial" w:hAnsi="Arial" w:hint="default"/>
      </w:rPr>
    </w:lvl>
    <w:lvl w:ilvl="2" w:tplc="BD480FF0" w:tentative="1">
      <w:start w:val="1"/>
      <w:numFmt w:val="bullet"/>
      <w:lvlText w:val="•"/>
      <w:lvlJc w:val="left"/>
      <w:pPr>
        <w:tabs>
          <w:tab w:val="num" w:pos="2160"/>
        </w:tabs>
        <w:ind w:left="2160" w:hanging="360"/>
      </w:pPr>
      <w:rPr>
        <w:rFonts w:ascii="Arial" w:hAnsi="Arial" w:hint="default"/>
      </w:rPr>
    </w:lvl>
    <w:lvl w:ilvl="3" w:tplc="BBC63002" w:tentative="1">
      <w:start w:val="1"/>
      <w:numFmt w:val="bullet"/>
      <w:lvlText w:val="•"/>
      <w:lvlJc w:val="left"/>
      <w:pPr>
        <w:tabs>
          <w:tab w:val="num" w:pos="2880"/>
        </w:tabs>
        <w:ind w:left="2880" w:hanging="360"/>
      </w:pPr>
      <w:rPr>
        <w:rFonts w:ascii="Arial" w:hAnsi="Arial" w:hint="default"/>
      </w:rPr>
    </w:lvl>
    <w:lvl w:ilvl="4" w:tplc="435C868E" w:tentative="1">
      <w:start w:val="1"/>
      <w:numFmt w:val="bullet"/>
      <w:lvlText w:val="•"/>
      <w:lvlJc w:val="left"/>
      <w:pPr>
        <w:tabs>
          <w:tab w:val="num" w:pos="3600"/>
        </w:tabs>
        <w:ind w:left="3600" w:hanging="360"/>
      </w:pPr>
      <w:rPr>
        <w:rFonts w:ascii="Arial" w:hAnsi="Arial" w:hint="default"/>
      </w:rPr>
    </w:lvl>
    <w:lvl w:ilvl="5" w:tplc="93106BDE" w:tentative="1">
      <w:start w:val="1"/>
      <w:numFmt w:val="bullet"/>
      <w:lvlText w:val="•"/>
      <w:lvlJc w:val="left"/>
      <w:pPr>
        <w:tabs>
          <w:tab w:val="num" w:pos="4320"/>
        </w:tabs>
        <w:ind w:left="4320" w:hanging="360"/>
      </w:pPr>
      <w:rPr>
        <w:rFonts w:ascii="Arial" w:hAnsi="Arial" w:hint="default"/>
      </w:rPr>
    </w:lvl>
    <w:lvl w:ilvl="6" w:tplc="A6FC9C5C" w:tentative="1">
      <w:start w:val="1"/>
      <w:numFmt w:val="bullet"/>
      <w:lvlText w:val="•"/>
      <w:lvlJc w:val="left"/>
      <w:pPr>
        <w:tabs>
          <w:tab w:val="num" w:pos="5040"/>
        </w:tabs>
        <w:ind w:left="5040" w:hanging="360"/>
      </w:pPr>
      <w:rPr>
        <w:rFonts w:ascii="Arial" w:hAnsi="Arial" w:hint="default"/>
      </w:rPr>
    </w:lvl>
    <w:lvl w:ilvl="7" w:tplc="165AC364" w:tentative="1">
      <w:start w:val="1"/>
      <w:numFmt w:val="bullet"/>
      <w:lvlText w:val="•"/>
      <w:lvlJc w:val="left"/>
      <w:pPr>
        <w:tabs>
          <w:tab w:val="num" w:pos="5760"/>
        </w:tabs>
        <w:ind w:left="5760" w:hanging="360"/>
      </w:pPr>
      <w:rPr>
        <w:rFonts w:ascii="Arial" w:hAnsi="Arial" w:hint="default"/>
      </w:rPr>
    </w:lvl>
    <w:lvl w:ilvl="8" w:tplc="8112033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A6333CD"/>
    <w:multiLevelType w:val="hybridMultilevel"/>
    <w:tmpl w:val="A64ADC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6C5B20F9"/>
    <w:multiLevelType w:val="hybridMultilevel"/>
    <w:tmpl w:val="596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61137"/>
    <w:multiLevelType w:val="hybridMultilevel"/>
    <w:tmpl w:val="1DB621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6DB87A33"/>
    <w:multiLevelType w:val="multilevel"/>
    <w:tmpl w:val="B4D2589C"/>
    <w:lvl w:ilvl="0">
      <w:start w:val="1"/>
      <w:numFmt w:val="bullet"/>
      <w:pStyle w:val="QA1-Bullet-1st-Clear"/>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50"/>
        </w:tabs>
        <w:ind w:left="450" w:hanging="360"/>
      </w:pPr>
      <w:rPr>
        <w:rFonts w:ascii="Symbol" w:hAnsi="Symbol" w:hint="default"/>
        <w:color w:val="000000" w:themeColor="text1"/>
        <w:sz w:val="16"/>
      </w:rPr>
    </w:lvl>
    <w:lvl w:ilvl="2">
      <w:start w:val="1"/>
      <w:numFmt w:val="bullet"/>
      <w:lvlText w:val=""/>
      <w:lvlJc w:val="left"/>
      <w:pPr>
        <w:tabs>
          <w:tab w:val="num" w:pos="720"/>
        </w:tabs>
        <w:ind w:left="720" w:hanging="360"/>
      </w:pPr>
      <w:rPr>
        <w:rFonts w:ascii="Symbol" w:hAnsi="Symbol" w:hint="default"/>
        <w:color w:val="808080"/>
        <w:sz w:val="16"/>
      </w:rPr>
    </w:lvl>
    <w:lvl w:ilvl="3">
      <w:start w:val="1"/>
      <w:numFmt w:val="bullet"/>
      <w:lvlText w:val=""/>
      <w:lvlJc w:val="left"/>
      <w:pPr>
        <w:tabs>
          <w:tab w:val="num" w:pos="540"/>
        </w:tabs>
        <w:ind w:left="540" w:hanging="360"/>
      </w:pPr>
      <w:rPr>
        <w:rFonts w:ascii="Arial" w:hAnsi="Arial" w:hint="default"/>
      </w:rPr>
    </w:lvl>
    <w:lvl w:ilvl="4">
      <w:start w:val="1"/>
      <w:numFmt w:val="bullet"/>
      <w:lvlText w:val=""/>
      <w:lvlJc w:val="left"/>
      <w:pPr>
        <w:tabs>
          <w:tab w:val="num" w:pos="1620"/>
        </w:tabs>
        <w:ind w:left="1620" w:hanging="360"/>
      </w:pPr>
      <w:rPr>
        <w:rFonts w:ascii="Symbol" w:hAnsi="Symbol" w:hint="default"/>
        <w:color w:val="808080"/>
        <w:sz w:val="16"/>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340"/>
        </w:tabs>
        <w:ind w:left="2340" w:hanging="360"/>
      </w:pPr>
      <w:rPr>
        <w:rFonts w:ascii="Wingdings" w:hAnsi="Wingdings" w:hint="default"/>
      </w:rPr>
    </w:lvl>
    <w:lvl w:ilvl="7">
      <w:start w:val="1"/>
      <w:numFmt w:val="bullet"/>
      <w:lvlText w:val=""/>
      <w:lvlJc w:val="left"/>
      <w:pPr>
        <w:tabs>
          <w:tab w:val="num" w:pos="2700"/>
        </w:tabs>
        <w:ind w:left="2700" w:hanging="360"/>
      </w:pPr>
      <w:rPr>
        <w:rFonts w:ascii="Symbol" w:hAnsi="Symbol" w:hint="default"/>
      </w:rPr>
    </w:lvl>
    <w:lvl w:ilvl="8">
      <w:start w:val="1"/>
      <w:numFmt w:val="bullet"/>
      <w:lvlText w:val=""/>
      <w:lvlJc w:val="left"/>
      <w:pPr>
        <w:tabs>
          <w:tab w:val="num" w:pos="3060"/>
        </w:tabs>
        <w:ind w:left="3060" w:hanging="360"/>
      </w:pPr>
      <w:rPr>
        <w:rFonts w:ascii="Symbol" w:hAnsi="Symbol" w:hint="default"/>
      </w:rPr>
    </w:lvl>
  </w:abstractNum>
  <w:num w:numId="1">
    <w:abstractNumId w:val="3"/>
  </w:num>
  <w:num w:numId="2">
    <w:abstractNumId w:val="5"/>
  </w:num>
  <w:num w:numId="3">
    <w:abstractNumId w:val="0"/>
  </w:num>
  <w:num w:numId="4">
    <w:abstractNumId w:val="6"/>
  </w:num>
  <w:num w:numId="5">
    <w:abstractNumId w:val="8"/>
  </w:num>
  <w:num w:numId="6">
    <w:abstractNumId w:val="1"/>
  </w:num>
  <w:num w:numId="7">
    <w:abstractNumId w:val="7"/>
  </w:num>
  <w:num w:numId="8">
    <w:abstractNumId w:val="4"/>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5E9"/>
    <w:rsid w:val="000001AA"/>
    <w:rsid w:val="000009AD"/>
    <w:rsid w:val="000009CE"/>
    <w:rsid w:val="00000BEC"/>
    <w:rsid w:val="00000C78"/>
    <w:rsid w:val="00000CF0"/>
    <w:rsid w:val="00000D48"/>
    <w:rsid w:val="00001817"/>
    <w:rsid w:val="00001EF4"/>
    <w:rsid w:val="00002310"/>
    <w:rsid w:val="0000265D"/>
    <w:rsid w:val="000029E9"/>
    <w:rsid w:val="00003422"/>
    <w:rsid w:val="000036E3"/>
    <w:rsid w:val="000038AB"/>
    <w:rsid w:val="00003F79"/>
    <w:rsid w:val="000046CC"/>
    <w:rsid w:val="00004702"/>
    <w:rsid w:val="000048BC"/>
    <w:rsid w:val="000057C1"/>
    <w:rsid w:val="0000599F"/>
    <w:rsid w:val="00005E38"/>
    <w:rsid w:val="00006B7B"/>
    <w:rsid w:val="00007181"/>
    <w:rsid w:val="0001037D"/>
    <w:rsid w:val="00010E65"/>
    <w:rsid w:val="00010EF6"/>
    <w:rsid w:val="00010EFA"/>
    <w:rsid w:val="0001150F"/>
    <w:rsid w:val="0001152C"/>
    <w:rsid w:val="0001185A"/>
    <w:rsid w:val="00011AEF"/>
    <w:rsid w:val="00012B1F"/>
    <w:rsid w:val="000138EB"/>
    <w:rsid w:val="000139B5"/>
    <w:rsid w:val="00013BB0"/>
    <w:rsid w:val="00013E39"/>
    <w:rsid w:val="00013EA6"/>
    <w:rsid w:val="00014512"/>
    <w:rsid w:val="000145DA"/>
    <w:rsid w:val="000152E7"/>
    <w:rsid w:val="00015BC1"/>
    <w:rsid w:val="0001608E"/>
    <w:rsid w:val="00016177"/>
    <w:rsid w:val="00016298"/>
    <w:rsid w:val="00016A51"/>
    <w:rsid w:val="00017619"/>
    <w:rsid w:val="00017624"/>
    <w:rsid w:val="00020147"/>
    <w:rsid w:val="0002094B"/>
    <w:rsid w:val="0002098F"/>
    <w:rsid w:val="000209FE"/>
    <w:rsid w:val="00020EE2"/>
    <w:rsid w:val="00021289"/>
    <w:rsid w:val="0002227F"/>
    <w:rsid w:val="00022360"/>
    <w:rsid w:val="000223B2"/>
    <w:rsid w:val="00023555"/>
    <w:rsid w:val="000238FA"/>
    <w:rsid w:val="00023DAA"/>
    <w:rsid w:val="00023E74"/>
    <w:rsid w:val="000243F0"/>
    <w:rsid w:val="00024A62"/>
    <w:rsid w:val="00024AC7"/>
    <w:rsid w:val="000253EC"/>
    <w:rsid w:val="00025957"/>
    <w:rsid w:val="00025BA7"/>
    <w:rsid w:val="00025ECA"/>
    <w:rsid w:val="000270C6"/>
    <w:rsid w:val="00030419"/>
    <w:rsid w:val="0003069C"/>
    <w:rsid w:val="00030EE2"/>
    <w:rsid w:val="00030F0B"/>
    <w:rsid w:val="000314AD"/>
    <w:rsid w:val="000314D4"/>
    <w:rsid w:val="00031BA6"/>
    <w:rsid w:val="00031E52"/>
    <w:rsid w:val="00031FF1"/>
    <w:rsid w:val="00032756"/>
    <w:rsid w:val="0003277E"/>
    <w:rsid w:val="00032B7A"/>
    <w:rsid w:val="00032DEA"/>
    <w:rsid w:val="00032F33"/>
    <w:rsid w:val="00033304"/>
    <w:rsid w:val="00033409"/>
    <w:rsid w:val="00033412"/>
    <w:rsid w:val="00033574"/>
    <w:rsid w:val="00033990"/>
    <w:rsid w:val="00033BC4"/>
    <w:rsid w:val="00034084"/>
    <w:rsid w:val="00034414"/>
    <w:rsid w:val="000346A9"/>
    <w:rsid w:val="000346B8"/>
    <w:rsid w:val="00034865"/>
    <w:rsid w:val="00034F95"/>
    <w:rsid w:val="000357D2"/>
    <w:rsid w:val="00035AB9"/>
    <w:rsid w:val="00035E68"/>
    <w:rsid w:val="000366A1"/>
    <w:rsid w:val="000368E2"/>
    <w:rsid w:val="00036A2B"/>
    <w:rsid w:val="00036D8B"/>
    <w:rsid w:val="000370F6"/>
    <w:rsid w:val="000378FA"/>
    <w:rsid w:val="00037CBD"/>
    <w:rsid w:val="0004026C"/>
    <w:rsid w:val="000403BB"/>
    <w:rsid w:val="000407A5"/>
    <w:rsid w:val="00040802"/>
    <w:rsid w:val="00041C86"/>
    <w:rsid w:val="0004240D"/>
    <w:rsid w:val="000430CB"/>
    <w:rsid w:val="0004424A"/>
    <w:rsid w:val="00044659"/>
    <w:rsid w:val="00044773"/>
    <w:rsid w:val="00044B0F"/>
    <w:rsid w:val="00044D21"/>
    <w:rsid w:val="00044E4A"/>
    <w:rsid w:val="00044E7A"/>
    <w:rsid w:val="00044EE9"/>
    <w:rsid w:val="0004507D"/>
    <w:rsid w:val="000459E4"/>
    <w:rsid w:val="00046D73"/>
    <w:rsid w:val="00047024"/>
    <w:rsid w:val="00050B3D"/>
    <w:rsid w:val="00050EEC"/>
    <w:rsid w:val="00051155"/>
    <w:rsid w:val="00051F72"/>
    <w:rsid w:val="00052042"/>
    <w:rsid w:val="00052501"/>
    <w:rsid w:val="00053814"/>
    <w:rsid w:val="0005470C"/>
    <w:rsid w:val="000555D7"/>
    <w:rsid w:val="00055ABC"/>
    <w:rsid w:val="00055C69"/>
    <w:rsid w:val="00055EAA"/>
    <w:rsid w:val="00056264"/>
    <w:rsid w:val="00056BB6"/>
    <w:rsid w:val="00057025"/>
    <w:rsid w:val="00057381"/>
    <w:rsid w:val="000574CB"/>
    <w:rsid w:val="0005777D"/>
    <w:rsid w:val="00057816"/>
    <w:rsid w:val="00057B46"/>
    <w:rsid w:val="000601AD"/>
    <w:rsid w:val="000603E6"/>
    <w:rsid w:val="000605FD"/>
    <w:rsid w:val="00060E93"/>
    <w:rsid w:val="00061559"/>
    <w:rsid w:val="0006242B"/>
    <w:rsid w:val="000625E9"/>
    <w:rsid w:val="00062A32"/>
    <w:rsid w:val="00062C26"/>
    <w:rsid w:val="00062CEA"/>
    <w:rsid w:val="00063266"/>
    <w:rsid w:val="00063957"/>
    <w:rsid w:val="00063A5B"/>
    <w:rsid w:val="0006447B"/>
    <w:rsid w:val="00065DAD"/>
    <w:rsid w:val="00065E6A"/>
    <w:rsid w:val="00066105"/>
    <w:rsid w:val="000665F0"/>
    <w:rsid w:val="00066B00"/>
    <w:rsid w:val="00066B4B"/>
    <w:rsid w:val="00066C39"/>
    <w:rsid w:val="00066E53"/>
    <w:rsid w:val="00066EC9"/>
    <w:rsid w:val="0006734E"/>
    <w:rsid w:val="0007029B"/>
    <w:rsid w:val="00070311"/>
    <w:rsid w:val="000703B7"/>
    <w:rsid w:val="0007073D"/>
    <w:rsid w:val="00070906"/>
    <w:rsid w:val="00071848"/>
    <w:rsid w:val="00071CA3"/>
    <w:rsid w:val="00072B36"/>
    <w:rsid w:val="00072D38"/>
    <w:rsid w:val="00072E8E"/>
    <w:rsid w:val="000731C1"/>
    <w:rsid w:val="0007321E"/>
    <w:rsid w:val="00073733"/>
    <w:rsid w:val="000737F6"/>
    <w:rsid w:val="00075C3F"/>
    <w:rsid w:val="000766C5"/>
    <w:rsid w:val="00076B83"/>
    <w:rsid w:val="000775B1"/>
    <w:rsid w:val="00080389"/>
    <w:rsid w:val="000812AA"/>
    <w:rsid w:val="00081E6A"/>
    <w:rsid w:val="000822DE"/>
    <w:rsid w:val="00082D8C"/>
    <w:rsid w:val="00082F78"/>
    <w:rsid w:val="00082FFE"/>
    <w:rsid w:val="00083090"/>
    <w:rsid w:val="000832F9"/>
    <w:rsid w:val="00083894"/>
    <w:rsid w:val="00084379"/>
    <w:rsid w:val="0008447A"/>
    <w:rsid w:val="00084CBC"/>
    <w:rsid w:val="00085354"/>
    <w:rsid w:val="00085810"/>
    <w:rsid w:val="000866E0"/>
    <w:rsid w:val="00086F86"/>
    <w:rsid w:val="00087CB9"/>
    <w:rsid w:val="00087E18"/>
    <w:rsid w:val="000903AC"/>
    <w:rsid w:val="00090852"/>
    <w:rsid w:val="00090BCB"/>
    <w:rsid w:val="00090C7C"/>
    <w:rsid w:val="00090CFB"/>
    <w:rsid w:val="0009111F"/>
    <w:rsid w:val="00091121"/>
    <w:rsid w:val="000913F0"/>
    <w:rsid w:val="00091710"/>
    <w:rsid w:val="00091C9D"/>
    <w:rsid w:val="00092CDA"/>
    <w:rsid w:val="00093487"/>
    <w:rsid w:val="00094F32"/>
    <w:rsid w:val="0009544A"/>
    <w:rsid w:val="000954C0"/>
    <w:rsid w:val="000959E5"/>
    <w:rsid w:val="00095A24"/>
    <w:rsid w:val="000976B8"/>
    <w:rsid w:val="0009777D"/>
    <w:rsid w:val="00097B4A"/>
    <w:rsid w:val="00097D20"/>
    <w:rsid w:val="00097F41"/>
    <w:rsid w:val="00097FCE"/>
    <w:rsid w:val="000A0456"/>
    <w:rsid w:val="000A053A"/>
    <w:rsid w:val="000A0B78"/>
    <w:rsid w:val="000A1361"/>
    <w:rsid w:val="000A1A16"/>
    <w:rsid w:val="000A1D88"/>
    <w:rsid w:val="000A2085"/>
    <w:rsid w:val="000A2356"/>
    <w:rsid w:val="000A2671"/>
    <w:rsid w:val="000A381B"/>
    <w:rsid w:val="000A3AE6"/>
    <w:rsid w:val="000A505A"/>
    <w:rsid w:val="000A5590"/>
    <w:rsid w:val="000A67E7"/>
    <w:rsid w:val="000A68CB"/>
    <w:rsid w:val="000A6918"/>
    <w:rsid w:val="000A6B8C"/>
    <w:rsid w:val="000A778B"/>
    <w:rsid w:val="000A77DA"/>
    <w:rsid w:val="000A78AC"/>
    <w:rsid w:val="000B0B29"/>
    <w:rsid w:val="000B1EE6"/>
    <w:rsid w:val="000B20CF"/>
    <w:rsid w:val="000B2AE2"/>
    <w:rsid w:val="000B33BD"/>
    <w:rsid w:val="000B3497"/>
    <w:rsid w:val="000B3C08"/>
    <w:rsid w:val="000B3C30"/>
    <w:rsid w:val="000B442C"/>
    <w:rsid w:val="000B4A03"/>
    <w:rsid w:val="000B4CB8"/>
    <w:rsid w:val="000B4CC5"/>
    <w:rsid w:val="000B5615"/>
    <w:rsid w:val="000B5CF8"/>
    <w:rsid w:val="000B6668"/>
    <w:rsid w:val="000B7D22"/>
    <w:rsid w:val="000C06F5"/>
    <w:rsid w:val="000C0B9E"/>
    <w:rsid w:val="000C0DDC"/>
    <w:rsid w:val="000C1699"/>
    <w:rsid w:val="000C1966"/>
    <w:rsid w:val="000C1AC5"/>
    <w:rsid w:val="000C1E48"/>
    <w:rsid w:val="000C2BC0"/>
    <w:rsid w:val="000C2F8C"/>
    <w:rsid w:val="000C36E1"/>
    <w:rsid w:val="000C3A24"/>
    <w:rsid w:val="000C3C38"/>
    <w:rsid w:val="000C3CD2"/>
    <w:rsid w:val="000C3D93"/>
    <w:rsid w:val="000C41DE"/>
    <w:rsid w:val="000C46BA"/>
    <w:rsid w:val="000C627C"/>
    <w:rsid w:val="000C63BC"/>
    <w:rsid w:val="000C6BEC"/>
    <w:rsid w:val="000C7151"/>
    <w:rsid w:val="000C744F"/>
    <w:rsid w:val="000C75C2"/>
    <w:rsid w:val="000C772F"/>
    <w:rsid w:val="000D0706"/>
    <w:rsid w:val="000D0E02"/>
    <w:rsid w:val="000D19DD"/>
    <w:rsid w:val="000D1DDA"/>
    <w:rsid w:val="000D2521"/>
    <w:rsid w:val="000D4493"/>
    <w:rsid w:val="000D4587"/>
    <w:rsid w:val="000D584D"/>
    <w:rsid w:val="000D66BE"/>
    <w:rsid w:val="000D6778"/>
    <w:rsid w:val="000D6B1E"/>
    <w:rsid w:val="000D6DF8"/>
    <w:rsid w:val="000D6E39"/>
    <w:rsid w:val="000D7811"/>
    <w:rsid w:val="000D78F7"/>
    <w:rsid w:val="000D7979"/>
    <w:rsid w:val="000D7D48"/>
    <w:rsid w:val="000E025E"/>
    <w:rsid w:val="000E02CF"/>
    <w:rsid w:val="000E0603"/>
    <w:rsid w:val="000E066F"/>
    <w:rsid w:val="000E0F0A"/>
    <w:rsid w:val="000E10CD"/>
    <w:rsid w:val="000E16F8"/>
    <w:rsid w:val="000E1AE0"/>
    <w:rsid w:val="000E26D5"/>
    <w:rsid w:val="000E2A63"/>
    <w:rsid w:val="000E2CAE"/>
    <w:rsid w:val="000E328E"/>
    <w:rsid w:val="000E3F10"/>
    <w:rsid w:val="000E4053"/>
    <w:rsid w:val="000E40E0"/>
    <w:rsid w:val="000E4408"/>
    <w:rsid w:val="000E5379"/>
    <w:rsid w:val="000E624D"/>
    <w:rsid w:val="000E6D0D"/>
    <w:rsid w:val="000E6EAA"/>
    <w:rsid w:val="000E7712"/>
    <w:rsid w:val="000F03F7"/>
    <w:rsid w:val="000F0BDB"/>
    <w:rsid w:val="000F0F70"/>
    <w:rsid w:val="000F1CE4"/>
    <w:rsid w:val="000F2042"/>
    <w:rsid w:val="000F2273"/>
    <w:rsid w:val="000F2933"/>
    <w:rsid w:val="000F2B05"/>
    <w:rsid w:val="000F2FEA"/>
    <w:rsid w:val="000F346D"/>
    <w:rsid w:val="000F383E"/>
    <w:rsid w:val="000F41A5"/>
    <w:rsid w:val="000F59EF"/>
    <w:rsid w:val="000F5B11"/>
    <w:rsid w:val="000F5B30"/>
    <w:rsid w:val="000F617E"/>
    <w:rsid w:val="000F65BC"/>
    <w:rsid w:val="000F67F5"/>
    <w:rsid w:val="000F6837"/>
    <w:rsid w:val="00100269"/>
    <w:rsid w:val="00100F59"/>
    <w:rsid w:val="00101242"/>
    <w:rsid w:val="00101735"/>
    <w:rsid w:val="001022AC"/>
    <w:rsid w:val="0010236F"/>
    <w:rsid w:val="0010313A"/>
    <w:rsid w:val="001031FE"/>
    <w:rsid w:val="0010360F"/>
    <w:rsid w:val="001049FC"/>
    <w:rsid w:val="0010514E"/>
    <w:rsid w:val="00105EB9"/>
    <w:rsid w:val="00106029"/>
    <w:rsid w:val="00107994"/>
    <w:rsid w:val="00107CA6"/>
    <w:rsid w:val="00110702"/>
    <w:rsid w:val="00110FB5"/>
    <w:rsid w:val="0011100D"/>
    <w:rsid w:val="00111BC6"/>
    <w:rsid w:val="00111E05"/>
    <w:rsid w:val="00111F2F"/>
    <w:rsid w:val="00112141"/>
    <w:rsid w:val="00112783"/>
    <w:rsid w:val="00112808"/>
    <w:rsid w:val="001136B8"/>
    <w:rsid w:val="00113F78"/>
    <w:rsid w:val="0011448C"/>
    <w:rsid w:val="00114FED"/>
    <w:rsid w:val="00115A17"/>
    <w:rsid w:val="00115FD4"/>
    <w:rsid w:val="0011636A"/>
    <w:rsid w:val="0011639D"/>
    <w:rsid w:val="0011667E"/>
    <w:rsid w:val="001170A5"/>
    <w:rsid w:val="001179E3"/>
    <w:rsid w:val="0012056F"/>
    <w:rsid w:val="00120784"/>
    <w:rsid w:val="0012084A"/>
    <w:rsid w:val="00120BAB"/>
    <w:rsid w:val="00120EF6"/>
    <w:rsid w:val="001212F8"/>
    <w:rsid w:val="00121323"/>
    <w:rsid w:val="001214B2"/>
    <w:rsid w:val="001215D4"/>
    <w:rsid w:val="00121A07"/>
    <w:rsid w:val="00122485"/>
    <w:rsid w:val="001228D4"/>
    <w:rsid w:val="00123815"/>
    <w:rsid w:val="00123A5B"/>
    <w:rsid w:val="00124D39"/>
    <w:rsid w:val="00126151"/>
    <w:rsid w:val="001261E7"/>
    <w:rsid w:val="001262B3"/>
    <w:rsid w:val="0012670D"/>
    <w:rsid w:val="00126BB6"/>
    <w:rsid w:val="00126DED"/>
    <w:rsid w:val="00127993"/>
    <w:rsid w:val="001279AB"/>
    <w:rsid w:val="00127D26"/>
    <w:rsid w:val="001303EA"/>
    <w:rsid w:val="00130B44"/>
    <w:rsid w:val="00130DD5"/>
    <w:rsid w:val="00131B97"/>
    <w:rsid w:val="00131BA1"/>
    <w:rsid w:val="00132068"/>
    <w:rsid w:val="00132DF4"/>
    <w:rsid w:val="00133D62"/>
    <w:rsid w:val="0013469F"/>
    <w:rsid w:val="00135D6B"/>
    <w:rsid w:val="00136137"/>
    <w:rsid w:val="001375F9"/>
    <w:rsid w:val="00137C83"/>
    <w:rsid w:val="00137E23"/>
    <w:rsid w:val="00137F73"/>
    <w:rsid w:val="00140166"/>
    <w:rsid w:val="0014055C"/>
    <w:rsid w:val="001406B4"/>
    <w:rsid w:val="001410EB"/>
    <w:rsid w:val="001413D9"/>
    <w:rsid w:val="00141755"/>
    <w:rsid w:val="001423E9"/>
    <w:rsid w:val="00142542"/>
    <w:rsid w:val="001427D7"/>
    <w:rsid w:val="00142850"/>
    <w:rsid w:val="001436B0"/>
    <w:rsid w:val="00143DBB"/>
    <w:rsid w:val="00143EEF"/>
    <w:rsid w:val="0014456D"/>
    <w:rsid w:val="00144BC1"/>
    <w:rsid w:val="00144E1A"/>
    <w:rsid w:val="00144E31"/>
    <w:rsid w:val="0014511D"/>
    <w:rsid w:val="001457EA"/>
    <w:rsid w:val="00145A21"/>
    <w:rsid w:val="00147835"/>
    <w:rsid w:val="001478CF"/>
    <w:rsid w:val="00150193"/>
    <w:rsid w:val="00150D05"/>
    <w:rsid w:val="0015137D"/>
    <w:rsid w:val="00151563"/>
    <w:rsid w:val="00151D74"/>
    <w:rsid w:val="001521FA"/>
    <w:rsid w:val="0015257B"/>
    <w:rsid w:val="00152690"/>
    <w:rsid w:val="00152718"/>
    <w:rsid w:val="00152FBD"/>
    <w:rsid w:val="001532F3"/>
    <w:rsid w:val="00153395"/>
    <w:rsid w:val="00153A74"/>
    <w:rsid w:val="0015414E"/>
    <w:rsid w:val="001542F1"/>
    <w:rsid w:val="001549E0"/>
    <w:rsid w:val="00154BB1"/>
    <w:rsid w:val="0015541E"/>
    <w:rsid w:val="00155EBB"/>
    <w:rsid w:val="00156195"/>
    <w:rsid w:val="00156DF2"/>
    <w:rsid w:val="00156F5B"/>
    <w:rsid w:val="00157767"/>
    <w:rsid w:val="00157A97"/>
    <w:rsid w:val="00160340"/>
    <w:rsid w:val="00160D2D"/>
    <w:rsid w:val="00160D86"/>
    <w:rsid w:val="0016119F"/>
    <w:rsid w:val="001616A3"/>
    <w:rsid w:val="00161B7C"/>
    <w:rsid w:val="00161CF1"/>
    <w:rsid w:val="001622AC"/>
    <w:rsid w:val="00162389"/>
    <w:rsid w:val="001627B6"/>
    <w:rsid w:val="00162B54"/>
    <w:rsid w:val="00163342"/>
    <w:rsid w:val="001633A4"/>
    <w:rsid w:val="001635E1"/>
    <w:rsid w:val="001637BF"/>
    <w:rsid w:val="001640E5"/>
    <w:rsid w:val="001644E8"/>
    <w:rsid w:val="00164773"/>
    <w:rsid w:val="001647CC"/>
    <w:rsid w:val="00164B4D"/>
    <w:rsid w:val="00165792"/>
    <w:rsid w:val="00167165"/>
    <w:rsid w:val="001671A4"/>
    <w:rsid w:val="00167BCD"/>
    <w:rsid w:val="00170347"/>
    <w:rsid w:val="001705B2"/>
    <w:rsid w:val="00170B7B"/>
    <w:rsid w:val="00170BE7"/>
    <w:rsid w:val="00171A92"/>
    <w:rsid w:val="00171AB4"/>
    <w:rsid w:val="00171C66"/>
    <w:rsid w:val="001729EB"/>
    <w:rsid w:val="001737D8"/>
    <w:rsid w:val="0017498A"/>
    <w:rsid w:val="00175428"/>
    <w:rsid w:val="00175464"/>
    <w:rsid w:val="00175A11"/>
    <w:rsid w:val="00176343"/>
    <w:rsid w:val="00176DD7"/>
    <w:rsid w:val="0017738D"/>
    <w:rsid w:val="00177766"/>
    <w:rsid w:val="0017790C"/>
    <w:rsid w:val="00177AA7"/>
    <w:rsid w:val="00177F98"/>
    <w:rsid w:val="00180DD5"/>
    <w:rsid w:val="00180F0F"/>
    <w:rsid w:val="00180FDB"/>
    <w:rsid w:val="001818ED"/>
    <w:rsid w:val="0018193E"/>
    <w:rsid w:val="00181C5A"/>
    <w:rsid w:val="00183B0F"/>
    <w:rsid w:val="00183F2F"/>
    <w:rsid w:val="001840E8"/>
    <w:rsid w:val="00184748"/>
    <w:rsid w:val="001847DD"/>
    <w:rsid w:val="00184CC5"/>
    <w:rsid w:val="00185C6D"/>
    <w:rsid w:val="00185F6B"/>
    <w:rsid w:val="001864A8"/>
    <w:rsid w:val="001872B5"/>
    <w:rsid w:val="00187E21"/>
    <w:rsid w:val="00190155"/>
    <w:rsid w:val="0019052C"/>
    <w:rsid w:val="00190B42"/>
    <w:rsid w:val="00190C4B"/>
    <w:rsid w:val="00191809"/>
    <w:rsid w:val="00192104"/>
    <w:rsid w:val="00192397"/>
    <w:rsid w:val="0019315A"/>
    <w:rsid w:val="001931AA"/>
    <w:rsid w:val="0019328B"/>
    <w:rsid w:val="001949D1"/>
    <w:rsid w:val="0019514A"/>
    <w:rsid w:val="00195500"/>
    <w:rsid w:val="00195D3E"/>
    <w:rsid w:val="00195F7B"/>
    <w:rsid w:val="0019618E"/>
    <w:rsid w:val="001968AC"/>
    <w:rsid w:val="00197A16"/>
    <w:rsid w:val="001A03CC"/>
    <w:rsid w:val="001A09A1"/>
    <w:rsid w:val="001A0CB0"/>
    <w:rsid w:val="001A10DB"/>
    <w:rsid w:val="001A145F"/>
    <w:rsid w:val="001A1AEF"/>
    <w:rsid w:val="001A2156"/>
    <w:rsid w:val="001A21C4"/>
    <w:rsid w:val="001A2423"/>
    <w:rsid w:val="001A29A7"/>
    <w:rsid w:val="001A31C6"/>
    <w:rsid w:val="001A398E"/>
    <w:rsid w:val="001A3FB9"/>
    <w:rsid w:val="001A4088"/>
    <w:rsid w:val="001A42E3"/>
    <w:rsid w:val="001A4568"/>
    <w:rsid w:val="001A46F5"/>
    <w:rsid w:val="001A490E"/>
    <w:rsid w:val="001A4B8E"/>
    <w:rsid w:val="001A58DF"/>
    <w:rsid w:val="001A5BBC"/>
    <w:rsid w:val="001A6290"/>
    <w:rsid w:val="001A6E6B"/>
    <w:rsid w:val="001A751B"/>
    <w:rsid w:val="001A7B26"/>
    <w:rsid w:val="001A7DE2"/>
    <w:rsid w:val="001B0391"/>
    <w:rsid w:val="001B091F"/>
    <w:rsid w:val="001B0DE0"/>
    <w:rsid w:val="001B1352"/>
    <w:rsid w:val="001B1513"/>
    <w:rsid w:val="001B1AD3"/>
    <w:rsid w:val="001B2B30"/>
    <w:rsid w:val="001B2EE4"/>
    <w:rsid w:val="001B2EED"/>
    <w:rsid w:val="001B2F0A"/>
    <w:rsid w:val="001B360A"/>
    <w:rsid w:val="001B3D8F"/>
    <w:rsid w:val="001B400D"/>
    <w:rsid w:val="001B4031"/>
    <w:rsid w:val="001B46E2"/>
    <w:rsid w:val="001B5FF8"/>
    <w:rsid w:val="001B6575"/>
    <w:rsid w:val="001B6FA5"/>
    <w:rsid w:val="001B7B24"/>
    <w:rsid w:val="001C04E5"/>
    <w:rsid w:val="001C076A"/>
    <w:rsid w:val="001C0C20"/>
    <w:rsid w:val="001C0E47"/>
    <w:rsid w:val="001C10FD"/>
    <w:rsid w:val="001C16CF"/>
    <w:rsid w:val="001C16EC"/>
    <w:rsid w:val="001C186B"/>
    <w:rsid w:val="001C21A9"/>
    <w:rsid w:val="001C267F"/>
    <w:rsid w:val="001C437D"/>
    <w:rsid w:val="001C458D"/>
    <w:rsid w:val="001C4621"/>
    <w:rsid w:val="001C4907"/>
    <w:rsid w:val="001C4A87"/>
    <w:rsid w:val="001C525A"/>
    <w:rsid w:val="001C5443"/>
    <w:rsid w:val="001C5786"/>
    <w:rsid w:val="001C5A2A"/>
    <w:rsid w:val="001C5BE1"/>
    <w:rsid w:val="001C5DFB"/>
    <w:rsid w:val="001C6304"/>
    <w:rsid w:val="001C6BD2"/>
    <w:rsid w:val="001C6BFF"/>
    <w:rsid w:val="001C7B5B"/>
    <w:rsid w:val="001C7BB7"/>
    <w:rsid w:val="001C7F78"/>
    <w:rsid w:val="001D0071"/>
    <w:rsid w:val="001D0226"/>
    <w:rsid w:val="001D0C17"/>
    <w:rsid w:val="001D1CA7"/>
    <w:rsid w:val="001D1E65"/>
    <w:rsid w:val="001D2155"/>
    <w:rsid w:val="001D269F"/>
    <w:rsid w:val="001D3A35"/>
    <w:rsid w:val="001D3EDE"/>
    <w:rsid w:val="001D3F51"/>
    <w:rsid w:val="001D476F"/>
    <w:rsid w:val="001D5829"/>
    <w:rsid w:val="001D5B15"/>
    <w:rsid w:val="001D7AAA"/>
    <w:rsid w:val="001D7E4C"/>
    <w:rsid w:val="001E01BC"/>
    <w:rsid w:val="001E0219"/>
    <w:rsid w:val="001E02B0"/>
    <w:rsid w:val="001E0D30"/>
    <w:rsid w:val="001E11B3"/>
    <w:rsid w:val="001E13A3"/>
    <w:rsid w:val="001E1944"/>
    <w:rsid w:val="001E1A7B"/>
    <w:rsid w:val="001E1EB6"/>
    <w:rsid w:val="001E1F8A"/>
    <w:rsid w:val="001E2211"/>
    <w:rsid w:val="001E2751"/>
    <w:rsid w:val="001E2B01"/>
    <w:rsid w:val="001E2BC9"/>
    <w:rsid w:val="001E32CA"/>
    <w:rsid w:val="001E41B0"/>
    <w:rsid w:val="001E4D69"/>
    <w:rsid w:val="001E50E1"/>
    <w:rsid w:val="001E5239"/>
    <w:rsid w:val="001E5309"/>
    <w:rsid w:val="001E5EA1"/>
    <w:rsid w:val="001E6577"/>
    <w:rsid w:val="001E6A24"/>
    <w:rsid w:val="001E70C7"/>
    <w:rsid w:val="001E7684"/>
    <w:rsid w:val="001E77B6"/>
    <w:rsid w:val="001F07B4"/>
    <w:rsid w:val="001F0829"/>
    <w:rsid w:val="001F096A"/>
    <w:rsid w:val="001F0E82"/>
    <w:rsid w:val="001F1A0D"/>
    <w:rsid w:val="001F1EB0"/>
    <w:rsid w:val="001F2391"/>
    <w:rsid w:val="001F242B"/>
    <w:rsid w:val="001F27E5"/>
    <w:rsid w:val="001F2990"/>
    <w:rsid w:val="001F35A2"/>
    <w:rsid w:val="001F3AEF"/>
    <w:rsid w:val="001F405F"/>
    <w:rsid w:val="001F4335"/>
    <w:rsid w:val="001F43C0"/>
    <w:rsid w:val="001F4769"/>
    <w:rsid w:val="001F4A35"/>
    <w:rsid w:val="001F4E0D"/>
    <w:rsid w:val="001F4E4B"/>
    <w:rsid w:val="001F54B8"/>
    <w:rsid w:val="001F58E5"/>
    <w:rsid w:val="001F59B4"/>
    <w:rsid w:val="001F60BC"/>
    <w:rsid w:val="001F6890"/>
    <w:rsid w:val="001F68BC"/>
    <w:rsid w:val="001F6AC8"/>
    <w:rsid w:val="001F7B56"/>
    <w:rsid w:val="001F7F3A"/>
    <w:rsid w:val="0020000E"/>
    <w:rsid w:val="00200C09"/>
    <w:rsid w:val="0020125F"/>
    <w:rsid w:val="00201DAE"/>
    <w:rsid w:val="00202114"/>
    <w:rsid w:val="002028E4"/>
    <w:rsid w:val="00202BFE"/>
    <w:rsid w:val="002034C2"/>
    <w:rsid w:val="00203524"/>
    <w:rsid w:val="00203B9A"/>
    <w:rsid w:val="00203E6F"/>
    <w:rsid w:val="002052A1"/>
    <w:rsid w:val="00205E56"/>
    <w:rsid w:val="002063EE"/>
    <w:rsid w:val="0020682B"/>
    <w:rsid w:val="0020692C"/>
    <w:rsid w:val="00206BE0"/>
    <w:rsid w:val="00206EB7"/>
    <w:rsid w:val="00207482"/>
    <w:rsid w:val="002078DF"/>
    <w:rsid w:val="00207CF3"/>
    <w:rsid w:val="00210463"/>
    <w:rsid w:val="00210B1C"/>
    <w:rsid w:val="00210D12"/>
    <w:rsid w:val="0021108D"/>
    <w:rsid w:val="00211D32"/>
    <w:rsid w:val="0021267B"/>
    <w:rsid w:val="00212D58"/>
    <w:rsid w:val="002131A4"/>
    <w:rsid w:val="0021341B"/>
    <w:rsid w:val="00213A3B"/>
    <w:rsid w:val="00213A8A"/>
    <w:rsid w:val="002147BD"/>
    <w:rsid w:val="00214CFB"/>
    <w:rsid w:val="00214F9F"/>
    <w:rsid w:val="00215286"/>
    <w:rsid w:val="002158FE"/>
    <w:rsid w:val="002159CE"/>
    <w:rsid w:val="002159DF"/>
    <w:rsid w:val="00215BCB"/>
    <w:rsid w:val="00216582"/>
    <w:rsid w:val="00216AD0"/>
    <w:rsid w:val="00216AFF"/>
    <w:rsid w:val="00216D83"/>
    <w:rsid w:val="002176E7"/>
    <w:rsid w:val="00220CAC"/>
    <w:rsid w:val="002215A6"/>
    <w:rsid w:val="00221A2E"/>
    <w:rsid w:val="00222B1F"/>
    <w:rsid w:val="00223729"/>
    <w:rsid w:val="00223BE5"/>
    <w:rsid w:val="00224F54"/>
    <w:rsid w:val="00224FF8"/>
    <w:rsid w:val="00225428"/>
    <w:rsid w:val="00225C35"/>
    <w:rsid w:val="0022617E"/>
    <w:rsid w:val="00226F3D"/>
    <w:rsid w:val="00227241"/>
    <w:rsid w:val="0022776C"/>
    <w:rsid w:val="00230093"/>
    <w:rsid w:val="0023012C"/>
    <w:rsid w:val="00230357"/>
    <w:rsid w:val="002308E0"/>
    <w:rsid w:val="00232A0D"/>
    <w:rsid w:val="00233258"/>
    <w:rsid w:val="0023345C"/>
    <w:rsid w:val="00233513"/>
    <w:rsid w:val="0023358A"/>
    <w:rsid w:val="0023486D"/>
    <w:rsid w:val="0023562B"/>
    <w:rsid w:val="002367C5"/>
    <w:rsid w:val="002371CB"/>
    <w:rsid w:val="00237EDE"/>
    <w:rsid w:val="002400E2"/>
    <w:rsid w:val="00240E94"/>
    <w:rsid w:val="00240F9D"/>
    <w:rsid w:val="00241228"/>
    <w:rsid w:val="00241657"/>
    <w:rsid w:val="0024184D"/>
    <w:rsid w:val="00241D35"/>
    <w:rsid w:val="00242034"/>
    <w:rsid w:val="002421D3"/>
    <w:rsid w:val="002422D7"/>
    <w:rsid w:val="00242B67"/>
    <w:rsid w:val="002441DE"/>
    <w:rsid w:val="002442F3"/>
    <w:rsid w:val="002445FB"/>
    <w:rsid w:val="00244948"/>
    <w:rsid w:val="002449A5"/>
    <w:rsid w:val="00245DCF"/>
    <w:rsid w:val="0024655C"/>
    <w:rsid w:val="00246AB8"/>
    <w:rsid w:val="002501ED"/>
    <w:rsid w:val="002509AF"/>
    <w:rsid w:val="00250B77"/>
    <w:rsid w:val="00250CA1"/>
    <w:rsid w:val="00250D5B"/>
    <w:rsid w:val="0025113B"/>
    <w:rsid w:val="00251176"/>
    <w:rsid w:val="00251374"/>
    <w:rsid w:val="00251597"/>
    <w:rsid w:val="00252201"/>
    <w:rsid w:val="00252AB5"/>
    <w:rsid w:val="00252AF9"/>
    <w:rsid w:val="00252D76"/>
    <w:rsid w:val="00252F9C"/>
    <w:rsid w:val="002532E5"/>
    <w:rsid w:val="002543DD"/>
    <w:rsid w:val="0025556C"/>
    <w:rsid w:val="00255667"/>
    <w:rsid w:val="00256EFF"/>
    <w:rsid w:val="00257056"/>
    <w:rsid w:val="00257193"/>
    <w:rsid w:val="00257CE0"/>
    <w:rsid w:val="00257FBE"/>
    <w:rsid w:val="002602F0"/>
    <w:rsid w:val="00260BC3"/>
    <w:rsid w:val="0026130C"/>
    <w:rsid w:val="002618DB"/>
    <w:rsid w:val="00262BB1"/>
    <w:rsid w:val="00262E16"/>
    <w:rsid w:val="00263095"/>
    <w:rsid w:val="00263635"/>
    <w:rsid w:val="00263CC4"/>
    <w:rsid w:val="002645E7"/>
    <w:rsid w:val="00264711"/>
    <w:rsid w:val="002651E6"/>
    <w:rsid w:val="00265EC8"/>
    <w:rsid w:val="002660F8"/>
    <w:rsid w:val="00266BBB"/>
    <w:rsid w:val="00266C36"/>
    <w:rsid w:val="0026708F"/>
    <w:rsid w:val="002670A9"/>
    <w:rsid w:val="00267368"/>
    <w:rsid w:val="00267991"/>
    <w:rsid w:val="00267997"/>
    <w:rsid w:val="00267D9B"/>
    <w:rsid w:val="00271904"/>
    <w:rsid w:val="0027286F"/>
    <w:rsid w:val="0027295C"/>
    <w:rsid w:val="00272990"/>
    <w:rsid w:val="0027337C"/>
    <w:rsid w:val="00273BC7"/>
    <w:rsid w:val="00273EF1"/>
    <w:rsid w:val="002740F5"/>
    <w:rsid w:val="002746E3"/>
    <w:rsid w:val="00274794"/>
    <w:rsid w:val="00274920"/>
    <w:rsid w:val="0027555C"/>
    <w:rsid w:val="00275B6F"/>
    <w:rsid w:val="002760EE"/>
    <w:rsid w:val="00276347"/>
    <w:rsid w:val="0027664C"/>
    <w:rsid w:val="0027702C"/>
    <w:rsid w:val="00277285"/>
    <w:rsid w:val="00277397"/>
    <w:rsid w:val="00280494"/>
    <w:rsid w:val="0028053D"/>
    <w:rsid w:val="00280787"/>
    <w:rsid w:val="00280BE3"/>
    <w:rsid w:val="002812FA"/>
    <w:rsid w:val="00281492"/>
    <w:rsid w:val="00282A71"/>
    <w:rsid w:val="00282E42"/>
    <w:rsid w:val="0028398B"/>
    <w:rsid w:val="00283D40"/>
    <w:rsid w:val="00284120"/>
    <w:rsid w:val="00284372"/>
    <w:rsid w:val="0028470C"/>
    <w:rsid w:val="00284B16"/>
    <w:rsid w:val="00284CF4"/>
    <w:rsid w:val="00285167"/>
    <w:rsid w:val="002851AC"/>
    <w:rsid w:val="002856BC"/>
    <w:rsid w:val="00286555"/>
    <w:rsid w:val="00287C0A"/>
    <w:rsid w:val="00290263"/>
    <w:rsid w:val="00290384"/>
    <w:rsid w:val="002903C9"/>
    <w:rsid w:val="0029094C"/>
    <w:rsid w:val="00290C1E"/>
    <w:rsid w:val="00290F5C"/>
    <w:rsid w:val="002910CD"/>
    <w:rsid w:val="00291DB1"/>
    <w:rsid w:val="00291FDA"/>
    <w:rsid w:val="0029234C"/>
    <w:rsid w:val="00292462"/>
    <w:rsid w:val="002925FA"/>
    <w:rsid w:val="0029295E"/>
    <w:rsid w:val="0029301C"/>
    <w:rsid w:val="002936E3"/>
    <w:rsid w:val="002937B7"/>
    <w:rsid w:val="00294857"/>
    <w:rsid w:val="00295586"/>
    <w:rsid w:val="002959D3"/>
    <w:rsid w:val="00296337"/>
    <w:rsid w:val="00296586"/>
    <w:rsid w:val="0029677C"/>
    <w:rsid w:val="00296A00"/>
    <w:rsid w:val="00296D70"/>
    <w:rsid w:val="00296E9C"/>
    <w:rsid w:val="00297045"/>
    <w:rsid w:val="00297048"/>
    <w:rsid w:val="00297BF7"/>
    <w:rsid w:val="002A0188"/>
    <w:rsid w:val="002A0B48"/>
    <w:rsid w:val="002A0FBC"/>
    <w:rsid w:val="002A0FDD"/>
    <w:rsid w:val="002A2042"/>
    <w:rsid w:val="002A2323"/>
    <w:rsid w:val="002A244B"/>
    <w:rsid w:val="002A27F4"/>
    <w:rsid w:val="002A515E"/>
    <w:rsid w:val="002A5271"/>
    <w:rsid w:val="002A572E"/>
    <w:rsid w:val="002A57D6"/>
    <w:rsid w:val="002A58B2"/>
    <w:rsid w:val="002A6649"/>
    <w:rsid w:val="002A7139"/>
    <w:rsid w:val="002A717C"/>
    <w:rsid w:val="002A7F95"/>
    <w:rsid w:val="002B04DE"/>
    <w:rsid w:val="002B0864"/>
    <w:rsid w:val="002B0A1D"/>
    <w:rsid w:val="002B0D25"/>
    <w:rsid w:val="002B1882"/>
    <w:rsid w:val="002B1C2F"/>
    <w:rsid w:val="002B1E09"/>
    <w:rsid w:val="002B1E47"/>
    <w:rsid w:val="002B2779"/>
    <w:rsid w:val="002B288D"/>
    <w:rsid w:val="002B2931"/>
    <w:rsid w:val="002B2F4F"/>
    <w:rsid w:val="002B368D"/>
    <w:rsid w:val="002B3B76"/>
    <w:rsid w:val="002B3B98"/>
    <w:rsid w:val="002B3FA3"/>
    <w:rsid w:val="002B4324"/>
    <w:rsid w:val="002B435A"/>
    <w:rsid w:val="002B4570"/>
    <w:rsid w:val="002B4663"/>
    <w:rsid w:val="002B482C"/>
    <w:rsid w:val="002B5013"/>
    <w:rsid w:val="002B5F30"/>
    <w:rsid w:val="002B6068"/>
    <w:rsid w:val="002B60BC"/>
    <w:rsid w:val="002B66FB"/>
    <w:rsid w:val="002B6C9F"/>
    <w:rsid w:val="002B6D69"/>
    <w:rsid w:val="002B6FC1"/>
    <w:rsid w:val="002B76E5"/>
    <w:rsid w:val="002B7D6A"/>
    <w:rsid w:val="002C0AD0"/>
    <w:rsid w:val="002C0B11"/>
    <w:rsid w:val="002C0D11"/>
    <w:rsid w:val="002C10A9"/>
    <w:rsid w:val="002C1C46"/>
    <w:rsid w:val="002C3A21"/>
    <w:rsid w:val="002C3C90"/>
    <w:rsid w:val="002C3E0A"/>
    <w:rsid w:val="002C4A3E"/>
    <w:rsid w:val="002C59C6"/>
    <w:rsid w:val="002C5B04"/>
    <w:rsid w:val="002C6F3C"/>
    <w:rsid w:val="002C79D9"/>
    <w:rsid w:val="002C7BAF"/>
    <w:rsid w:val="002C7BF5"/>
    <w:rsid w:val="002C7FEB"/>
    <w:rsid w:val="002D0446"/>
    <w:rsid w:val="002D17C0"/>
    <w:rsid w:val="002D1BA3"/>
    <w:rsid w:val="002D24F9"/>
    <w:rsid w:val="002D25D2"/>
    <w:rsid w:val="002D304B"/>
    <w:rsid w:val="002D462B"/>
    <w:rsid w:val="002D462D"/>
    <w:rsid w:val="002D4C5E"/>
    <w:rsid w:val="002D5A13"/>
    <w:rsid w:val="002D764C"/>
    <w:rsid w:val="002E0FD1"/>
    <w:rsid w:val="002E1477"/>
    <w:rsid w:val="002E177A"/>
    <w:rsid w:val="002E17A1"/>
    <w:rsid w:val="002E1A21"/>
    <w:rsid w:val="002E1A8F"/>
    <w:rsid w:val="002E1ED9"/>
    <w:rsid w:val="002E28FC"/>
    <w:rsid w:val="002E2EB6"/>
    <w:rsid w:val="002E308D"/>
    <w:rsid w:val="002E35F0"/>
    <w:rsid w:val="002E39FA"/>
    <w:rsid w:val="002E42F1"/>
    <w:rsid w:val="002E46BE"/>
    <w:rsid w:val="002E4926"/>
    <w:rsid w:val="002E5778"/>
    <w:rsid w:val="002E59AD"/>
    <w:rsid w:val="002E5CA4"/>
    <w:rsid w:val="002E5D3B"/>
    <w:rsid w:val="002E6031"/>
    <w:rsid w:val="002E6F31"/>
    <w:rsid w:val="002E7150"/>
    <w:rsid w:val="002E7388"/>
    <w:rsid w:val="002F06BD"/>
    <w:rsid w:val="002F0707"/>
    <w:rsid w:val="002F0726"/>
    <w:rsid w:val="002F08DC"/>
    <w:rsid w:val="002F0E55"/>
    <w:rsid w:val="002F131C"/>
    <w:rsid w:val="002F13BB"/>
    <w:rsid w:val="002F1507"/>
    <w:rsid w:val="002F1572"/>
    <w:rsid w:val="002F1F0E"/>
    <w:rsid w:val="002F21CA"/>
    <w:rsid w:val="002F2333"/>
    <w:rsid w:val="002F24A8"/>
    <w:rsid w:val="002F2A2D"/>
    <w:rsid w:val="002F36FD"/>
    <w:rsid w:val="002F3B34"/>
    <w:rsid w:val="002F3D64"/>
    <w:rsid w:val="002F3E9C"/>
    <w:rsid w:val="002F4199"/>
    <w:rsid w:val="002F566E"/>
    <w:rsid w:val="002F5894"/>
    <w:rsid w:val="002F6B1D"/>
    <w:rsid w:val="002F6C16"/>
    <w:rsid w:val="002F6DAB"/>
    <w:rsid w:val="002F6ED9"/>
    <w:rsid w:val="002F7190"/>
    <w:rsid w:val="002F757F"/>
    <w:rsid w:val="002F7819"/>
    <w:rsid w:val="002F7C66"/>
    <w:rsid w:val="00300007"/>
    <w:rsid w:val="0030054B"/>
    <w:rsid w:val="003014DB"/>
    <w:rsid w:val="0030157A"/>
    <w:rsid w:val="00301F3A"/>
    <w:rsid w:val="00301FDE"/>
    <w:rsid w:val="003020B8"/>
    <w:rsid w:val="003022D3"/>
    <w:rsid w:val="00302B7F"/>
    <w:rsid w:val="003035F7"/>
    <w:rsid w:val="00303884"/>
    <w:rsid w:val="003038EA"/>
    <w:rsid w:val="00304417"/>
    <w:rsid w:val="00304941"/>
    <w:rsid w:val="003052F6"/>
    <w:rsid w:val="0030549D"/>
    <w:rsid w:val="00305D78"/>
    <w:rsid w:val="00305F6B"/>
    <w:rsid w:val="003064C6"/>
    <w:rsid w:val="00306814"/>
    <w:rsid w:val="00306FF6"/>
    <w:rsid w:val="0030747A"/>
    <w:rsid w:val="003074E3"/>
    <w:rsid w:val="00311602"/>
    <w:rsid w:val="003124EC"/>
    <w:rsid w:val="00312912"/>
    <w:rsid w:val="00312CCC"/>
    <w:rsid w:val="003139BF"/>
    <w:rsid w:val="00314276"/>
    <w:rsid w:val="003151DA"/>
    <w:rsid w:val="00315633"/>
    <w:rsid w:val="00315EE8"/>
    <w:rsid w:val="00315FBD"/>
    <w:rsid w:val="00316A2C"/>
    <w:rsid w:val="00317653"/>
    <w:rsid w:val="00317A48"/>
    <w:rsid w:val="00317D0B"/>
    <w:rsid w:val="00317DE0"/>
    <w:rsid w:val="00320495"/>
    <w:rsid w:val="0032096D"/>
    <w:rsid w:val="00320D64"/>
    <w:rsid w:val="00321242"/>
    <w:rsid w:val="0032196C"/>
    <w:rsid w:val="0032198E"/>
    <w:rsid w:val="003224C6"/>
    <w:rsid w:val="003239D1"/>
    <w:rsid w:val="00323C3C"/>
    <w:rsid w:val="00323CB0"/>
    <w:rsid w:val="003243FD"/>
    <w:rsid w:val="00324D15"/>
    <w:rsid w:val="00326231"/>
    <w:rsid w:val="0032645C"/>
    <w:rsid w:val="00326687"/>
    <w:rsid w:val="00327104"/>
    <w:rsid w:val="00327A64"/>
    <w:rsid w:val="00327DB0"/>
    <w:rsid w:val="00330FB1"/>
    <w:rsid w:val="00331927"/>
    <w:rsid w:val="00331983"/>
    <w:rsid w:val="003319EB"/>
    <w:rsid w:val="00331C20"/>
    <w:rsid w:val="00331E66"/>
    <w:rsid w:val="003320A1"/>
    <w:rsid w:val="003321D6"/>
    <w:rsid w:val="0033239A"/>
    <w:rsid w:val="0033266A"/>
    <w:rsid w:val="00332AB7"/>
    <w:rsid w:val="003333AB"/>
    <w:rsid w:val="003333AF"/>
    <w:rsid w:val="0033359B"/>
    <w:rsid w:val="00333ABE"/>
    <w:rsid w:val="00333B22"/>
    <w:rsid w:val="00334C0F"/>
    <w:rsid w:val="00334E24"/>
    <w:rsid w:val="00334E79"/>
    <w:rsid w:val="00334FAD"/>
    <w:rsid w:val="003352D3"/>
    <w:rsid w:val="0033532C"/>
    <w:rsid w:val="00335590"/>
    <w:rsid w:val="00335642"/>
    <w:rsid w:val="003359DC"/>
    <w:rsid w:val="00335F62"/>
    <w:rsid w:val="003360A5"/>
    <w:rsid w:val="00336C2C"/>
    <w:rsid w:val="00336D32"/>
    <w:rsid w:val="00337139"/>
    <w:rsid w:val="00337592"/>
    <w:rsid w:val="003377F9"/>
    <w:rsid w:val="00341118"/>
    <w:rsid w:val="00341297"/>
    <w:rsid w:val="003420C7"/>
    <w:rsid w:val="00342EEA"/>
    <w:rsid w:val="003436E8"/>
    <w:rsid w:val="003448DF"/>
    <w:rsid w:val="003455D8"/>
    <w:rsid w:val="00345833"/>
    <w:rsid w:val="00346BEE"/>
    <w:rsid w:val="00347610"/>
    <w:rsid w:val="00347E20"/>
    <w:rsid w:val="00347F13"/>
    <w:rsid w:val="00350267"/>
    <w:rsid w:val="00350321"/>
    <w:rsid w:val="00350B35"/>
    <w:rsid w:val="00350D66"/>
    <w:rsid w:val="00350F88"/>
    <w:rsid w:val="00351062"/>
    <w:rsid w:val="00351427"/>
    <w:rsid w:val="00351A7E"/>
    <w:rsid w:val="00351AF2"/>
    <w:rsid w:val="00351E15"/>
    <w:rsid w:val="003523FB"/>
    <w:rsid w:val="003535C6"/>
    <w:rsid w:val="0035394A"/>
    <w:rsid w:val="0035428A"/>
    <w:rsid w:val="00354621"/>
    <w:rsid w:val="003546F4"/>
    <w:rsid w:val="0035473D"/>
    <w:rsid w:val="00354DEA"/>
    <w:rsid w:val="00355B10"/>
    <w:rsid w:val="00356447"/>
    <w:rsid w:val="003576A7"/>
    <w:rsid w:val="00360006"/>
    <w:rsid w:val="00360288"/>
    <w:rsid w:val="00360A57"/>
    <w:rsid w:val="00360BAE"/>
    <w:rsid w:val="00361A91"/>
    <w:rsid w:val="00361AAE"/>
    <w:rsid w:val="00361D84"/>
    <w:rsid w:val="00362756"/>
    <w:rsid w:val="00362ACC"/>
    <w:rsid w:val="00363073"/>
    <w:rsid w:val="003642C3"/>
    <w:rsid w:val="003644EA"/>
    <w:rsid w:val="0036461C"/>
    <w:rsid w:val="00364A66"/>
    <w:rsid w:val="00364B8F"/>
    <w:rsid w:val="00365000"/>
    <w:rsid w:val="0036726F"/>
    <w:rsid w:val="00367663"/>
    <w:rsid w:val="00367A93"/>
    <w:rsid w:val="00367BDD"/>
    <w:rsid w:val="00370199"/>
    <w:rsid w:val="00370A24"/>
    <w:rsid w:val="00370B43"/>
    <w:rsid w:val="00371983"/>
    <w:rsid w:val="003719E8"/>
    <w:rsid w:val="003728D0"/>
    <w:rsid w:val="00373455"/>
    <w:rsid w:val="003739B9"/>
    <w:rsid w:val="00373CA6"/>
    <w:rsid w:val="00373E6B"/>
    <w:rsid w:val="00374619"/>
    <w:rsid w:val="00374A01"/>
    <w:rsid w:val="00375A12"/>
    <w:rsid w:val="00375C98"/>
    <w:rsid w:val="003760BD"/>
    <w:rsid w:val="00376FCB"/>
    <w:rsid w:val="0037705D"/>
    <w:rsid w:val="003778E4"/>
    <w:rsid w:val="00377CD2"/>
    <w:rsid w:val="00377D3D"/>
    <w:rsid w:val="0038030D"/>
    <w:rsid w:val="0038077D"/>
    <w:rsid w:val="00381158"/>
    <w:rsid w:val="00381175"/>
    <w:rsid w:val="00381A5B"/>
    <w:rsid w:val="0038206B"/>
    <w:rsid w:val="00382368"/>
    <w:rsid w:val="003826C8"/>
    <w:rsid w:val="00382798"/>
    <w:rsid w:val="00382B8D"/>
    <w:rsid w:val="00383269"/>
    <w:rsid w:val="0038342D"/>
    <w:rsid w:val="00383741"/>
    <w:rsid w:val="00383E0B"/>
    <w:rsid w:val="00384599"/>
    <w:rsid w:val="00385BF7"/>
    <w:rsid w:val="00385D23"/>
    <w:rsid w:val="00385E26"/>
    <w:rsid w:val="003862E2"/>
    <w:rsid w:val="003864EA"/>
    <w:rsid w:val="00387E9F"/>
    <w:rsid w:val="003904EC"/>
    <w:rsid w:val="003905B1"/>
    <w:rsid w:val="003910AD"/>
    <w:rsid w:val="0039167B"/>
    <w:rsid w:val="003916CC"/>
    <w:rsid w:val="003919AC"/>
    <w:rsid w:val="00391A97"/>
    <w:rsid w:val="00391E3B"/>
    <w:rsid w:val="00392A12"/>
    <w:rsid w:val="003932B4"/>
    <w:rsid w:val="00393C5B"/>
    <w:rsid w:val="0039403B"/>
    <w:rsid w:val="00394411"/>
    <w:rsid w:val="00394997"/>
    <w:rsid w:val="00395B9E"/>
    <w:rsid w:val="00395E3A"/>
    <w:rsid w:val="0039660C"/>
    <w:rsid w:val="003967E0"/>
    <w:rsid w:val="003968EE"/>
    <w:rsid w:val="003975A3"/>
    <w:rsid w:val="00397C99"/>
    <w:rsid w:val="003A010D"/>
    <w:rsid w:val="003A088A"/>
    <w:rsid w:val="003A0A82"/>
    <w:rsid w:val="003A0FBE"/>
    <w:rsid w:val="003A1A61"/>
    <w:rsid w:val="003A2B6E"/>
    <w:rsid w:val="003A3151"/>
    <w:rsid w:val="003A3E50"/>
    <w:rsid w:val="003A4807"/>
    <w:rsid w:val="003A4903"/>
    <w:rsid w:val="003A49ED"/>
    <w:rsid w:val="003A4A4E"/>
    <w:rsid w:val="003A5543"/>
    <w:rsid w:val="003A557E"/>
    <w:rsid w:val="003A6564"/>
    <w:rsid w:val="003A67FF"/>
    <w:rsid w:val="003A69AF"/>
    <w:rsid w:val="003A7154"/>
    <w:rsid w:val="003A768B"/>
    <w:rsid w:val="003A7BD4"/>
    <w:rsid w:val="003B0194"/>
    <w:rsid w:val="003B07EE"/>
    <w:rsid w:val="003B0DF0"/>
    <w:rsid w:val="003B0EAC"/>
    <w:rsid w:val="003B113D"/>
    <w:rsid w:val="003B117B"/>
    <w:rsid w:val="003B1BAE"/>
    <w:rsid w:val="003B1BF8"/>
    <w:rsid w:val="003B1C05"/>
    <w:rsid w:val="003B26AB"/>
    <w:rsid w:val="003B28AD"/>
    <w:rsid w:val="003B30B4"/>
    <w:rsid w:val="003B365C"/>
    <w:rsid w:val="003B3E75"/>
    <w:rsid w:val="003B3F01"/>
    <w:rsid w:val="003B41B2"/>
    <w:rsid w:val="003B4545"/>
    <w:rsid w:val="003B48B6"/>
    <w:rsid w:val="003B4B07"/>
    <w:rsid w:val="003B5945"/>
    <w:rsid w:val="003B5DD4"/>
    <w:rsid w:val="003B639B"/>
    <w:rsid w:val="003B6732"/>
    <w:rsid w:val="003B686F"/>
    <w:rsid w:val="003B6974"/>
    <w:rsid w:val="003B6D07"/>
    <w:rsid w:val="003B6D23"/>
    <w:rsid w:val="003B76D7"/>
    <w:rsid w:val="003C04B5"/>
    <w:rsid w:val="003C056B"/>
    <w:rsid w:val="003C0B68"/>
    <w:rsid w:val="003C1725"/>
    <w:rsid w:val="003C1BBF"/>
    <w:rsid w:val="003C1E29"/>
    <w:rsid w:val="003C230F"/>
    <w:rsid w:val="003C2475"/>
    <w:rsid w:val="003C2AFF"/>
    <w:rsid w:val="003C4003"/>
    <w:rsid w:val="003C4861"/>
    <w:rsid w:val="003C51E7"/>
    <w:rsid w:val="003C728E"/>
    <w:rsid w:val="003C77B5"/>
    <w:rsid w:val="003C7809"/>
    <w:rsid w:val="003D0115"/>
    <w:rsid w:val="003D0330"/>
    <w:rsid w:val="003D0898"/>
    <w:rsid w:val="003D0A86"/>
    <w:rsid w:val="003D0CF0"/>
    <w:rsid w:val="003D13D6"/>
    <w:rsid w:val="003D1430"/>
    <w:rsid w:val="003D1530"/>
    <w:rsid w:val="003D1745"/>
    <w:rsid w:val="003D1774"/>
    <w:rsid w:val="003D1905"/>
    <w:rsid w:val="003D1C68"/>
    <w:rsid w:val="003D2EB3"/>
    <w:rsid w:val="003D344A"/>
    <w:rsid w:val="003D3ADD"/>
    <w:rsid w:val="003D44AB"/>
    <w:rsid w:val="003D49CF"/>
    <w:rsid w:val="003D53A3"/>
    <w:rsid w:val="003D6BD1"/>
    <w:rsid w:val="003D79EE"/>
    <w:rsid w:val="003D7EDB"/>
    <w:rsid w:val="003E0627"/>
    <w:rsid w:val="003E08A7"/>
    <w:rsid w:val="003E0D67"/>
    <w:rsid w:val="003E199F"/>
    <w:rsid w:val="003E20F8"/>
    <w:rsid w:val="003E23ED"/>
    <w:rsid w:val="003E3D42"/>
    <w:rsid w:val="003E447F"/>
    <w:rsid w:val="003E4E31"/>
    <w:rsid w:val="003E4E43"/>
    <w:rsid w:val="003E55E6"/>
    <w:rsid w:val="003E66C5"/>
    <w:rsid w:val="003E7116"/>
    <w:rsid w:val="003E7BDA"/>
    <w:rsid w:val="003E7E12"/>
    <w:rsid w:val="003F02CC"/>
    <w:rsid w:val="003F0361"/>
    <w:rsid w:val="003F065F"/>
    <w:rsid w:val="003F0A0C"/>
    <w:rsid w:val="003F0D56"/>
    <w:rsid w:val="003F11FF"/>
    <w:rsid w:val="003F1617"/>
    <w:rsid w:val="003F1672"/>
    <w:rsid w:val="003F1BC5"/>
    <w:rsid w:val="003F1E41"/>
    <w:rsid w:val="003F20D3"/>
    <w:rsid w:val="003F3821"/>
    <w:rsid w:val="003F4945"/>
    <w:rsid w:val="003F4A21"/>
    <w:rsid w:val="003F4D95"/>
    <w:rsid w:val="003F5055"/>
    <w:rsid w:val="003F5126"/>
    <w:rsid w:val="003F52DB"/>
    <w:rsid w:val="003F5322"/>
    <w:rsid w:val="003F54D0"/>
    <w:rsid w:val="003F693D"/>
    <w:rsid w:val="003F7B7C"/>
    <w:rsid w:val="0040016C"/>
    <w:rsid w:val="00400311"/>
    <w:rsid w:val="0040098C"/>
    <w:rsid w:val="00400C12"/>
    <w:rsid w:val="00401285"/>
    <w:rsid w:val="00402550"/>
    <w:rsid w:val="00402E49"/>
    <w:rsid w:val="004033E4"/>
    <w:rsid w:val="004036F3"/>
    <w:rsid w:val="00403AEB"/>
    <w:rsid w:val="00403F0E"/>
    <w:rsid w:val="0040408A"/>
    <w:rsid w:val="00404801"/>
    <w:rsid w:val="00404AFC"/>
    <w:rsid w:val="00404C6B"/>
    <w:rsid w:val="00404C92"/>
    <w:rsid w:val="00404D37"/>
    <w:rsid w:val="00405C9C"/>
    <w:rsid w:val="004068B0"/>
    <w:rsid w:val="00407024"/>
    <w:rsid w:val="00407064"/>
    <w:rsid w:val="00407985"/>
    <w:rsid w:val="004109FD"/>
    <w:rsid w:val="00410B71"/>
    <w:rsid w:val="00411C13"/>
    <w:rsid w:val="00411D2F"/>
    <w:rsid w:val="00412480"/>
    <w:rsid w:val="00412B8D"/>
    <w:rsid w:val="00412C61"/>
    <w:rsid w:val="00412DCF"/>
    <w:rsid w:val="00413860"/>
    <w:rsid w:val="00413A90"/>
    <w:rsid w:val="00413D56"/>
    <w:rsid w:val="00414514"/>
    <w:rsid w:val="00414E86"/>
    <w:rsid w:val="0041506D"/>
    <w:rsid w:val="0041512A"/>
    <w:rsid w:val="004152E9"/>
    <w:rsid w:val="004156FC"/>
    <w:rsid w:val="00415952"/>
    <w:rsid w:val="00415BFE"/>
    <w:rsid w:val="00416389"/>
    <w:rsid w:val="004164F9"/>
    <w:rsid w:val="00416812"/>
    <w:rsid w:val="00416A23"/>
    <w:rsid w:val="004179D5"/>
    <w:rsid w:val="00417AFE"/>
    <w:rsid w:val="004206B6"/>
    <w:rsid w:val="00420906"/>
    <w:rsid w:val="00420A55"/>
    <w:rsid w:val="00421757"/>
    <w:rsid w:val="0042187B"/>
    <w:rsid w:val="00422380"/>
    <w:rsid w:val="004226CA"/>
    <w:rsid w:val="00422A2F"/>
    <w:rsid w:val="00423266"/>
    <w:rsid w:val="00423BEC"/>
    <w:rsid w:val="00424984"/>
    <w:rsid w:val="004250D7"/>
    <w:rsid w:val="00425175"/>
    <w:rsid w:val="00425824"/>
    <w:rsid w:val="00426027"/>
    <w:rsid w:val="00426303"/>
    <w:rsid w:val="00426804"/>
    <w:rsid w:val="00426CAB"/>
    <w:rsid w:val="00427516"/>
    <w:rsid w:val="00427ECF"/>
    <w:rsid w:val="004309E0"/>
    <w:rsid w:val="00430C3A"/>
    <w:rsid w:val="00430D60"/>
    <w:rsid w:val="00430F86"/>
    <w:rsid w:val="0043187E"/>
    <w:rsid w:val="00431FD6"/>
    <w:rsid w:val="004320DC"/>
    <w:rsid w:val="00432854"/>
    <w:rsid w:val="00432C40"/>
    <w:rsid w:val="00433270"/>
    <w:rsid w:val="0043328C"/>
    <w:rsid w:val="004335E5"/>
    <w:rsid w:val="00433995"/>
    <w:rsid w:val="004348F4"/>
    <w:rsid w:val="004359E0"/>
    <w:rsid w:val="00435A3A"/>
    <w:rsid w:val="00435ABD"/>
    <w:rsid w:val="00435ECF"/>
    <w:rsid w:val="004360A5"/>
    <w:rsid w:val="00436410"/>
    <w:rsid w:val="00436B1F"/>
    <w:rsid w:val="00437ABF"/>
    <w:rsid w:val="0044039D"/>
    <w:rsid w:val="00440C3E"/>
    <w:rsid w:val="00440D51"/>
    <w:rsid w:val="00441A0B"/>
    <w:rsid w:val="00441EEC"/>
    <w:rsid w:val="0044304B"/>
    <w:rsid w:val="004430EE"/>
    <w:rsid w:val="00443251"/>
    <w:rsid w:val="004435EC"/>
    <w:rsid w:val="00443631"/>
    <w:rsid w:val="00443B83"/>
    <w:rsid w:val="00443ED4"/>
    <w:rsid w:val="00444A8F"/>
    <w:rsid w:val="004469AC"/>
    <w:rsid w:val="00446ADF"/>
    <w:rsid w:val="00446DA9"/>
    <w:rsid w:val="00446EC6"/>
    <w:rsid w:val="004476F1"/>
    <w:rsid w:val="00447B63"/>
    <w:rsid w:val="00447C76"/>
    <w:rsid w:val="004501E1"/>
    <w:rsid w:val="004503E4"/>
    <w:rsid w:val="00451F11"/>
    <w:rsid w:val="004520D5"/>
    <w:rsid w:val="004528BA"/>
    <w:rsid w:val="00452F5A"/>
    <w:rsid w:val="0045314B"/>
    <w:rsid w:val="00453183"/>
    <w:rsid w:val="00453378"/>
    <w:rsid w:val="00453D67"/>
    <w:rsid w:val="00453DAD"/>
    <w:rsid w:val="00454505"/>
    <w:rsid w:val="00454FC3"/>
    <w:rsid w:val="00455024"/>
    <w:rsid w:val="00456224"/>
    <w:rsid w:val="004562DC"/>
    <w:rsid w:val="00456544"/>
    <w:rsid w:val="00457A87"/>
    <w:rsid w:val="00457C69"/>
    <w:rsid w:val="00457D59"/>
    <w:rsid w:val="00457E38"/>
    <w:rsid w:val="00460E1B"/>
    <w:rsid w:val="00460FCD"/>
    <w:rsid w:val="0046121D"/>
    <w:rsid w:val="00461E52"/>
    <w:rsid w:val="0046290C"/>
    <w:rsid w:val="00463149"/>
    <w:rsid w:val="00463359"/>
    <w:rsid w:val="00463403"/>
    <w:rsid w:val="004634FB"/>
    <w:rsid w:val="0046388B"/>
    <w:rsid w:val="004638E0"/>
    <w:rsid w:val="00464DA7"/>
    <w:rsid w:val="00465270"/>
    <w:rsid w:val="00465AEA"/>
    <w:rsid w:val="00466139"/>
    <w:rsid w:val="0046796D"/>
    <w:rsid w:val="0047064D"/>
    <w:rsid w:val="0047084C"/>
    <w:rsid w:val="00470870"/>
    <w:rsid w:val="00470A45"/>
    <w:rsid w:val="004711BF"/>
    <w:rsid w:val="00471350"/>
    <w:rsid w:val="004713E4"/>
    <w:rsid w:val="00471AB2"/>
    <w:rsid w:val="00472B12"/>
    <w:rsid w:val="00472BED"/>
    <w:rsid w:val="00473BC7"/>
    <w:rsid w:val="00473ED3"/>
    <w:rsid w:val="00474C71"/>
    <w:rsid w:val="00475128"/>
    <w:rsid w:val="0047515B"/>
    <w:rsid w:val="00475AFD"/>
    <w:rsid w:val="00475E84"/>
    <w:rsid w:val="00476023"/>
    <w:rsid w:val="00476135"/>
    <w:rsid w:val="0047639A"/>
    <w:rsid w:val="004766E5"/>
    <w:rsid w:val="00476D63"/>
    <w:rsid w:val="00476DE6"/>
    <w:rsid w:val="00477B10"/>
    <w:rsid w:val="0048020E"/>
    <w:rsid w:val="004802A3"/>
    <w:rsid w:val="00480509"/>
    <w:rsid w:val="00480592"/>
    <w:rsid w:val="00480633"/>
    <w:rsid w:val="004806F6"/>
    <w:rsid w:val="004807FE"/>
    <w:rsid w:val="00480AC8"/>
    <w:rsid w:val="00480E3F"/>
    <w:rsid w:val="0048171B"/>
    <w:rsid w:val="004818C9"/>
    <w:rsid w:val="004818E6"/>
    <w:rsid w:val="00481C24"/>
    <w:rsid w:val="00481DE5"/>
    <w:rsid w:val="004822D0"/>
    <w:rsid w:val="00482D96"/>
    <w:rsid w:val="004830D0"/>
    <w:rsid w:val="004837C0"/>
    <w:rsid w:val="00483908"/>
    <w:rsid w:val="0048454C"/>
    <w:rsid w:val="00484724"/>
    <w:rsid w:val="00484C92"/>
    <w:rsid w:val="00484FAD"/>
    <w:rsid w:val="00485163"/>
    <w:rsid w:val="004858F3"/>
    <w:rsid w:val="004858F7"/>
    <w:rsid w:val="004872C4"/>
    <w:rsid w:val="00491019"/>
    <w:rsid w:val="00491269"/>
    <w:rsid w:val="004914AA"/>
    <w:rsid w:val="00491534"/>
    <w:rsid w:val="004917E0"/>
    <w:rsid w:val="004918A3"/>
    <w:rsid w:val="004920BD"/>
    <w:rsid w:val="00492BF7"/>
    <w:rsid w:val="00492F77"/>
    <w:rsid w:val="00494034"/>
    <w:rsid w:val="004940A3"/>
    <w:rsid w:val="00494292"/>
    <w:rsid w:val="00494295"/>
    <w:rsid w:val="00494452"/>
    <w:rsid w:val="00494754"/>
    <w:rsid w:val="00494F43"/>
    <w:rsid w:val="00494F87"/>
    <w:rsid w:val="00495C19"/>
    <w:rsid w:val="00496E59"/>
    <w:rsid w:val="004972A4"/>
    <w:rsid w:val="00497573"/>
    <w:rsid w:val="00497C58"/>
    <w:rsid w:val="004A00C9"/>
    <w:rsid w:val="004A030D"/>
    <w:rsid w:val="004A031D"/>
    <w:rsid w:val="004A06F1"/>
    <w:rsid w:val="004A087D"/>
    <w:rsid w:val="004A08A3"/>
    <w:rsid w:val="004A0D82"/>
    <w:rsid w:val="004A0F3E"/>
    <w:rsid w:val="004A1F71"/>
    <w:rsid w:val="004A235E"/>
    <w:rsid w:val="004A4319"/>
    <w:rsid w:val="004A559B"/>
    <w:rsid w:val="004A601A"/>
    <w:rsid w:val="004A6B01"/>
    <w:rsid w:val="004A6B0F"/>
    <w:rsid w:val="004A747A"/>
    <w:rsid w:val="004A75E8"/>
    <w:rsid w:val="004A7D94"/>
    <w:rsid w:val="004B0F42"/>
    <w:rsid w:val="004B1B99"/>
    <w:rsid w:val="004B1DBB"/>
    <w:rsid w:val="004B2151"/>
    <w:rsid w:val="004B2AB9"/>
    <w:rsid w:val="004B2EC7"/>
    <w:rsid w:val="004B45A3"/>
    <w:rsid w:val="004B488D"/>
    <w:rsid w:val="004B62BA"/>
    <w:rsid w:val="004B63AD"/>
    <w:rsid w:val="004B63D7"/>
    <w:rsid w:val="004B6F72"/>
    <w:rsid w:val="004B71E2"/>
    <w:rsid w:val="004B7E87"/>
    <w:rsid w:val="004B7FD8"/>
    <w:rsid w:val="004C0123"/>
    <w:rsid w:val="004C06FE"/>
    <w:rsid w:val="004C221A"/>
    <w:rsid w:val="004C3002"/>
    <w:rsid w:val="004C3185"/>
    <w:rsid w:val="004C3DD5"/>
    <w:rsid w:val="004C46DD"/>
    <w:rsid w:val="004C4C9D"/>
    <w:rsid w:val="004C4D90"/>
    <w:rsid w:val="004C5432"/>
    <w:rsid w:val="004C54C6"/>
    <w:rsid w:val="004C5C11"/>
    <w:rsid w:val="004C5DDE"/>
    <w:rsid w:val="004C5DEC"/>
    <w:rsid w:val="004C5F94"/>
    <w:rsid w:val="004C6391"/>
    <w:rsid w:val="004C6D15"/>
    <w:rsid w:val="004C7606"/>
    <w:rsid w:val="004C78CC"/>
    <w:rsid w:val="004C7BB8"/>
    <w:rsid w:val="004C7BEC"/>
    <w:rsid w:val="004D0704"/>
    <w:rsid w:val="004D0EFE"/>
    <w:rsid w:val="004D11A1"/>
    <w:rsid w:val="004D127F"/>
    <w:rsid w:val="004D1969"/>
    <w:rsid w:val="004D1B0F"/>
    <w:rsid w:val="004D1DFE"/>
    <w:rsid w:val="004D28E4"/>
    <w:rsid w:val="004D2D33"/>
    <w:rsid w:val="004D3353"/>
    <w:rsid w:val="004D420C"/>
    <w:rsid w:val="004D4DB9"/>
    <w:rsid w:val="004D4EF9"/>
    <w:rsid w:val="004D5AB8"/>
    <w:rsid w:val="004D5C56"/>
    <w:rsid w:val="004D5CD1"/>
    <w:rsid w:val="004D5D65"/>
    <w:rsid w:val="004D666E"/>
    <w:rsid w:val="004D6A86"/>
    <w:rsid w:val="004D6B37"/>
    <w:rsid w:val="004D7BB1"/>
    <w:rsid w:val="004D7DF2"/>
    <w:rsid w:val="004E1433"/>
    <w:rsid w:val="004E1D2C"/>
    <w:rsid w:val="004E1DC2"/>
    <w:rsid w:val="004E1F8B"/>
    <w:rsid w:val="004E22EA"/>
    <w:rsid w:val="004E29EC"/>
    <w:rsid w:val="004E2D9B"/>
    <w:rsid w:val="004E2F2D"/>
    <w:rsid w:val="004E2FFD"/>
    <w:rsid w:val="004E4046"/>
    <w:rsid w:val="004E54BF"/>
    <w:rsid w:val="004E57D3"/>
    <w:rsid w:val="004E5AE0"/>
    <w:rsid w:val="004E61C6"/>
    <w:rsid w:val="004E66EF"/>
    <w:rsid w:val="004E6A1E"/>
    <w:rsid w:val="004E7682"/>
    <w:rsid w:val="004E76EC"/>
    <w:rsid w:val="004E79DA"/>
    <w:rsid w:val="004F01D4"/>
    <w:rsid w:val="004F149B"/>
    <w:rsid w:val="004F188B"/>
    <w:rsid w:val="004F19C4"/>
    <w:rsid w:val="004F1A8D"/>
    <w:rsid w:val="004F1B33"/>
    <w:rsid w:val="004F2DB0"/>
    <w:rsid w:val="004F41BD"/>
    <w:rsid w:val="004F4B48"/>
    <w:rsid w:val="004F4E4D"/>
    <w:rsid w:val="004F4FA0"/>
    <w:rsid w:val="004F564B"/>
    <w:rsid w:val="004F570B"/>
    <w:rsid w:val="004F58B8"/>
    <w:rsid w:val="004F5D05"/>
    <w:rsid w:val="004F5D76"/>
    <w:rsid w:val="004F5DA4"/>
    <w:rsid w:val="004F66FF"/>
    <w:rsid w:val="004F7544"/>
    <w:rsid w:val="004F7BE1"/>
    <w:rsid w:val="0050119C"/>
    <w:rsid w:val="005014FE"/>
    <w:rsid w:val="00501A3B"/>
    <w:rsid w:val="00501B5C"/>
    <w:rsid w:val="005022F2"/>
    <w:rsid w:val="0050295A"/>
    <w:rsid w:val="00502F92"/>
    <w:rsid w:val="0050336C"/>
    <w:rsid w:val="00503AB6"/>
    <w:rsid w:val="00503F57"/>
    <w:rsid w:val="00503F5E"/>
    <w:rsid w:val="00503F67"/>
    <w:rsid w:val="0050471E"/>
    <w:rsid w:val="00504A35"/>
    <w:rsid w:val="00505202"/>
    <w:rsid w:val="00505B9D"/>
    <w:rsid w:val="00505BAE"/>
    <w:rsid w:val="00505C1D"/>
    <w:rsid w:val="005060EB"/>
    <w:rsid w:val="0050616F"/>
    <w:rsid w:val="00506254"/>
    <w:rsid w:val="00506661"/>
    <w:rsid w:val="00506831"/>
    <w:rsid w:val="00506E13"/>
    <w:rsid w:val="00506E85"/>
    <w:rsid w:val="0050714C"/>
    <w:rsid w:val="00507229"/>
    <w:rsid w:val="0050729C"/>
    <w:rsid w:val="005100EB"/>
    <w:rsid w:val="005102CD"/>
    <w:rsid w:val="00510B61"/>
    <w:rsid w:val="0051119A"/>
    <w:rsid w:val="00511B17"/>
    <w:rsid w:val="00511CBA"/>
    <w:rsid w:val="005124F9"/>
    <w:rsid w:val="00512620"/>
    <w:rsid w:val="00512699"/>
    <w:rsid w:val="00512D19"/>
    <w:rsid w:val="00512E39"/>
    <w:rsid w:val="005132A6"/>
    <w:rsid w:val="00513898"/>
    <w:rsid w:val="00514344"/>
    <w:rsid w:val="005144E2"/>
    <w:rsid w:val="005147E8"/>
    <w:rsid w:val="00514BC7"/>
    <w:rsid w:val="00514FC2"/>
    <w:rsid w:val="005150D3"/>
    <w:rsid w:val="00515429"/>
    <w:rsid w:val="00515543"/>
    <w:rsid w:val="00515B4E"/>
    <w:rsid w:val="00516C64"/>
    <w:rsid w:val="00516D1A"/>
    <w:rsid w:val="00516FA6"/>
    <w:rsid w:val="005173E7"/>
    <w:rsid w:val="00517AC1"/>
    <w:rsid w:val="00520112"/>
    <w:rsid w:val="00520807"/>
    <w:rsid w:val="00520AAB"/>
    <w:rsid w:val="0052178F"/>
    <w:rsid w:val="005219C6"/>
    <w:rsid w:val="00522046"/>
    <w:rsid w:val="00522425"/>
    <w:rsid w:val="005224AB"/>
    <w:rsid w:val="00522708"/>
    <w:rsid w:val="00522968"/>
    <w:rsid w:val="0052299E"/>
    <w:rsid w:val="0052346A"/>
    <w:rsid w:val="0052364F"/>
    <w:rsid w:val="00523B11"/>
    <w:rsid w:val="00523F35"/>
    <w:rsid w:val="0052417E"/>
    <w:rsid w:val="005243BC"/>
    <w:rsid w:val="0052493D"/>
    <w:rsid w:val="00524BA3"/>
    <w:rsid w:val="005257D2"/>
    <w:rsid w:val="00526305"/>
    <w:rsid w:val="00526752"/>
    <w:rsid w:val="00526F93"/>
    <w:rsid w:val="0052761B"/>
    <w:rsid w:val="00527BC7"/>
    <w:rsid w:val="00530AD9"/>
    <w:rsid w:val="00531124"/>
    <w:rsid w:val="005313A2"/>
    <w:rsid w:val="00531A13"/>
    <w:rsid w:val="005323C4"/>
    <w:rsid w:val="005326E6"/>
    <w:rsid w:val="0053284E"/>
    <w:rsid w:val="0053294F"/>
    <w:rsid w:val="005329AE"/>
    <w:rsid w:val="00534684"/>
    <w:rsid w:val="00534F31"/>
    <w:rsid w:val="005353FB"/>
    <w:rsid w:val="005354BA"/>
    <w:rsid w:val="00535CA2"/>
    <w:rsid w:val="00535D0E"/>
    <w:rsid w:val="00535F99"/>
    <w:rsid w:val="00535FBC"/>
    <w:rsid w:val="005372CD"/>
    <w:rsid w:val="00537344"/>
    <w:rsid w:val="005373EA"/>
    <w:rsid w:val="00537D52"/>
    <w:rsid w:val="0054067A"/>
    <w:rsid w:val="005407C2"/>
    <w:rsid w:val="00540AE2"/>
    <w:rsid w:val="00540C50"/>
    <w:rsid w:val="00540EDF"/>
    <w:rsid w:val="005414C3"/>
    <w:rsid w:val="0054150F"/>
    <w:rsid w:val="00541809"/>
    <w:rsid w:val="00541F81"/>
    <w:rsid w:val="00542271"/>
    <w:rsid w:val="00542785"/>
    <w:rsid w:val="005435A8"/>
    <w:rsid w:val="0054369F"/>
    <w:rsid w:val="005436F7"/>
    <w:rsid w:val="00543B13"/>
    <w:rsid w:val="00544423"/>
    <w:rsid w:val="0054522D"/>
    <w:rsid w:val="005453FF"/>
    <w:rsid w:val="005460F4"/>
    <w:rsid w:val="005468F6"/>
    <w:rsid w:val="00547011"/>
    <w:rsid w:val="0054706A"/>
    <w:rsid w:val="005475BF"/>
    <w:rsid w:val="0054760B"/>
    <w:rsid w:val="00547E57"/>
    <w:rsid w:val="005502B4"/>
    <w:rsid w:val="0055084F"/>
    <w:rsid w:val="005518F1"/>
    <w:rsid w:val="005519E9"/>
    <w:rsid w:val="00551F9F"/>
    <w:rsid w:val="005525C8"/>
    <w:rsid w:val="00552830"/>
    <w:rsid w:val="00552993"/>
    <w:rsid w:val="005533ED"/>
    <w:rsid w:val="005542B0"/>
    <w:rsid w:val="005547D0"/>
    <w:rsid w:val="00554C5D"/>
    <w:rsid w:val="00554EC5"/>
    <w:rsid w:val="005555D5"/>
    <w:rsid w:val="005555D8"/>
    <w:rsid w:val="00555AFB"/>
    <w:rsid w:val="00555BA5"/>
    <w:rsid w:val="00555DE9"/>
    <w:rsid w:val="00556C3F"/>
    <w:rsid w:val="00556EC5"/>
    <w:rsid w:val="005576FD"/>
    <w:rsid w:val="00557941"/>
    <w:rsid w:val="005579D4"/>
    <w:rsid w:val="00557A55"/>
    <w:rsid w:val="00560592"/>
    <w:rsid w:val="00561166"/>
    <w:rsid w:val="00561212"/>
    <w:rsid w:val="00561798"/>
    <w:rsid w:val="00561D5C"/>
    <w:rsid w:val="00561E3B"/>
    <w:rsid w:val="0056222E"/>
    <w:rsid w:val="00562E49"/>
    <w:rsid w:val="005630C3"/>
    <w:rsid w:val="00563C57"/>
    <w:rsid w:val="00563C58"/>
    <w:rsid w:val="0056459A"/>
    <w:rsid w:val="005645FE"/>
    <w:rsid w:val="00564ADC"/>
    <w:rsid w:val="00564AFF"/>
    <w:rsid w:val="00565ED7"/>
    <w:rsid w:val="00566241"/>
    <w:rsid w:val="0056667B"/>
    <w:rsid w:val="005667D7"/>
    <w:rsid w:val="00566DC1"/>
    <w:rsid w:val="00566EE2"/>
    <w:rsid w:val="00566F1A"/>
    <w:rsid w:val="00567547"/>
    <w:rsid w:val="00567612"/>
    <w:rsid w:val="0056764C"/>
    <w:rsid w:val="00567A92"/>
    <w:rsid w:val="00570B2F"/>
    <w:rsid w:val="00570E13"/>
    <w:rsid w:val="00570FDF"/>
    <w:rsid w:val="00571312"/>
    <w:rsid w:val="0057132D"/>
    <w:rsid w:val="005714EF"/>
    <w:rsid w:val="00571798"/>
    <w:rsid w:val="00571CA8"/>
    <w:rsid w:val="00572527"/>
    <w:rsid w:val="00572679"/>
    <w:rsid w:val="00572906"/>
    <w:rsid w:val="00572913"/>
    <w:rsid w:val="00573B50"/>
    <w:rsid w:val="00573DA7"/>
    <w:rsid w:val="00574702"/>
    <w:rsid w:val="005751EE"/>
    <w:rsid w:val="005761EA"/>
    <w:rsid w:val="00576472"/>
    <w:rsid w:val="00576504"/>
    <w:rsid w:val="00576749"/>
    <w:rsid w:val="00576866"/>
    <w:rsid w:val="005775F1"/>
    <w:rsid w:val="0058000E"/>
    <w:rsid w:val="00581821"/>
    <w:rsid w:val="00581C75"/>
    <w:rsid w:val="00582223"/>
    <w:rsid w:val="005833DB"/>
    <w:rsid w:val="005836EA"/>
    <w:rsid w:val="005848E0"/>
    <w:rsid w:val="00584CD5"/>
    <w:rsid w:val="0058509A"/>
    <w:rsid w:val="00585163"/>
    <w:rsid w:val="005855A9"/>
    <w:rsid w:val="005856EE"/>
    <w:rsid w:val="00585F57"/>
    <w:rsid w:val="005866B4"/>
    <w:rsid w:val="0058701F"/>
    <w:rsid w:val="00587364"/>
    <w:rsid w:val="0058770A"/>
    <w:rsid w:val="005903B4"/>
    <w:rsid w:val="005903C3"/>
    <w:rsid w:val="0059117F"/>
    <w:rsid w:val="00591F9E"/>
    <w:rsid w:val="005922C4"/>
    <w:rsid w:val="00592718"/>
    <w:rsid w:val="00592836"/>
    <w:rsid w:val="00592E41"/>
    <w:rsid w:val="0059328F"/>
    <w:rsid w:val="005932A3"/>
    <w:rsid w:val="0059344E"/>
    <w:rsid w:val="0059374E"/>
    <w:rsid w:val="005944C5"/>
    <w:rsid w:val="00594601"/>
    <w:rsid w:val="005949CC"/>
    <w:rsid w:val="00594B24"/>
    <w:rsid w:val="00594D25"/>
    <w:rsid w:val="005971B7"/>
    <w:rsid w:val="0059740C"/>
    <w:rsid w:val="00597EF1"/>
    <w:rsid w:val="005A034C"/>
    <w:rsid w:val="005A04FD"/>
    <w:rsid w:val="005A22E1"/>
    <w:rsid w:val="005A2749"/>
    <w:rsid w:val="005A2878"/>
    <w:rsid w:val="005A2CE0"/>
    <w:rsid w:val="005A2D9D"/>
    <w:rsid w:val="005A3B36"/>
    <w:rsid w:val="005A3BE4"/>
    <w:rsid w:val="005A3D45"/>
    <w:rsid w:val="005A4ADF"/>
    <w:rsid w:val="005A50BD"/>
    <w:rsid w:val="005A5A79"/>
    <w:rsid w:val="005A5BC6"/>
    <w:rsid w:val="005A693E"/>
    <w:rsid w:val="005A7296"/>
    <w:rsid w:val="005B0150"/>
    <w:rsid w:val="005B01EE"/>
    <w:rsid w:val="005B02BE"/>
    <w:rsid w:val="005B02F3"/>
    <w:rsid w:val="005B2079"/>
    <w:rsid w:val="005B2E38"/>
    <w:rsid w:val="005B3713"/>
    <w:rsid w:val="005B4779"/>
    <w:rsid w:val="005B551F"/>
    <w:rsid w:val="005B5735"/>
    <w:rsid w:val="005B5E46"/>
    <w:rsid w:val="005B6541"/>
    <w:rsid w:val="005B67E6"/>
    <w:rsid w:val="005B78BB"/>
    <w:rsid w:val="005B7AA7"/>
    <w:rsid w:val="005C005F"/>
    <w:rsid w:val="005C0918"/>
    <w:rsid w:val="005C093E"/>
    <w:rsid w:val="005C0A25"/>
    <w:rsid w:val="005C0C72"/>
    <w:rsid w:val="005C1491"/>
    <w:rsid w:val="005C221D"/>
    <w:rsid w:val="005C266A"/>
    <w:rsid w:val="005C2808"/>
    <w:rsid w:val="005C2957"/>
    <w:rsid w:val="005C2B56"/>
    <w:rsid w:val="005C2E34"/>
    <w:rsid w:val="005C32D7"/>
    <w:rsid w:val="005C3620"/>
    <w:rsid w:val="005C3679"/>
    <w:rsid w:val="005C3695"/>
    <w:rsid w:val="005C3A00"/>
    <w:rsid w:val="005C42B5"/>
    <w:rsid w:val="005C4454"/>
    <w:rsid w:val="005C4897"/>
    <w:rsid w:val="005C4AF6"/>
    <w:rsid w:val="005C5309"/>
    <w:rsid w:val="005C55F1"/>
    <w:rsid w:val="005C56AB"/>
    <w:rsid w:val="005C6632"/>
    <w:rsid w:val="005C6CB6"/>
    <w:rsid w:val="005C6D5D"/>
    <w:rsid w:val="005C6FE0"/>
    <w:rsid w:val="005C70FB"/>
    <w:rsid w:val="005C72A7"/>
    <w:rsid w:val="005C72E4"/>
    <w:rsid w:val="005C730A"/>
    <w:rsid w:val="005C7913"/>
    <w:rsid w:val="005C7CBA"/>
    <w:rsid w:val="005D0301"/>
    <w:rsid w:val="005D0D69"/>
    <w:rsid w:val="005D0DF8"/>
    <w:rsid w:val="005D1240"/>
    <w:rsid w:val="005D162B"/>
    <w:rsid w:val="005D1CD5"/>
    <w:rsid w:val="005D1D0A"/>
    <w:rsid w:val="005D2391"/>
    <w:rsid w:val="005D385D"/>
    <w:rsid w:val="005D3B25"/>
    <w:rsid w:val="005D4337"/>
    <w:rsid w:val="005D5A41"/>
    <w:rsid w:val="005D7342"/>
    <w:rsid w:val="005D7529"/>
    <w:rsid w:val="005D77DE"/>
    <w:rsid w:val="005D7836"/>
    <w:rsid w:val="005D7C5C"/>
    <w:rsid w:val="005E03C5"/>
    <w:rsid w:val="005E0688"/>
    <w:rsid w:val="005E0855"/>
    <w:rsid w:val="005E0B51"/>
    <w:rsid w:val="005E168E"/>
    <w:rsid w:val="005E23A8"/>
    <w:rsid w:val="005E2E01"/>
    <w:rsid w:val="005E364C"/>
    <w:rsid w:val="005E38BD"/>
    <w:rsid w:val="005E3C86"/>
    <w:rsid w:val="005E3FC5"/>
    <w:rsid w:val="005E43B9"/>
    <w:rsid w:val="005E4501"/>
    <w:rsid w:val="005E4608"/>
    <w:rsid w:val="005E4770"/>
    <w:rsid w:val="005E4E94"/>
    <w:rsid w:val="005E5238"/>
    <w:rsid w:val="005E57D8"/>
    <w:rsid w:val="005E5D13"/>
    <w:rsid w:val="005E5E84"/>
    <w:rsid w:val="005E5F7D"/>
    <w:rsid w:val="005E5FAA"/>
    <w:rsid w:val="005E615D"/>
    <w:rsid w:val="005E6AAF"/>
    <w:rsid w:val="005E6CC1"/>
    <w:rsid w:val="005E6EB8"/>
    <w:rsid w:val="005E7028"/>
    <w:rsid w:val="005E7049"/>
    <w:rsid w:val="005E72B0"/>
    <w:rsid w:val="005E784C"/>
    <w:rsid w:val="005E78B4"/>
    <w:rsid w:val="005F1292"/>
    <w:rsid w:val="005F129D"/>
    <w:rsid w:val="005F1ACE"/>
    <w:rsid w:val="005F1C79"/>
    <w:rsid w:val="005F1D44"/>
    <w:rsid w:val="005F2BB9"/>
    <w:rsid w:val="005F3119"/>
    <w:rsid w:val="005F3487"/>
    <w:rsid w:val="005F3585"/>
    <w:rsid w:val="005F3777"/>
    <w:rsid w:val="005F45E8"/>
    <w:rsid w:val="005F4C25"/>
    <w:rsid w:val="005F4EFF"/>
    <w:rsid w:val="005F514B"/>
    <w:rsid w:val="005F55DA"/>
    <w:rsid w:val="005F55E6"/>
    <w:rsid w:val="005F68EC"/>
    <w:rsid w:val="005F697C"/>
    <w:rsid w:val="005F6AE2"/>
    <w:rsid w:val="005F7EC6"/>
    <w:rsid w:val="00600621"/>
    <w:rsid w:val="006010F4"/>
    <w:rsid w:val="006013E6"/>
    <w:rsid w:val="0060142A"/>
    <w:rsid w:val="006015E8"/>
    <w:rsid w:val="006028CB"/>
    <w:rsid w:val="00602B0B"/>
    <w:rsid w:val="00602E69"/>
    <w:rsid w:val="00603824"/>
    <w:rsid w:val="006057A9"/>
    <w:rsid w:val="00605857"/>
    <w:rsid w:val="00605D2F"/>
    <w:rsid w:val="00605F73"/>
    <w:rsid w:val="00606ADB"/>
    <w:rsid w:val="00606C84"/>
    <w:rsid w:val="00606D4B"/>
    <w:rsid w:val="006078B4"/>
    <w:rsid w:val="00607C59"/>
    <w:rsid w:val="00607D89"/>
    <w:rsid w:val="00607F19"/>
    <w:rsid w:val="00607FA2"/>
    <w:rsid w:val="00610124"/>
    <w:rsid w:val="0061073C"/>
    <w:rsid w:val="00610BF9"/>
    <w:rsid w:val="00610DB7"/>
    <w:rsid w:val="006113E1"/>
    <w:rsid w:val="00611EF4"/>
    <w:rsid w:val="00612401"/>
    <w:rsid w:val="00613473"/>
    <w:rsid w:val="00613688"/>
    <w:rsid w:val="00613717"/>
    <w:rsid w:val="00613828"/>
    <w:rsid w:val="0061452D"/>
    <w:rsid w:val="006148E3"/>
    <w:rsid w:val="00615614"/>
    <w:rsid w:val="006156ED"/>
    <w:rsid w:val="006158BB"/>
    <w:rsid w:val="0061609D"/>
    <w:rsid w:val="00616171"/>
    <w:rsid w:val="00616561"/>
    <w:rsid w:val="00616B8D"/>
    <w:rsid w:val="0061713E"/>
    <w:rsid w:val="0061785B"/>
    <w:rsid w:val="00617EB2"/>
    <w:rsid w:val="00617F51"/>
    <w:rsid w:val="00617FD9"/>
    <w:rsid w:val="00620D69"/>
    <w:rsid w:val="00620F13"/>
    <w:rsid w:val="0062108A"/>
    <w:rsid w:val="006210D4"/>
    <w:rsid w:val="00621180"/>
    <w:rsid w:val="0062150D"/>
    <w:rsid w:val="006215AB"/>
    <w:rsid w:val="00621A24"/>
    <w:rsid w:val="00621F72"/>
    <w:rsid w:val="00622061"/>
    <w:rsid w:val="00622E60"/>
    <w:rsid w:val="00623030"/>
    <w:rsid w:val="00623335"/>
    <w:rsid w:val="006238C0"/>
    <w:rsid w:val="0062392B"/>
    <w:rsid w:val="006255B4"/>
    <w:rsid w:val="006256E7"/>
    <w:rsid w:val="00625945"/>
    <w:rsid w:val="0062623C"/>
    <w:rsid w:val="006262A3"/>
    <w:rsid w:val="00626F7F"/>
    <w:rsid w:val="00627089"/>
    <w:rsid w:val="00630170"/>
    <w:rsid w:val="006305F8"/>
    <w:rsid w:val="00630717"/>
    <w:rsid w:val="00630C05"/>
    <w:rsid w:val="00630E22"/>
    <w:rsid w:val="00631159"/>
    <w:rsid w:val="0063196F"/>
    <w:rsid w:val="006325CA"/>
    <w:rsid w:val="00633827"/>
    <w:rsid w:val="00635123"/>
    <w:rsid w:val="00635A36"/>
    <w:rsid w:val="00636013"/>
    <w:rsid w:val="00636496"/>
    <w:rsid w:val="00636CF7"/>
    <w:rsid w:val="00636FC8"/>
    <w:rsid w:val="006376D6"/>
    <w:rsid w:val="0063772E"/>
    <w:rsid w:val="00637754"/>
    <w:rsid w:val="00637C81"/>
    <w:rsid w:val="00637EC2"/>
    <w:rsid w:val="00640B90"/>
    <w:rsid w:val="00640CFF"/>
    <w:rsid w:val="00641C40"/>
    <w:rsid w:val="0064305E"/>
    <w:rsid w:val="00643419"/>
    <w:rsid w:val="006449A0"/>
    <w:rsid w:val="00645689"/>
    <w:rsid w:val="00645D68"/>
    <w:rsid w:val="00645FC4"/>
    <w:rsid w:val="006460D1"/>
    <w:rsid w:val="0064713A"/>
    <w:rsid w:val="00647ABF"/>
    <w:rsid w:val="00647C6B"/>
    <w:rsid w:val="00650C5F"/>
    <w:rsid w:val="00651369"/>
    <w:rsid w:val="00651508"/>
    <w:rsid w:val="00651673"/>
    <w:rsid w:val="00651A66"/>
    <w:rsid w:val="00652537"/>
    <w:rsid w:val="006528B8"/>
    <w:rsid w:val="00652A2F"/>
    <w:rsid w:val="00653198"/>
    <w:rsid w:val="00653414"/>
    <w:rsid w:val="00653B2B"/>
    <w:rsid w:val="006542A3"/>
    <w:rsid w:val="006545BC"/>
    <w:rsid w:val="006546D2"/>
    <w:rsid w:val="006547F1"/>
    <w:rsid w:val="006549BE"/>
    <w:rsid w:val="0065556E"/>
    <w:rsid w:val="00655727"/>
    <w:rsid w:val="006566C8"/>
    <w:rsid w:val="00656F6C"/>
    <w:rsid w:val="00657285"/>
    <w:rsid w:val="006600AD"/>
    <w:rsid w:val="006605AF"/>
    <w:rsid w:val="006608D2"/>
    <w:rsid w:val="00661A5B"/>
    <w:rsid w:val="00662048"/>
    <w:rsid w:val="0066267C"/>
    <w:rsid w:val="00662767"/>
    <w:rsid w:val="006628AF"/>
    <w:rsid w:val="006628EB"/>
    <w:rsid w:val="00662CEB"/>
    <w:rsid w:val="0066300D"/>
    <w:rsid w:val="0066303D"/>
    <w:rsid w:val="00663DAD"/>
    <w:rsid w:val="006641A4"/>
    <w:rsid w:val="006641F2"/>
    <w:rsid w:val="00664B26"/>
    <w:rsid w:val="006657B4"/>
    <w:rsid w:val="006657DF"/>
    <w:rsid w:val="00666830"/>
    <w:rsid w:val="0066686D"/>
    <w:rsid w:val="006669EF"/>
    <w:rsid w:val="00666BDB"/>
    <w:rsid w:val="00666CFA"/>
    <w:rsid w:val="00667771"/>
    <w:rsid w:val="00667784"/>
    <w:rsid w:val="00667966"/>
    <w:rsid w:val="00667D9F"/>
    <w:rsid w:val="00670138"/>
    <w:rsid w:val="00670CAA"/>
    <w:rsid w:val="00672108"/>
    <w:rsid w:val="00672E99"/>
    <w:rsid w:val="00673113"/>
    <w:rsid w:val="00673847"/>
    <w:rsid w:val="00673DB9"/>
    <w:rsid w:val="00676A92"/>
    <w:rsid w:val="0067744C"/>
    <w:rsid w:val="0067751B"/>
    <w:rsid w:val="0067780F"/>
    <w:rsid w:val="00677A1B"/>
    <w:rsid w:val="00677E29"/>
    <w:rsid w:val="0068023F"/>
    <w:rsid w:val="006805D9"/>
    <w:rsid w:val="00680FBC"/>
    <w:rsid w:val="00681246"/>
    <w:rsid w:val="006816E0"/>
    <w:rsid w:val="00681B58"/>
    <w:rsid w:val="00681CA8"/>
    <w:rsid w:val="00682929"/>
    <w:rsid w:val="0068311A"/>
    <w:rsid w:val="006832EC"/>
    <w:rsid w:val="0068386D"/>
    <w:rsid w:val="00683BE7"/>
    <w:rsid w:val="00683F7A"/>
    <w:rsid w:val="006843E8"/>
    <w:rsid w:val="0068453C"/>
    <w:rsid w:val="00684C18"/>
    <w:rsid w:val="006857F3"/>
    <w:rsid w:val="006865DF"/>
    <w:rsid w:val="006879E7"/>
    <w:rsid w:val="00687A67"/>
    <w:rsid w:val="00687E3A"/>
    <w:rsid w:val="00690801"/>
    <w:rsid w:val="00690C3B"/>
    <w:rsid w:val="00690C4E"/>
    <w:rsid w:val="00690DE3"/>
    <w:rsid w:val="00690E84"/>
    <w:rsid w:val="00690EE4"/>
    <w:rsid w:val="0069108A"/>
    <w:rsid w:val="00691187"/>
    <w:rsid w:val="006913E2"/>
    <w:rsid w:val="00692124"/>
    <w:rsid w:val="006921E9"/>
    <w:rsid w:val="006922B7"/>
    <w:rsid w:val="006924A0"/>
    <w:rsid w:val="00692B2A"/>
    <w:rsid w:val="00692D42"/>
    <w:rsid w:val="00692FED"/>
    <w:rsid w:val="00693303"/>
    <w:rsid w:val="00693337"/>
    <w:rsid w:val="0069339F"/>
    <w:rsid w:val="006934F0"/>
    <w:rsid w:val="006935C5"/>
    <w:rsid w:val="00693B52"/>
    <w:rsid w:val="00694030"/>
    <w:rsid w:val="00694085"/>
    <w:rsid w:val="00694264"/>
    <w:rsid w:val="00694996"/>
    <w:rsid w:val="0069522D"/>
    <w:rsid w:val="0069573D"/>
    <w:rsid w:val="00695E0B"/>
    <w:rsid w:val="00696167"/>
    <w:rsid w:val="006965E9"/>
    <w:rsid w:val="006967CA"/>
    <w:rsid w:val="00697331"/>
    <w:rsid w:val="00697D1F"/>
    <w:rsid w:val="006A05AD"/>
    <w:rsid w:val="006A0834"/>
    <w:rsid w:val="006A0C4F"/>
    <w:rsid w:val="006A1C92"/>
    <w:rsid w:val="006A1F5C"/>
    <w:rsid w:val="006A24A5"/>
    <w:rsid w:val="006A2BE2"/>
    <w:rsid w:val="006A2DD7"/>
    <w:rsid w:val="006A32D1"/>
    <w:rsid w:val="006A32FB"/>
    <w:rsid w:val="006A3468"/>
    <w:rsid w:val="006A3691"/>
    <w:rsid w:val="006A3C43"/>
    <w:rsid w:val="006A3DD0"/>
    <w:rsid w:val="006A3E33"/>
    <w:rsid w:val="006A3E99"/>
    <w:rsid w:val="006A4277"/>
    <w:rsid w:val="006A570B"/>
    <w:rsid w:val="006A5723"/>
    <w:rsid w:val="006A58CA"/>
    <w:rsid w:val="006A6141"/>
    <w:rsid w:val="006A62E7"/>
    <w:rsid w:val="006A64FA"/>
    <w:rsid w:val="006A7037"/>
    <w:rsid w:val="006A71C1"/>
    <w:rsid w:val="006A735C"/>
    <w:rsid w:val="006A744C"/>
    <w:rsid w:val="006A7B24"/>
    <w:rsid w:val="006B0109"/>
    <w:rsid w:val="006B0370"/>
    <w:rsid w:val="006B0A83"/>
    <w:rsid w:val="006B0DC9"/>
    <w:rsid w:val="006B1016"/>
    <w:rsid w:val="006B10A2"/>
    <w:rsid w:val="006B12D8"/>
    <w:rsid w:val="006B2605"/>
    <w:rsid w:val="006B2780"/>
    <w:rsid w:val="006B2BC6"/>
    <w:rsid w:val="006B339E"/>
    <w:rsid w:val="006B4233"/>
    <w:rsid w:val="006B442C"/>
    <w:rsid w:val="006B4AC3"/>
    <w:rsid w:val="006B4BD1"/>
    <w:rsid w:val="006B4F7E"/>
    <w:rsid w:val="006B50E8"/>
    <w:rsid w:val="006B52CC"/>
    <w:rsid w:val="006B5F24"/>
    <w:rsid w:val="006B5FF3"/>
    <w:rsid w:val="006B626C"/>
    <w:rsid w:val="006B62D6"/>
    <w:rsid w:val="006B7007"/>
    <w:rsid w:val="006B706B"/>
    <w:rsid w:val="006B755A"/>
    <w:rsid w:val="006B75BB"/>
    <w:rsid w:val="006C01C1"/>
    <w:rsid w:val="006C0702"/>
    <w:rsid w:val="006C097A"/>
    <w:rsid w:val="006C1F54"/>
    <w:rsid w:val="006C2872"/>
    <w:rsid w:val="006C29D3"/>
    <w:rsid w:val="006C29DC"/>
    <w:rsid w:val="006C2BBD"/>
    <w:rsid w:val="006C356E"/>
    <w:rsid w:val="006C378F"/>
    <w:rsid w:val="006C3ADE"/>
    <w:rsid w:val="006C44B7"/>
    <w:rsid w:val="006C4BE3"/>
    <w:rsid w:val="006C4EC9"/>
    <w:rsid w:val="006C5142"/>
    <w:rsid w:val="006C53CF"/>
    <w:rsid w:val="006C5790"/>
    <w:rsid w:val="006C5C35"/>
    <w:rsid w:val="006C5C91"/>
    <w:rsid w:val="006C5D58"/>
    <w:rsid w:val="006C6383"/>
    <w:rsid w:val="006C656F"/>
    <w:rsid w:val="006C6D01"/>
    <w:rsid w:val="006C710A"/>
    <w:rsid w:val="006D03C6"/>
    <w:rsid w:val="006D0CE6"/>
    <w:rsid w:val="006D2429"/>
    <w:rsid w:val="006D296C"/>
    <w:rsid w:val="006D31C3"/>
    <w:rsid w:val="006D3682"/>
    <w:rsid w:val="006D3ADE"/>
    <w:rsid w:val="006D3CD1"/>
    <w:rsid w:val="006D4562"/>
    <w:rsid w:val="006D4C14"/>
    <w:rsid w:val="006D4DE7"/>
    <w:rsid w:val="006D4FA4"/>
    <w:rsid w:val="006D5956"/>
    <w:rsid w:val="006D599C"/>
    <w:rsid w:val="006D5F5C"/>
    <w:rsid w:val="006D6829"/>
    <w:rsid w:val="006D6ABF"/>
    <w:rsid w:val="006D739A"/>
    <w:rsid w:val="006D7A56"/>
    <w:rsid w:val="006E02CF"/>
    <w:rsid w:val="006E0623"/>
    <w:rsid w:val="006E1183"/>
    <w:rsid w:val="006E122D"/>
    <w:rsid w:val="006E18F7"/>
    <w:rsid w:val="006E1AB4"/>
    <w:rsid w:val="006E1C2A"/>
    <w:rsid w:val="006E1F8F"/>
    <w:rsid w:val="006E26D0"/>
    <w:rsid w:val="006E28E3"/>
    <w:rsid w:val="006E33B3"/>
    <w:rsid w:val="006E4261"/>
    <w:rsid w:val="006E4467"/>
    <w:rsid w:val="006E4971"/>
    <w:rsid w:val="006E4BA1"/>
    <w:rsid w:val="006E550E"/>
    <w:rsid w:val="006E5D34"/>
    <w:rsid w:val="006E5DCC"/>
    <w:rsid w:val="006E6181"/>
    <w:rsid w:val="006E70C4"/>
    <w:rsid w:val="006E74F6"/>
    <w:rsid w:val="006E7D7D"/>
    <w:rsid w:val="006F09D2"/>
    <w:rsid w:val="006F0D0A"/>
    <w:rsid w:val="006F1F10"/>
    <w:rsid w:val="006F2FBF"/>
    <w:rsid w:val="006F36E4"/>
    <w:rsid w:val="006F3D0B"/>
    <w:rsid w:val="006F4227"/>
    <w:rsid w:val="006F46F1"/>
    <w:rsid w:val="006F49F2"/>
    <w:rsid w:val="006F5319"/>
    <w:rsid w:val="006F62C4"/>
    <w:rsid w:val="006F7955"/>
    <w:rsid w:val="006F7D22"/>
    <w:rsid w:val="006F7F7C"/>
    <w:rsid w:val="007007F0"/>
    <w:rsid w:val="00703401"/>
    <w:rsid w:val="007035DD"/>
    <w:rsid w:val="00703F61"/>
    <w:rsid w:val="0070445A"/>
    <w:rsid w:val="007045FC"/>
    <w:rsid w:val="007047F5"/>
    <w:rsid w:val="00705451"/>
    <w:rsid w:val="007059C4"/>
    <w:rsid w:val="00705A4C"/>
    <w:rsid w:val="00705B1E"/>
    <w:rsid w:val="00705E05"/>
    <w:rsid w:val="007060D9"/>
    <w:rsid w:val="007061DF"/>
    <w:rsid w:val="0070624D"/>
    <w:rsid w:val="007063C2"/>
    <w:rsid w:val="007067D2"/>
    <w:rsid w:val="0070738F"/>
    <w:rsid w:val="007074F6"/>
    <w:rsid w:val="0070791D"/>
    <w:rsid w:val="00707A94"/>
    <w:rsid w:val="00707C1E"/>
    <w:rsid w:val="00710D8A"/>
    <w:rsid w:val="00710ECE"/>
    <w:rsid w:val="00710F79"/>
    <w:rsid w:val="00710FAB"/>
    <w:rsid w:val="00711173"/>
    <w:rsid w:val="007112EB"/>
    <w:rsid w:val="007118CF"/>
    <w:rsid w:val="00712826"/>
    <w:rsid w:val="00714096"/>
    <w:rsid w:val="00714357"/>
    <w:rsid w:val="007144B9"/>
    <w:rsid w:val="0071456F"/>
    <w:rsid w:val="00714814"/>
    <w:rsid w:val="00714A4B"/>
    <w:rsid w:val="00715AF3"/>
    <w:rsid w:val="0071664B"/>
    <w:rsid w:val="007168ED"/>
    <w:rsid w:val="00716A08"/>
    <w:rsid w:val="00716C8C"/>
    <w:rsid w:val="0071785D"/>
    <w:rsid w:val="00717C43"/>
    <w:rsid w:val="00720537"/>
    <w:rsid w:val="00720B11"/>
    <w:rsid w:val="00721F83"/>
    <w:rsid w:val="007220B2"/>
    <w:rsid w:val="00722478"/>
    <w:rsid w:val="00722D24"/>
    <w:rsid w:val="00722DB9"/>
    <w:rsid w:val="0072320E"/>
    <w:rsid w:val="00723799"/>
    <w:rsid w:val="00724149"/>
    <w:rsid w:val="007241CD"/>
    <w:rsid w:val="00725069"/>
    <w:rsid w:val="007250D9"/>
    <w:rsid w:val="00725F95"/>
    <w:rsid w:val="007260C2"/>
    <w:rsid w:val="007262CA"/>
    <w:rsid w:val="00726583"/>
    <w:rsid w:val="00726DB1"/>
    <w:rsid w:val="00727C98"/>
    <w:rsid w:val="00727F83"/>
    <w:rsid w:val="007301C7"/>
    <w:rsid w:val="00730FFA"/>
    <w:rsid w:val="00732696"/>
    <w:rsid w:val="00732A94"/>
    <w:rsid w:val="00732FCE"/>
    <w:rsid w:val="0073314A"/>
    <w:rsid w:val="00733459"/>
    <w:rsid w:val="007337C2"/>
    <w:rsid w:val="007338CE"/>
    <w:rsid w:val="00734501"/>
    <w:rsid w:val="0073474E"/>
    <w:rsid w:val="00734953"/>
    <w:rsid w:val="00735346"/>
    <w:rsid w:val="007357D9"/>
    <w:rsid w:val="00735A3C"/>
    <w:rsid w:val="007366A1"/>
    <w:rsid w:val="0073678C"/>
    <w:rsid w:val="00736BD5"/>
    <w:rsid w:val="00736C1B"/>
    <w:rsid w:val="00740056"/>
    <w:rsid w:val="00740302"/>
    <w:rsid w:val="00740BF1"/>
    <w:rsid w:val="00740C41"/>
    <w:rsid w:val="00740EF2"/>
    <w:rsid w:val="00741B74"/>
    <w:rsid w:val="00741BDE"/>
    <w:rsid w:val="00742479"/>
    <w:rsid w:val="007433FF"/>
    <w:rsid w:val="00743673"/>
    <w:rsid w:val="007436B6"/>
    <w:rsid w:val="007436CE"/>
    <w:rsid w:val="00743742"/>
    <w:rsid w:val="0074397A"/>
    <w:rsid w:val="00743D43"/>
    <w:rsid w:val="00743F05"/>
    <w:rsid w:val="007444B6"/>
    <w:rsid w:val="00744658"/>
    <w:rsid w:val="00744C36"/>
    <w:rsid w:val="00745549"/>
    <w:rsid w:val="00745839"/>
    <w:rsid w:val="00745F32"/>
    <w:rsid w:val="00746CB8"/>
    <w:rsid w:val="007470DE"/>
    <w:rsid w:val="00747682"/>
    <w:rsid w:val="00747D68"/>
    <w:rsid w:val="00747EB5"/>
    <w:rsid w:val="00750424"/>
    <w:rsid w:val="00750542"/>
    <w:rsid w:val="00750BF7"/>
    <w:rsid w:val="00750DA4"/>
    <w:rsid w:val="00751000"/>
    <w:rsid w:val="007513BF"/>
    <w:rsid w:val="007515E0"/>
    <w:rsid w:val="00751948"/>
    <w:rsid w:val="00751E0C"/>
    <w:rsid w:val="0075229F"/>
    <w:rsid w:val="00752589"/>
    <w:rsid w:val="007527B7"/>
    <w:rsid w:val="00752B12"/>
    <w:rsid w:val="0075336D"/>
    <w:rsid w:val="00753AB2"/>
    <w:rsid w:val="00754C98"/>
    <w:rsid w:val="00755E5D"/>
    <w:rsid w:val="0075603B"/>
    <w:rsid w:val="0075654B"/>
    <w:rsid w:val="0076073F"/>
    <w:rsid w:val="00760937"/>
    <w:rsid w:val="0076096B"/>
    <w:rsid w:val="00760A3D"/>
    <w:rsid w:val="007617B4"/>
    <w:rsid w:val="007628DC"/>
    <w:rsid w:val="007630C1"/>
    <w:rsid w:val="0076377D"/>
    <w:rsid w:val="00763D9B"/>
    <w:rsid w:val="00763DE7"/>
    <w:rsid w:val="007640D9"/>
    <w:rsid w:val="007643B4"/>
    <w:rsid w:val="007651E1"/>
    <w:rsid w:val="00765295"/>
    <w:rsid w:val="00765FA9"/>
    <w:rsid w:val="007667DB"/>
    <w:rsid w:val="0076734B"/>
    <w:rsid w:val="0076761C"/>
    <w:rsid w:val="00770616"/>
    <w:rsid w:val="00770C08"/>
    <w:rsid w:val="007710B6"/>
    <w:rsid w:val="007717D0"/>
    <w:rsid w:val="007717E7"/>
    <w:rsid w:val="0077218A"/>
    <w:rsid w:val="00772551"/>
    <w:rsid w:val="007728F2"/>
    <w:rsid w:val="0077335C"/>
    <w:rsid w:val="007733D5"/>
    <w:rsid w:val="00773A72"/>
    <w:rsid w:val="00774183"/>
    <w:rsid w:val="00774984"/>
    <w:rsid w:val="00774A2D"/>
    <w:rsid w:val="00774DB9"/>
    <w:rsid w:val="00775806"/>
    <w:rsid w:val="00775D61"/>
    <w:rsid w:val="00776478"/>
    <w:rsid w:val="00776752"/>
    <w:rsid w:val="007769A9"/>
    <w:rsid w:val="00776E96"/>
    <w:rsid w:val="00776F27"/>
    <w:rsid w:val="00776FC6"/>
    <w:rsid w:val="00777B27"/>
    <w:rsid w:val="00777B94"/>
    <w:rsid w:val="00780A4A"/>
    <w:rsid w:val="007822DB"/>
    <w:rsid w:val="0078236D"/>
    <w:rsid w:val="007827B0"/>
    <w:rsid w:val="00783FB0"/>
    <w:rsid w:val="00784F27"/>
    <w:rsid w:val="007854D7"/>
    <w:rsid w:val="00785524"/>
    <w:rsid w:val="00785765"/>
    <w:rsid w:val="007862D6"/>
    <w:rsid w:val="007862FA"/>
    <w:rsid w:val="0078630C"/>
    <w:rsid w:val="00786312"/>
    <w:rsid w:val="00786763"/>
    <w:rsid w:val="007870C4"/>
    <w:rsid w:val="007876BA"/>
    <w:rsid w:val="00787C9D"/>
    <w:rsid w:val="00787DD3"/>
    <w:rsid w:val="007901A4"/>
    <w:rsid w:val="007904E7"/>
    <w:rsid w:val="007905D2"/>
    <w:rsid w:val="0079098A"/>
    <w:rsid w:val="00791139"/>
    <w:rsid w:val="0079376C"/>
    <w:rsid w:val="00793A8B"/>
    <w:rsid w:val="007940DA"/>
    <w:rsid w:val="00794A7B"/>
    <w:rsid w:val="00794F3B"/>
    <w:rsid w:val="0079516C"/>
    <w:rsid w:val="007951D3"/>
    <w:rsid w:val="00795D04"/>
    <w:rsid w:val="00796A5C"/>
    <w:rsid w:val="00796CD2"/>
    <w:rsid w:val="00797AEB"/>
    <w:rsid w:val="00797DFF"/>
    <w:rsid w:val="00797F7E"/>
    <w:rsid w:val="007A11C8"/>
    <w:rsid w:val="007A19CD"/>
    <w:rsid w:val="007A23CC"/>
    <w:rsid w:val="007A2A3A"/>
    <w:rsid w:val="007A2E5C"/>
    <w:rsid w:val="007A3BA1"/>
    <w:rsid w:val="007A4DA7"/>
    <w:rsid w:val="007A533B"/>
    <w:rsid w:val="007A55B5"/>
    <w:rsid w:val="007A59E2"/>
    <w:rsid w:val="007A5A58"/>
    <w:rsid w:val="007A5BD8"/>
    <w:rsid w:val="007A62C4"/>
    <w:rsid w:val="007A6787"/>
    <w:rsid w:val="007A6A25"/>
    <w:rsid w:val="007A77C9"/>
    <w:rsid w:val="007A78E5"/>
    <w:rsid w:val="007A79A6"/>
    <w:rsid w:val="007A7FD3"/>
    <w:rsid w:val="007B05F1"/>
    <w:rsid w:val="007B0C53"/>
    <w:rsid w:val="007B1F33"/>
    <w:rsid w:val="007B20F6"/>
    <w:rsid w:val="007B2983"/>
    <w:rsid w:val="007B2E3F"/>
    <w:rsid w:val="007B318F"/>
    <w:rsid w:val="007B357E"/>
    <w:rsid w:val="007B38A7"/>
    <w:rsid w:val="007B3A64"/>
    <w:rsid w:val="007B3B00"/>
    <w:rsid w:val="007B3BA0"/>
    <w:rsid w:val="007B3BAD"/>
    <w:rsid w:val="007B3FAB"/>
    <w:rsid w:val="007B4392"/>
    <w:rsid w:val="007B4409"/>
    <w:rsid w:val="007B450A"/>
    <w:rsid w:val="007B4B60"/>
    <w:rsid w:val="007B58E0"/>
    <w:rsid w:val="007B74B0"/>
    <w:rsid w:val="007B7C85"/>
    <w:rsid w:val="007C09CD"/>
    <w:rsid w:val="007C0C6C"/>
    <w:rsid w:val="007C1AFF"/>
    <w:rsid w:val="007C1DA6"/>
    <w:rsid w:val="007C338C"/>
    <w:rsid w:val="007C37EA"/>
    <w:rsid w:val="007C38AC"/>
    <w:rsid w:val="007C49ED"/>
    <w:rsid w:val="007C4BBF"/>
    <w:rsid w:val="007C4D9A"/>
    <w:rsid w:val="007C6789"/>
    <w:rsid w:val="007C6A90"/>
    <w:rsid w:val="007C6C22"/>
    <w:rsid w:val="007C70B5"/>
    <w:rsid w:val="007C70E1"/>
    <w:rsid w:val="007C7992"/>
    <w:rsid w:val="007C7BF2"/>
    <w:rsid w:val="007C7DEE"/>
    <w:rsid w:val="007D0995"/>
    <w:rsid w:val="007D0A9F"/>
    <w:rsid w:val="007D134A"/>
    <w:rsid w:val="007D16B9"/>
    <w:rsid w:val="007D3C11"/>
    <w:rsid w:val="007D4ACD"/>
    <w:rsid w:val="007D4D2A"/>
    <w:rsid w:val="007D61EA"/>
    <w:rsid w:val="007D65E4"/>
    <w:rsid w:val="007D744F"/>
    <w:rsid w:val="007D7855"/>
    <w:rsid w:val="007D7949"/>
    <w:rsid w:val="007D7987"/>
    <w:rsid w:val="007D7A15"/>
    <w:rsid w:val="007D7B04"/>
    <w:rsid w:val="007D7D02"/>
    <w:rsid w:val="007D7F8C"/>
    <w:rsid w:val="007E0B9B"/>
    <w:rsid w:val="007E0CA6"/>
    <w:rsid w:val="007E0CAB"/>
    <w:rsid w:val="007E0DA8"/>
    <w:rsid w:val="007E0E73"/>
    <w:rsid w:val="007E25BE"/>
    <w:rsid w:val="007E2A0B"/>
    <w:rsid w:val="007E2B1A"/>
    <w:rsid w:val="007E3277"/>
    <w:rsid w:val="007E35B2"/>
    <w:rsid w:val="007E36AC"/>
    <w:rsid w:val="007E412A"/>
    <w:rsid w:val="007E4A25"/>
    <w:rsid w:val="007E502F"/>
    <w:rsid w:val="007E51BE"/>
    <w:rsid w:val="007E52AE"/>
    <w:rsid w:val="007E53D3"/>
    <w:rsid w:val="007E5640"/>
    <w:rsid w:val="007E5954"/>
    <w:rsid w:val="007E5D88"/>
    <w:rsid w:val="007E5F41"/>
    <w:rsid w:val="007E5F87"/>
    <w:rsid w:val="007E733A"/>
    <w:rsid w:val="007E7B92"/>
    <w:rsid w:val="007F0036"/>
    <w:rsid w:val="007F1341"/>
    <w:rsid w:val="007F1A03"/>
    <w:rsid w:val="007F2DD4"/>
    <w:rsid w:val="007F35A6"/>
    <w:rsid w:val="007F3889"/>
    <w:rsid w:val="007F3DFA"/>
    <w:rsid w:val="007F3F5A"/>
    <w:rsid w:val="007F4495"/>
    <w:rsid w:val="007F4A58"/>
    <w:rsid w:val="007F4B4C"/>
    <w:rsid w:val="007F4DCD"/>
    <w:rsid w:val="007F516D"/>
    <w:rsid w:val="007F53CA"/>
    <w:rsid w:val="007F553D"/>
    <w:rsid w:val="007F59C2"/>
    <w:rsid w:val="007F68DB"/>
    <w:rsid w:val="007F6AC4"/>
    <w:rsid w:val="007F6CB5"/>
    <w:rsid w:val="007F724E"/>
    <w:rsid w:val="008003D4"/>
    <w:rsid w:val="008019F4"/>
    <w:rsid w:val="00801EED"/>
    <w:rsid w:val="00801F1D"/>
    <w:rsid w:val="00802178"/>
    <w:rsid w:val="0080233A"/>
    <w:rsid w:val="00802517"/>
    <w:rsid w:val="0080274A"/>
    <w:rsid w:val="008035E5"/>
    <w:rsid w:val="0080362E"/>
    <w:rsid w:val="00803770"/>
    <w:rsid w:val="00804E7D"/>
    <w:rsid w:val="00805626"/>
    <w:rsid w:val="00805EF1"/>
    <w:rsid w:val="008063F3"/>
    <w:rsid w:val="00807017"/>
    <w:rsid w:val="00807497"/>
    <w:rsid w:val="0081004B"/>
    <w:rsid w:val="008101D3"/>
    <w:rsid w:val="008101EC"/>
    <w:rsid w:val="00810F3E"/>
    <w:rsid w:val="00811D29"/>
    <w:rsid w:val="00811F89"/>
    <w:rsid w:val="008125A0"/>
    <w:rsid w:val="00812865"/>
    <w:rsid w:val="008128A1"/>
    <w:rsid w:val="00814946"/>
    <w:rsid w:val="00815345"/>
    <w:rsid w:val="00815CF9"/>
    <w:rsid w:val="0081647B"/>
    <w:rsid w:val="008169A2"/>
    <w:rsid w:val="00816BAD"/>
    <w:rsid w:val="00817143"/>
    <w:rsid w:val="0081777B"/>
    <w:rsid w:val="008179B5"/>
    <w:rsid w:val="00820CA3"/>
    <w:rsid w:val="008218FA"/>
    <w:rsid w:val="00821927"/>
    <w:rsid w:val="00821B46"/>
    <w:rsid w:val="00821BD4"/>
    <w:rsid w:val="00821C26"/>
    <w:rsid w:val="00822684"/>
    <w:rsid w:val="008227A7"/>
    <w:rsid w:val="00822B46"/>
    <w:rsid w:val="00822E8A"/>
    <w:rsid w:val="008244D3"/>
    <w:rsid w:val="00824905"/>
    <w:rsid w:val="00824AD9"/>
    <w:rsid w:val="00825A62"/>
    <w:rsid w:val="0082624B"/>
    <w:rsid w:val="00826BE1"/>
    <w:rsid w:val="008271EE"/>
    <w:rsid w:val="00827D31"/>
    <w:rsid w:val="00827E85"/>
    <w:rsid w:val="00827EFA"/>
    <w:rsid w:val="00830145"/>
    <w:rsid w:val="00830CA9"/>
    <w:rsid w:val="0083138F"/>
    <w:rsid w:val="00832233"/>
    <w:rsid w:val="00832759"/>
    <w:rsid w:val="008328FF"/>
    <w:rsid w:val="00832CB9"/>
    <w:rsid w:val="00832F1A"/>
    <w:rsid w:val="00833324"/>
    <w:rsid w:val="008333BA"/>
    <w:rsid w:val="00835AC6"/>
    <w:rsid w:val="00836A9E"/>
    <w:rsid w:val="00836C5C"/>
    <w:rsid w:val="0084011B"/>
    <w:rsid w:val="00840123"/>
    <w:rsid w:val="00840669"/>
    <w:rsid w:val="008406C0"/>
    <w:rsid w:val="00840CCA"/>
    <w:rsid w:val="00841142"/>
    <w:rsid w:val="00841B13"/>
    <w:rsid w:val="00842BC0"/>
    <w:rsid w:val="00843713"/>
    <w:rsid w:val="00843AE2"/>
    <w:rsid w:val="00843C62"/>
    <w:rsid w:val="00843C6B"/>
    <w:rsid w:val="0084458B"/>
    <w:rsid w:val="00844779"/>
    <w:rsid w:val="00845EE2"/>
    <w:rsid w:val="008461E4"/>
    <w:rsid w:val="0084675F"/>
    <w:rsid w:val="0084695D"/>
    <w:rsid w:val="0084706C"/>
    <w:rsid w:val="00847218"/>
    <w:rsid w:val="008474E9"/>
    <w:rsid w:val="0084756E"/>
    <w:rsid w:val="008478C1"/>
    <w:rsid w:val="008479A2"/>
    <w:rsid w:val="008479DC"/>
    <w:rsid w:val="008503B4"/>
    <w:rsid w:val="00850604"/>
    <w:rsid w:val="00850EB9"/>
    <w:rsid w:val="00851085"/>
    <w:rsid w:val="00851447"/>
    <w:rsid w:val="00851D61"/>
    <w:rsid w:val="0085208A"/>
    <w:rsid w:val="00852337"/>
    <w:rsid w:val="00852D66"/>
    <w:rsid w:val="00852FEC"/>
    <w:rsid w:val="008532FA"/>
    <w:rsid w:val="00853BCA"/>
    <w:rsid w:val="00853DE5"/>
    <w:rsid w:val="00854399"/>
    <w:rsid w:val="00855B64"/>
    <w:rsid w:val="00856346"/>
    <w:rsid w:val="00856401"/>
    <w:rsid w:val="00857F2F"/>
    <w:rsid w:val="00860139"/>
    <w:rsid w:val="00860266"/>
    <w:rsid w:val="00860722"/>
    <w:rsid w:val="00860723"/>
    <w:rsid w:val="00861461"/>
    <w:rsid w:val="00861BEC"/>
    <w:rsid w:val="008621F6"/>
    <w:rsid w:val="00862640"/>
    <w:rsid w:val="008632C2"/>
    <w:rsid w:val="00863344"/>
    <w:rsid w:val="00863491"/>
    <w:rsid w:val="00863593"/>
    <w:rsid w:val="00864188"/>
    <w:rsid w:val="008642CF"/>
    <w:rsid w:val="0086564C"/>
    <w:rsid w:val="00865E87"/>
    <w:rsid w:val="00866B1D"/>
    <w:rsid w:val="008673BD"/>
    <w:rsid w:val="00867759"/>
    <w:rsid w:val="00871F5B"/>
    <w:rsid w:val="008726AD"/>
    <w:rsid w:val="00872BC4"/>
    <w:rsid w:val="00872CA1"/>
    <w:rsid w:val="008734B9"/>
    <w:rsid w:val="0087364A"/>
    <w:rsid w:val="00873C71"/>
    <w:rsid w:val="00873D35"/>
    <w:rsid w:val="00873D95"/>
    <w:rsid w:val="00874706"/>
    <w:rsid w:val="00874B17"/>
    <w:rsid w:val="00875423"/>
    <w:rsid w:val="00875998"/>
    <w:rsid w:val="00875F2D"/>
    <w:rsid w:val="00875F9E"/>
    <w:rsid w:val="0087616E"/>
    <w:rsid w:val="00876FFB"/>
    <w:rsid w:val="00877091"/>
    <w:rsid w:val="008771BE"/>
    <w:rsid w:val="00877242"/>
    <w:rsid w:val="00877587"/>
    <w:rsid w:val="00881B8E"/>
    <w:rsid w:val="008825E9"/>
    <w:rsid w:val="008829DC"/>
    <w:rsid w:val="008838E0"/>
    <w:rsid w:val="00883BC7"/>
    <w:rsid w:val="008845B3"/>
    <w:rsid w:val="00884F61"/>
    <w:rsid w:val="00885779"/>
    <w:rsid w:val="00885B88"/>
    <w:rsid w:val="00885C20"/>
    <w:rsid w:val="008866EE"/>
    <w:rsid w:val="00886CC3"/>
    <w:rsid w:val="0088716B"/>
    <w:rsid w:val="008871E6"/>
    <w:rsid w:val="00891746"/>
    <w:rsid w:val="00891786"/>
    <w:rsid w:val="00891CF6"/>
    <w:rsid w:val="008921E3"/>
    <w:rsid w:val="008922D9"/>
    <w:rsid w:val="00893DD6"/>
    <w:rsid w:val="00893DEA"/>
    <w:rsid w:val="00894915"/>
    <w:rsid w:val="008954BC"/>
    <w:rsid w:val="008959D7"/>
    <w:rsid w:val="0089611A"/>
    <w:rsid w:val="00896396"/>
    <w:rsid w:val="0089709F"/>
    <w:rsid w:val="00897A00"/>
    <w:rsid w:val="008A0771"/>
    <w:rsid w:val="008A0E14"/>
    <w:rsid w:val="008A19FB"/>
    <w:rsid w:val="008A1CBD"/>
    <w:rsid w:val="008A1D38"/>
    <w:rsid w:val="008A1F7F"/>
    <w:rsid w:val="008A2393"/>
    <w:rsid w:val="008A29E7"/>
    <w:rsid w:val="008A2A70"/>
    <w:rsid w:val="008A2FD0"/>
    <w:rsid w:val="008A33E3"/>
    <w:rsid w:val="008A3425"/>
    <w:rsid w:val="008A383E"/>
    <w:rsid w:val="008A3908"/>
    <w:rsid w:val="008A397B"/>
    <w:rsid w:val="008A3E32"/>
    <w:rsid w:val="008A3E52"/>
    <w:rsid w:val="008A41F0"/>
    <w:rsid w:val="008A4A62"/>
    <w:rsid w:val="008A52AB"/>
    <w:rsid w:val="008A59BF"/>
    <w:rsid w:val="008A5AA9"/>
    <w:rsid w:val="008A61BF"/>
    <w:rsid w:val="008A6668"/>
    <w:rsid w:val="008A78FF"/>
    <w:rsid w:val="008A7C3C"/>
    <w:rsid w:val="008A7D8D"/>
    <w:rsid w:val="008A7EB7"/>
    <w:rsid w:val="008A7FBC"/>
    <w:rsid w:val="008B005F"/>
    <w:rsid w:val="008B02E6"/>
    <w:rsid w:val="008B09C8"/>
    <w:rsid w:val="008B0B3C"/>
    <w:rsid w:val="008B0F64"/>
    <w:rsid w:val="008B135B"/>
    <w:rsid w:val="008B16FD"/>
    <w:rsid w:val="008B174E"/>
    <w:rsid w:val="008B3434"/>
    <w:rsid w:val="008B3F5F"/>
    <w:rsid w:val="008B3F7E"/>
    <w:rsid w:val="008B447F"/>
    <w:rsid w:val="008B4D10"/>
    <w:rsid w:val="008B4EED"/>
    <w:rsid w:val="008B53DC"/>
    <w:rsid w:val="008B61BA"/>
    <w:rsid w:val="008B6679"/>
    <w:rsid w:val="008B6B8F"/>
    <w:rsid w:val="008B737A"/>
    <w:rsid w:val="008B7B4C"/>
    <w:rsid w:val="008B7BB3"/>
    <w:rsid w:val="008C0F29"/>
    <w:rsid w:val="008C1315"/>
    <w:rsid w:val="008C14D5"/>
    <w:rsid w:val="008C1955"/>
    <w:rsid w:val="008C1C7A"/>
    <w:rsid w:val="008C1CB6"/>
    <w:rsid w:val="008C1CE5"/>
    <w:rsid w:val="008C2071"/>
    <w:rsid w:val="008C2148"/>
    <w:rsid w:val="008C30D5"/>
    <w:rsid w:val="008C354B"/>
    <w:rsid w:val="008C36DE"/>
    <w:rsid w:val="008C4DC8"/>
    <w:rsid w:val="008C53D4"/>
    <w:rsid w:val="008C57F4"/>
    <w:rsid w:val="008C5D41"/>
    <w:rsid w:val="008C5D48"/>
    <w:rsid w:val="008C5DEC"/>
    <w:rsid w:val="008C695E"/>
    <w:rsid w:val="008C71E2"/>
    <w:rsid w:val="008C72A1"/>
    <w:rsid w:val="008C759B"/>
    <w:rsid w:val="008C78F1"/>
    <w:rsid w:val="008D0088"/>
    <w:rsid w:val="008D143C"/>
    <w:rsid w:val="008D2088"/>
    <w:rsid w:val="008D2269"/>
    <w:rsid w:val="008D408E"/>
    <w:rsid w:val="008D4937"/>
    <w:rsid w:val="008D4DBF"/>
    <w:rsid w:val="008D52CF"/>
    <w:rsid w:val="008D53E1"/>
    <w:rsid w:val="008D5E88"/>
    <w:rsid w:val="008D62FD"/>
    <w:rsid w:val="008D73BF"/>
    <w:rsid w:val="008D7AC2"/>
    <w:rsid w:val="008D7BA8"/>
    <w:rsid w:val="008D7E0D"/>
    <w:rsid w:val="008E1DBA"/>
    <w:rsid w:val="008E221B"/>
    <w:rsid w:val="008E2FE4"/>
    <w:rsid w:val="008E31DD"/>
    <w:rsid w:val="008E3975"/>
    <w:rsid w:val="008E4408"/>
    <w:rsid w:val="008E4B15"/>
    <w:rsid w:val="008E510F"/>
    <w:rsid w:val="008E56E4"/>
    <w:rsid w:val="008E5A01"/>
    <w:rsid w:val="008E5C31"/>
    <w:rsid w:val="008E66DC"/>
    <w:rsid w:val="008E73DF"/>
    <w:rsid w:val="008E7730"/>
    <w:rsid w:val="008F02D2"/>
    <w:rsid w:val="008F03B6"/>
    <w:rsid w:val="008F1532"/>
    <w:rsid w:val="008F166B"/>
    <w:rsid w:val="008F1782"/>
    <w:rsid w:val="008F19DD"/>
    <w:rsid w:val="008F1ADE"/>
    <w:rsid w:val="008F1CDB"/>
    <w:rsid w:val="008F210E"/>
    <w:rsid w:val="008F286A"/>
    <w:rsid w:val="008F2DE0"/>
    <w:rsid w:val="008F415C"/>
    <w:rsid w:val="008F4E90"/>
    <w:rsid w:val="008F4EE9"/>
    <w:rsid w:val="008F53EF"/>
    <w:rsid w:val="008F5698"/>
    <w:rsid w:val="008F6C64"/>
    <w:rsid w:val="008F6EBA"/>
    <w:rsid w:val="008F79B2"/>
    <w:rsid w:val="008F7AAB"/>
    <w:rsid w:val="009009FC"/>
    <w:rsid w:val="00900C8B"/>
    <w:rsid w:val="00900E91"/>
    <w:rsid w:val="00901059"/>
    <w:rsid w:val="009010EF"/>
    <w:rsid w:val="00901D1D"/>
    <w:rsid w:val="00902022"/>
    <w:rsid w:val="0090288A"/>
    <w:rsid w:val="009036A3"/>
    <w:rsid w:val="00903AEE"/>
    <w:rsid w:val="0090412A"/>
    <w:rsid w:val="00904396"/>
    <w:rsid w:val="009077E4"/>
    <w:rsid w:val="00907C83"/>
    <w:rsid w:val="00910158"/>
    <w:rsid w:val="009101E9"/>
    <w:rsid w:val="009104B2"/>
    <w:rsid w:val="00910DF3"/>
    <w:rsid w:val="00911004"/>
    <w:rsid w:val="009115D5"/>
    <w:rsid w:val="009120DD"/>
    <w:rsid w:val="009123FE"/>
    <w:rsid w:val="009130E8"/>
    <w:rsid w:val="00913255"/>
    <w:rsid w:val="00913834"/>
    <w:rsid w:val="009140E6"/>
    <w:rsid w:val="00914127"/>
    <w:rsid w:val="00914C73"/>
    <w:rsid w:val="009156B7"/>
    <w:rsid w:val="00915872"/>
    <w:rsid w:val="00915B38"/>
    <w:rsid w:val="00915CD8"/>
    <w:rsid w:val="00916ACE"/>
    <w:rsid w:val="00916C0B"/>
    <w:rsid w:val="0091746C"/>
    <w:rsid w:val="0091751C"/>
    <w:rsid w:val="00917701"/>
    <w:rsid w:val="00921255"/>
    <w:rsid w:val="009214A9"/>
    <w:rsid w:val="00921A62"/>
    <w:rsid w:val="00921B4D"/>
    <w:rsid w:val="00922434"/>
    <w:rsid w:val="009227CE"/>
    <w:rsid w:val="009227E1"/>
    <w:rsid w:val="00922C78"/>
    <w:rsid w:val="009234F5"/>
    <w:rsid w:val="00923671"/>
    <w:rsid w:val="009238AC"/>
    <w:rsid w:val="0092416D"/>
    <w:rsid w:val="009243FA"/>
    <w:rsid w:val="00924807"/>
    <w:rsid w:val="009252DB"/>
    <w:rsid w:val="00925791"/>
    <w:rsid w:val="00925804"/>
    <w:rsid w:val="009258ED"/>
    <w:rsid w:val="0092613D"/>
    <w:rsid w:val="00926B0B"/>
    <w:rsid w:val="00926B76"/>
    <w:rsid w:val="00927B36"/>
    <w:rsid w:val="00927E0D"/>
    <w:rsid w:val="009300A4"/>
    <w:rsid w:val="00930286"/>
    <w:rsid w:val="009303CC"/>
    <w:rsid w:val="00930597"/>
    <w:rsid w:val="009306E2"/>
    <w:rsid w:val="00930D58"/>
    <w:rsid w:val="00930F1A"/>
    <w:rsid w:val="00931013"/>
    <w:rsid w:val="00931214"/>
    <w:rsid w:val="009313E9"/>
    <w:rsid w:val="009318E1"/>
    <w:rsid w:val="00932367"/>
    <w:rsid w:val="0093299D"/>
    <w:rsid w:val="00933116"/>
    <w:rsid w:val="009332B9"/>
    <w:rsid w:val="00933519"/>
    <w:rsid w:val="0093374F"/>
    <w:rsid w:val="00933CBE"/>
    <w:rsid w:val="00933E7F"/>
    <w:rsid w:val="00933FEB"/>
    <w:rsid w:val="009342C2"/>
    <w:rsid w:val="00934587"/>
    <w:rsid w:val="00934CD5"/>
    <w:rsid w:val="00935362"/>
    <w:rsid w:val="00935495"/>
    <w:rsid w:val="009356E8"/>
    <w:rsid w:val="00936461"/>
    <w:rsid w:val="0093659E"/>
    <w:rsid w:val="00937234"/>
    <w:rsid w:val="0093787F"/>
    <w:rsid w:val="00937CE1"/>
    <w:rsid w:val="009400C9"/>
    <w:rsid w:val="00940241"/>
    <w:rsid w:val="009403C9"/>
    <w:rsid w:val="00940A78"/>
    <w:rsid w:val="00940C84"/>
    <w:rsid w:val="00940D74"/>
    <w:rsid w:val="00941031"/>
    <w:rsid w:val="00941BD6"/>
    <w:rsid w:val="00941FB4"/>
    <w:rsid w:val="00941FD4"/>
    <w:rsid w:val="0094301B"/>
    <w:rsid w:val="00943A54"/>
    <w:rsid w:val="009441B7"/>
    <w:rsid w:val="009447A9"/>
    <w:rsid w:val="00944B3E"/>
    <w:rsid w:val="00944C3C"/>
    <w:rsid w:val="00945653"/>
    <w:rsid w:val="00945779"/>
    <w:rsid w:val="00945ECF"/>
    <w:rsid w:val="00945FB4"/>
    <w:rsid w:val="009462FD"/>
    <w:rsid w:val="009470FC"/>
    <w:rsid w:val="00947889"/>
    <w:rsid w:val="00947C81"/>
    <w:rsid w:val="00950052"/>
    <w:rsid w:val="0095043E"/>
    <w:rsid w:val="0095048E"/>
    <w:rsid w:val="0095052F"/>
    <w:rsid w:val="00950D38"/>
    <w:rsid w:val="009514EF"/>
    <w:rsid w:val="009516F2"/>
    <w:rsid w:val="009518EB"/>
    <w:rsid w:val="009527CC"/>
    <w:rsid w:val="00953033"/>
    <w:rsid w:val="009538EA"/>
    <w:rsid w:val="00953C0E"/>
    <w:rsid w:val="00953EA3"/>
    <w:rsid w:val="009545BC"/>
    <w:rsid w:val="00954823"/>
    <w:rsid w:val="009549D4"/>
    <w:rsid w:val="00954DFC"/>
    <w:rsid w:val="00955561"/>
    <w:rsid w:val="009557C5"/>
    <w:rsid w:val="00955C2B"/>
    <w:rsid w:val="009561A5"/>
    <w:rsid w:val="009568DD"/>
    <w:rsid w:val="00956AB7"/>
    <w:rsid w:val="00956BA1"/>
    <w:rsid w:val="00956BC9"/>
    <w:rsid w:val="00956CC9"/>
    <w:rsid w:val="00956E2E"/>
    <w:rsid w:val="009573F5"/>
    <w:rsid w:val="00957E9D"/>
    <w:rsid w:val="0096036C"/>
    <w:rsid w:val="009613B8"/>
    <w:rsid w:val="00961D12"/>
    <w:rsid w:val="00962008"/>
    <w:rsid w:val="00962096"/>
    <w:rsid w:val="009626CB"/>
    <w:rsid w:val="009627F7"/>
    <w:rsid w:val="00962D37"/>
    <w:rsid w:val="00963BB7"/>
    <w:rsid w:val="00963D6A"/>
    <w:rsid w:val="00963FDF"/>
    <w:rsid w:val="00964346"/>
    <w:rsid w:val="00964676"/>
    <w:rsid w:val="00964696"/>
    <w:rsid w:val="00964C69"/>
    <w:rsid w:val="00964DF4"/>
    <w:rsid w:val="00964E31"/>
    <w:rsid w:val="00964E52"/>
    <w:rsid w:val="0096556F"/>
    <w:rsid w:val="009655FC"/>
    <w:rsid w:val="00965758"/>
    <w:rsid w:val="00965BCE"/>
    <w:rsid w:val="00965C80"/>
    <w:rsid w:val="0096613E"/>
    <w:rsid w:val="00966205"/>
    <w:rsid w:val="0096675B"/>
    <w:rsid w:val="009670D3"/>
    <w:rsid w:val="00970832"/>
    <w:rsid w:val="00970A20"/>
    <w:rsid w:val="00971197"/>
    <w:rsid w:val="009712B6"/>
    <w:rsid w:val="00971549"/>
    <w:rsid w:val="0097181D"/>
    <w:rsid w:val="009718F8"/>
    <w:rsid w:val="00971CED"/>
    <w:rsid w:val="009720B9"/>
    <w:rsid w:val="00972995"/>
    <w:rsid w:val="00973D16"/>
    <w:rsid w:val="00974024"/>
    <w:rsid w:val="0097482B"/>
    <w:rsid w:val="00974B25"/>
    <w:rsid w:val="00974FCF"/>
    <w:rsid w:val="009755D0"/>
    <w:rsid w:val="00975676"/>
    <w:rsid w:val="0097774E"/>
    <w:rsid w:val="00977FF2"/>
    <w:rsid w:val="009801BB"/>
    <w:rsid w:val="009803C3"/>
    <w:rsid w:val="009803FC"/>
    <w:rsid w:val="00980554"/>
    <w:rsid w:val="00980CB6"/>
    <w:rsid w:val="00980D87"/>
    <w:rsid w:val="00981904"/>
    <w:rsid w:val="00981A83"/>
    <w:rsid w:val="00981BE2"/>
    <w:rsid w:val="00981F1B"/>
    <w:rsid w:val="00982752"/>
    <w:rsid w:val="00982843"/>
    <w:rsid w:val="009829C2"/>
    <w:rsid w:val="00982C4C"/>
    <w:rsid w:val="00983FD9"/>
    <w:rsid w:val="00984BD6"/>
    <w:rsid w:val="00984F8F"/>
    <w:rsid w:val="00984FB5"/>
    <w:rsid w:val="00984FF4"/>
    <w:rsid w:val="00985236"/>
    <w:rsid w:val="00985CDF"/>
    <w:rsid w:val="009862AC"/>
    <w:rsid w:val="00987B90"/>
    <w:rsid w:val="0099081E"/>
    <w:rsid w:val="009916CF"/>
    <w:rsid w:val="00991BC7"/>
    <w:rsid w:val="00991D24"/>
    <w:rsid w:val="009921AA"/>
    <w:rsid w:val="009925A5"/>
    <w:rsid w:val="00992E10"/>
    <w:rsid w:val="0099303B"/>
    <w:rsid w:val="00993C1A"/>
    <w:rsid w:val="00993D55"/>
    <w:rsid w:val="00994576"/>
    <w:rsid w:val="009945CE"/>
    <w:rsid w:val="00994718"/>
    <w:rsid w:val="00994918"/>
    <w:rsid w:val="009950D1"/>
    <w:rsid w:val="00995265"/>
    <w:rsid w:val="00995478"/>
    <w:rsid w:val="00996E0A"/>
    <w:rsid w:val="009974BC"/>
    <w:rsid w:val="009A0386"/>
    <w:rsid w:val="009A1427"/>
    <w:rsid w:val="009A2046"/>
    <w:rsid w:val="009A24C7"/>
    <w:rsid w:val="009A2AF3"/>
    <w:rsid w:val="009A2BEE"/>
    <w:rsid w:val="009A329F"/>
    <w:rsid w:val="009A4E6F"/>
    <w:rsid w:val="009A4F50"/>
    <w:rsid w:val="009A56B7"/>
    <w:rsid w:val="009A5A96"/>
    <w:rsid w:val="009A5CEF"/>
    <w:rsid w:val="009A7264"/>
    <w:rsid w:val="009A73EC"/>
    <w:rsid w:val="009A79E1"/>
    <w:rsid w:val="009A7DFA"/>
    <w:rsid w:val="009B0276"/>
    <w:rsid w:val="009B0B70"/>
    <w:rsid w:val="009B0E8A"/>
    <w:rsid w:val="009B1060"/>
    <w:rsid w:val="009B1074"/>
    <w:rsid w:val="009B1170"/>
    <w:rsid w:val="009B14FE"/>
    <w:rsid w:val="009B28E7"/>
    <w:rsid w:val="009B316C"/>
    <w:rsid w:val="009B31B2"/>
    <w:rsid w:val="009B369C"/>
    <w:rsid w:val="009B3FEA"/>
    <w:rsid w:val="009B474B"/>
    <w:rsid w:val="009B4C07"/>
    <w:rsid w:val="009B541B"/>
    <w:rsid w:val="009B594E"/>
    <w:rsid w:val="009B5F63"/>
    <w:rsid w:val="009B63DE"/>
    <w:rsid w:val="009B732D"/>
    <w:rsid w:val="009C0384"/>
    <w:rsid w:val="009C0F56"/>
    <w:rsid w:val="009C11E3"/>
    <w:rsid w:val="009C1DD9"/>
    <w:rsid w:val="009C1F2B"/>
    <w:rsid w:val="009C2375"/>
    <w:rsid w:val="009C243A"/>
    <w:rsid w:val="009C2BEB"/>
    <w:rsid w:val="009C4080"/>
    <w:rsid w:val="009C4333"/>
    <w:rsid w:val="009C548B"/>
    <w:rsid w:val="009C5536"/>
    <w:rsid w:val="009C60A0"/>
    <w:rsid w:val="009C66BA"/>
    <w:rsid w:val="009C6A36"/>
    <w:rsid w:val="009C75D0"/>
    <w:rsid w:val="009D0481"/>
    <w:rsid w:val="009D0C8C"/>
    <w:rsid w:val="009D0E69"/>
    <w:rsid w:val="009D0F6B"/>
    <w:rsid w:val="009D17DE"/>
    <w:rsid w:val="009D1E1F"/>
    <w:rsid w:val="009D21DD"/>
    <w:rsid w:val="009D2476"/>
    <w:rsid w:val="009D311B"/>
    <w:rsid w:val="009D3E47"/>
    <w:rsid w:val="009D3F11"/>
    <w:rsid w:val="009D452D"/>
    <w:rsid w:val="009D4AD6"/>
    <w:rsid w:val="009D516D"/>
    <w:rsid w:val="009D5377"/>
    <w:rsid w:val="009D593C"/>
    <w:rsid w:val="009D62D6"/>
    <w:rsid w:val="009D6C2B"/>
    <w:rsid w:val="009D72E9"/>
    <w:rsid w:val="009D756C"/>
    <w:rsid w:val="009D7C6B"/>
    <w:rsid w:val="009D7F9A"/>
    <w:rsid w:val="009E0720"/>
    <w:rsid w:val="009E0924"/>
    <w:rsid w:val="009E0F45"/>
    <w:rsid w:val="009E0F68"/>
    <w:rsid w:val="009E1005"/>
    <w:rsid w:val="009E124D"/>
    <w:rsid w:val="009E1419"/>
    <w:rsid w:val="009E14F9"/>
    <w:rsid w:val="009E1639"/>
    <w:rsid w:val="009E16A7"/>
    <w:rsid w:val="009E1B4C"/>
    <w:rsid w:val="009E24AA"/>
    <w:rsid w:val="009E2CE0"/>
    <w:rsid w:val="009E2EAC"/>
    <w:rsid w:val="009E35C7"/>
    <w:rsid w:val="009E3C60"/>
    <w:rsid w:val="009E3FDD"/>
    <w:rsid w:val="009E460C"/>
    <w:rsid w:val="009E4A65"/>
    <w:rsid w:val="009E4B9D"/>
    <w:rsid w:val="009E549A"/>
    <w:rsid w:val="009E5710"/>
    <w:rsid w:val="009E58BB"/>
    <w:rsid w:val="009E620E"/>
    <w:rsid w:val="009E712D"/>
    <w:rsid w:val="009E75C2"/>
    <w:rsid w:val="009E7BE3"/>
    <w:rsid w:val="009E7DA3"/>
    <w:rsid w:val="009E7EED"/>
    <w:rsid w:val="009F04B2"/>
    <w:rsid w:val="009F04FB"/>
    <w:rsid w:val="009F09AB"/>
    <w:rsid w:val="009F10E6"/>
    <w:rsid w:val="009F118B"/>
    <w:rsid w:val="009F1551"/>
    <w:rsid w:val="009F192E"/>
    <w:rsid w:val="009F1D1B"/>
    <w:rsid w:val="009F1FCA"/>
    <w:rsid w:val="009F21E9"/>
    <w:rsid w:val="009F2449"/>
    <w:rsid w:val="009F270D"/>
    <w:rsid w:val="009F29DC"/>
    <w:rsid w:val="009F33FC"/>
    <w:rsid w:val="009F4520"/>
    <w:rsid w:val="009F4637"/>
    <w:rsid w:val="009F5286"/>
    <w:rsid w:val="009F59A0"/>
    <w:rsid w:val="009F5DB1"/>
    <w:rsid w:val="009F5F69"/>
    <w:rsid w:val="009F66E7"/>
    <w:rsid w:val="009F76D6"/>
    <w:rsid w:val="009F77A9"/>
    <w:rsid w:val="009F7896"/>
    <w:rsid w:val="009F7DD6"/>
    <w:rsid w:val="00A00066"/>
    <w:rsid w:val="00A00BBA"/>
    <w:rsid w:val="00A00C0F"/>
    <w:rsid w:val="00A00CA3"/>
    <w:rsid w:val="00A010F7"/>
    <w:rsid w:val="00A01903"/>
    <w:rsid w:val="00A01B74"/>
    <w:rsid w:val="00A021EE"/>
    <w:rsid w:val="00A02499"/>
    <w:rsid w:val="00A024D8"/>
    <w:rsid w:val="00A0283F"/>
    <w:rsid w:val="00A0296C"/>
    <w:rsid w:val="00A03DC3"/>
    <w:rsid w:val="00A04642"/>
    <w:rsid w:val="00A04C1C"/>
    <w:rsid w:val="00A05C12"/>
    <w:rsid w:val="00A0600F"/>
    <w:rsid w:val="00A063EE"/>
    <w:rsid w:val="00A066FC"/>
    <w:rsid w:val="00A06D28"/>
    <w:rsid w:val="00A06D5D"/>
    <w:rsid w:val="00A07295"/>
    <w:rsid w:val="00A073CF"/>
    <w:rsid w:val="00A07A52"/>
    <w:rsid w:val="00A104CC"/>
    <w:rsid w:val="00A105EE"/>
    <w:rsid w:val="00A1065C"/>
    <w:rsid w:val="00A10844"/>
    <w:rsid w:val="00A10AB9"/>
    <w:rsid w:val="00A10AD6"/>
    <w:rsid w:val="00A113BF"/>
    <w:rsid w:val="00A113CC"/>
    <w:rsid w:val="00A12784"/>
    <w:rsid w:val="00A12E42"/>
    <w:rsid w:val="00A130E3"/>
    <w:rsid w:val="00A140F0"/>
    <w:rsid w:val="00A14364"/>
    <w:rsid w:val="00A14EF6"/>
    <w:rsid w:val="00A1543B"/>
    <w:rsid w:val="00A157EE"/>
    <w:rsid w:val="00A16456"/>
    <w:rsid w:val="00A165C6"/>
    <w:rsid w:val="00A16C85"/>
    <w:rsid w:val="00A16CA1"/>
    <w:rsid w:val="00A16F01"/>
    <w:rsid w:val="00A17696"/>
    <w:rsid w:val="00A200DB"/>
    <w:rsid w:val="00A20181"/>
    <w:rsid w:val="00A201EE"/>
    <w:rsid w:val="00A20E87"/>
    <w:rsid w:val="00A21B5B"/>
    <w:rsid w:val="00A22732"/>
    <w:rsid w:val="00A23497"/>
    <w:rsid w:val="00A24CD5"/>
    <w:rsid w:val="00A24D43"/>
    <w:rsid w:val="00A24E76"/>
    <w:rsid w:val="00A25571"/>
    <w:rsid w:val="00A258CC"/>
    <w:rsid w:val="00A267C3"/>
    <w:rsid w:val="00A27335"/>
    <w:rsid w:val="00A276EE"/>
    <w:rsid w:val="00A30941"/>
    <w:rsid w:val="00A30A5D"/>
    <w:rsid w:val="00A3136F"/>
    <w:rsid w:val="00A31472"/>
    <w:rsid w:val="00A3155A"/>
    <w:rsid w:val="00A32534"/>
    <w:rsid w:val="00A32590"/>
    <w:rsid w:val="00A325CC"/>
    <w:rsid w:val="00A329BF"/>
    <w:rsid w:val="00A32F52"/>
    <w:rsid w:val="00A33079"/>
    <w:rsid w:val="00A33161"/>
    <w:rsid w:val="00A33E51"/>
    <w:rsid w:val="00A342C9"/>
    <w:rsid w:val="00A34339"/>
    <w:rsid w:val="00A358DF"/>
    <w:rsid w:val="00A366FC"/>
    <w:rsid w:val="00A36AA7"/>
    <w:rsid w:val="00A3744E"/>
    <w:rsid w:val="00A3766C"/>
    <w:rsid w:val="00A37C93"/>
    <w:rsid w:val="00A37FB6"/>
    <w:rsid w:val="00A40049"/>
    <w:rsid w:val="00A40297"/>
    <w:rsid w:val="00A40640"/>
    <w:rsid w:val="00A40711"/>
    <w:rsid w:val="00A4095E"/>
    <w:rsid w:val="00A40CCE"/>
    <w:rsid w:val="00A41388"/>
    <w:rsid w:val="00A41583"/>
    <w:rsid w:val="00A41751"/>
    <w:rsid w:val="00A41E54"/>
    <w:rsid w:val="00A42057"/>
    <w:rsid w:val="00A43389"/>
    <w:rsid w:val="00A43A26"/>
    <w:rsid w:val="00A43D44"/>
    <w:rsid w:val="00A43DDB"/>
    <w:rsid w:val="00A43F10"/>
    <w:rsid w:val="00A44025"/>
    <w:rsid w:val="00A440BE"/>
    <w:rsid w:val="00A4431B"/>
    <w:rsid w:val="00A44560"/>
    <w:rsid w:val="00A445B5"/>
    <w:rsid w:val="00A4464E"/>
    <w:rsid w:val="00A44671"/>
    <w:rsid w:val="00A4496C"/>
    <w:rsid w:val="00A44E3B"/>
    <w:rsid w:val="00A4567E"/>
    <w:rsid w:val="00A4596B"/>
    <w:rsid w:val="00A45996"/>
    <w:rsid w:val="00A46035"/>
    <w:rsid w:val="00A46B7B"/>
    <w:rsid w:val="00A5039C"/>
    <w:rsid w:val="00A50CF1"/>
    <w:rsid w:val="00A50DDD"/>
    <w:rsid w:val="00A51245"/>
    <w:rsid w:val="00A52656"/>
    <w:rsid w:val="00A52D01"/>
    <w:rsid w:val="00A52D69"/>
    <w:rsid w:val="00A532B0"/>
    <w:rsid w:val="00A539F6"/>
    <w:rsid w:val="00A53EF4"/>
    <w:rsid w:val="00A543A9"/>
    <w:rsid w:val="00A54A6A"/>
    <w:rsid w:val="00A54EBB"/>
    <w:rsid w:val="00A55009"/>
    <w:rsid w:val="00A55AF4"/>
    <w:rsid w:val="00A560A5"/>
    <w:rsid w:val="00A5627D"/>
    <w:rsid w:val="00A566A0"/>
    <w:rsid w:val="00A57179"/>
    <w:rsid w:val="00A57BF6"/>
    <w:rsid w:val="00A57C78"/>
    <w:rsid w:val="00A60067"/>
    <w:rsid w:val="00A603F1"/>
    <w:rsid w:val="00A61BF2"/>
    <w:rsid w:val="00A61C61"/>
    <w:rsid w:val="00A62458"/>
    <w:rsid w:val="00A62B5D"/>
    <w:rsid w:val="00A62D79"/>
    <w:rsid w:val="00A63566"/>
    <w:rsid w:val="00A637D3"/>
    <w:rsid w:val="00A64823"/>
    <w:rsid w:val="00A64A0C"/>
    <w:rsid w:val="00A64C55"/>
    <w:rsid w:val="00A662B8"/>
    <w:rsid w:val="00A6688E"/>
    <w:rsid w:val="00A66A89"/>
    <w:rsid w:val="00A6715C"/>
    <w:rsid w:val="00A67C72"/>
    <w:rsid w:val="00A70C44"/>
    <w:rsid w:val="00A7132A"/>
    <w:rsid w:val="00A71457"/>
    <w:rsid w:val="00A718C9"/>
    <w:rsid w:val="00A71921"/>
    <w:rsid w:val="00A7210D"/>
    <w:rsid w:val="00A725AE"/>
    <w:rsid w:val="00A7263A"/>
    <w:rsid w:val="00A72A38"/>
    <w:rsid w:val="00A72B86"/>
    <w:rsid w:val="00A73401"/>
    <w:rsid w:val="00A738B7"/>
    <w:rsid w:val="00A739F1"/>
    <w:rsid w:val="00A73FBF"/>
    <w:rsid w:val="00A7465C"/>
    <w:rsid w:val="00A74753"/>
    <w:rsid w:val="00A7566C"/>
    <w:rsid w:val="00A760B4"/>
    <w:rsid w:val="00A766A8"/>
    <w:rsid w:val="00A76EB4"/>
    <w:rsid w:val="00A777B2"/>
    <w:rsid w:val="00A77A43"/>
    <w:rsid w:val="00A77C50"/>
    <w:rsid w:val="00A77D3C"/>
    <w:rsid w:val="00A77D70"/>
    <w:rsid w:val="00A80038"/>
    <w:rsid w:val="00A804CB"/>
    <w:rsid w:val="00A817CA"/>
    <w:rsid w:val="00A81DE3"/>
    <w:rsid w:val="00A821AA"/>
    <w:rsid w:val="00A822FB"/>
    <w:rsid w:val="00A83B61"/>
    <w:rsid w:val="00A83BFD"/>
    <w:rsid w:val="00A83C33"/>
    <w:rsid w:val="00A84212"/>
    <w:rsid w:val="00A84826"/>
    <w:rsid w:val="00A84EA4"/>
    <w:rsid w:val="00A85056"/>
    <w:rsid w:val="00A85D3D"/>
    <w:rsid w:val="00A85F1D"/>
    <w:rsid w:val="00A879AA"/>
    <w:rsid w:val="00A9119C"/>
    <w:rsid w:val="00A9178C"/>
    <w:rsid w:val="00A91DEC"/>
    <w:rsid w:val="00A92922"/>
    <w:rsid w:val="00A92AFC"/>
    <w:rsid w:val="00A9346A"/>
    <w:rsid w:val="00A93D14"/>
    <w:rsid w:val="00A93DA7"/>
    <w:rsid w:val="00A941AE"/>
    <w:rsid w:val="00A9420F"/>
    <w:rsid w:val="00A94F2F"/>
    <w:rsid w:val="00A953A1"/>
    <w:rsid w:val="00A95DA6"/>
    <w:rsid w:val="00A96497"/>
    <w:rsid w:val="00A967CB"/>
    <w:rsid w:val="00A96924"/>
    <w:rsid w:val="00A96ACD"/>
    <w:rsid w:val="00A9703B"/>
    <w:rsid w:val="00AA0508"/>
    <w:rsid w:val="00AA0A7C"/>
    <w:rsid w:val="00AA176F"/>
    <w:rsid w:val="00AA2697"/>
    <w:rsid w:val="00AA2931"/>
    <w:rsid w:val="00AA2C16"/>
    <w:rsid w:val="00AA3B9B"/>
    <w:rsid w:val="00AA436F"/>
    <w:rsid w:val="00AA4403"/>
    <w:rsid w:val="00AA445C"/>
    <w:rsid w:val="00AA464F"/>
    <w:rsid w:val="00AA49CE"/>
    <w:rsid w:val="00AA6C14"/>
    <w:rsid w:val="00AA6E7D"/>
    <w:rsid w:val="00AA7203"/>
    <w:rsid w:val="00AA7853"/>
    <w:rsid w:val="00AB044C"/>
    <w:rsid w:val="00AB06AB"/>
    <w:rsid w:val="00AB06B1"/>
    <w:rsid w:val="00AB11F6"/>
    <w:rsid w:val="00AB1EB2"/>
    <w:rsid w:val="00AB1EED"/>
    <w:rsid w:val="00AB267F"/>
    <w:rsid w:val="00AB27B4"/>
    <w:rsid w:val="00AB3439"/>
    <w:rsid w:val="00AB391D"/>
    <w:rsid w:val="00AB429A"/>
    <w:rsid w:val="00AB4312"/>
    <w:rsid w:val="00AB438B"/>
    <w:rsid w:val="00AB43B3"/>
    <w:rsid w:val="00AB4859"/>
    <w:rsid w:val="00AB5208"/>
    <w:rsid w:val="00AB5238"/>
    <w:rsid w:val="00AB5772"/>
    <w:rsid w:val="00AB69FD"/>
    <w:rsid w:val="00AB6B92"/>
    <w:rsid w:val="00AB6DC0"/>
    <w:rsid w:val="00AB7664"/>
    <w:rsid w:val="00AB775F"/>
    <w:rsid w:val="00AB787E"/>
    <w:rsid w:val="00AB7A6D"/>
    <w:rsid w:val="00AB7D28"/>
    <w:rsid w:val="00AB7E89"/>
    <w:rsid w:val="00AC0A2D"/>
    <w:rsid w:val="00AC180B"/>
    <w:rsid w:val="00AC1DC0"/>
    <w:rsid w:val="00AC1F0D"/>
    <w:rsid w:val="00AC1F74"/>
    <w:rsid w:val="00AC206E"/>
    <w:rsid w:val="00AC29A5"/>
    <w:rsid w:val="00AC367E"/>
    <w:rsid w:val="00AC394D"/>
    <w:rsid w:val="00AC3ABC"/>
    <w:rsid w:val="00AC3F4D"/>
    <w:rsid w:val="00AC4396"/>
    <w:rsid w:val="00AC447A"/>
    <w:rsid w:val="00AC5442"/>
    <w:rsid w:val="00AC57F9"/>
    <w:rsid w:val="00AC6324"/>
    <w:rsid w:val="00AC647D"/>
    <w:rsid w:val="00AC65C1"/>
    <w:rsid w:val="00AC6632"/>
    <w:rsid w:val="00AC7142"/>
    <w:rsid w:val="00AD0646"/>
    <w:rsid w:val="00AD070F"/>
    <w:rsid w:val="00AD08C7"/>
    <w:rsid w:val="00AD0AB7"/>
    <w:rsid w:val="00AD108A"/>
    <w:rsid w:val="00AD1969"/>
    <w:rsid w:val="00AD279C"/>
    <w:rsid w:val="00AD2A30"/>
    <w:rsid w:val="00AD3589"/>
    <w:rsid w:val="00AD3A86"/>
    <w:rsid w:val="00AD3D1F"/>
    <w:rsid w:val="00AD407D"/>
    <w:rsid w:val="00AD46A1"/>
    <w:rsid w:val="00AD476E"/>
    <w:rsid w:val="00AD499B"/>
    <w:rsid w:val="00AD5568"/>
    <w:rsid w:val="00AD5A26"/>
    <w:rsid w:val="00AD5CC7"/>
    <w:rsid w:val="00AD5D6E"/>
    <w:rsid w:val="00AD6699"/>
    <w:rsid w:val="00AD69B7"/>
    <w:rsid w:val="00AD73BF"/>
    <w:rsid w:val="00AD741C"/>
    <w:rsid w:val="00AD7471"/>
    <w:rsid w:val="00AD7520"/>
    <w:rsid w:val="00AD7D7F"/>
    <w:rsid w:val="00AD7F51"/>
    <w:rsid w:val="00AE04CF"/>
    <w:rsid w:val="00AE09CA"/>
    <w:rsid w:val="00AE0AD8"/>
    <w:rsid w:val="00AE11C1"/>
    <w:rsid w:val="00AE1353"/>
    <w:rsid w:val="00AE1424"/>
    <w:rsid w:val="00AE1A2A"/>
    <w:rsid w:val="00AE1BB4"/>
    <w:rsid w:val="00AE1BB6"/>
    <w:rsid w:val="00AE1CFE"/>
    <w:rsid w:val="00AE2300"/>
    <w:rsid w:val="00AE299B"/>
    <w:rsid w:val="00AE2DF0"/>
    <w:rsid w:val="00AE3AC9"/>
    <w:rsid w:val="00AE3D3F"/>
    <w:rsid w:val="00AE4990"/>
    <w:rsid w:val="00AE4C23"/>
    <w:rsid w:val="00AE4E6F"/>
    <w:rsid w:val="00AE556B"/>
    <w:rsid w:val="00AE59A0"/>
    <w:rsid w:val="00AE5CDF"/>
    <w:rsid w:val="00AE5ED4"/>
    <w:rsid w:val="00AE5F32"/>
    <w:rsid w:val="00AE7014"/>
    <w:rsid w:val="00AE7403"/>
    <w:rsid w:val="00AE7E86"/>
    <w:rsid w:val="00AF057D"/>
    <w:rsid w:val="00AF066F"/>
    <w:rsid w:val="00AF06E5"/>
    <w:rsid w:val="00AF12B4"/>
    <w:rsid w:val="00AF1ACB"/>
    <w:rsid w:val="00AF2159"/>
    <w:rsid w:val="00AF2273"/>
    <w:rsid w:val="00AF254A"/>
    <w:rsid w:val="00AF271E"/>
    <w:rsid w:val="00AF2B82"/>
    <w:rsid w:val="00AF348F"/>
    <w:rsid w:val="00AF3934"/>
    <w:rsid w:val="00AF39AB"/>
    <w:rsid w:val="00AF4DBC"/>
    <w:rsid w:val="00AF50A1"/>
    <w:rsid w:val="00AF63FA"/>
    <w:rsid w:val="00AF6B78"/>
    <w:rsid w:val="00AF6BBC"/>
    <w:rsid w:val="00AF7423"/>
    <w:rsid w:val="00AF76E2"/>
    <w:rsid w:val="00B00138"/>
    <w:rsid w:val="00B01125"/>
    <w:rsid w:val="00B0128F"/>
    <w:rsid w:val="00B01445"/>
    <w:rsid w:val="00B01D06"/>
    <w:rsid w:val="00B01E2D"/>
    <w:rsid w:val="00B01FEA"/>
    <w:rsid w:val="00B02815"/>
    <w:rsid w:val="00B02B03"/>
    <w:rsid w:val="00B02E4C"/>
    <w:rsid w:val="00B035FB"/>
    <w:rsid w:val="00B0367B"/>
    <w:rsid w:val="00B04319"/>
    <w:rsid w:val="00B047A3"/>
    <w:rsid w:val="00B048C3"/>
    <w:rsid w:val="00B05385"/>
    <w:rsid w:val="00B05680"/>
    <w:rsid w:val="00B05B06"/>
    <w:rsid w:val="00B06280"/>
    <w:rsid w:val="00B06694"/>
    <w:rsid w:val="00B06E77"/>
    <w:rsid w:val="00B07242"/>
    <w:rsid w:val="00B072C6"/>
    <w:rsid w:val="00B07B96"/>
    <w:rsid w:val="00B07C96"/>
    <w:rsid w:val="00B10064"/>
    <w:rsid w:val="00B10D3D"/>
    <w:rsid w:val="00B10FA2"/>
    <w:rsid w:val="00B11915"/>
    <w:rsid w:val="00B122E9"/>
    <w:rsid w:val="00B1275C"/>
    <w:rsid w:val="00B12A9C"/>
    <w:rsid w:val="00B130BE"/>
    <w:rsid w:val="00B131BB"/>
    <w:rsid w:val="00B132DB"/>
    <w:rsid w:val="00B137A1"/>
    <w:rsid w:val="00B13BA6"/>
    <w:rsid w:val="00B146B1"/>
    <w:rsid w:val="00B14C69"/>
    <w:rsid w:val="00B151F7"/>
    <w:rsid w:val="00B15332"/>
    <w:rsid w:val="00B15991"/>
    <w:rsid w:val="00B15F10"/>
    <w:rsid w:val="00B1604B"/>
    <w:rsid w:val="00B1747D"/>
    <w:rsid w:val="00B176F3"/>
    <w:rsid w:val="00B17AD2"/>
    <w:rsid w:val="00B17C6C"/>
    <w:rsid w:val="00B204CF"/>
    <w:rsid w:val="00B21C4E"/>
    <w:rsid w:val="00B21F9C"/>
    <w:rsid w:val="00B22566"/>
    <w:rsid w:val="00B225E2"/>
    <w:rsid w:val="00B2286E"/>
    <w:rsid w:val="00B22FF4"/>
    <w:rsid w:val="00B23E25"/>
    <w:rsid w:val="00B24889"/>
    <w:rsid w:val="00B24EAB"/>
    <w:rsid w:val="00B24F67"/>
    <w:rsid w:val="00B25481"/>
    <w:rsid w:val="00B25510"/>
    <w:rsid w:val="00B25637"/>
    <w:rsid w:val="00B264B0"/>
    <w:rsid w:val="00B26C42"/>
    <w:rsid w:val="00B27662"/>
    <w:rsid w:val="00B30670"/>
    <w:rsid w:val="00B31530"/>
    <w:rsid w:val="00B3160D"/>
    <w:rsid w:val="00B316DA"/>
    <w:rsid w:val="00B31E3F"/>
    <w:rsid w:val="00B32686"/>
    <w:rsid w:val="00B33945"/>
    <w:rsid w:val="00B341C8"/>
    <w:rsid w:val="00B34243"/>
    <w:rsid w:val="00B34CA3"/>
    <w:rsid w:val="00B351D7"/>
    <w:rsid w:val="00B358D9"/>
    <w:rsid w:val="00B366C7"/>
    <w:rsid w:val="00B368E0"/>
    <w:rsid w:val="00B376B7"/>
    <w:rsid w:val="00B37D27"/>
    <w:rsid w:val="00B37FF7"/>
    <w:rsid w:val="00B407F4"/>
    <w:rsid w:val="00B415B0"/>
    <w:rsid w:val="00B41C54"/>
    <w:rsid w:val="00B41DF2"/>
    <w:rsid w:val="00B4382C"/>
    <w:rsid w:val="00B43D37"/>
    <w:rsid w:val="00B44878"/>
    <w:rsid w:val="00B4518F"/>
    <w:rsid w:val="00B45461"/>
    <w:rsid w:val="00B4583E"/>
    <w:rsid w:val="00B45C5D"/>
    <w:rsid w:val="00B45CED"/>
    <w:rsid w:val="00B463CC"/>
    <w:rsid w:val="00B46540"/>
    <w:rsid w:val="00B46836"/>
    <w:rsid w:val="00B46A0E"/>
    <w:rsid w:val="00B46E02"/>
    <w:rsid w:val="00B47330"/>
    <w:rsid w:val="00B47CCC"/>
    <w:rsid w:val="00B47F01"/>
    <w:rsid w:val="00B500A0"/>
    <w:rsid w:val="00B50478"/>
    <w:rsid w:val="00B50B7A"/>
    <w:rsid w:val="00B51654"/>
    <w:rsid w:val="00B518E7"/>
    <w:rsid w:val="00B51E24"/>
    <w:rsid w:val="00B51F1E"/>
    <w:rsid w:val="00B52C10"/>
    <w:rsid w:val="00B52EAC"/>
    <w:rsid w:val="00B534DA"/>
    <w:rsid w:val="00B538C0"/>
    <w:rsid w:val="00B53A21"/>
    <w:rsid w:val="00B53C36"/>
    <w:rsid w:val="00B53E29"/>
    <w:rsid w:val="00B53F13"/>
    <w:rsid w:val="00B54057"/>
    <w:rsid w:val="00B54509"/>
    <w:rsid w:val="00B54A23"/>
    <w:rsid w:val="00B55419"/>
    <w:rsid w:val="00B55718"/>
    <w:rsid w:val="00B55A71"/>
    <w:rsid w:val="00B55DA4"/>
    <w:rsid w:val="00B56152"/>
    <w:rsid w:val="00B5666E"/>
    <w:rsid w:val="00B5772F"/>
    <w:rsid w:val="00B57761"/>
    <w:rsid w:val="00B57E40"/>
    <w:rsid w:val="00B60032"/>
    <w:rsid w:val="00B60F76"/>
    <w:rsid w:val="00B61810"/>
    <w:rsid w:val="00B61F7C"/>
    <w:rsid w:val="00B63062"/>
    <w:rsid w:val="00B6322E"/>
    <w:rsid w:val="00B63678"/>
    <w:rsid w:val="00B6395C"/>
    <w:rsid w:val="00B64145"/>
    <w:rsid w:val="00B64B2B"/>
    <w:rsid w:val="00B64F36"/>
    <w:rsid w:val="00B654EA"/>
    <w:rsid w:val="00B67339"/>
    <w:rsid w:val="00B67356"/>
    <w:rsid w:val="00B67465"/>
    <w:rsid w:val="00B674AC"/>
    <w:rsid w:val="00B7062A"/>
    <w:rsid w:val="00B708AB"/>
    <w:rsid w:val="00B708F6"/>
    <w:rsid w:val="00B7094B"/>
    <w:rsid w:val="00B70BA5"/>
    <w:rsid w:val="00B70DE2"/>
    <w:rsid w:val="00B71814"/>
    <w:rsid w:val="00B71B34"/>
    <w:rsid w:val="00B71BD1"/>
    <w:rsid w:val="00B7201F"/>
    <w:rsid w:val="00B720B0"/>
    <w:rsid w:val="00B72213"/>
    <w:rsid w:val="00B72735"/>
    <w:rsid w:val="00B732A3"/>
    <w:rsid w:val="00B73348"/>
    <w:rsid w:val="00B73442"/>
    <w:rsid w:val="00B73783"/>
    <w:rsid w:val="00B744D6"/>
    <w:rsid w:val="00B75974"/>
    <w:rsid w:val="00B75E09"/>
    <w:rsid w:val="00B75F16"/>
    <w:rsid w:val="00B76165"/>
    <w:rsid w:val="00B7649F"/>
    <w:rsid w:val="00B7675D"/>
    <w:rsid w:val="00B76E37"/>
    <w:rsid w:val="00B76FF1"/>
    <w:rsid w:val="00B77027"/>
    <w:rsid w:val="00B771B0"/>
    <w:rsid w:val="00B77423"/>
    <w:rsid w:val="00B775AF"/>
    <w:rsid w:val="00B775B3"/>
    <w:rsid w:val="00B779CE"/>
    <w:rsid w:val="00B80BB7"/>
    <w:rsid w:val="00B81CB9"/>
    <w:rsid w:val="00B81D30"/>
    <w:rsid w:val="00B8229C"/>
    <w:rsid w:val="00B836D6"/>
    <w:rsid w:val="00B845C4"/>
    <w:rsid w:val="00B84952"/>
    <w:rsid w:val="00B853AA"/>
    <w:rsid w:val="00B85CCD"/>
    <w:rsid w:val="00B85D96"/>
    <w:rsid w:val="00B86319"/>
    <w:rsid w:val="00B86C7E"/>
    <w:rsid w:val="00B87B14"/>
    <w:rsid w:val="00B87D0B"/>
    <w:rsid w:val="00B91167"/>
    <w:rsid w:val="00B9171B"/>
    <w:rsid w:val="00B91D3D"/>
    <w:rsid w:val="00B92228"/>
    <w:rsid w:val="00B9318E"/>
    <w:rsid w:val="00B932F8"/>
    <w:rsid w:val="00B93D37"/>
    <w:rsid w:val="00B93F32"/>
    <w:rsid w:val="00B94943"/>
    <w:rsid w:val="00B94C6C"/>
    <w:rsid w:val="00B94CAF"/>
    <w:rsid w:val="00B95034"/>
    <w:rsid w:val="00B951FB"/>
    <w:rsid w:val="00B95506"/>
    <w:rsid w:val="00B95C5D"/>
    <w:rsid w:val="00B9653A"/>
    <w:rsid w:val="00B96583"/>
    <w:rsid w:val="00B969FA"/>
    <w:rsid w:val="00BA060A"/>
    <w:rsid w:val="00BA0A43"/>
    <w:rsid w:val="00BA12D8"/>
    <w:rsid w:val="00BA1C19"/>
    <w:rsid w:val="00BA2280"/>
    <w:rsid w:val="00BA384A"/>
    <w:rsid w:val="00BA38A4"/>
    <w:rsid w:val="00BA38AF"/>
    <w:rsid w:val="00BA3F05"/>
    <w:rsid w:val="00BA4900"/>
    <w:rsid w:val="00BA51B6"/>
    <w:rsid w:val="00BA53DB"/>
    <w:rsid w:val="00BA5950"/>
    <w:rsid w:val="00BA5F92"/>
    <w:rsid w:val="00BA63E9"/>
    <w:rsid w:val="00BA6445"/>
    <w:rsid w:val="00BA6C65"/>
    <w:rsid w:val="00BA7D0B"/>
    <w:rsid w:val="00BB025D"/>
    <w:rsid w:val="00BB0902"/>
    <w:rsid w:val="00BB0A88"/>
    <w:rsid w:val="00BB0ED4"/>
    <w:rsid w:val="00BB0EEF"/>
    <w:rsid w:val="00BB1444"/>
    <w:rsid w:val="00BB1AB9"/>
    <w:rsid w:val="00BB29EE"/>
    <w:rsid w:val="00BB2A80"/>
    <w:rsid w:val="00BB3168"/>
    <w:rsid w:val="00BB3223"/>
    <w:rsid w:val="00BB393B"/>
    <w:rsid w:val="00BB3EE5"/>
    <w:rsid w:val="00BB46C1"/>
    <w:rsid w:val="00BB4C9E"/>
    <w:rsid w:val="00BB50E4"/>
    <w:rsid w:val="00BB53C5"/>
    <w:rsid w:val="00BB5970"/>
    <w:rsid w:val="00BB62D1"/>
    <w:rsid w:val="00BB6FFE"/>
    <w:rsid w:val="00BC0583"/>
    <w:rsid w:val="00BC22F4"/>
    <w:rsid w:val="00BC25A7"/>
    <w:rsid w:val="00BC2708"/>
    <w:rsid w:val="00BC29C0"/>
    <w:rsid w:val="00BC29D0"/>
    <w:rsid w:val="00BC2A7C"/>
    <w:rsid w:val="00BC2D3A"/>
    <w:rsid w:val="00BC2EC4"/>
    <w:rsid w:val="00BC38EC"/>
    <w:rsid w:val="00BC3B8B"/>
    <w:rsid w:val="00BC3E9F"/>
    <w:rsid w:val="00BC45BE"/>
    <w:rsid w:val="00BC461D"/>
    <w:rsid w:val="00BC496D"/>
    <w:rsid w:val="00BC4D81"/>
    <w:rsid w:val="00BC4F57"/>
    <w:rsid w:val="00BC5CF7"/>
    <w:rsid w:val="00BC6106"/>
    <w:rsid w:val="00BC6FC0"/>
    <w:rsid w:val="00BC7049"/>
    <w:rsid w:val="00BC7D50"/>
    <w:rsid w:val="00BD0611"/>
    <w:rsid w:val="00BD1519"/>
    <w:rsid w:val="00BD1F2A"/>
    <w:rsid w:val="00BD4141"/>
    <w:rsid w:val="00BD41CC"/>
    <w:rsid w:val="00BD42C6"/>
    <w:rsid w:val="00BD436C"/>
    <w:rsid w:val="00BD4473"/>
    <w:rsid w:val="00BD4763"/>
    <w:rsid w:val="00BD48C4"/>
    <w:rsid w:val="00BD4DB8"/>
    <w:rsid w:val="00BD564B"/>
    <w:rsid w:val="00BD5A74"/>
    <w:rsid w:val="00BD6427"/>
    <w:rsid w:val="00BD65EE"/>
    <w:rsid w:val="00BD6760"/>
    <w:rsid w:val="00BD7BA9"/>
    <w:rsid w:val="00BE002D"/>
    <w:rsid w:val="00BE06FB"/>
    <w:rsid w:val="00BE0830"/>
    <w:rsid w:val="00BE0D54"/>
    <w:rsid w:val="00BE0DAF"/>
    <w:rsid w:val="00BE0F9A"/>
    <w:rsid w:val="00BE1183"/>
    <w:rsid w:val="00BE1820"/>
    <w:rsid w:val="00BE24B9"/>
    <w:rsid w:val="00BE293B"/>
    <w:rsid w:val="00BE2B43"/>
    <w:rsid w:val="00BE2C4D"/>
    <w:rsid w:val="00BE3322"/>
    <w:rsid w:val="00BE3635"/>
    <w:rsid w:val="00BE48D5"/>
    <w:rsid w:val="00BE4BE9"/>
    <w:rsid w:val="00BE4CA7"/>
    <w:rsid w:val="00BE69E1"/>
    <w:rsid w:val="00BE74C8"/>
    <w:rsid w:val="00BE76CC"/>
    <w:rsid w:val="00BE7BA7"/>
    <w:rsid w:val="00BF26E5"/>
    <w:rsid w:val="00BF3CAA"/>
    <w:rsid w:val="00BF3E79"/>
    <w:rsid w:val="00BF4194"/>
    <w:rsid w:val="00BF46EF"/>
    <w:rsid w:val="00BF4BFB"/>
    <w:rsid w:val="00BF5A66"/>
    <w:rsid w:val="00BF5DCB"/>
    <w:rsid w:val="00BF6102"/>
    <w:rsid w:val="00BF65C0"/>
    <w:rsid w:val="00BF6754"/>
    <w:rsid w:val="00BF688D"/>
    <w:rsid w:val="00BF6F6D"/>
    <w:rsid w:val="00BF7174"/>
    <w:rsid w:val="00BF73A7"/>
    <w:rsid w:val="00BF77CE"/>
    <w:rsid w:val="00C0026F"/>
    <w:rsid w:val="00C00566"/>
    <w:rsid w:val="00C00956"/>
    <w:rsid w:val="00C016FC"/>
    <w:rsid w:val="00C018E6"/>
    <w:rsid w:val="00C01A20"/>
    <w:rsid w:val="00C01D88"/>
    <w:rsid w:val="00C02A7A"/>
    <w:rsid w:val="00C0333D"/>
    <w:rsid w:val="00C0385C"/>
    <w:rsid w:val="00C03955"/>
    <w:rsid w:val="00C039B9"/>
    <w:rsid w:val="00C03A16"/>
    <w:rsid w:val="00C03F51"/>
    <w:rsid w:val="00C04063"/>
    <w:rsid w:val="00C04112"/>
    <w:rsid w:val="00C047FE"/>
    <w:rsid w:val="00C04EB3"/>
    <w:rsid w:val="00C05F18"/>
    <w:rsid w:val="00C05FD6"/>
    <w:rsid w:val="00C0641A"/>
    <w:rsid w:val="00C075BA"/>
    <w:rsid w:val="00C07BB3"/>
    <w:rsid w:val="00C100C1"/>
    <w:rsid w:val="00C10536"/>
    <w:rsid w:val="00C10A32"/>
    <w:rsid w:val="00C112EE"/>
    <w:rsid w:val="00C11978"/>
    <w:rsid w:val="00C11D14"/>
    <w:rsid w:val="00C12580"/>
    <w:rsid w:val="00C1289C"/>
    <w:rsid w:val="00C12FDA"/>
    <w:rsid w:val="00C1336A"/>
    <w:rsid w:val="00C14ACF"/>
    <w:rsid w:val="00C14B2F"/>
    <w:rsid w:val="00C14F2A"/>
    <w:rsid w:val="00C1570C"/>
    <w:rsid w:val="00C15EF9"/>
    <w:rsid w:val="00C163AB"/>
    <w:rsid w:val="00C165A2"/>
    <w:rsid w:val="00C17E30"/>
    <w:rsid w:val="00C17E42"/>
    <w:rsid w:val="00C17E6E"/>
    <w:rsid w:val="00C20226"/>
    <w:rsid w:val="00C2069E"/>
    <w:rsid w:val="00C20895"/>
    <w:rsid w:val="00C20FFF"/>
    <w:rsid w:val="00C210E8"/>
    <w:rsid w:val="00C21923"/>
    <w:rsid w:val="00C22275"/>
    <w:rsid w:val="00C22881"/>
    <w:rsid w:val="00C22CB8"/>
    <w:rsid w:val="00C23509"/>
    <w:rsid w:val="00C237DA"/>
    <w:rsid w:val="00C23CD1"/>
    <w:rsid w:val="00C242FD"/>
    <w:rsid w:val="00C244C5"/>
    <w:rsid w:val="00C24CCA"/>
    <w:rsid w:val="00C24D53"/>
    <w:rsid w:val="00C254A4"/>
    <w:rsid w:val="00C258CB"/>
    <w:rsid w:val="00C259E6"/>
    <w:rsid w:val="00C261F3"/>
    <w:rsid w:val="00C2688D"/>
    <w:rsid w:val="00C2742D"/>
    <w:rsid w:val="00C277D4"/>
    <w:rsid w:val="00C27D1C"/>
    <w:rsid w:val="00C27ECC"/>
    <w:rsid w:val="00C303B9"/>
    <w:rsid w:val="00C30A56"/>
    <w:rsid w:val="00C31199"/>
    <w:rsid w:val="00C313D5"/>
    <w:rsid w:val="00C3177D"/>
    <w:rsid w:val="00C31C95"/>
    <w:rsid w:val="00C323BA"/>
    <w:rsid w:val="00C32749"/>
    <w:rsid w:val="00C332EE"/>
    <w:rsid w:val="00C35882"/>
    <w:rsid w:val="00C35A5F"/>
    <w:rsid w:val="00C35AC6"/>
    <w:rsid w:val="00C35E33"/>
    <w:rsid w:val="00C36109"/>
    <w:rsid w:val="00C36185"/>
    <w:rsid w:val="00C3637D"/>
    <w:rsid w:val="00C366F2"/>
    <w:rsid w:val="00C36CA7"/>
    <w:rsid w:val="00C36CAC"/>
    <w:rsid w:val="00C3724C"/>
    <w:rsid w:val="00C40079"/>
    <w:rsid w:val="00C402F6"/>
    <w:rsid w:val="00C406DE"/>
    <w:rsid w:val="00C41234"/>
    <w:rsid w:val="00C41355"/>
    <w:rsid w:val="00C41503"/>
    <w:rsid w:val="00C42657"/>
    <w:rsid w:val="00C426DC"/>
    <w:rsid w:val="00C43017"/>
    <w:rsid w:val="00C43B27"/>
    <w:rsid w:val="00C44F7A"/>
    <w:rsid w:val="00C4548E"/>
    <w:rsid w:val="00C46A33"/>
    <w:rsid w:val="00C475E0"/>
    <w:rsid w:val="00C477BC"/>
    <w:rsid w:val="00C47985"/>
    <w:rsid w:val="00C47B80"/>
    <w:rsid w:val="00C50E31"/>
    <w:rsid w:val="00C5142D"/>
    <w:rsid w:val="00C51936"/>
    <w:rsid w:val="00C519CA"/>
    <w:rsid w:val="00C52A01"/>
    <w:rsid w:val="00C53851"/>
    <w:rsid w:val="00C53B27"/>
    <w:rsid w:val="00C53B86"/>
    <w:rsid w:val="00C53E8B"/>
    <w:rsid w:val="00C54396"/>
    <w:rsid w:val="00C54686"/>
    <w:rsid w:val="00C54D88"/>
    <w:rsid w:val="00C553F1"/>
    <w:rsid w:val="00C55C88"/>
    <w:rsid w:val="00C55F74"/>
    <w:rsid w:val="00C567FD"/>
    <w:rsid w:val="00C56861"/>
    <w:rsid w:val="00C56F55"/>
    <w:rsid w:val="00C6061C"/>
    <w:rsid w:val="00C60839"/>
    <w:rsid w:val="00C60A02"/>
    <w:rsid w:val="00C61338"/>
    <w:rsid w:val="00C61F23"/>
    <w:rsid w:val="00C62F4A"/>
    <w:rsid w:val="00C6302D"/>
    <w:rsid w:val="00C63849"/>
    <w:rsid w:val="00C64612"/>
    <w:rsid w:val="00C64841"/>
    <w:rsid w:val="00C65099"/>
    <w:rsid w:val="00C66436"/>
    <w:rsid w:val="00C66981"/>
    <w:rsid w:val="00C66BAA"/>
    <w:rsid w:val="00C67589"/>
    <w:rsid w:val="00C71594"/>
    <w:rsid w:val="00C71BA0"/>
    <w:rsid w:val="00C71CE1"/>
    <w:rsid w:val="00C71D36"/>
    <w:rsid w:val="00C72268"/>
    <w:rsid w:val="00C734E5"/>
    <w:rsid w:val="00C73674"/>
    <w:rsid w:val="00C73DB7"/>
    <w:rsid w:val="00C74040"/>
    <w:rsid w:val="00C745D6"/>
    <w:rsid w:val="00C7581B"/>
    <w:rsid w:val="00C75E98"/>
    <w:rsid w:val="00C7685F"/>
    <w:rsid w:val="00C802A4"/>
    <w:rsid w:val="00C80B8D"/>
    <w:rsid w:val="00C80C13"/>
    <w:rsid w:val="00C80E3A"/>
    <w:rsid w:val="00C81655"/>
    <w:rsid w:val="00C8166E"/>
    <w:rsid w:val="00C8186C"/>
    <w:rsid w:val="00C81C12"/>
    <w:rsid w:val="00C82288"/>
    <w:rsid w:val="00C82348"/>
    <w:rsid w:val="00C828B9"/>
    <w:rsid w:val="00C829E4"/>
    <w:rsid w:val="00C82AF7"/>
    <w:rsid w:val="00C82D71"/>
    <w:rsid w:val="00C82EFA"/>
    <w:rsid w:val="00C83190"/>
    <w:rsid w:val="00C83C5C"/>
    <w:rsid w:val="00C844C9"/>
    <w:rsid w:val="00C84519"/>
    <w:rsid w:val="00C867D9"/>
    <w:rsid w:val="00C86F56"/>
    <w:rsid w:val="00C87787"/>
    <w:rsid w:val="00C87C3E"/>
    <w:rsid w:val="00C87EAE"/>
    <w:rsid w:val="00C914D9"/>
    <w:rsid w:val="00C9198E"/>
    <w:rsid w:val="00C92633"/>
    <w:rsid w:val="00C927FE"/>
    <w:rsid w:val="00C9296B"/>
    <w:rsid w:val="00C92AED"/>
    <w:rsid w:val="00C92D8C"/>
    <w:rsid w:val="00C92F22"/>
    <w:rsid w:val="00C932C6"/>
    <w:rsid w:val="00C93ABE"/>
    <w:rsid w:val="00C944E2"/>
    <w:rsid w:val="00C945DC"/>
    <w:rsid w:val="00C94B39"/>
    <w:rsid w:val="00C951E7"/>
    <w:rsid w:val="00C9554F"/>
    <w:rsid w:val="00C95F5A"/>
    <w:rsid w:val="00C96645"/>
    <w:rsid w:val="00C96DDC"/>
    <w:rsid w:val="00C96F54"/>
    <w:rsid w:val="00C972DE"/>
    <w:rsid w:val="00C974D1"/>
    <w:rsid w:val="00C97AE6"/>
    <w:rsid w:val="00CA06BD"/>
    <w:rsid w:val="00CA0B61"/>
    <w:rsid w:val="00CA0D7D"/>
    <w:rsid w:val="00CA1E39"/>
    <w:rsid w:val="00CA1E58"/>
    <w:rsid w:val="00CA27DA"/>
    <w:rsid w:val="00CA2D22"/>
    <w:rsid w:val="00CA3158"/>
    <w:rsid w:val="00CA31C8"/>
    <w:rsid w:val="00CA32C0"/>
    <w:rsid w:val="00CA33EE"/>
    <w:rsid w:val="00CA3849"/>
    <w:rsid w:val="00CA3A90"/>
    <w:rsid w:val="00CA47DE"/>
    <w:rsid w:val="00CA4942"/>
    <w:rsid w:val="00CA4E0C"/>
    <w:rsid w:val="00CA5ECF"/>
    <w:rsid w:val="00CA5F97"/>
    <w:rsid w:val="00CA60C5"/>
    <w:rsid w:val="00CA6B56"/>
    <w:rsid w:val="00CA6ED4"/>
    <w:rsid w:val="00CA7B06"/>
    <w:rsid w:val="00CA7DF7"/>
    <w:rsid w:val="00CB040A"/>
    <w:rsid w:val="00CB07C1"/>
    <w:rsid w:val="00CB0D07"/>
    <w:rsid w:val="00CB15DB"/>
    <w:rsid w:val="00CB1AEA"/>
    <w:rsid w:val="00CB2017"/>
    <w:rsid w:val="00CB22C0"/>
    <w:rsid w:val="00CB37F1"/>
    <w:rsid w:val="00CB3EA8"/>
    <w:rsid w:val="00CB4083"/>
    <w:rsid w:val="00CB426C"/>
    <w:rsid w:val="00CB45F1"/>
    <w:rsid w:val="00CB5096"/>
    <w:rsid w:val="00CB564F"/>
    <w:rsid w:val="00CB5755"/>
    <w:rsid w:val="00CB6140"/>
    <w:rsid w:val="00CB6E25"/>
    <w:rsid w:val="00CB7049"/>
    <w:rsid w:val="00CB710C"/>
    <w:rsid w:val="00CB71D1"/>
    <w:rsid w:val="00CB73F1"/>
    <w:rsid w:val="00CB7B06"/>
    <w:rsid w:val="00CC0900"/>
    <w:rsid w:val="00CC13C8"/>
    <w:rsid w:val="00CC1777"/>
    <w:rsid w:val="00CC1CA8"/>
    <w:rsid w:val="00CC1D7A"/>
    <w:rsid w:val="00CC1F7A"/>
    <w:rsid w:val="00CC2252"/>
    <w:rsid w:val="00CC424D"/>
    <w:rsid w:val="00CC4689"/>
    <w:rsid w:val="00CC4947"/>
    <w:rsid w:val="00CC4A10"/>
    <w:rsid w:val="00CC4F42"/>
    <w:rsid w:val="00CC5D20"/>
    <w:rsid w:val="00CC699C"/>
    <w:rsid w:val="00CC6BD2"/>
    <w:rsid w:val="00CC6D2D"/>
    <w:rsid w:val="00CC6E59"/>
    <w:rsid w:val="00CC6E97"/>
    <w:rsid w:val="00CC6EE5"/>
    <w:rsid w:val="00CC70D3"/>
    <w:rsid w:val="00CC7E18"/>
    <w:rsid w:val="00CD049D"/>
    <w:rsid w:val="00CD0872"/>
    <w:rsid w:val="00CD08A5"/>
    <w:rsid w:val="00CD0938"/>
    <w:rsid w:val="00CD0B96"/>
    <w:rsid w:val="00CD0E57"/>
    <w:rsid w:val="00CD1107"/>
    <w:rsid w:val="00CD1485"/>
    <w:rsid w:val="00CD161F"/>
    <w:rsid w:val="00CD21E2"/>
    <w:rsid w:val="00CD2A7B"/>
    <w:rsid w:val="00CD422E"/>
    <w:rsid w:val="00CD4322"/>
    <w:rsid w:val="00CD4B34"/>
    <w:rsid w:val="00CD4C36"/>
    <w:rsid w:val="00CD538B"/>
    <w:rsid w:val="00CD5CE4"/>
    <w:rsid w:val="00CD5D4E"/>
    <w:rsid w:val="00CD626B"/>
    <w:rsid w:val="00CD653B"/>
    <w:rsid w:val="00CD6B4B"/>
    <w:rsid w:val="00CD6C42"/>
    <w:rsid w:val="00CD77C1"/>
    <w:rsid w:val="00CD7F12"/>
    <w:rsid w:val="00CD7F56"/>
    <w:rsid w:val="00CE0CA3"/>
    <w:rsid w:val="00CE0D74"/>
    <w:rsid w:val="00CE14C2"/>
    <w:rsid w:val="00CE1A62"/>
    <w:rsid w:val="00CE1B73"/>
    <w:rsid w:val="00CE1CFD"/>
    <w:rsid w:val="00CE1E9D"/>
    <w:rsid w:val="00CE254C"/>
    <w:rsid w:val="00CE2F5C"/>
    <w:rsid w:val="00CE3024"/>
    <w:rsid w:val="00CE34C7"/>
    <w:rsid w:val="00CE39FA"/>
    <w:rsid w:val="00CE48BB"/>
    <w:rsid w:val="00CE4DE1"/>
    <w:rsid w:val="00CE538D"/>
    <w:rsid w:val="00CE56B1"/>
    <w:rsid w:val="00CE5899"/>
    <w:rsid w:val="00CE5D07"/>
    <w:rsid w:val="00CE6139"/>
    <w:rsid w:val="00CE64FD"/>
    <w:rsid w:val="00CE6661"/>
    <w:rsid w:val="00CE6E02"/>
    <w:rsid w:val="00CE70F5"/>
    <w:rsid w:val="00CE7261"/>
    <w:rsid w:val="00CF05BE"/>
    <w:rsid w:val="00CF062B"/>
    <w:rsid w:val="00CF0C2A"/>
    <w:rsid w:val="00CF10B7"/>
    <w:rsid w:val="00CF1D4B"/>
    <w:rsid w:val="00CF233A"/>
    <w:rsid w:val="00CF2B2F"/>
    <w:rsid w:val="00CF2CCC"/>
    <w:rsid w:val="00CF2E61"/>
    <w:rsid w:val="00CF31F5"/>
    <w:rsid w:val="00CF3597"/>
    <w:rsid w:val="00CF39AC"/>
    <w:rsid w:val="00CF3E71"/>
    <w:rsid w:val="00CF3F20"/>
    <w:rsid w:val="00CF5000"/>
    <w:rsid w:val="00CF51E7"/>
    <w:rsid w:val="00CF5A5A"/>
    <w:rsid w:val="00CF5EB1"/>
    <w:rsid w:val="00CF6952"/>
    <w:rsid w:val="00CF69FC"/>
    <w:rsid w:val="00CF6BC6"/>
    <w:rsid w:val="00CF7657"/>
    <w:rsid w:val="00CF79C0"/>
    <w:rsid w:val="00D02362"/>
    <w:rsid w:val="00D03012"/>
    <w:rsid w:val="00D03884"/>
    <w:rsid w:val="00D039CD"/>
    <w:rsid w:val="00D03C8E"/>
    <w:rsid w:val="00D057A2"/>
    <w:rsid w:val="00D05840"/>
    <w:rsid w:val="00D05AA9"/>
    <w:rsid w:val="00D05E8A"/>
    <w:rsid w:val="00D06164"/>
    <w:rsid w:val="00D069E4"/>
    <w:rsid w:val="00D076A4"/>
    <w:rsid w:val="00D07A0E"/>
    <w:rsid w:val="00D10351"/>
    <w:rsid w:val="00D10893"/>
    <w:rsid w:val="00D10D58"/>
    <w:rsid w:val="00D118DE"/>
    <w:rsid w:val="00D1228E"/>
    <w:rsid w:val="00D12477"/>
    <w:rsid w:val="00D12D8C"/>
    <w:rsid w:val="00D130C8"/>
    <w:rsid w:val="00D143DC"/>
    <w:rsid w:val="00D144E2"/>
    <w:rsid w:val="00D1532A"/>
    <w:rsid w:val="00D15C3F"/>
    <w:rsid w:val="00D1707C"/>
    <w:rsid w:val="00D17629"/>
    <w:rsid w:val="00D17D80"/>
    <w:rsid w:val="00D17F0E"/>
    <w:rsid w:val="00D205D7"/>
    <w:rsid w:val="00D20962"/>
    <w:rsid w:val="00D20C15"/>
    <w:rsid w:val="00D20E37"/>
    <w:rsid w:val="00D214DD"/>
    <w:rsid w:val="00D21607"/>
    <w:rsid w:val="00D21932"/>
    <w:rsid w:val="00D22355"/>
    <w:rsid w:val="00D2262E"/>
    <w:rsid w:val="00D22F35"/>
    <w:rsid w:val="00D22F36"/>
    <w:rsid w:val="00D235FD"/>
    <w:rsid w:val="00D23A03"/>
    <w:rsid w:val="00D25661"/>
    <w:rsid w:val="00D2568E"/>
    <w:rsid w:val="00D2634F"/>
    <w:rsid w:val="00D264B0"/>
    <w:rsid w:val="00D266F8"/>
    <w:rsid w:val="00D27AC5"/>
    <w:rsid w:val="00D30195"/>
    <w:rsid w:val="00D30DFB"/>
    <w:rsid w:val="00D31243"/>
    <w:rsid w:val="00D31426"/>
    <w:rsid w:val="00D31BF4"/>
    <w:rsid w:val="00D3230F"/>
    <w:rsid w:val="00D3265B"/>
    <w:rsid w:val="00D32B80"/>
    <w:rsid w:val="00D32C2D"/>
    <w:rsid w:val="00D337CE"/>
    <w:rsid w:val="00D33CF0"/>
    <w:rsid w:val="00D33EC8"/>
    <w:rsid w:val="00D33EEC"/>
    <w:rsid w:val="00D34681"/>
    <w:rsid w:val="00D3488E"/>
    <w:rsid w:val="00D348F1"/>
    <w:rsid w:val="00D34C22"/>
    <w:rsid w:val="00D34E4E"/>
    <w:rsid w:val="00D34F68"/>
    <w:rsid w:val="00D35286"/>
    <w:rsid w:val="00D352E2"/>
    <w:rsid w:val="00D352EF"/>
    <w:rsid w:val="00D35DB3"/>
    <w:rsid w:val="00D3602D"/>
    <w:rsid w:val="00D36945"/>
    <w:rsid w:val="00D36AB9"/>
    <w:rsid w:val="00D37155"/>
    <w:rsid w:val="00D3775F"/>
    <w:rsid w:val="00D37CD3"/>
    <w:rsid w:val="00D37F37"/>
    <w:rsid w:val="00D40028"/>
    <w:rsid w:val="00D40999"/>
    <w:rsid w:val="00D40B80"/>
    <w:rsid w:val="00D40FDB"/>
    <w:rsid w:val="00D415B1"/>
    <w:rsid w:val="00D416CA"/>
    <w:rsid w:val="00D41761"/>
    <w:rsid w:val="00D41E73"/>
    <w:rsid w:val="00D42075"/>
    <w:rsid w:val="00D42096"/>
    <w:rsid w:val="00D428F5"/>
    <w:rsid w:val="00D42F4F"/>
    <w:rsid w:val="00D43A9D"/>
    <w:rsid w:val="00D44441"/>
    <w:rsid w:val="00D44D8F"/>
    <w:rsid w:val="00D44E65"/>
    <w:rsid w:val="00D4535B"/>
    <w:rsid w:val="00D4568F"/>
    <w:rsid w:val="00D458C2"/>
    <w:rsid w:val="00D458FC"/>
    <w:rsid w:val="00D45B60"/>
    <w:rsid w:val="00D46400"/>
    <w:rsid w:val="00D46940"/>
    <w:rsid w:val="00D47B89"/>
    <w:rsid w:val="00D5048D"/>
    <w:rsid w:val="00D50D45"/>
    <w:rsid w:val="00D50D7E"/>
    <w:rsid w:val="00D51412"/>
    <w:rsid w:val="00D51791"/>
    <w:rsid w:val="00D52350"/>
    <w:rsid w:val="00D52A7A"/>
    <w:rsid w:val="00D52FBE"/>
    <w:rsid w:val="00D532CA"/>
    <w:rsid w:val="00D546D8"/>
    <w:rsid w:val="00D54A19"/>
    <w:rsid w:val="00D54D52"/>
    <w:rsid w:val="00D54ED3"/>
    <w:rsid w:val="00D550C9"/>
    <w:rsid w:val="00D553D0"/>
    <w:rsid w:val="00D55C30"/>
    <w:rsid w:val="00D56676"/>
    <w:rsid w:val="00D56B52"/>
    <w:rsid w:val="00D56C78"/>
    <w:rsid w:val="00D56F3B"/>
    <w:rsid w:val="00D576F8"/>
    <w:rsid w:val="00D57777"/>
    <w:rsid w:val="00D579A1"/>
    <w:rsid w:val="00D57D92"/>
    <w:rsid w:val="00D601D2"/>
    <w:rsid w:val="00D60D92"/>
    <w:rsid w:val="00D612AF"/>
    <w:rsid w:val="00D61BCF"/>
    <w:rsid w:val="00D61C85"/>
    <w:rsid w:val="00D62147"/>
    <w:rsid w:val="00D6222A"/>
    <w:rsid w:val="00D62B35"/>
    <w:rsid w:val="00D62CC8"/>
    <w:rsid w:val="00D62CF8"/>
    <w:rsid w:val="00D62D9D"/>
    <w:rsid w:val="00D62DFC"/>
    <w:rsid w:val="00D63B3E"/>
    <w:rsid w:val="00D63DFD"/>
    <w:rsid w:val="00D646AA"/>
    <w:rsid w:val="00D64E1E"/>
    <w:rsid w:val="00D65509"/>
    <w:rsid w:val="00D658EB"/>
    <w:rsid w:val="00D6619E"/>
    <w:rsid w:val="00D66288"/>
    <w:rsid w:val="00D67B72"/>
    <w:rsid w:val="00D67BF7"/>
    <w:rsid w:val="00D70045"/>
    <w:rsid w:val="00D700B5"/>
    <w:rsid w:val="00D70D07"/>
    <w:rsid w:val="00D70F3F"/>
    <w:rsid w:val="00D71305"/>
    <w:rsid w:val="00D715D9"/>
    <w:rsid w:val="00D71C3C"/>
    <w:rsid w:val="00D72211"/>
    <w:rsid w:val="00D725F7"/>
    <w:rsid w:val="00D72F36"/>
    <w:rsid w:val="00D72FEC"/>
    <w:rsid w:val="00D7305A"/>
    <w:rsid w:val="00D739FD"/>
    <w:rsid w:val="00D744B2"/>
    <w:rsid w:val="00D74548"/>
    <w:rsid w:val="00D75BF8"/>
    <w:rsid w:val="00D75CE1"/>
    <w:rsid w:val="00D75E53"/>
    <w:rsid w:val="00D7629E"/>
    <w:rsid w:val="00D7635E"/>
    <w:rsid w:val="00D763D0"/>
    <w:rsid w:val="00D76673"/>
    <w:rsid w:val="00D7683C"/>
    <w:rsid w:val="00D76B30"/>
    <w:rsid w:val="00D77FAA"/>
    <w:rsid w:val="00D8122D"/>
    <w:rsid w:val="00D81563"/>
    <w:rsid w:val="00D824B5"/>
    <w:rsid w:val="00D833FA"/>
    <w:rsid w:val="00D83448"/>
    <w:rsid w:val="00D8397A"/>
    <w:rsid w:val="00D83CF6"/>
    <w:rsid w:val="00D83F27"/>
    <w:rsid w:val="00D841BE"/>
    <w:rsid w:val="00D84E10"/>
    <w:rsid w:val="00D84EA9"/>
    <w:rsid w:val="00D84EC1"/>
    <w:rsid w:val="00D8561E"/>
    <w:rsid w:val="00D8569E"/>
    <w:rsid w:val="00D8587D"/>
    <w:rsid w:val="00D86289"/>
    <w:rsid w:val="00D86F8A"/>
    <w:rsid w:val="00D90882"/>
    <w:rsid w:val="00D90F2E"/>
    <w:rsid w:val="00D91499"/>
    <w:rsid w:val="00D922EC"/>
    <w:rsid w:val="00D9270E"/>
    <w:rsid w:val="00D9272B"/>
    <w:rsid w:val="00D92A4A"/>
    <w:rsid w:val="00D93C29"/>
    <w:rsid w:val="00D9515B"/>
    <w:rsid w:val="00D96C9C"/>
    <w:rsid w:val="00D97F6A"/>
    <w:rsid w:val="00DA084F"/>
    <w:rsid w:val="00DA1249"/>
    <w:rsid w:val="00DA1C6F"/>
    <w:rsid w:val="00DA1DD9"/>
    <w:rsid w:val="00DA2EAB"/>
    <w:rsid w:val="00DA3377"/>
    <w:rsid w:val="00DA3680"/>
    <w:rsid w:val="00DA3735"/>
    <w:rsid w:val="00DA37FC"/>
    <w:rsid w:val="00DA43F0"/>
    <w:rsid w:val="00DA4586"/>
    <w:rsid w:val="00DA5007"/>
    <w:rsid w:val="00DA555A"/>
    <w:rsid w:val="00DA6EFE"/>
    <w:rsid w:val="00DA71F3"/>
    <w:rsid w:val="00DA76C7"/>
    <w:rsid w:val="00DA798B"/>
    <w:rsid w:val="00DA7B83"/>
    <w:rsid w:val="00DA7CFB"/>
    <w:rsid w:val="00DA7F66"/>
    <w:rsid w:val="00DB0610"/>
    <w:rsid w:val="00DB0670"/>
    <w:rsid w:val="00DB09BF"/>
    <w:rsid w:val="00DB1213"/>
    <w:rsid w:val="00DB1B35"/>
    <w:rsid w:val="00DB1ED7"/>
    <w:rsid w:val="00DB2677"/>
    <w:rsid w:val="00DB26F0"/>
    <w:rsid w:val="00DB274D"/>
    <w:rsid w:val="00DB2F31"/>
    <w:rsid w:val="00DB340B"/>
    <w:rsid w:val="00DB37B3"/>
    <w:rsid w:val="00DB3865"/>
    <w:rsid w:val="00DB39FF"/>
    <w:rsid w:val="00DB41CA"/>
    <w:rsid w:val="00DB44C4"/>
    <w:rsid w:val="00DB4ECE"/>
    <w:rsid w:val="00DB502E"/>
    <w:rsid w:val="00DB5D05"/>
    <w:rsid w:val="00DB5EB3"/>
    <w:rsid w:val="00DB61B8"/>
    <w:rsid w:val="00DB66C8"/>
    <w:rsid w:val="00DB6B45"/>
    <w:rsid w:val="00DB6F74"/>
    <w:rsid w:val="00DB7075"/>
    <w:rsid w:val="00DB7ED7"/>
    <w:rsid w:val="00DC0114"/>
    <w:rsid w:val="00DC0260"/>
    <w:rsid w:val="00DC0517"/>
    <w:rsid w:val="00DC0796"/>
    <w:rsid w:val="00DC0CFF"/>
    <w:rsid w:val="00DC1226"/>
    <w:rsid w:val="00DC147E"/>
    <w:rsid w:val="00DC211B"/>
    <w:rsid w:val="00DC244E"/>
    <w:rsid w:val="00DC25E3"/>
    <w:rsid w:val="00DC30AC"/>
    <w:rsid w:val="00DC3894"/>
    <w:rsid w:val="00DC3E87"/>
    <w:rsid w:val="00DC3FAD"/>
    <w:rsid w:val="00DC4011"/>
    <w:rsid w:val="00DC428E"/>
    <w:rsid w:val="00DC47CA"/>
    <w:rsid w:val="00DC55C0"/>
    <w:rsid w:val="00DC574C"/>
    <w:rsid w:val="00DC598C"/>
    <w:rsid w:val="00DC642B"/>
    <w:rsid w:val="00DC670C"/>
    <w:rsid w:val="00DC6FE5"/>
    <w:rsid w:val="00DC775A"/>
    <w:rsid w:val="00DD07D4"/>
    <w:rsid w:val="00DD09D6"/>
    <w:rsid w:val="00DD0A86"/>
    <w:rsid w:val="00DD0F32"/>
    <w:rsid w:val="00DD18F0"/>
    <w:rsid w:val="00DD1A0F"/>
    <w:rsid w:val="00DD1B26"/>
    <w:rsid w:val="00DD1BB9"/>
    <w:rsid w:val="00DD2357"/>
    <w:rsid w:val="00DD2E7C"/>
    <w:rsid w:val="00DD33A0"/>
    <w:rsid w:val="00DD386B"/>
    <w:rsid w:val="00DD3B66"/>
    <w:rsid w:val="00DD3BCC"/>
    <w:rsid w:val="00DD472A"/>
    <w:rsid w:val="00DD5192"/>
    <w:rsid w:val="00DD5610"/>
    <w:rsid w:val="00DD5A1E"/>
    <w:rsid w:val="00DD5C40"/>
    <w:rsid w:val="00DD702F"/>
    <w:rsid w:val="00DD70EE"/>
    <w:rsid w:val="00DD7244"/>
    <w:rsid w:val="00DE03C1"/>
    <w:rsid w:val="00DE0883"/>
    <w:rsid w:val="00DE1100"/>
    <w:rsid w:val="00DE11F8"/>
    <w:rsid w:val="00DE1672"/>
    <w:rsid w:val="00DE18FB"/>
    <w:rsid w:val="00DE26B9"/>
    <w:rsid w:val="00DE2D0E"/>
    <w:rsid w:val="00DE31F7"/>
    <w:rsid w:val="00DE458F"/>
    <w:rsid w:val="00DE4B55"/>
    <w:rsid w:val="00DE4D27"/>
    <w:rsid w:val="00DE4FFF"/>
    <w:rsid w:val="00DE5449"/>
    <w:rsid w:val="00DE5AD5"/>
    <w:rsid w:val="00DE6725"/>
    <w:rsid w:val="00DE68B7"/>
    <w:rsid w:val="00DE69F2"/>
    <w:rsid w:val="00DE722F"/>
    <w:rsid w:val="00DE75C0"/>
    <w:rsid w:val="00DF05DB"/>
    <w:rsid w:val="00DF1767"/>
    <w:rsid w:val="00DF1B4B"/>
    <w:rsid w:val="00DF1B8F"/>
    <w:rsid w:val="00DF32FA"/>
    <w:rsid w:val="00DF38DC"/>
    <w:rsid w:val="00DF39F0"/>
    <w:rsid w:val="00DF3AD8"/>
    <w:rsid w:val="00DF3B51"/>
    <w:rsid w:val="00DF4B67"/>
    <w:rsid w:val="00DF4CC7"/>
    <w:rsid w:val="00DF50E2"/>
    <w:rsid w:val="00DF60EA"/>
    <w:rsid w:val="00DF641D"/>
    <w:rsid w:val="00DF6878"/>
    <w:rsid w:val="00DF6F68"/>
    <w:rsid w:val="00DF72D6"/>
    <w:rsid w:val="00DF7392"/>
    <w:rsid w:val="00DF758D"/>
    <w:rsid w:val="00DF77EB"/>
    <w:rsid w:val="00DF7902"/>
    <w:rsid w:val="00DF7C66"/>
    <w:rsid w:val="00DF7C84"/>
    <w:rsid w:val="00E00EDC"/>
    <w:rsid w:val="00E011E7"/>
    <w:rsid w:val="00E016BE"/>
    <w:rsid w:val="00E0249C"/>
    <w:rsid w:val="00E0261C"/>
    <w:rsid w:val="00E02D12"/>
    <w:rsid w:val="00E02D38"/>
    <w:rsid w:val="00E02EEA"/>
    <w:rsid w:val="00E037D2"/>
    <w:rsid w:val="00E03B2C"/>
    <w:rsid w:val="00E03C04"/>
    <w:rsid w:val="00E03D9C"/>
    <w:rsid w:val="00E03DD0"/>
    <w:rsid w:val="00E03FFE"/>
    <w:rsid w:val="00E045EE"/>
    <w:rsid w:val="00E04FAE"/>
    <w:rsid w:val="00E051DB"/>
    <w:rsid w:val="00E057C3"/>
    <w:rsid w:val="00E05800"/>
    <w:rsid w:val="00E05C21"/>
    <w:rsid w:val="00E068F2"/>
    <w:rsid w:val="00E10001"/>
    <w:rsid w:val="00E1052E"/>
    <w:rsid w:val="00E1078D"/>
    <w:rsid w:val="00E10BC1"/>
    <w:rsid w:val="00E10C20"/>
    <w:rsid w:val="00E10FC6"/>
    <w:rsid w:val="00E11C5B"/>
    <w:rsid w:val="00E11DA2"/>
    <w:rsid w:val="00E11F4C"/>
    <w:rsid w:val="00E120F1"/>
    <w:rsid w:val="00E133CA"/>
    <w:rsid w:val="00E1343F"/>
    <w:rsid w:val="00E136D0"/>
    <w:rsid w:val="00E13923"/>
    <w:rsid w:val="00E13975"/>
    <w:rsid w:val="00E14616"/>
    <w:rsid w:val="00E147CE"/>
    <w:rsid w:val="00E151DD"/>
    <w:rsid w:val="00E159EA"/>
    <w:rsid w:val="00E15ADB"/>
    <w:rsid w:val="00E15F84"/>
    <w:rsid w:val="00E16469"/>
    <w:rsid w:val="00E16905"/>
    <w:rsid w:val="00E174D0"/>
    <w:rsid w:val="00E20282"/>
    <w:rsid w:val="00E21A5C"/>
    <w:rsid w:val="00E21BC8"/>
    <w:rsid w:val="00E21F5A"/>
    <w:rsid w:val="00E22001"/>
    <w:rsid w:val="00E224FC"/>
    <w:rsid w:val="00E23592"/>
    <w:rsid w:val="00E2369C"/>
    <w:rsid w:val="00E2409C"/>
    <w:rsid w:val="00E24706"/>
    <w:rsid w:val="00E2481B"/>
    <w:rsid w:val="00E250D7"/>
    <w:rsid w:val="00E25916"/>
    <w:rsid w:val="00E2610F"/>
    <w:rsid w:val="00E2620B"/>
    <w:rsid w:val="00E26477"/>
    <w:rsid w:val="00E26B31"/>
    <w:rsid w:val="00E2710D"/>
    <w:rsid w:val="00E30387"/>
    <w:rsid w:val="00E30897"/>
    <w:rsid w:val="00E30903"/>
    <w:rsid w:val="00E311BC"/>
    <w:rsid w:val="00E31370"/>
    <w:rsid w:val="00E31D5C"/>
    <w:rsid w:val="00E329D5"/>
    <w:rsid w:val="00E334AB"/>
    <w:rsid w:val="00E340C6"/>
    <w:rsid w:val="00E34422"/>
    <w:rsid w:val="00E348C9"/>
    <w:rsid w:val="00E34908"/>
    <w:rsid w:val="00E35A87"/>
    <w:rsid w:val="00E35BCA"/>
    <w:rsid w:val="00E35D21"/>
    <w:rsid w:val="00E369F1"/>
    <w:rsid w:val="00E36FDC"/>
    <w:rsid w:val="00E37475"/>
    <w:rsid w:val="00E37DD2"/>
    <w:rsid w:val="00E40058"/>
    <w:rsid w:val="00E4007D"/>
    <w:rsid w:val="00E40131"/>
    <w:rsid w:val="00E40569"/>
    <w:rsid w:val="00E40AC6"/>
    <w:rsid w:val="00E40F22"/>
    <w:rsid w:val="00E413D5"/>
    <w:rsid w:val="00E41770"/>
    <w:rsid w:val="00E4177C"/>
    <w:rsid w:val="00E439F8"/>
    <w:rsid w:val="00E44691"/>
    <w:rsid w:val="00E44A70"/>
    <w:rsid w:val="00E45002"/>
    <w:rsid w:val="00E45618"/>
    <w:rsid w:val="00E4625D"/>
    <w:rsid w:val="00E465B3"/>
    <w:rsid w:val="00E466EA"/>
    <w:rsid w:val="00E46CFB"/>
    <w:rsid w:val="00E46E99"/>
    <w:rsid w:val="00E471C5"/>
    <w:rsid w:val="00E47434"/>
    <w:rsid w:val="00E4792A"/>
    <w:rsid w:val="00E47AFB"/>
    <w:rsid w:val="00E47BF6"/>
    <w:rsid w:val="00E5038A"/>
    <w:rsid w:val="00E504D5"/>
    <w:rsid w:val="00E50C82"/>
    <w:rsid w:val="00E523D9"/>
    <w:rsid w:val="00E524E4"/>
    <w:rsid w:val="00E52928"/>
    <w:rsid w:val="00E52BFC"/>
    <w:rsid w:val="00E54842"/>
    <w:rsid w:val="00E549DD"/>
    <w:rsid w:val="00E54D73"/>
    <w:rsid w:val="00E55255"/>
    <w:rsid w:val="00E55AC7"/>
    <w:rsid w:val="00E56FE0"/>
    <w:rsid w:val="00E57561"/>
    <w:rsid w:val="00E576A6"/>
    <w:rsid w:val="00E57851"/>
    <w:rsid w:val="00E6004D"/>
    <w:rsid w:val="00E60232"/>
    <w:rsid w:val="00E60F9C"/>
    <w:rsid w:val="00E612B1"/>
    <w:rsid w:val="00E61699"/>
    <w:rsid w:val="00E618BE"/>
    <w:rsid w:val="00E61E56"/>
    <w:rsid w:val="00E6221B"/>
    <w:rsid w:val="00E62F1D"/>
    <w:rsid w:val="00E6412E"/>
    <w:rsid w:val="00E642C3"/>
    <w:rsid w:val="00E6473F"/>
    <w:rsid w:val="00E64B7F"/>
    <w:rsid w:val="00E64FBF"/>
    <w:rsid w:val="00E654CE"/>
    <w:rsid w:val="00E6557C"/>
    <w:rsid w:val="00E65980"/>
    <w:rsid w:val="00E65C5A"/>
    <w:rsid w:val="00E65FB9"/>
    <w:rsid w:val="00E664EA"/>
    <w:rsid w:val="00E6700B"/>
    <w:rsid w:val="00E6710D"/>
    <w:rsid w:val="00E67137"/>
    <w:rsid w:val="00E70233"/>
    <w:rsid w:val="00E7085F"/>
    <w:rsid w:val="00E7120C"/>
    <w:rsid w:val="00E714E2"/>
    <w:rsid w:val="00E72387"/>
    <w:rsid w:val="00E733D5"/>
    <w:rsid w:val="00E73C49"/>
    <w:rsid w:val="00E74002"/>
    <w:rsid w:val="00E7437D"/>
    <w:rsid w:val="00E74574"/>
    <w:rsid w:val="00E751EF"/>
    <w:rsid w:val="00E75454"/>
    <w:rsid w:val="00E75F85"/>
    <w:rsid w:val="00E77079"/>
    <w:rsid w:val="00E77A41"/>
    <w:rsid w:val="00E77F05"/>
    <w:rsid w:val="00E77F3A"/>
    <w:rsid w:val="00E8036C"/>
    <w:rsid w:val="00E80845"/>
    <w:rsid w:val="00E8103A"/>
    <w:rsid w:val="00E810FA"/>
    <w:rsid w:val="00E815CD"/>
    <w:rsid w:val="00E815E3"/>
    <w:rsid w:val="00E81732"/>
    <w:rsid w:val="00E81ADC"/>
    <w:rsid w:val="00E81D5D"/>
    <w:rsid w:val="00E81E52"/>
    <w:rsid w:val="00E81F97"/>
    <w:rsid w:val="00E82D07"/>
    <w:rsid w:val="00E84074"/>
    <w:rsid w:val="00E84EBA"/>
    <w:rsid w:val="00E84F4E"/>
    <w:rsid w:val="00E851CB"/>
    <w:rsid w:val="00E855B8"/>
    <w:rsid w:val="00E858D9"/>
    <w:rsid w:val="00E86212"/>
    <w:rsid w:val="00E86369"/>
    <w:rsid w:val="00E86474"/>
    <w:rsid w:val="00E86A52"/>
    <w:rsid w:val="00E86B94"/>
    <w:rsid w:val="00E876CA"/>
    <w:rsid w:val="00E8795E"/>
    <w:rsid w:val="00E900F7"/>
    <w:rsid w:val="00E90849"/>
    <w:rsid w:val="00E90B30"/>
    <w:rsid w:val="00E90C45"/>
    <w:rsid w:val="00E91D7C"/>
    <w:rsid w:val="00E930A5"/>
    <w:rsid w:val="00E9337D"/>
    <w:rsid w:val="00E933B2"/>
    <w:rsid w:val="00E93C1B"/>
    <w:rsid w:val="00E93F92"/>
    <w:rsid w:val="00E94439"/>
    <w:rsid w:val="00E95588"/>
    <w:rsid w:val="00E971BE"/>
    <w:rsid w:val="00EA004C"/>
    <w:rsid w:val="00EA01DB"/>
    <w:rsid w:val="00EA0759"/>
    <w:rsid w:val="00EA0B78"/>
    <w:rsid w:val="00EA0C8A"/>
    <w:rsid w:val="00EA1400"/>
    <w:rsid w:val="00EA14C1"/>
    <w:rsid w:val="00EA1688"/>
    <w:rsid w:val="00EA17BB"/>
    <w:rsid w:val="00EA1DC5"/>
    <w:rsid w:val="00EA1F7D"/>
    <w:rsid w:val="00EA1FCE"/>
    <w:rsid w:val="00EA34E8"/>
    <w:rsid w:val="00EA36BF"/>
    <w:rsid w:val="00EA4361"/>
    <w:rsid w:val="00EA4750"/>
    <w:rsid w:val="00EA4F0E"/>
    <w:rsid w:val="00EA5AAA"/>
    <w:rsid w:val="00EA5CB8"/>
    <w:rsid w:val="00EA5D2A"/>
    <w:rsid w:val="00EA5D2C"/>
    <w:rsid w:val="00EA60BC"/>
    <w:rsid w:val="00EA657A"/>
    <w:rsid w:val="00EA7AB1"/>
    <w:rsid w:val="00EB01EF"/>
    <w:rsid w:val="00EB0341"/>
    <w:rsid w:val="00EB0380"/>
    <w:rsid w:val="00EB0AC0"/>
    <w:rsid w:val="00EB0BE3"/>
    <w:rsid w:val="00EB0C13"/>
    <w:rsid w:val="00EB176F"/>
    <w:rsid w:val="00EB1A54"/>
    <w:rsid w:val="00EB1B39"/>
    <w:rsid w:val="00EB1D47"/>
    <w:rsid w:val="00EB21CE"/>
    <w:rsid w:val="00EB23AA"/>
    <w:rsid w:val="00EB2B80"/>
    <w:rsid w:val="00EB2D76"/>
    <w:rsid w:val="00EB304B"/>
    <w:rsid w:val="00EB45BC"/>
    <w:rsid w:val="00EB46E0"/>
    <w:rsid w:val="00EB5C95"/>
    <w:rsid w:val="00EB5E50"/>
    <w:rsid w:val="00EB60FB"/>
    <w:rsid w:val="00EB64C3"/>
    <w:rsid w:val="00EB6A26"/>
    <w:rsid w:val="00EB6A50"/>
    <w:rsid w:val="00EB7075"/>
    <w:rsid w:val="00EB739D"/>
    <w:rsid w:val="00EB73F1"/>
    <w:rsid w:val="00EB7D70"/>
    <w:rsid w:val="00EB7E9F"/>
    <w:rsid w:val="00EC1089"/>
    <w:rsid w:val="00EC14D7"/>
    <w:rsid w:val="00EC14E9"/>
    <w:rsid w:val="00EC154E"/>
    <w:rsid w:val="00EC15D9"/>
    <w:rsid w:val="00EC16FA"/>
    <w:rsid w:val="00EC181D"/>
    <w:rsid w:val="00EC18E4"/>
    <w:rsid w:val="00EC306C"/>
    <w:rsid w:val="00EC31CC"/>
    <w:rsid w:val="00EC3B42"/>
    <w:rsid w:val="00EC3B99"/>
    <w:rsid w:val="00EC3D80"/>
    <w:rsid w:val="00EC4386"/>
    <w:rsid w:val="00EC4616"/>
    <w:rsid w:val="00EC4D10"/>
    <w:rsid w:val="00EC502E"/>
    <w:rsid w:val="00EC5288"/>
    <w:rsid w:val="00EC5E00"/>
    <w:rsid w:val="00EC5F2B"/>
    <w:rsid w:val="00EC6030"/>
    <w:rsid w:val="00EC6408"/>
    <w:rsid w:val="00EC65EE"/>
    <w:rsid w:val="00EC6E97"/>
    <w:rsid w:val="00EC6FA4"/>
    <w:rsid w:val="00EC7398"/>
    <w:rsid w:val="00EC798B"/>
    <w:rsid w:val="00ED0994"/>
    <w:rsid w:val="00ED0998"/>
    <w:rsid w:val="00ED1A6D"/>
    <w:rsid w:val="00ED1BE7"/>
    <w:rsid w:val="00ED1C11"/>
    <w:rsid w:val="00ED24FD"/>
    <w:rsid w:val="00ED2E18"/>
    <w:rsid w:val="00ED2F76"/>
    <w:rsid w:val="00ED3429"/>
    <w:rsid w:val="00ED3DA3"/>
    <w:rsid w:val="00ED434E"/>
    <w:rsid w:val="00ED51D4"/>
    <w:rsid w:val="00ED53A1"/>
    <w:rsid w:val="00ED5C94"/>
    <w:rsid w:val="00ED5E39"/>
    <w:rsid w:val="00ED5ECF"/>
    <w:rsid w:val="00ED5EFE"/>
    <w:rsid w:val="00ED669A"/>
    <w:rsid w:val="00ED6A75"/>
    <w:rsid w:val="00ED6AAA"/>
    <w:rsid w:val="00ED7449"/>
    <w:rsid w:val="00ED7461"/>
    <w:rsid w:val="00ED7561"/>
    <w:rsid w:val="00ED7A11"/>
    <w:rsid w:val="00ED7CBE"/>
    <w:rsid w:val="00EE02CE"/>
    <w:rsid w:val="00EE0794"/>
    <w:rsid w:val="00EE0E20"/>
    <w:rsid w:val="00EE122A"/>
    <w:rsid w:val="00EE210E"/>
    <w:rsid w:val="00EE2AA0"/>
    <w:rsid w:val="00EE2E88"/>
    <w:rsid w:val="00EE2F89"/>
    <w:rsid w:val="00EE30B8"/>
    <w:rsid w:val="00EE328B"/>
    <w:rsid w:val="00EE39F5"/>
    <w:rsid w:val="00EE3DB1"/>
    <w:rsid w:val="00EE4537"/>
    <w:rsid w:val="00EE4828"/>
    <w:rsid w:val="00EE4FAE"/>
    <w:rsid w:val="00EE5019"/>
    <w:rsid w:val="00EE50AA"/>
    <w:rsid w:val="00EE5F7B"/>
    <w:rsid w:val="00EE6834"/>
    <w:rsid w:val="00EE6A28"/>
    <w:rsid w:val="00EE6CF1"/>
    <w:rsid w:val="00EE6E2F"/>
    <w:rsid w:val="00EE72BE"/>
    <w:rsid w:val="00EE7503"/>
    <w:rsid w:val="00EE7A56"/>
    <w:rsid w:val="00EE7F76"/>
    <w:rsid w:val="00EF0343"/>
    <w:rsid w:val="00EF0688"/>
    <w:rsid w:val="00EF185B"/>
    <w:rsid w:val="00EF3E79"/>
    <w:rsid w:val="00EF448E"/>
    <w:rsid w:val="00EF44DB"/>
    <w:rsid w:val="00EF4A6C"/>
    <w:rsid w:val="00EF583E"/>
    <w:rsid w:val="00EF6405"/>
    <w:rsid w:val="00EF6F7B"/>
    <w:rsid w:val="00EF71E7"/>
    <w:rsid w:val="00EF7421"/>
    <w:rsid w:val="00EF78CD"/>
    <w:rsid w:val="00F00506"/>
    <w:rsid w:val="00F007E5"/>
    <w:rsid w:val="00F015A3"/>
    <w:rsid w:val="00F021EC"/>
    <w:rsid w:val="00F027A1"/>
    <w:rsid w:val="00F02963"/>
    <w:rsid w:val="00F02A59"/>
    <w:rsid w:val="00F035E0"/>
    <w:rsid w:val="00F03792"/>
    <w:rsid w:val="00F03D28"/>
    <w:rsid w:val="00F04038"/>
    <w:rsid w:val="00F04395"/>
    <w:rsid w:val="00F0450B"/>
    <w:rsid w:val="00F047EC"/>
    <w:rsid w:val="00F04CB9"/>
    <w:rsid w:val="00F052BA"/>
    <w:rsid w:val="00F05303"/>
    <w:rsid w:val="00F055A2"/>
    <w:rsid w:val="00F05609"/>
    <w:rsid w:val="00F061AB"/>
    <w:rsid w:val="00F07957"/>
    <w:rsid w:val="00F106EC"/>
    <w:rsid w:val="00F1116E"/>
    <w:rsid w:val="00F1206E"/>
    <w:rsid w:val="00F127FD"/>
    <w:rsid w:val="00F1291B"/>
    <w:rsid w:val="00F12948"/>
    <w:rsid w:val="00F129AF"/>
    <w:rsid w:val="00F13860"/>
    <w:rsid w:val="00F1412C"/>
    <w:rsid w:val="00F14E96"/>
    <w:rsid w:val="00F14F44"/>
    <w:rsid w:val="00F15649"/>
    <w:rsid w:val="00F1655C"/>
    <w:rsid w:val="00F16AFB"/>
    <w:rsid w:val="00F17B10"/>
    <w:rsid w:val="00F17F05"/>
    <w:rsid w:val="00F17F7D"/>
    <w:rsid w:val="00F17FB6"/>
    <w:rsid w:val="00F200C9"/>
    <w:rsid w:val="00F200D0"/>
    <w:rsid w:val="00F20AC9"/>
    <w:rsid w:val="00F213F3"/>
    <w:rsid w:val="00F21B81"/>
    <w:rsid w:val="00F22C8E"/>
    <w:rsid w:val="00F23345"/>
    <w:rsid w:val="00F236A9"/>
    <w:rsid w:val="00F23D89"/>
    <w:rsid w:val="00F23E1D"/>
    <w:rsid w:val="00F23F4A"/>
    <w:rsid w:val="00F243D0"/>
    <w:rsid w:val="00F24A44"/>
    <w:rsid w:val="00F2512B"/>
    <w:rsid w:val="00F25A3B"/>
    <w:rsid w:val="00F25BBE"/>
    <w:rsid w:val="00F2630F"/>
    <w:rsid w:val="00F26F69"/>
    <w:rsid w:val="00F27262"/>
    <w:rsid w:val="00F27931"/>
    <w:rsid w:val="00F306B8"/>
    <w:rsid w:val="00F310C3"/>
    <w:rsid w:val="00F31B2F"/>
    <w:rsid w:val="00F31F1A"/>
    <w:rsid w:val="00F320A3"/>
    <w:rsid w:val="00F33DE0"/>
    <w:rsid w:val="00F349B4"/>
    <w:rsid w:val="00F3665D"/>
    <w:rsid w:val="00F36923"/>
    <w:rsid w:val="00F36B0F"/>
    <w:rsid w:val="00F406CC"/>
    <w:rsid w:val="00F4074E"/>
    <w:rsid w:val="00F40C5A"/>
    <w:rsid w:val="00F40D47"/>
    <w:rsid w:val="00F41413"/>
    <w:rsid w:val="00F41846"/>
    <w:rsid w:val="00F419BE"/>
    <w:rsid w:val="00F41A85"/>
    <w:rsid w:val="00F423C4"/>
    <w:rsid w:val="00F43448"/>
    <w:rsid w:val="00F43453"/>
    <w:rsid w:val="00F43C37"/>
    <w:rsid w:val="00F43F4D"/>
    <w:rsid w:val="00F4419C"/>
    <w:rsid w:val="00F4420C"/>
    <w:rsid w:val="00F44373"/>
    <w:rsid w:val="00F4460D"/>
    <w:rsid w:val="00F45BCE"/>
    <w:rsid w:val="00F45EE3"/>
    <w:rsid w:val="00F45F7D"/>
    <w:rsid w:val="00F474A7"/>
    <w:rsid w:val="00F47723"/>
    <w:rsid w:val="00F47EAA"/>
    <w:rsid w:val="00F504D2"/>
    <w:rsid w:val="00F50615"/>
    <w:rsid w:val="00F50D5C"/>
    <w:rsid w:val="00F519D3"/>
    <w:rsid w:val="00F51B7C"/>
    <w:rsid w:val="00F52C51"/>
    <w:rsid w:val="00F53463"/>
    <w:rsid w:val="00F53F11"/>
    <w:rsid w:val="00F54184"/>
    <w:rsid w:val="00F545E3"/>
    <w:rsid w:val="00F54FC0"/>
    <w:rsid w:val="00F5642D"/>
    <w:rsid w:val="00F56510"/>
    <w:rsid w:val="00F5680A"/>
    <w:rsid w:val="00F56B64"/>
    <w:rsid w:val="00F57935"/>
    <w:rsid w:val="00F57D06"/>
    <w:rsid w:val="00F60996"/>
    <w:rsid w:val="00F60A88"/>
    <w:rsid w:val="00F60AFC"/>
    <w:rsid w:val="00F60DDB"/>
    <w:rsid w:val="00F611B3"/>
    <w:rsid w:val="00F61520"/>
    <w:rsid w:val="00F61884"/>
    <w:rsid w:val="00F61F45"/>
    <w:rsid w:val="00F629EF"/>
    <w:rsid w:val="00F63100"/>
    <w:rsid w:val="00F6332A"/>
    <w:rsid w:val="00F65A2B"/>
    <w:rsid w:val="00F65D37"/>
    <w:rsid w:val="00F661D0"/>
    <w:rsid w:val="00F668B6"/>
    <w:rsid w:val="00F66E50"/>
    <w:rsid w:val="00F70342"/>
    <w:rsid w:val="00F7095B"/>
    <w:rsid w:val="00F709BD"/>
    <w:rsid w:val="00F71174"/>
    <w:rsid w:val="00F711FF"/>
    <w:rsid w:val="00F719D4"/>
    <w:rsid w:val="00F71D1E"/>
    <w:rsid w:val="00F71E86"/>
    <w:rsid w:val="00F72BF7"/>
    <w:rsid w:val="00F72DE1"/>
    <w:rsid w:val="00F7338C"/>
    <w:rsid w:val="00F744B4"/>
    <w:rsid w:val="00F74A08"/>
    <w:rsid w:val="00F74A33"/>
    <w:rsid w:val="00F74BCF"/>
    <w:rsid w:val="00F75204"/>
    <w:rsid w:val="00F75BD2"/>
    <w:rsid w:val="00F765BA"/>
    <w:rsid w:val="00F767EC"/>
    <w:rsid w:val="00F76B01"/>
    <w:rsid w:val="00F76CA8"/>
    <w:rsid w:val="00F8001F"/>
    <w:rsid w:val="00F80377"/>
    <w:rsid w:val="00F80C6E"/>
    <w:rsid w:val="00F81127"/>
    <w:rsid w:val="00F81AAF"/>
    <w:rsid w:val="00F81E59"/>
    <w:rsid w:val="00F81EA1"/>
    <w:rsid w:val="00F825F0"/>
    <w:rsid w:val="00F82687"/>
    <w:rsid w:val="00F841D9"/>
    <w:rsid w:val="00F849DD"/>
    <w:rsid w:val="00F84BDD"/>
    <w:rsid w:val="00F84F68"/>
    <w:rsid w:val="00F85B45"/>
    <w:rsid w:val="00F867D0"/>
    <w:rsid w:val="00F8741F"/>
    <w:rsid w:val="00F874AA"/>
    <w:rsid w:val="00F875F4"/>
    <w:rsid w:val="00F878A9"/>
    <w:rsid w:val="00F87E74"/>
    <w:rsid w:val="00F9024E"/>
    <w:rsid w:val="00F90791"/>
    <w:rsid w:val="00F9088C"/>
    <w:rsid w:val="00F90C05"/>
    <w:rsid w:val="00F911D7"/>
    <w:rsid w:val="00F911FB"/>
    <w:rsid w:val="00F929F2"/>
    <w:rsid w:val="00F932B1"/>
    <w:rsid w:val="00F93D6E"/>
    <w:rsid w:val="00F93F6A"/>
    <w:rsid w:val="00F94709"/>
    <w:rsid w:val="00F949F4"/>
    <w:rsid w:val="00F97BCD"/>
    <w:rsid w:val="00F97E6F"/>
    <w:rsid w:val="00FA017D"/>
    <w:rsid w:val="00FA01F0"/>
    <w:rsid w:val="00FA0951"/>
    <w:rsid w:val="00FA18C6"/>
    <w:rsid w:val="00FA1B31"/>
    <w:rsid w:val="00FA233C"/>
    <w:rsid w:val="00FA24FA"/>
    <w:rsid w:val="00FA4901"/>
    <w:rsid w:val="00FA56D1"/>
    <w:rsid w:val="00FA6E64"/>
    <w:rsid w:val="00FA770C"/>
    <w:rsid w:val="00FA7A64"/>
    <w:rsid w:val="00FA7CB6"/>
    <w:rsid w:val="00FA7FF3"/>
    <w:rsid w:val="00FB02CE"/>
    <w:rsid w:val="00FB040E"/>
    <w:rsid w:val="00FB0B7F"/>
    <w:rsid w:val="00FB0E54"/>
    <w:rsid w:val="00FB129E"/>
    <w:rsid w:val="00FB1C00"/>
    <w:rsid w:val="00FB1E7B"/>
    <w:rsid w:val="00FB2093"/>
    <w:rsid w:val="00FB24D0"/>
    <w:rsid w:val="00FB28DA"/>
    <w:rsid w:val="00FB2B5A"/>
    <w:rsid w:val="00FB2D95"/>
    <w:rsid w:val="00FB2E74"/>
    <w:rsid w:val="00FB33C0"/>
    <w:rsid w:val="00FB34D2"/>
    <w:rsid w:val="00FB3FA2"/>
    <w:rsid w:val="00FB43C6"/>
    <w:rsid w:val="00FB4579"/>
    <w:rsid w:val="00FB4FFD"/>
    <w:rsid w:val="00FB5ECF"/>
    <w:rsid w:val="00FB5FF2"/>
    <w:rsid w:val="00FB644C"/>
    <w:rsid w:val="00FB668E"/>
    <w:rsid w:val="00FB6B8F"/>
    <w:rsid w:val="00FB6C4F"/>
    <w:rsid w:val="00FB6F92"/>
    <w:rsid w:val="00FB74FC"/>
    <w:rsid w:val="00FB79E6"/>
    <w:rsid w:val="00FC00AF"/>
    <w:rsid w:val="00FC0127"/>
    <w:rsid w:val="00FC0817"/>
    <w:rsid w:val="00FC1040"/>
    <w:rsid w:val="00FC11C1"/>
    <w:rsid w:val="00FC121A"/>
    <w:rsid w:val="00FC1818"/>
    <w:rsid w:val="00FC18B0"/>
    <w:rsid w:val="00FC1FEC"/>
    <w:rsid w:val="00FC2C65"/>
    <w:rsid w:val="00FC2DA8"/>
    <w:rsid w:val="00FC3421"/>
    <w:rsid w:val="00FC35BE"/>
    <w:rsid w:val="00FC3A09"/>
    <w:rsid w:val="00FC488C"/>
    <w:rsid w:val="00FC511E"/>
    <w:rsid w:val="00FC5156"/>
    <w:rsid w:val="00FC5455"/>
    <w:rsid w:val="00FC640E"/>
    <w:rsid w:val="00FC64D2"/>
    <w:rsid w:val="00FC677C"/>
    <w:rsid w:val="00FC6A39"/>
    <w:rsid w:val="00FC6F41"/>
    <w:rsid w:val="00FC7A3D"/>
    <w:rsid w:val="00FC7E98"/>
    <w:rsid w:val="00FD013A"/>
    <w:rsid w:val="00FD0169"/>
    <w:rsid w:val="00FD144E"/>
    <w:rsid w:val="00FD1700"/>
    <w:rsid w:val="00FD2160"/>
    <w:rsid w:val="00FD2DE9"/>
    <w:rsid w:val="00FD30F7"/>
    <w:rsid w:val="00FD312D"/>
    <w:rsid w:val="00FD3722"/>
    <w:rsid w:val="00FD3868"/>
    <w:rsid w:val="00FD3A82"/>
    <w:rsid w:val="00FD3F74"/>
    <w:rsid w:val="00FD4B43"/>
    <w:rsid w:val="00FD5384"/>
    <w:rsid w:val="00FD7411"/>
    <w:rsid w:val="00FD77D0"/>
    <w:rsid w:val="00FD7B3B"/>
    <w:rsid w:val="00FE05F6"/>
    <w:rsid w:val="00FE1655"/>
    <w:rsid w:val="00FE19ED"/>
    <w:rsid w:val="00FE1A45"/>
    <w:rsid w:val="00FE279E"/>
    <w:rsid w:val="00FE2DF2"/>
    <w:rsid w:val="00FE3879"/>
    <w:rsid w:val="00FE3B8B"/>
    <w:rsid w:val="00FE3BBD"/>
    <w:rsid w:val="00FE3C0A"/>
    <w:rsid w:val="00FE41A4"/>
    <w:rsid w:val="00FE4559"/>
    <w:rsid w:val="00FE49D4"/>
    <w:rsid w:val="00FE5BB6"/>
    <w:rsid w:val="00FE6606"/>
    <w:rsid w:val="00FE6A00"/>
    <w:rsid w:val="00FE7000"/>
    <w:rsid w:val="00FE79CB"/>
    <w:rsid w:val="00FF09EE"/>
    <w:rsid w:val="00FF0B90"/>
    <w:rsid w:val="00FF0C18"/>
    <w:rsid w:val="00FF0F62"/>
    <w:rsid w:val="00FF1519"/>
    <w:rsid w:val="00FF2045"/>
    <w:rsid w:val="00FF2C86"/>
    <w:rsid w:val="00FF2FB8"/>
    <w:rsid w:val="00FF2FF5"/>
    <w:rsid w:val="00FF3744"/>
    <w:rsid w:val="00FF4A80"/>
    <w:rsid w:val="00FF5149"/>
    <w:rsid w:val="00FF59B9"/>
    <w:rsid w:val="00FF5EBD"/>
    <w:rsid w:val="00FF61E3"/>
    <w:rsid w:val="00FF6E6D"/>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994F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46D2"/>
    <w:rPr>
      <w:sz w:val="24"/>
      <w:szCs w:val="24"/>
    </w:rPr>
  </w:style>
  <w:style w:type="paragraph" w:styleId="Nadpis1">
    <w:name w:val="heading 1"/>
    <w:basedOn w:val="Normln"/>
    <w:next w:val="Normln"/>
    <w:link w:val="Nadpis1Char"/>
    <w:uiPriority w:val="99"/>
    <w:qFormat/>
    <w:rsid w:val="007B74B0"/>
    <w:pPr>
      <w:keepNext/>
      <w:jc w:val="center"/>
      <w:outlineLvl w:val="0"/>
    </w:pPr>
    <w:rPr>
      <w:rFonts w:ascii="Arial" w:hAnsi="Arial" w:cs="Arial"/>
      <w:b/>
      <w:bCs/>
      <w:sz w:val="48"/>
    </w:rPr>
  </w:style>
  <w:style w:type="paragraph" w:styleId="Nadpis2">
    <w:name w:val="heading 2"/>
    <w:basedOn w:val="Normln"/>
    <w:next w:val="Normln"/>
    <w:link w:val="Nadpis2Char"/>
    <w:uiPriority w:val="99"/>
    <w:qFormat/>
    <w:rsid w:val="007B74B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rsid w:val="007B74B0"/>
    <w:pPr>
      <w:keepNext/>
      <w:ind w:right="-180"/>
      <w:jc w:val="center"/>
      <w:outlineLvl w:val="2"/>
    </w:pPr>
    <w:rPr>
      <w:rFonts w:ascii="Arial" w:hAnsi="Arial" w:cs="Arial"/>
      <w:b/>
      <w:bCs/>
      <w:sz w:val="40"/>
      <w:szCs w:val="40"/>
    </w:rPr>
  </w:style>
  <w:style w:type="paragraph" w:styleId="Nadpis4">
    <w:name w:val="heading 4"/>
    <w:basedOn w:val="Normln"/>
    <w:next w:val="Normln"/>
    <w:link w:val="Nadpis4Char"/>
    <w:uiPriority w:val="99"/>
    <w:qFormat/>
    <w:rsid w:val="007B74B0"/>
    <w:pPr>
      <w:keepNext/>
      <w:spacing w:before="240" w:after="60"/>
      <w:outlineLvl w:val="3"/>
    </w:pPr>
    <w:rPr>
      <w:b/>
      <w:bCs/>
      <w:sz w:val="28"/>
      <w:szCs w:val="28"/>
    </w:rPr>
  </w:style>
  <w:style w:type="paragraph" w:styleId="Nadpis5">
    <w:name w:val="heading 5"/>
    <w:basedOn w:val="Normln"/>
    <w:next w:val="Normln"/>
    <w:link w:val="Nadpis5Char"/>
    <w:uiPriority w:val="99"/>
    <w:qFormat/>
    <w:rsid w:val="007B74B0"/>
    <w:pPr>
      <w:keepNext/>
      <w:jc w:val="center"/>
      <w:outlineLvl w:val="4"/>
    </w:pPr>
    <w:rPr>
      <w:rFonts w:ascii="Arial" w:hAnsi="Arial" w:cs="Arial"/>
      <w:b/>
      <w:i/>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241CD"/>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7241CD"/>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7241CD"/>
    <w:rPr>
      <w:rFonts w:ascii="Cambria" w:hAnsi="Cambria" w:cs="Times New Roman"/>
      <w:b/>
      <w:bCs/>
      <w:sz w:val="26"/>
      <w:szCs w:val="26"/>
    </w:rPr>
  </w:style>
  <w:style w:type="character" w:customStyle="1" w:styleId="Nadpis4Char">
    <w:name w:val="Nadpis 4 Char"/>
    <w:basedOn w:val="Standardnpsmoodstavce"/>
    <w:link w:val="Nadpis4"/>
    <w:uiPriority w:val="99"/>
    <w:locked/>
    <w:rsid w:val="007241CD"/>
    <w:rPr>
      <w:rFonts w:ascii="Calibri" w:hAnsi="Calibri" w:cs="Times New Roman"/>
      <w:b/>
      <w:bCs/>
      <w:sz w:val="28"/>
      <w:szCs w:val="28"/>
    </w:rPr>
  </w:style>
  <w:style w:type="character" w:customStyle="1" w:styleId="Nadpis5Char">
    <w:name w:val="Nadpis 5 Char"/>
    <w:basedOn w:val="Standardnpsmoodstavce"/>
    <w:link w:val="Nadpis5"/>
    <w:uiPriority w:val="99"/>
    <w:semiHidden/>
    <w:locked/>
    <w:rsid w:val="007241CD"/>
    <w:rPr>
      <w:rFonts w:ascii="Calibri" w:hAnsi="Calibri" w:cs="Times New Roman"/>
      <w:b/>
      <w:bCs/>
      <w:i/>
      <w:iCs/>
      <w:sz w:val="26"/>
      <w:szCs w:val="26"/>
    </w:rPr>
  </w:style>
  <w:style w:type="character" w:styleId="Hypertextovodkaz">
    <w:name w:val="Hyperlink"/>
    <w:basedOn w:val="Standardnpsmoodstavce"/>
    <w:uiPriority w:val="99"/>
    <w:rsid w:val="007B74B0"/>
    <w:rPr>
      <w:rFonts w:cs="Times New Roman"/>
      <w:color w:val="0000FF"/>
      <w:u w:val="single"/>
    </w:rPr>
  </w:style>
  <w:style w:type="paragraph" w:styleId="Zhlav">
    <w:name w:val="header"/>
    <w:basedOn w:val="Normln"/>
    <w:link w:val="ZhlavChar"/>
    <w:uiPriority w:val="99"/>
    <w:rsid w:val="007B74B0"/>
    <w:pPr>
      <w:tabs>
        <w:tab w:val="center" w:pos="4320"/>
        <w:tab w:val="right" w:pos="8640"/>
      </w:tabs>
    </w:pPr>
  </w:style>
  <w:style w:type="character" w:customStyle="1" w:styleId="ZhlavChar">
    <w:name w:val="Záhlaví Char"/>
    <w:basedOn w:val="Standardnpsmoodstavce"/>
    <w:link w:val="Zhlav"/>
    <w:uiPriority w:val="99"/>
    <w:locked/>
    <w:rsid w:val="007241CD"/>
    <w:rPr>
      <w:rFonts w:cs="Times New Roman"/>
      <w:sz w:val="24"/>
      <w:szCs w:val="24"/>
    </w:rPr>
  </w:style>
  <w:style w:type="paragraph" w:styleId="Zpat">
    <w:name w:val="footer"/>
    <w:basedOn w:val="Normln"/>
    <w:link w:val="ZpatChar"/>
    <w:uiPriority w:val="99"/>
    <w:rsid w:val="007B74B0"/>
    <w:pPr>
      <w:tabs>
        <w:tab w:val="center" w:pos="4320"/>
        <w:tab w:val="right" w:pos="8640"/>
      </w:tabs>
    </w:pPr>
  </w:style>
  <w:style w:type="character" w:customStyle="1" w:styleId="ZpatChar">
    <w:name w:val="Zápatí Char"/>
    <w:basedOn w:val="Standardnpsmoodstavce"/>
    <w:link w:val="Zpat"/>
    <w:uiPriority w:val="99"/>
    <w:locked/>
    <w:rsid w:val="007241CD"/>
    <w:rPr>
      <w:rFonts w:cs="Times New Roman"/>
      <w:sz w:val="24"/>
      <w:szCs w:val="24"/>
    </w:rPr>
  </w:style>
  <w:style w:type="paragraph" w:styleId="Zkladntext2">
    <w:name w:val="Body Text 2"/>
    <w:basedOn w:val="Normln"/>
    <w:link w:val="Zkladntext2Char"/>
    <w:uiPriority w:val="99"/>
    <w:rsid w:val="007B74B0"/>
    <w:pPr>
      <w:spacing w:after="120" w:line="480" w:lineRule="auto"/>
    </w:pPr>
  </w:style>
  <w:style w:type="character" w:customStyle="1" w:styleId="Zkladntext2Char">
    <w:name w:val="Základní text 2 Char"/>
    <w:basedOn w:val="Standardnpsmoodstavce"/>
    <w:link w:val="Zkladntext2"/>
    <w:uiPriority w:val="99"/>
    <w:semiHidden/>
    <w:locked/>
    <w:rsid w:val="007241CD"/>
    <w:rPr>
      <w:rFonts w:cs="Times New Roman"/>
      <w:sz w:val="24"/>
      <w:szCs w:val="24"/>
    </w:rPr>
  </w:style>
  <w:style w:type="paragraph" w:customStyle="1" w:styleId="DefaultText">
    <w:name w:val="Default Text"/>
    <w:basedOn w:val="Normln"/>
    <w:uiPriority w:val="99"/>
    <w:rsid w:val="007B74B0"/>
    <w:pPr>
      <w:overflowPunct w:val="0"/>
      <w:autoSpaceDE w:val="0"/>
      <w:autoSpaceDN w:val="0"/>
      <w:adjustRightInd w:val="0"/>
      <w:textAlignment w:val="baseline"/>
    </w:pPr>
    <w:rPr>
      <w:szCs w:val="20"/>
    </w:rPr>
  </w:style>
  <w:style w:type="paragraph" w:styleId="Zkladntext">
    <w:name w:val="Body Text"/>
    <w:basedOn w:val="Normln"/>
    <w:link w:val="ZkladntextChar"/>
    <w:uiPriority w:val="99"/>
    <w:rsid w:val="007B74B0"/>
    <w:pPr>
      <w:spacing w:after="120"/>
    </w:pPr>
  </w:style>
  <w:style w:type="character" w:customStyle="1" w:styleId="ZkladntextChar">
    <w:name w:val="Základní text Char"/>
    <w:basedOn w:val="Standardnpsmoodstavce"/>
    <w:link w:val="Zkladntext"/>
    <w:uiPriority w:val="99"/>
    <w:semiHidden/>
    <w:locked/>
    <w:rsid w:val="007241CD"/>
    <w:rPr>
      <w:rFonts w:cs="Times New Roman"/>
      <w:sz w:val="24"/>
      <w:szCs w:val="24"/>
    </w:rPr>
  </w:style>
  <w:style w:type="paragraph" w:styleId="Zkladntext3">
    <w:name w:val="Body Text 3"/>
    <w:basedOn w:val="Normln"/>
    <w:link w:val="Zkladntext3Char"/>
    <w:uiPriority w:val="99"/>
    <w:rsid w:val="007B74B0"/>
    <w:pPr>
      <w:jc w:val="center"/>
    </w:pPr>
    <w:rPr>
      <w:rFonts w:ascii="Arial" w:hAnsi="Arial" w:cs="Arial"/>
      <w:color w:val="000000"/>
    </w:rPr>
  </w:style>
  <w:style w:type="character" w:customStyle="1" w:styleId="Zkladntext3Char">
    <w:name w:val="Základní text 3 Char"/>
    <w:basedOn w:val="Standardnpsmoodstavce"/>
    <w:link w:val="Zkladntext3"/>
    <w:uiPriority w:val="99"/>
    <w:semiHidden/>
    <w:locked/>
    <w:rsid w:val="007241CD"/>
    <w:rPr>
      <w:rFonts w:cs="Times New Roman"/>
      <w:sz w:val="16"/>
      <w:szCs w:val="16"/>
    </w:rPr>
  </w:style>
  <w:style w:type="paragraph" w:styleId="Textbubliny">
    <w:name w:val="Balloon Text"/>
    <w:basedOn w:val="Normln"/>
    <w:link w:val="TextbublinyChar"/>
    <w:uiPriority w:val="99"/>
    <w:semiHidden/>
    <w:rsid w:val="007B74B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241CD"/>
    <w:rPr>
      <w:rFonts w:cs="Times New Roman"/>
      <w:sz w:val="2"/>
    </w:rPr>
  </w:style>
  <w:style w:type="paragraph" w:styleId="Zkladntextodsazen">
    <w:name w:val="Body Text Indent"/>
    <w:basedOn w:val="Normln"/>
    <w:link w:val="ZkladntextodsazenChar"/>
    <w:uiPriority w:val="99"/>
    <w:rsid w:val="007B74B0"/>
    <w:pPr>
      <w:ind w:firstLine="720"/>
    </w:pPr>
    <w:rPr>
      <w:rFonts w:ascii="Arial" w:hAnsi="Arial" w:cs="Arial"/>
    </w:rPr>
  </w:style>
  <w:style w:type="character" w:customStyle="1" w:styleId="ZkladntextodsazenChar">
    <w:name w:val="Základní text odsazený Char"/>
    <w:basedOn w:val="Standardnpsmoodstavce"/>
    <w:link w:val="Zkladntextodsazen"/>
    <w:uiPriority w:val="99"/>
    <w:semiHidden/>
    <w:locked/>
    <w:rsid w:val="007241CD"/>
    <w:rPr>
      <w:rFonts w:cs="Times New Roman"/>
      <w:sz w:val="24"/>
      <w:szCs w:val="24"/>
    </w:rPr>
  </w:style>
  <w:style w:type="character" w:styleId="Zdraznn">
    <w:name w:val="Emphasis"/>
    <w:basedOn w:val="Standardnpsmoodstavce"/>
    <w:uiPriority w:val="20"/>
    <w:qFormat/>
    <w:rsid w:val="007B74B0"/>
    <w:rPr>
      <w:rFonts w:cs="Times New Roman"/>
      <w:i/>
    </w:rPr>
  </w:style>
  <w:style w:type="paragraph" w:customStyle="1" w:styleId="Style">
    <w:name w:val="Style"/>
    <w:basedOn w:val="Normln"/>
    <w:uiPriority w:val="99"/>
    <w:rsid w:val="007B74B0"/>
    <w:pPr>
      <w:spacing w:after="160" w:line="240" w:lineRule="exact"/>
    </w:pPr>
    <w:rPr>
      <w:rFonts w:ascii="Verdana" w:eastAsia="MS Mincho" w:hAnsi="Verdana" w:cs="Arial"/>
      <w:szCs w:val="20"/>
    </w:rPr>
  </w:style>
  <w:style w:type="paragraph" w:customStyle="1" w:styleId="CharChar1">
    <w:name w:val="Char Char1"/>
    <w:basedOn w:val="Normln"/>
    <w:uiPriority w:val="99"/>
    <w:rsid w:val="007B74B0"/>
    <w:pPr>
      <w:spacing w:after="160" w:line="240" w:lineRule="exact"/>
    </w:pPr>
    <w:rPr>
      <w:rFonts w:ascii="Verdana" w:eastAsia="MS Mincho" w:hAnsi="Verdana" w:cs="Arial"/>
      <w:szCs w:val="20"/>
    </w:rPr>
  </w:style>
  <w:style w:type="paragraph" w:styleId="Rozloendokumentu">
    <w:name w:val="Document Map"/>
    <w:basedOn w:val="Normln"/>
    <w:link w:val="RozloendokumentuChar"/>
    <w:uiPriority w:val="99"/>
    <w:semiHidden/>
    <w:rsid w:val="007B74B0"/>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7241CD"/>
    <w:rPr>
      <w:rFonts w:cs="Times New Roman"/>
      <w:sz w:val="2"/>
    </w:rPr>
  </w:style>
  <w:style w:type="character" w:styleId="Odkaznakoment">
    <w:name w:val="annotation reference"/>
    <w:basedOn w:val="Standardnpsmoodstavce"/>
    <w:uiPriority w:val="99"/>
    <w:semiHidden/>
    <w:rsid w:val="005C7CBA"/>
    <w:rPr>
      <w:rFonts w:cs="Times New Roman"/>
      <w:sz w:val="16"/>
    </w:rPr>
  </w:style>
  <w:style w:type="paragraph" w:styleId="Textkomente">
    <w:name w:val="annotation text"/>
    <w:basedOn w:val="Normln"/>
    <w:link w:val="TextkomenteChar"/>
    <w:uiPriority w:val="99"/>
    <w:semiHidden/>
    <w:rsid w:val="005C7CBA"/>
    <w:rPr>
      <w:sz w:val="20"/>
      <w:szCs w:val="20"/>
    </w:rPr>
  </w:style>
  <w:style w:type="character" w:customStyle="1" w:styleId="TextkomenteChar">
    <w:name w:val="Text komentáře Char"/>
    <w:basedOn w:val="Standardnpsmoodstavce"/>
    <w:link w:val="Textkomente"/>
    <w:uiPriority w:val="99"/>
    <w:semiHidden/>
    <w:locked/>
    <w:rsid w:val="007241CD"/>
    <w:rPr>
      <w:rFonts w:cs="Times New Roman"/>
      <w:sz w:val="20"/>
      <w:szCs w:val="20"/>
    </w:rPr>
  </w:style>
  <w:style w:type="paragraph" w:styleId="Pedmtkomente">
    <w:name w:val="annotation subject"/>
    <w:basedOn w:val="Textkomente"/>
    <w:next w:val="Textkomente"/>
    <w:link w:val="PedmtkomenteChar"/>
    <w:uiPriority w:val="99"/>
    <w:semiHidden/>
    <w:rsid w:val="005C7CBA"/>
    <w:rPr>
      <w:b/>
      <w:bCs/>
    </w:rPr>
  </w:style>
  <w:style w:type="character" w:customStyle="1" w:styleId="PedmtkomenteChar">
    <w:name w:val="Předmět komentáře Char"/>
    <w:basedOn w:val="TextkomenteChar"/>
    <w:link w:val="Pedmtkomente"/>
    <w:uiPriority w:val="99"/>
    <w:semiHidden/>
    <w:locked/>
    <w:rsid w:val="007241CD"/>
    <w:rPr>
      <w:rFonts w:cs="Times New Roman"/>
      <w:b/>
      <w:bCs/>
      <w:sz w:val="20"/>
      <w:szCs w:val="20"/>
    </w:rPr>
  </w:style>
  <w:style w:type="paragraph" w:styleId="Normlnweb">
    <w:name w:val="Normal (Web)"/>
    <w:basedOn w:val="Normln"/>
    <w:uiPriority w:val="99"/>
    <w:rsid w:val="00297BF7"/>
    <w:pPr>
      <w:spacing w:before="100" w:beforeAutospacing="1" w:after="100" w:afterAutospacing="1"/>
    </w:pPr>
  </w:style>
  <w:style w:type="character" w:styleId="Sledovanodkaz">
    <w:name w:val="FollowedHyperlink"/>
    <w:basedOn w:val="Standardnpsmoodstavce"/>
    <w:uiPriority w:val="99"/>
    <w:rsid w:val="0069522D"/>
    <w:rPr>
      <w:rFonts w:cs="Times New Roman"/>
      <w:color w:val="800080"/>
      <w:u w:val="single"/>
    </w:rPr>
  </w:style>
  <w:style w:type="paragraph" w:styleId="Datum">
    <w:name w:val="Date"/>
    <w:basedOn w:val="Normln"/>
    <w:next w:val="Normln"/>
    <w:link w:val="DatumChar"/>
    <w:uiPriority w:val="99"/>
    <w:rsid w:val="006D2429"/>
  </w:style>
  <w:style w:type="character" w:customStyle="1" w:styleId="DatumChar">
    <w:name w:val="Datum Char"/>
    <w:basedOn w:val="Standardnpsmoodstavce"/>
    <w:link w:val="Datum"/>
    <w:uiPriority w:val="99"/>
    <w:semiHidden/>
    <w:locked/>
    <w:rsid w:val="007241CD"/>
    <w:rPr>
      <w:rFonts w:cs="Times New Roman"/>
      <w:sz w:val="24"/>
      <w:szCs w:val="24"/>
    </w:rPr>
  </w:style>
  <w:style w:type="paragraph" w:styleId="Revize">
    <w:name w:val="Revision"/>
    <w:hidden/>
    <w:uiPriority w:val="99"/>
    <w:semiHidden/>
    <w:rsid w:val="009627F7"/>
    <w:rPr>
      <w:sz w:val="24"/>
      <w:szCs w:val="24"/>
    </w:rPr>
  </w:style>
  <w:style w:type="paragraph" w:styleId="Odstavecseseznamem">
    <w:name w:val="List Paragraph"/>
    <w:aliases w:val="Bullet List,FooterText,numbered,List Paragraph1,Paragraphe de liste1,Bulletr List Paragraph,列出段落,列出段落1,List Paragraph2,List Paragraph21,Listeafsnit1,Parágrafo da Lista1,Párrafo de lista1,リスト段落1,Bullet list,List Paragraph11"/>
    <w:basedOn w:val="Normln"/>
    <w:link w:val="OdstavecseseznamemChar"/>
    <w:uiPriority w:val="34"/>
    <w:qFormat/>
    <w:rsid w:val="001E2211"/>
    <w:pPr>
      <w:ind w:left="720"/>
      <w:contextualSpacing/>
    </w:pPr>
  </w:style>
  <w:style w:type="table" w:styleId="Mkatabulky">
    <w:name w:val="Table Grid"/>
    <w:basedOn w:val="Normlntabulka"/>
    <w:uiPriority w:val="39"/>
    <w:locked/>
    <w:rsid w:val="006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ID">
    <w:name w:val="DocID"/>
    <w:basedOn w:val="Standardnpsmoodstavce"/>
    <w:rsid w:val="00DD386B"/>
    <w:rPr>
      <w:rFonts w:ascii="Times New Roman" w:hAnsi="Times New Roman" w:cs="Times New Roman"/>
      <w:color w:val="000000"/>
      <w:sz w:val="20"/>
      <w:szCs w:val="20"/>
      <w:u w:val="none"/>
    </w:rPr>
  </w:style>
  <w:style w:type="character" w:styleId="Zstupntext">
    <w:name w:val="Placeholder Text"/>
    <w:basedOn w:val="Standardnpsmoodstavce"/>
    <w:uiPriority w:val="99"/>
    <w:semiHidden/>
    <w:rsid w:val="00DD386B"/>
    <w:rPr>
      <w:rFonts w:cs="Times New Roman"/>
      <w:color w:val="808080"/>
    </w:rPr>
  </w:style>
  <w:style w:type="paragraph" w:styleId="Textpoznpodarou">
    <w:name w:val="footnote text"/>
    <w:basedOn w:val="Normln"/>
    <w:link w:val="TextpoznpodarouChar"/>
    <w:uiPriority w:val="99"/>
    <w:semiHidden/>
    <w:unhideWhenUsed/>
    <w:rsid w:val="00DE18FB"/>
    <w:rPr>
      <w:sz w:val="20"/>
      <w:szCs w:val="20"/>
    </w:rPr>
  </w:style>
  <w:style w:type="character" w:customStyle="1" w:styleId="TextpoznpodarouChar">
    <w:name w:val="Text pozn. pod čarou Char"/>
    <w:basedOn w:val="Standardnpsmoodstavce"/>
    <w:link w:val="Textpoznpodarou"/>
    <w:uiPriority w:val="99"/>
    <w:semiHidden/>
    <w:locked/>
    <w:rsid w:val="00DE18FB"/>
    <w:rPr>
      <w:rFonts w:cs="Times New Roman"/>
      <w:sz w:val="20"/>
      <w:szCs w:val="20"/>
    </w:rPr>
  </w:style>
  <w:style w:type="character" w:styleId="Znakapoznpodarou">
    <w:name w:val="footnote reference"/>
    <w:basedOn w:val="Standardnpsmoodstavce"/>
    <w:uiPriority w:val="99"/>
    <w:semiHidden/>
    <w:unhideWhenUsed/>
    <w:rsid w:val="00DE18FB"/>
    <w:rPr>
      <w:rFonts w:cs="Times New Roman"/>
      <w:vertAlign w:val="superscript"/>
    </w:rPr>
  </w:style>
  <w:style w:type="character" w:customStyle="1" w:styleId="Nevyeenzmnka1">
    <w:name w:val="Nevyřešená zmínka1"/>
    <w:basedOn w:val="Standardnpsmoodstavce"/>
    <w:uiPriority w:val="99"/>
    <w:semiHidden/>
    <w:unhideWhenUsed/>
    <w:rsid w:val="009862AC"/>
    <w:rPr>
      <w:rFonts w:cs="Times New Roman"/>
      <w:color w:val="605E5C"/>
      <w:shd w:val="clear" w:color="auto" w:fill="E1DFDD"/>
    </w:rPr>
  </w:style>
  <w:style w:type="character" w:customStyle="1" w:styleId="OdstavecseseznamemChar">
    <w:name w:val="Odstavec se seznamem Char"/>
    <w:aliases w:val="Bullet List Char,FooterText Char,numbered Char,List Paragraph1 Char,Paragraphe de liste1 Char,Bulletr List Paragraph Char,列出段落 Char,列出段落1 Char,List Paragraph2 Char,List Paragraph21 Char,Listeafsnit1 Char,Párrafo de lista1 Char"/>
    <w:basedOn w:val="Standardnpsmoodstavce"/>
    <w:link w:val="Odstavecseseznamem"/>
    <w:uiPriority w:val="34"/>
    <w:locked/>
    <w:rsid w:val="00D75E53"/>
    <w:rPr>
      <w:rFonts w:cs="Times New Roman"/>
      <w:sz w:val="24"/>
      <w:szCs w:val="24"/>
    </w:rPr>
  </w:style>
  <w:style w:type="character" w:customStyle="1" w:styleId="st1">
    <w:name w:val="st1"/>
    <w:basedOn w:val="Standardnpsmoodstavce"/>
    <w:rsid w:val="00215BCB"/>
    <w:rPr>
      <w:rFonts w:cs="Times New Roman"/>
    </w:rPr>
  </w:style>
  <w:style w:type="paragraph" w:customStyle="1" w:styleId="QA1-Bullet-1st-Clear">
    <w:name w:val="Q&amp;A 1-Bullet-1st-Clear"/>
    <w:basedOn w:val="Normln"/>
    <w:qFormat/>
    <w:rsid w:val="00C73DB7"/>
    <w:pPr>
      <w:widowControl w:val="0"/>
      <w:numPr>
        <w:numId w:val="5"/>
      </w:numPr>
      <w:shd w:val="clear" w:color="auto" w:fill="FFFFFF" w:themeFill="background1"/>
      <w:tabs>
        <w:tab w:val="clear" w:pos="360"/>
      </w:tabs>
      <w:autoSpaceDE w:val="0"/>
      <w:autoSpaceDN w:val="0"/>
      <w:adjustRightInd w:val="0"/>
      <w:ind w:left="166" w:hanging="166"/>
    </w:pPr>
    <w:rPr>
      <w:rFonts w:ascii="Arial" w:hAnsi="Arial" w:cs="Arial"/>
      <w:color w:val="000000" w:themeColor="text1"/>
      <w:sz w:val="20"/>
      <w:szCs w:val="20"/>
    </w:rPr>
  </w:style>
  <w:style w:type="character" w:styleId="Nevyeenzmnka">
    <w:name w:val="Unresolved Mention"/>
    <w:basedOn w:val="Standardnpsmoodstavce"/>
    <w:uiPriority w:val="99"/>
    <w:semiHidden/>
    <w:unhideWhenUsed/>
    <w:rsid w:val="00CA3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2617">
      <w:marLeft w:val="0"/>
      <w:marRight w:val="0"/>
      <w:marTop w:val="0"/>
      <w:marBottom w:val="0"/>
      <w:divBdr>
        <w:top w:val="none" w:sz="0" w:space="0" w:color="auto"/>
        <w:left w:val="none" w:sz="0" w:space="0" w:color="auto"/>
        <w:bottom w:val="none" w:sz="0" w:space="0" w:color="auto"/>
        <w:right w:val="none" w:sz="0" w:space="0" w:color="auto"/>
      </w:divBdr>
    </w:div>
    <w:div w:id="17052618">
      <w:marLeft w:val="0"/>
      <w:marRight w:val="0"/>
      <w:marTop w:val="0"/>
      <w:marBottom w:val="0"/>
      <w:divBdr>
        <w:top w:val="none" w:sz="0" w:space="0" w:color="auto"/>
        <w:left w:val="none" w:sz="0" w:space="0" w:color="auto"/>
        <w:bottom w:val="none" w:sz="0" w:space="0" w:color="auto"/>
        <w:right w:val="none" w:sz="0" w:space="0" w:color="auto"/>
      </w:divBdr>
    </w:div>
    <w:div w:id="17052619">
      <w:marLeft w:val="0"/>
      <w:marRight w:val="0"/>
      <w:marTop w:val="0"/>
      <w:marBottom w:val="0"/>
      <w:divBdr>
        <w:top w:val="none" w:sz="0" w:space="0" w:color="auto"/>
        <w:left w:val="none" w:sz="0" w:space="0" w:color="auto"/>
        <w:bottom w:val="none" w:sz="0" w:space="0" w:color="auto"/>
        <w:right w:val="none" w:sz="0" w:space="0" w:color="auto"/>
      </w:divBdr>
    </w:div>
    <w:div w:id="17052620">
      <w:marLeft w:val="0"/>
      <w:marRight w:val="0"/>
      <w:marTop w:val="0"/>
      <w:marBottom w:val="0"/>
      <w:divBdr>
        <w:top w:val="none" w:sz="0" w:space="0" w:color="auto"/>
        <w:left w:val="none" w:sz="0" w:space="0" w:color="auto"/>
        <w:bottom w:val="none" w:sz="0" w:space="0" w:color="auto"/>
        <w:right w:val="none" w:sz="0" w:space="0" w:color="auto"/>
      </w:divBdr>
    </w:div>
    <w:div w:id="17052621">
      <w:marLeft w:val="0"/>
      <w:marRight w:val="0"/>
      <w:marTop w:val="0"/>
      <w:marBottom w:val="0"/>
      <w:divBdr>
        <w:top w:val="none" w:sz="0" w:space="0" w:color="auto"/>
        <w:left w:val="none" w:sz="0" w:space="0" w:color="auto"/>
        <w:bottom w:val="none" w:sz="0" w:space="0" w:color="auto"/>
        <w:right w:val="none" w:sz="0" w:space="0" w:color="auto"/>
      </w:divBdr>
    </w:div>
    <w:div w:id="17052622">
      <w:marLeft w:val="0"/>
      <w:marRight w:val="0"/>
      <w:marTop w:val="0"/>
      <w:marBottom w:val="0"/>
      <w:divBdr>
        <w:top w:val="none" w:sz="0" w:space="0" w:color="auto"/>
        <w:left w:val="none" w:sz="0" w:space="0" w:color="auto"/>
        <w:bottom w:val="none" w:sz="0" w:space="0" w:color="auto"/>
        <w:right w:val="none" w:sz="0" w:space="0" w:color="auto"/>
      </w:divBdr>
    </w:div>
    <w:div w:id="17052623">
      <w:marLeft w:val="0"/>
      <w:marRight w:val="0"/>
      <w:marTop w:val="0"/>
      <w:marBottom w:val="0"/>
      <w:divBdr>
        <w:top w:val="none" w:sz="0" w:space="0" w:color="auto"/>
        <w:left w:val="none" w:sz="0" w:space="0" w:color="auto"/>
        <w:bottom w:val="none" w:sz="0" w:space="0" w:color="auto"/>
        <w:right w:val="none" w:sz="0" w:space="0" w:color="auto"/>
      </w:divBdr>
      <w:divsChild>
        <w:div w:id="17052624">
          <w:marLeft w:val="0"/>
          <w:marRight w:val="0"/>
          <w:marTop w:val="45"/>
          <w:marBottom w:val="225"/>
          <w:divBdr>
            <w:top w:val="none" w:sz="0" w:space="0" w:color="auto"/>
            <w:left w:val="none" w:sz="0" w:space="0" w:color="auto"/>
            <w:bottom w:val="none" w:sz="0" w:space="0" w:color="auto"/>
            <w:right w:val="none" w:sz="0" w:space="0" w:color="auto"/>
          </w:divBdr>
          <w:divsChild>
            <w:div w:id="17052625">
              <w:marLeft w:val="150"/>
              <w:marRight w:val="0"/>
              <w:marTop w:val="300"/>
              <w:marBottom w:val="0"/>
              <w:divBdr>
                <w:top w:val="none" w:sz="0" w:space="0" w:color="auto"/>
                <w:left w:val="none" w:sz="0" w:space="0" w:color="auto"/>
                <w:bottom w:val="none" w:sz="0" w:space="0" w:color="auto"/>
                <w:right w:val="none" w:sz="0" w:space="0" w:color="auto"/>
              </w:divBdr>
              <w:divsChild>
                <w:div w:id="170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628">
      <w:marLeft w:val="0"/>
      <w:marRight w:val="0"/>
      <w:marTop w:val="0"/>
      <w:marBottom w:val="0"/>
      <w:divBdr>
        <w:top w:val="none" w:sz="0" w:space="0" w:color="auto"/>
        <w:left w:val="none" w:sz="0" w:space="0" w:color="auto"/>
        <w:bottom w:val="none" w:sz="0" w:space="0" w:color="auto"/>
        <w:right w:val="none" w:sz="0" w:space="0" w:color="auto"/>
      </w:divBdr>
      <w:divsChild>
        <w:div w:id="17052626">
          <w:marLeft w:val="0"/>
          <w:marRight w:val="0"/>
          <w:marTop w:val="45"/>
          <w:marBottom w:val="225"/>
          <w:divBdr>
            <w:top w:val="none" w:sz="0" w:space="0" w:color="auto"/>
            <w:left w:val="none" w:sz="0" w:space="0" w:color="auto"/>
            <w:bottom w:val="none" w:sz="0" w:space="0" w:color="auto"/>
            <w:right w:val="none" w:sz="0" w:space="0" w:color="auto"/>
          </w:divBdr>
          <w:divsChild>
            <w:div w:id="17052630">
              <w:marLeft w:val="150"/>
              <w:marRight w:val="0"/>
              <w:marTop w:val="300"/>
              <w:marBottom w:val="0"/>
              <w:divBdr>
                <w:top w:val="none" w:sz="0" w:space="0" w:color="auto"/>
                <w:left w:val="none" w:sz="0" w:space="0" w:color="auto"/>
                <w:bottom w:val="none" w:sz="0" w:space="0" w:color="auto"/>
                <w:right w:val="none" w:sz="0" w:space="0" w:color="auto"/>
              </w:divBdr>
              <w:divsChild>
                <w:div w:id="170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631">
      <w:marLeft w:val="0"/>
      <w:marRight w:val="0"/>
      <w:marTop w:val="0"/>
      <w:marBottom w:val="0"/>
      <w:divBdr>
        <w:top w:val="none" w:sz="0" w:space="0" w:color="auto"/>
        <w:left w:val="none" w:sz="0" w:space="0" w:color="auto"/>
        <w:bottom w:val="none" w:sz="0" w:space="0" w:color="auto"/>
        <w:right w:val="none" w:sz="0" w:space="0" w:color="auto"/>
      </w:divBdr>
    </w:div>
    <w:div w:id="17052632">
      <w:marLeft w:val="0"/>
      <w:marRight w:val="0"/>
      <w:marTop w:val="0"/>
      <w:marBottom w:val="0"/>
      <w:divBdr>
        <w:top w:val="none" w:sz="0" w:space="0" w:color="auto"/>
        <w:left w:val="none" w:sz="0" w:space="0" w:color="auto"/>
        <w:bottom w:val="none" w:sz="0" w:space="0" w:color="auto"/>
        <w:right w:val="none" w:sz="0" w:space="0" w:color="auto"/>
      </w:divBdr>
    </w:div>
    <w:div w:id="17052633">
      <w:marLeft w:val="0"/>
      <w:marRight w:val="0"/>
      <w:marTop w:val="0"/>
      <w:marBottom w:val="0"/>
      <w:divBdr>
        <w:top w:val="none" w:sz="0" w:space="0" w:color="auto"/>
        <w:left w:val="none" w:sz="0" w:space="0" w:color="auto"/>
        <w:bottom w:val="none" w:sz="0" w:space="0" w:color="auto"/>
        <w:right w:val="none" w:sz="0" w:space="0" w:color="auto"/>
      </w:divBdr>
    </w:div>
    <w:div w:id="17052634">
      <w:marLeft w:val="0"/>
      <w:marRight w:val="0"/>
      <w:marTop w:val="0"/>
      <w:marBottom w:val="0"/>
      <w:divBdr>
        <w:top w:val="none" w:sz="0" w:space="0" w:color="auto"/>
        <w:left w:val="none" w:sz="0" w:space="0" w:color="auto"/>
        <w:bottom w:val="none" w:sz="0" w:space="0" w:color="auto"/>
        <w:right w:val="none" w:sz="0" w:space="0" w:color="auto"/>
      </w:divBdr>
    </w:div>
    <w:div w:id="17052635">
      <w:marLeft w:val="0"/>
      <w:marRight w:val="0"/>
      <w:marTop w:val="0"/>
      <w:marBottom w:val="0"/>
      <w:divBdr>
        <w:top w:val="none" w:sz="0" w:space="0" w:color="auto"/>
        <w:left w:val="none" w:sz="0" w:space="0" w:color="auto"/>
        <w:bottom w:val="none" w:sz="0" w:space="0" w:color="auto"/>
        <w:right w:val="none" w:sz="0" w:space="0" w:color="auto"/>
      </w:divBdr>
    </w:div>
    <w:div w:id="17052636">
      <w:marLeft w:val="0"/>
      <w:marRight w:val="0"/>
      <w:marTop w:val="0"/>
      <w:marBottom w:val="0"/>
      <w:divBdr>
        <w:top w:val="none" w:sz="0" w:space="0" w:color="auto"/>
        <w:left w:val="none" w:sz="0" w:space="0" w:color="auto"/>
        <w:bottom w:val="none" w:sz="0" w:space="0" w:color="auto"/>
        <w:right w:val="none" w:sz="0" w:space="0" w:color="auto"/>
      </w:divBdr>
    </w:div>
    <w:div w:id="17052637">
      <w:marLeft w:val="0"/>
      <w:marRight w:val="0"/>
      <w:marTop w:val="0"/>
      <w:marBottom w:val="0"/>
      <w:divBdr>
        <w:top w:val="none" w:sz="0" w:space="0" w:color="auto"/>
        <w:left w:val="none" w:sz="0" w:space="0" w:color="auto"/>
        <w:bottom w:val="none" w:sz="0" w:space="0" w:color="auto"/>
        <w:right w:val="none" w:sz="0" w:space="0" w:color="auto"/>
      </w:divBdr>
    </w:div>
    <w:div w:id="17052638">
      <w:marLeft w:val="0"/>
      <w:marRight w:val="0"/>
      <w:marTop w:val="0"/>
      <w:marBottom w:val="0"/>
      <w:divBdr>
        <w:top w:val="none" w:sz="0" w:space="0" w:color="auto"/>
        <w:left w:val="none" w:sz="0" w:space="0" w:color="auto"/>
        <w:bottom w:val="none" w:sz="0" w:space="0" w:color="auto"/>
        <w:right w:val="none" w:sz="0" w:space="0" w:color="auto"/>
      </w:divBdr>
    </w:div>
    <w:div w:id="521090028">
      <w:bodyDiv w:val="1"/>
      <w:marLeft w:val="0"/>
      <w:marRight w:val="0"/>
      <w:marTop w:val="0"/>
      <w:marBottom w:val="0"/>
      <w:divBdr>
        <w:top w:val="none" w:sz="0" w:space="0" w:color="auto"/>
        <w:left w:val="none" w:sz="0" w:space="0" w:color="auto"/>
        <w:bottom w:val="none" w:sz="0" w:space="0" w:color="auto"/>
        <w:right w:val="none" w:sz="0" w:space="0" w:color="auto"/>
      </w:divBdr>
      <w:divsChild>
        <w:div w:id="207961573">
          <w:marLeft w:val="360"/>
          <w:marRight w:val="0"/>
          <w:marTop w:val="200"/>
          <w:marBottom w:val="0"/>
          <w:divBdr>
            <w:top w:val="none" w:sz="0" w:space="0" w:color="auto"/>
            <w:left w:val="none" w:sz="0" w:space="0" w:color="auto"/>
            <w:bottom w:val="none" w:sz="0" w:space="0" w:color="auto"/>
            <w:right w:val="none" w:sz="0" w:space="0" w:color="auto"/>
          </w:divBdr>
        </w:div>
      </w:divsChild>
    </w:div>
    <w:div w:id="679089771">
      <w:bodyDiv w:val="1"/>
      <w:marLeft w:val="0"/>
      <w:marRight w:val="0"/>
      <w:marTop w:val="0"/>
      <w:marBottom w:val="0"/>
      <w:divBdr>
        <w:top w:val="none" w:sz="0" w:space="0" w:color="auto"/>
        <w:left w:val="none" w:sz="0" w:space="0" w:color="auto"/>
        <w:bottom w:val="none" w:sz="0" w:space="0" w:color="auto"/>
        <w:right w:val="none" w:sz="0" w:space="0" w:color="auto"/>
      </w:divBdr>
    </w:div>
    <w:div w:id="857473894">
      <w:bodyDiv w:val="1"/>
      <w:marLeft w:val="0"/>
      <w:marRight w:val="0"/>
      <w:marTop w:val="0"/>
      <w:marBottom w:val="0"/>
      <w:divBdr>
        <w:top w:val="none" w:sz="0" w:space="0" w:color="auto"/>
        <w:left w:val="none" w:sz="0" w:space="0" w:color="auto"/>
        <w:bottom w:val="none" w:sz="0" w:space="0" w:color="auto"/>
        <w:right w:val="none" w:sz="0" w:space="0" w:color="auto"/>
      </w:divBdr>
    </w:div>
    <w:div w:id="943003909">
      <w:bodyDiv w:val="1"/>
      <w:marLeft w:val="0"/>
      <w:marRight w:val="0"/>
      <w:marTop w:val="0"/>
      <w:marBottom w:val="0"/>
      <w:divBdr>
        <w:top w:val="none" w:sz="0" w:space="0" w:color="auto"/>
        <w:left w:val="none" w:sz="0" w:space="0" w:color="auto"/>
        <w:bottom w:val="none" w:sz="0" w:space="0" w:color="auto"/>
        <w:right w:val="none" w:sz="0" w:space="0" w:color="auto"/>
      </w:divBdr>
    </w:div>
    <w:div w:id="1227839845">
      <w:marLeft w:val="0"/>
      <w:marRight w:val="0"/>
      <w:marTop w:val="0"/>
      <w:marBottom w:val="0"/>
      <w:divBdr>
        <w:top w:val="none" w:sz="0" w:space="0" w:color="auto"/>
        <w:left w:val="none" w:sz="0" w:space="0" w:color="auto"/>
        <w:bottom w:val="none" w:sz="0" w:space="0" w:color="auto"/>
        <w:right w:val="none" w:sz="0" w:space="0" w:color="auto"/>
      </w:divBdr>
    </w:div>
    <w:div w:id="1227839846">
      <w:marLeft w:val="0"/>
      <w:marRight w:val="0"/>
      <w:marTop w:val="0"/>
      <w:marBottom w:val="0"/>
      <w:divBdr>
        <w:top w:val="none" w:sz="0" w:space="0" w:color="auto"/>
        <w:left w:val="none" w:sz="0" w:space="0" w:color="auto"/>
        <w:bottom w:val="none" w:sz="0" w:space="0" w:color="auto"/>
        <w:right w:val="none" w:sz="0" w:space="0" w:color="auto"/>
      </w:divBdr>
    </w:div>
    <w:div w:id="1227839847">
      <w:marLeft w:val="0"/>
      <w:marRight w:val="0"/>
      <w:marTop w:val="0"/>
      <w:marBottom w:val="0"/>
      <w:divBdr>
        <w:top w:val="none" w:sz="0" w:space="0" w:color="auto"/>
        <w:left w:val="none" w:sz="0" w:space="0" w:color="auto"/>
        <w:bottom w:val="none" w:sz="0" w:space="0" w:color="auto"/>
        <w:right w:val="none" w:sz="0" w:space="0" w:color="auto"/>
      </w:divBdr>
    </w:div>
    <w:div w:id="1227839848">
      <w:marLeft w:val="0"/>
      <w:marRight w:val="0"/>
      <w:marTop w:val="0"/>
      <w:marBottom w:val="0"/>
      <w:divBdr>
        <w:top w:val="none" w:sz="0" w:space="0" w:color="auto"/>
        <w:left w:val="none" w:sz="0" w:space="0" w:color="auto"/>
        <w:bottom w:val="none" w:sz="0" w:space="0" w:color="auto"/>
        <w:right w:val="none" w:sz="0" w:space="0" w:color="auto"/>
      </w:divBdr>
    </w:div>
    <w:div w:id="1227839849">
      <w:marLeft w:val="0"/>
      <w:marRight w:val="0"/>
      <w:marTop w:val="0"/>
      <w:marBottom w:val="0"/>
      <w:divBdr>
        <w:top w:val="none" w:sz="0" w:space="0" w:color="auto"/>
        <w:left w:val="none" w:sz="0" w:space="0" w:color="auto"/>
        <w:bottom w:val="none" w:sz="0" w:space="0" w:color="auto"/>
        <w:right w:val="none" w:sz="0" w:space="0" w:color="auto"/>
      </w:divBdr>
    </w:div>
    <w:div w:id="1227839850">
      <w:marLeft w:val="0"/>
      <w:marRight w:val="0"/>
      <w:marTop w:val="0"/>
      <w:marBottom w:val="0"/>
      <w:divBdr>
        <w:top w:val="none" w:sz="0" w:space="0" w:color="auto"/>
        <w:left w:val="none" w:sz="0" w:space="0" w:color="auto"/>
        <w:bottom w:val="none" w:sz="0" w:space="0" w:color="auto"/>
        <w:right w:val="none" w:sz="0" w:space="0" w:color="auto"/>
      </w:divBdr>
    </w:div>
    <w:div w:id="1227839851">
      <w:marLeft w:val="0"/>
      <w:marRight w:val="0"/>
      <w:marTop w:val="0"/>
      <w:marBottom w:val="0"/>
      <w:divBdr>
        <w:top w:val="none" w:sz="0" w:space="0" w:color="auto"/>
        <w:left w:val="none" w:sz="0" w:space="0" w:color="auto"/>
        <w:bottom w:val="none" w:sz="0" w:space="0" w:color="auto"/>
        <w:right w:val="none" w:sz="0" w:space="0" w:color="auto"/>
      </w:divBdr>
      <w:divsChild>
        <w:div w:id="1227839852">
          <w:marLeft w:val="0"/>
          <w:marRight w:val="0"/>
          <w:marTop w:val="45"/>
          <w:marBottom w:val="225"/>
          <w:divBdr>
            <w:top w:val="none" w:sz="0" w:space="0" w:color="auto"/>
            <w:left w:val="none" w:sz="0" w:space="0" w:color="auto"/>
            <w:bottom w:val="none" w:sz="0" w:space="0" w:color="auto"/>
            <w:right w:val="none" w:sz="0" w:space="0" w:color="auto"/>
          </w:divBdr>
          <w:divsChild>
            <w:div w:id="1227839853">
              <w:marLeft w:val="150"/>
              <w:marRight w:val="0"/>
              <w:marTop w:val="300"/>
              <w:marBottom w:val="0"/>
              <w:divBdr>
                <w:top w:val="none" w:sz="0" w:space="0" w:color="auto"/>
                <w:left w:val="none" w:sz="0" w:space="0" w:color="auto"/>
                <w:bottom w:val="none" w:sz="0" w:space="0" w:color="auto"/>
                <w:right w:val="none" w:sz="0" w:space="0" w:color="auto"/>
              </w:divBdr>
              <w:divsChild>
                <w:div w:id="122783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856">
      <w:marLeft w:val="0"/>
      <w:marRight w:val="0"/>
      <w:marTop w:val="0"/>
      <w:marBottom w:val="0"/>
      <w:divBdr>
        <w:top w:val="none" w:sz="0" w:space="0" w:color="auto"/>
        <w:left w:val="none" w:sz="0" w:space="0" w:color="auto"/>
        <w:bottom w:val="none" w:sz="0" w:space="0" w:color="auto"/>
        <w:right w:val="none" w:sz="0" w:space="0" w:color="auto"/>
      </w:divBdr>
      <w:divsChild>
        <w:div w:id="1227839854">
          <w:marLeft w:val="0"/>
          <w:marRight w:val="0"/>
          <w:marTop w:val="45"/>
          <w:marBottom w:val="225"/>
          <w:divBdr>
            <w:top w:val="none" w:sz="0" w:space="0" w:color="auto"/>
            <w:left w:val="none" w:sz="0" w:space="0" w:color="auto"/>
            <w:bottom w:val="none" w:sz="0" w:space="0" w:color="auto"/>
            <w:right w:val="none" w:sz="0" w:space="0" w:color="auto"/>
          </w:divBdr>
          <w:divsChild>
            <w:div w:id="1227839858">
              <w:marLeft w:val="150"/>
              <w:marRight w:val="0"/>
              <w:marTop w:val="300"/>
              <w:marBottom w:val="0"/>
              <w:divBdr>
                <w:top w:val="none" w:sz="0" w:space="0" w:color="auto"/>
                <w:left w:val="none" w:sz="0" w:space="0" w:color="auto"/>
                <w:bottom w:val="none" w:sz="0" w:space="0" w:color="auto"/>
                <w:right w:val="none" w:sz="0" w:space="0" w:color="auto"/>
              </w:divBdr>
              <w:divsChild>
                <w:div w:id="12278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9859">
      <w:marLeft w:val="0"/>
      <w:marRight w:val="0"/>
      <w:marTop w:val="0"/>
      <w:marBottom w:val="0"/>
      <w:divBdr>
        <w:top w:val="none" w:sz="0" w:space="0" w:color="auto"/>
        <w:left w:val="none" w:sz="0" w:space="0" w:color="auto"/>
        <w:bottom w:val="none" w:sz="0" w:space="0" w:color="auto"/>
        <w:right w:val="none" w:sz="0" w:space="0" w:color="auto"/>
      </w:divBdr>
    </w:div>
    <w:div w:id="1227839860">
      <w:marLeft w:val="0"/>
      <w:marRight w:val="0"/>
      <w:marTop w:val="0"/>
      <w:marBottom w:val="0"/>
      <w:divBdr>
        <w:top w:val="none" w:sz="0" w:space="0" w:color="auto"/>
        <w:left w:val="none" w:sz="0" w:space="0" w:color="auto"/>
        <w:bottom w:val="none" w:sz="0" w:space="0" w:color="auto"/>
        <w:right w:val="none" w:sz="0" w:space="0" w:color="auto"/>
      </w:divBdr>
    </w:div>
    <w:div w:id="1227839861">
      <w:marLeft w:val="0"/>
      <w:marRight w:val="0"/>
      <w:marTop w:val="0"/>
      <w:marBottom w:val="0"/>
      <w:divBdr>
        <w:top w:val="none" w:sz="0" w:space="0" w:color="auto"/>
        <w:left w:val="none" w:sz="0" w:space="0" w:color="auto"/>
        <w:bottom w:val="none" w:sz="0" w:space="0" w:color="auto"/>
        <w:right w:val="none" w:sz="0" w:space="0" w:color="auto"/>
      </w:divBdr>
    </w:div>
    <w:div w:id="1227839862">
      <w:marLeft w:val="0"/>
      <w:marRight w:val="0"/>
      <w:marTop w:val="0"/>
      <w:marBottom w:val="0"/>
      <w:divBdr>
        <w:top w:val="none" w:sz="0" w:space="0" w:color="auto"/>
        <w:left w:val="none" w:sz="0" w:space="0" w:color="auto"/>
        <w:bottom w:val="none" w:sz="0" w:space="0" w:color="auto"/>
        <w:right w:val="none" w:sz="0" w:space="0" w:color="auto"/>
      </w:divBdr>
    </w:div>
    <w:div w:id="1227839863">
      <w:marLeft w:val="0"/>
      <w:marRight w:val="0"/>
      <w:marTop w:val="0"/>
      <w:marBottom w:val="0"/>
      <w:divBdr>
        <w:top w:val="none" w:sz="0" w:space="0" w:color="auto"/>
        <w:left w:val="none" w:sz="0" w:space="0" w:color="auto"/>
        <w:bottom w:val="none" w:sz="0" w:space="0" w:color="auto"/>
        <w:right w:val="none" w:sz="0" w:space="0" w:color="auto"/>
      </w:divBdr>
    </w:div>
    <w:div w:id="1227839864">
      <w:marLeft w:val="0"/>
      <w:marRight w:val="0"/>
      <w:marTop w:val="0"/>
      <w:marBottom w:val="0"/>
      <w:divBdr>
        <w:top w:val="none" w:sz="0" w:space="0" w:color="auto"/>
        <w:left w:val="none" w:sz="0" w:space="0" w:color="auto"/>
        <w:bottom w:val="none" w:sz="0" w:space="0" w:color="auto"/>
        <w:right w:val="none" w:sz="0" w:space="0" w:color="auto"/>
      </w:divBdr>
    </w:div>
    <w:div w:id="1227839865">
      <w:marLeft w:val="0"/>
      <w:marRight w:val="0"/>
      <w:marTop w:val="0"/>
      <w:marBottom w:val="0"/>
      <w:divBdr>
        <w:top w:val="none" w:sz="0" w:space="0" w:color="auto"/>
        <w:left w:val="none" w:sz="0" w:space="0" w:color="auto"/>
        <w:bottom w:val="none" w:sz="0" w:space="0" w:color="auto"/>
        <w:right w:val="none" w:sz="0" w:space="0" w:color="auto"/>
      </w:divBdr>
    </w:div>
    <w:div w:id="1227839866">
      <w:marLeft w:val="0"/>
      <w:marRight w:val="0"/>
      <w:marTop w:val="0"/>
      <w:marBottom w:val="0"/>
      <w:divBdr>
        <w:top w:val="none" w:sz="0" w:space="0" w:color="auto"/>
        <w:left w:val="none" w:sz="0" w:space="0" w:color="auto"/>
        <w:bottom w:val="none" w:sz="0" w:space="0" w:color="auto"/>
        <w:right w:val="none" w:sz="0" w:space="0" w:color="auto"/>
      </w:divBdr>
    </w:div>
    <w:div w:id="1345473341">
      <w:bodyDiv w:val="1"/>
      <w:marLeft w:val="0"/>
      <w:marRight w:val="0"/>
      <w:marTop w:val="0"/>
      <w:marBottom w:val="0"/>
      <w:divBdr>
        <w:top w:val="none" w:sz="0" w:space="0" w:color="auto"/>
        <w:left w:val="none" w:sz="0" w:space="0" w:color="auto"/>
        <w:bottom w:val="none" w:sz="0" w:space="0" w:color="auto"/>
        <w:right w:val="none" w:sz="0" w:space="0" w:color="auto"/>
      </w:divBdr>
    </w:div>
    <w:div w:id="1557815389">
      <w:bodyDiv w:val="1"/>
      <w:marLeft w:val="0"/>
      <w:marRight w:val="0"/>
      <w:marTop w:val="0"/>
      <w:marBottom w:val="0"/>
      <w:divBdr>
        <w:top w:val="none" w:sz="0" w:space="0" w:color="auto"/>
        <w:left w:val="none" w:sz="0" w:space="0" w:color="auto"/>
        <w:bottom w:val="none" w:sz="0" w:space="0" w:color="auto"/>
        <w:right w:val="none" w:sz="0" w:space="0" w:color="auto"/>
      </w:divBdr>
    </w:div>
    <w:div w:id="1688480402">
      <w:marLeft w:val="0"/>
      <w:marRight w:val="0"/>
      <w:marTop w:val="0"/>
      <w:marBottom w:val="0"/>
      <w:divBdr>
        <w:top w:val="none" w:sz="0" w:space="0" w:color="auto"/>
        <w:left w:val="none" w:sz="0" w:space="0" w:color="auto"/>
        <w:bottom w:val="none" w:sz="0" w:space="0" w:color="auto"/>
        <w:right w:val="none" w:sz="0" w:space="0" w:color="auto"/>
      </w:divBdr>
    </w:div>
    <w:div w:id="1688480403">
      <w:marLeft w:val="0"/>
      <w:marRight w:val="0"/>
      <w:marTop w:val="0"/>
      <w:marBottom w:val="0"/>
      <w:divBdr>
        <w:top w:val="none" w:sz="0" w:space="0" w:color="auto"/>
        <w:left w:val="none" w:sz="0" w:space="0" w:color="auto"/>
        <w:bottom w:val="none" w:sz="0" w:space="0" w:color="auto"/>
        <w:right w:val="none" w:sz="0" w:space="0" w:color="auto"/>
      </w:divBdr>
    </w:div>
    <w:div w:id="1688480404">
      <w:marLeft w:val="0"/>
      <w:marRight w:val="0"/>
      <w:marTop w:val="0"/>
      <w:marBottom w:val="0"/>
      <w:divBdr>
        <w:top w:val="none" w:sz="0" w:space="0" w:color="auto"/>
        <w:left w:val="none" w:sz="0" w:space="0" w:color="auto"/>
        <w:bottom w:val="none" w:sz="0" w:space="0" w:color="auto"/>
        <w:right w:val="none" w:sz="0" w:space="0" w:color="auto"/>
      </w:divBdr>
    </w:div>
    <w:div w:id="1688480405">
      <w:marLeft w:val="0"/>
      <w:marRight w:val="0"/>
      <w:marTop w:val="0"/>
      <w:marBottom w:val="0"/>
      <w:divBdr>
        <w:top w:val="none" w:sz="0" w:space="0" w:color="auto"/>
        <w:left w:val="none" w:sz="0" w:space="0" w:color="auto"/>
        <w:bottom w:val="none" w:sz="0" w:space="0" w:color="auto"/>
        <w:right w:val="none" w:sz="0" w:space="0" w:color="auto"/>
      </w:divBdr>
    </w:div>
    <w:div w:id="1688480406">
      <w:marLeft w:val="0"/>
      <w:marRight w:val="0"/>
      <w:marTop w:val="0"/>
      <w:marBottom w:val="0"/>
      <w:divBdr>
        <w:top w:val="none" w:sz="0" w:space="0" w:color="auto"/>
        <w:left w:val="none" w:sz="0" w:space="0" w:color="auto"/>
        <w:bottom w:val="none" w:sz="0" w:space="0" w:color="auto"/>
        <w:right w:val="none" w:sz="0" w:space="0" w:color="auto"/>
      </w:divBdr>
    </w:div>
    <w:div w:id="1688480407">
      <w:marLeft w:val="0"/>
      <w:marRight w:val="0"/>
      <w:marTop w:val="0"/>
      <w:marBottom w:val="0"/>
      <w:divBdr>
        <w:top w:val="none" w:sz="0" w:space="0" w:color="auto"/>
        <w:left w:val="none" w:sz="0" w:space="0" w:color="auto"/>
        <w:bottom w:val="none" w:sz="0" w:space="0" w:color="auto"/>
        <w:right w:val="none" w:sz="0" w:space="0" w:color="auto"/>
      </w:divBdr>
    </w:div>
    <w:div w:id="1688480408">
      <w:marLeft w:val="0"/>
      <w:marRight w:val="0"/>
      <w:marTop w:val="0"/>
      <w:marBottom w:val="0"/>
      <w:divBdr>
        <w:top w:val="none" w:sz="0" w:space="0" w:color="auto"/>
        <w:left w:val="none" w:sz="0" w:space="0" w:color="auto"/>
        <w:bottom w:val="none" w:sz="0" w:space="0" w:color="auto"/>
        <w:right w:val="none" w:sz="0" w:space="0" w:color="auto"/>
      </w:divBdr>
      <w:divsChild>
        <w:div w:id="1688480409">
          <w:marLeft w:val="0"/>
          <w:marRight w:val="0"/>
          <w:marTop w:val="45"/>
          <w:marBottom w:val="225"/>
          <w:divBdr>
            <w:top w:val="none" w:sz="0" w:space="0" w:color="auto"/>
            <w:left w:val="none" w:sz="0" w:space="0" w:color="auto"/>
            <w:bottom w:val="none" w:sz="0" w:space="0" w:color="auto"/>
            <w:right w:val="none" w:sz="0" w:space="0" w:color="auto"/>
          </w:divBdr>
          <w:divsChild>
            <w:div w:id="1688480410">
              <w:marLeft w:val="150"/>
              <w:marRight w:val="0"/>
              <w:marTop w:val="300"/>
              <w:marBottom w:val="0"/>
              <w:divBdr>
                <w:top w:val="none" w:sz="0" w:space="0" w:color="auto"/>
                <w:left w:val="none" w:sz="0" w:space="0" w:color="auto"/>
                <w:bottom w:val="none" w:sz="0" w:space="0" w:color="auto"/>
                <w:right w:val="none" w:sz="0" w:space="0" w:color="auto"/>
              </w:divBdr>
              <w:divsChild>
                <w:div w:id="168848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413">
      <w:marLeft w:val="0"/>
      <w:marRight w:val="0"/>
      <w:marTop w:val="0"/>
      <w:marBottom w:val="0"/>
      <w:divBdr>
        <w:top w:val="none" w:sz="0" w:space="0" w:color="auto"/>
        <w:left w:val="none" w:sz="0" w:space="0" w:color="auto"/>
        <w:bottom w:val="none" w:sz="0" w:space="0" w:color="auto"/>
        <w:right w:val="none" w:sz="0" w:space="0" w:color="auto"/>
      </w:divBdr>
      <w:divsChild>
        <w:div w:id="1688480411">
          <w:marLeft w:val="0"/>
          <w:marRight w:val="0"/>
          <w:marTop w:val="45"/>
          <w:marBottom w:val="225"/>
          <w:divBdr>
            <w:top w:val="none" w:sz="0" w:space="0" w:color="auto"/>
            <w:left w:val="none" w:sz="0" w:space="0" w:color="auto"/>
            <w:bottom w:val="none" w:sz="0" w:space="0" w:color="auto"/>
            <w:right w:val="none" w:sz="0" w:space="0" w:color="auto"/>
          </w:divBdr>
          <w:divsChild>
            <w:div w:id="1688480415">
              <w:marLeft w:val="150"/>
              <w:marRight w:val="0"/>
              <w:marTop w:val="300"/>
              <w:marBottom w:val="0"/>
              <w:divBdr>
                <w:top w:val="none" w:sz="0" w:space="0" w:color="auto"/>
                <w:left w:val="none" w:sz="0" w:space="0" w:color="auto"/>
                <w:bottom w:val="none" w:sz="0" w:space="0" w:color="auto"/>
                <w:right w:val="none" w:sz="0" w:space="0" w:color="auto"/>
              </w:divBdr>
              <w:divsChild>
                <w:div w:id="16884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80416">
      <w:marLeft w:val="0"/>
      <w:marRight w:val="0"/>
      <w:marTop w:val="0"/>
      <w:marBottom w:val="0"/>
      <w:divBdr>
        <w:top w:val="none" w:sz="0" w:space="0" w:color="auto"/>
        <w:left w:val="none" w:sz="0" w:space="0" w:color="auto"/>
        <w:bottom w:val="none" w:sz="0" w:space="0" w:color="auto"/>
        <w:right w:val="none" w:sz="0" w:space="0" w:color="auto"/>
      </w:divBdr>
    </w:div>
    <w:div w:id="1688480417">
      <w:marLeft w:val="0"/>
      <w:marRight w:val="0"/>
      <w:marTop w:val="0"/>
      <w:marBottom w:val="0"/>
      <w:divBdr>
        <w:top w:val="none" w:sz="0" w:space="0" w:color="auto"/>
        <w:left w:val="none" w:sz="0" w:space="0" w:color="auto"/>
        <w:bottom w:val="none" w:sz="0" w:space="0" w:color="auto"/>
        <w:right w:val="none" w:sz="0" w:space="0" w:color="auto"/>
      </w:divBdr>
    </w:div>
    <w:div w:id="1688480418">
      <w:marLeft w:val="0"/>
      <w:marRight w:val="0"/>
      <w:marTop w:val="0"/>
      <w:marBottom w:val="0"/>
      <w:divBdr>
        <w:top w:val="none" w:sz="0" w:space="0" w:color="auto"/>
        <w:left w:val="none" w:sz="0" w:space="0" w:color="auto"/>
        <w:bottom w:val="none" w:sz="0" w:space="0" w:color="auto"/>
        <w:right w:val="none" w:sz="0" w:space="0" w:color="auto"/>
      </w:divBdr>
    </w:div>
    <w:div w:id="1688480419">
      <w:marLeft w:val="0"/>
      <w:marRight w:val="0"/>
      <w:marTop w:val="0"/>
      <w:marBottom w:val="0"/>
      <w:divBdr>
        <w:top w:val="none" w:sz="0" w:space="0" w:color="auto"/>
        <w:left w:val="none" w:sz="0" w:space="0" w:color="auto"/>
        <w:bottom w:val="none" w:sz="0" w:space="0" w:color="auto"/>
        <w:right w:val="none" w:sz="0" w:space="0" w:color="auto"/>
      </w:divBdr>
    </w:div>
    <w:div w:id="1688480420">
      <w:marLeft w:val="0"/>
      <w:marRight w:val="0"/>
      <w:marTop w:val="0"/>
      <w:marBottom w:val="0"/>
      <w:divBdr>
        <w:top w:val="none" w:sz="0" w:space="0" w:color="auto"/>
        <w:left w:val="none" w:sz="0" w:space="0" w:color="auto"/>
        <w:bottom w:val="none" w:sz="0" w:space="0" w:color="auto"/>
        <w:right w:val="none" w:sz="0" w:space="0" w:color="auto"/>
      </w:divBdr>
    </w:div>
    <w:div w:id="1688480421">
      <w:marLeft w:val="0"/>
      <w:marRight w:val="0"/>
      <w:marTop w:val="0"/>
      <w:marBottom w:val="0"/>
      <w:divBdr>
        <w:top w:val="none" w:sz="0" w:space="0" w:color="auto"/>
        <w:left w:val="none" w:sz="0" w:space="0" w:color="auto"/>
        <w:bottom w:val="none" w:sz="0" w:space="0" w:color="auto"/>
        <w:right w:val="none" w:sz="0" w:space="0" w:color="auto"/>
      </w:divBdr>
    </w:div>
    <w:div w:id="1688480422">
      <w:marLeft w:val="0"/>
      <w:marRight w:val="0"/>
      <w:marTop w:val="0"/>
      <w:marBottom w:val="0"/>
      <w:divBdr>
        <w:top w:val="none" w:sz="0" w:space="0" w:color="auto"/>
        <w:left w:val="none" w:sz="0" w:space="0" w:color="auto"/>
        <w:bottom w:val="none" w:sz="0" w:space="0" w:color="auto"/>
        <w:right w:val="none" w:sz="0" w:space="0" w:color="auto"/>
      </w:divBdr>
    </w:div>
    <w:div w:id="1688480423">
      <w:marLeft w:val="0"/>
      <w:marRight w:val="0"/>
      <w:marTop w:val="0"/>
      <w:marBottom w:val="0"/>
      <w:divBdr>
        <w:top w:val="none" w:sz="0" w:space="0" w:color="auto"/>
        <w:left w:val="none" w:sz="0" w:space="0" w:color="auto"/>
        <w:bottom w:val="none" w:sz="0" w:space="0" w:color="auto"/>
        <w:right w:val="none" w:sz="0" w:space="0" w:color="auto"/>
      </w:divBdr>
    </w:div>
    <w:div w:id="20383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rbes.com/powerful-brands/list/" TargetMode="External"/><Relationship Id="rId18" Type="http://schemas.openxmlformats.org/officeDocument/2006/relationships/hyperlink" Target="https://sustainability.ups.com/resources/sustainability-newsletter/?Campaign_id=BOILERPLATE_PRESSRELEASE_END_SUSTYNEWSLETTER_0503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newsweek.com/americas-best-customer-service-2019/services-transportation-travel" TargetMode="External"/><Relationship Id="rId17" Type="http://schemas.openxmlformats.org/officeDocument/2006/relationships/hyperlink" Target="https://www.ups.com/us/en/services/knowledge-center/longitudes-landing.page?articlesource=longitudes&amp;WT.mc_id=BOILERPLATE_PRESSRELEASE_END_LONGITUDESKC_07161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essroom.ups.com/pressroom/Home.page?Campaign_id=BOILERPLATE_PRESSRELEASE_END_PRESSROOM_050319" TargetMode="External"/><Relationship Id="rId20" Type="http://schemas.openxmlformats.org/officeDocument/2006/relationships/hyperlink" Target="https://www.ups.com/ship/guided/destination?tx=2168142152068288&amp;loc=en_US&amp;WT.mc_id=BOILERPLATE_PRESSRELEASE_END_SHIP_0716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ors.ups.com"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ups.com/?Campaign_id=BOILERPLATE_PRESSRELEASE_END_UPSCOM_050319"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www.investors.ups.com" TargetMode="External"/><Relationship Id="rId19" Type="http://schemas.openxmlformats.org/officeDocument/2006/relationships/hyperlink" Target="https://twitter.com/UPS_News" TargetMode="External"/><Relationship Id="rId4" Type="http://schemas.openxmlformats.org/officeDocument/2006/relationships/settings" Target="settings.xml"/><Relationship Id="rId9" Type="http://schemas.openxmlformats.org/officeDocument/2006/relationships/hyperlink" Target="mailto:karla.krejci@dbm.cz" TargetMode="External"/><Relationship Id="rId14" Type="http://schemas.openxmlformats.org/officeDocument/2006/relationships/hyperlink" Target="https://www.forbes.com/just-companies/" TargetMode="Externa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11EE-FFE7-4C25-82EB-540BE4DD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2829</Words>
  <Characters>17637</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2020-01-29T23:16:00Z</dcterms:created>
  <dcterms:modified xsi:type="dcterms:W3CDTF">2020-01-30T13:02:00Z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-59960604</vt:i4>
  </property>
</Properties>
</file>