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3B60" w14:textId="77777777" w:rsidR="005855A9" w:rsidRDefault="008159CD">
      <w:pPr>
        <w:rPr>
          <w:rFonts w:ascii="Arial" w:hAnsi="Arial" w:cs="Arial"/>
          <w:sz w:val="20"/>
          <w:szCs w:val="20"/>
        </w:rPr>
      </w:pPr>
      <w:r w:rsidRPr="004E24B7">
        <w:rPr>
          <w:rFonts w:ascii="Arial" w:hAnsi="Arial" w:cs="Arial"/>
          <w:noProof/>
          <w:sz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8DCFB94" wp14:editId="00AC4359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848360" cy="958215"/>
            <wp:effectExtent l="0" t="0" r="0" b="0"/>
            <wp:wrapSquare wrapText="bothSides"/>
            <wp:docPr id="5" name="Picture 5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FB8B7E" w14:textId="77777777" w:rsidR="008159CD" w:rsidRPr="008159CD" w:rsidRDefault="008159CD" w:rsidP="008159CD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  <w:lang w:val="cs-CZ"/>
        </w:rPr>
      </w:pPr>
      <w:r w:rsidRPr="008159CD">
        <w:rPr>
          <w:rFonts w:ascii="Arial" w:hAnsi="Arial" w:cs="Arial"/>
          <w:sz w:val="20"/>
          <w:szCs w:val="20"/>
          <w:lang w:val="cs-CZ"/>
        </w:rPr>
        <w:t>Kontakty:</w:t>
      </w:r>
      <w:r w:rsidRPr="008159CD">
        <w:rPr>
          <w:rFonts w:ascii="Arial" w:hAnsi="Arial" w:cs="Arial"/>
          <w:sz w:val="20"/>
          <w:szCs w:val="20"/>
          <w:lang w:val="cs-CZ"/>
        </w:rPr>
        <w:tab/>
        <w:t>Karla Krejčí, Donath Business &amp; Media</w:t>
      </w:r>
    </w:p>
    <w:p w14:paraId="442354C3" w14:textId="77777777" w:rsidR="008159CD" w:rsidRPr="008159CD" w:rsidRDefault="008159CD" w:rsidP="008159CD">
      <w:pPr>
        <w:pStyle w:val="Nadpis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8159CD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1A779D93" w14:textId="77777777" w:rsidR="008159CD" w:rsidRPr="008159CD" w:rsidRDefault="00EE4442" w:rsidP="008159CD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8159CD" w:rsidRPr="008159CD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79E4D6FB" w14:textId="77777777" w:rsidR="008159CD" w:rsidRPr="00884EF7" w:rsidRDefault="008159CD" w:rsidP="005C42B5">
      <w:pPr>
        <w:rPr>
          <w:rFonts w:ascii="Arial" w:hAnsi="Arial" w:cs="Arial"/>
          <w:sz w:val="20"/>
          <w:szCs w:val="20"/>
          <w:lang w:val="fr-FR"/>
        </w:rPr>
      </w:pPr>
    </w:p>
    <w:p w14:paraId="5B185F6E" w14:textId="77777777" w:rsidR="00CF5EB1" w:rsidRPr="00884EF7" w:rsidRDefault="005A04FD" w:rsidP="008159CD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884EF7">
        <w:rPr>
          <w:rFonts w:ascii="Arial" w:hAnsi="Arial" w:cs="Arial"/>
          <w:sz w:val="20"/>
          <w:szCs w:val="20"/>
          <w:lang w:val="fr-FR"/>
        </w:rPr>
        <w:t xml:space="preserve">Steve </w:t>
      </w:r>
      <w:proofErr w:type="spellStart"/>
      <w:r w:rsidRPr="00884EF7">
        <w:rPr>
          <w:rFonts w:ascii="Arial" w:hAnsi="Arial" w:cs="Arial"/>
          <w:sz w:val="20"/>
          <w:szCs w:val="20"/>
          <w:lang w:val="fr-FR"/>
        </w:rPr>
        <w:t>Gaut</w:t>
      </w:r>
      <w:proofErr w:type="spellEnd"/>
      <w:r w:rsidRPr="00884EF7">
        <w:rPr>
          <w:rFonts w:ascii="Arial" w:hAnsi="Arial" w:cs="Arial"/>
          <w:sz w:val="20"/>
          <w:szCs w:val="20"/>
          <w:lang w:val="fr-FR"/>
        </w:rPr>
        <w:t>,</w:t>
      </w:r>
      <w:r w:rsidR="005855A9" w:rsidRPr="00884EF7">
        <w:rPr>
          <w:rFonts w:ascii="Arial" w:hAnsi="Arial" w:cs="Arial"/>
          <w:sz w:val="20"/>
          <w:szCs w:val="20"/>
          <w:lang w:val="fr-FR"/>
        </w:rPr>
        <w:t xml:space="preserve"> Public Relations</w:t>
      </w:r>
    </w:p>
    <w:p w14:paraId="5111EFBA" w14:textId="77777777" w:rsidR="005855A9" w:rsidRPr="00E81C9C" w:rsidRDefault="00884EF7" w:rsidP="00CF5EB1">
      <w:pPr>
        <w:ind w:left="720" w:firstLine="720"/>
        <w:rPr>
          <w:rFonts w:ascii="Arial" w:hAnsi="Arial" w:cs="Arial"/>
          <w:sz w:val="20"/>
          <w:szCs w:val="20"/>
        </w:rPr>
      </w:pPr>
      <w:r w:rsidRPr="00E81C9C">
        <w:rPr>
          <w:rFonts w:ascii="Arial" w:hAnsi="Arial" w:cs="Arial"/>
          <w:sz w:val="20"/>
          <w:szCs w:val="20"/>
        </w:rPr>
        <w:t>001-</w:t>
      </w:r>
      <w:r w:rsidR="005855A9" w:rsidRPr="00E81C9C">
        <w:rPr>
          <w:rFonts w:ascii="Arial" w:hAnsi="Arial" w:cs="Arial"/>
          <w:sz w:val="20"/>
          <w:szCs w:val="20"/>
        </w:rPr>
        <w:t>404-828-</w:t>
      </w:r>
      <w:r w:rsidR="005A04FD" w:rsidRPr="00E81C9C">
        <w:rPr>
          <w:rFonts w:ascii="Arial" w:hAnsi="Arial" w:cs="Arial"/>
          <w:sz w:val="20"/>
          <w:szCs w:val="20"/>
        </w:rPr>
        <w:t>8787</w:t>
      </w:r>
    </w:p>
    <w:p w14:paraId="38269A92" w14:textId="77777777" w:rsidR="00E57561" w:rsidRPr="00E81C9C" w:rsidRDefault="00E57561" w:rsidP="008159CD">
      <w:pPr>
        <w:ind w:left="720" w:firstLine="720"/>
        <w:rPr>
          <w:rFonts w:ascii="Arial" w:hAnsi="Arial" w:cs="Arial"/>
          <w:sz w:val="20"/>
          <w:szCs w:val="20"/>
        </w:rPr>
      </w:pPr>
    </w:p>
    <w:p w14:paraId="3C04B160" w14:textId="77777777" w:rsidR="005855A9" w:rsidRPr="008159CD" w:rsidRDefault="00ED434E" w:rsidP="008159CD">
      <w:pPr>
        <w:ind w:left="720" w:firstLine="720"/>
        <w:rPr>
          <w:rFonts w:ascii="Arial" w:hAnsi="Arial" w:cs="Arial"/>
          <w:sz w:val="20"/>
          <w:szCs w:val="20"/>
        </w:rPr>
      </w:pPr>
      <w:r w:rsidRPr="008159CD">
        <w:rPr>
          <w:rFonts w:ascii="Arial" w:hAnsi="Arial" w:cs="Arial"/>
          <w:sz w:val="20"/>
          <w:szCs w:val="20"/>
        </w:rPr>
        <w:t>Scott Childress</w:t>
      </w:r>
      <w:r w:rsidR="005855A9" w:rsidRPr="008159CD">
        <w:rPr>
          <w:rFonts w:ascii="Arial" w:hAnsi="Arial" w:cs="Arial"/>
          <w:sz w:val="20"/>
          <w:szCs w:val="20"/>
        </w:rPr>
        <w:t>, Investor Relations</w:t>
      </w:r>
    </w:p>
    <w:p w14:paraId="1B157DA7" w14:textId="77777777" w:rsidR="005855A9" w:rsidRPr="008159CD" w:rsidRDefault="00884EF7" w:rsidP="008159C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001-</w:t>
      </w:r>
      <w:r w:rsidR="005855A9" w:rsidRPr="008159CD">
        <w:rPr>
          <w:rFonts w:ascii="Arial" w:hAnsi="Arial" w:cs="Arial"/>
          <w:sz w:val="20"/>
          <w:szCs w:val="20"/>
        </w:rPr>
        <w:t>404-828-</w:t>
      </w:r>
      <w:r w:rsidR="00ED434E" w:rsidRPr="008159CD">
        <w:rPr>
          <w:rFonts w:ascii="Arial" w:hAnsi="Arial" w:cs="Arial"/>
          <w:sz w:val="20"/>
          <w:szCs w:val="20"/>
        </w:rPr>
        <w:t>7957</w:t>
      </w:r>
    </w:p>
    <w:p w14:paraId="228237FA" w14:textId="77777777" w:rsidR="008159CD" w:rsidRDefault="008159CD" w:rsidP="008159CD">
      <w:pPr>
        <w:rPr>
          <w:rFonts w:ascii="Arial" w:hAnsi="Arial" w:cs="Arial"/>
          <w:b/>
          <w:sz w:val="28"/>
          <w:szCs w:val="26"/>
        </w:rPr>
      </w:pPr>
    </w:p>
    <w:p w14:paraId="78AA3028" w14:textId="77777777" w:rsidR="00E632DE" w:rsidRPr="001549E0" w:rsidRDefault="00E632DE" w:rsidP="008159CD">
      <w:pPr>
        <w:rPr>
          <w:rFonts w:ascii="Arial" w:hAnsi="Arial" w:cs="Arial"/>
          <w:b/>
          <w:sz w:val="28"/>
          <w:szCs w:val="26"/>
        </w:rPr>
      </w:pPr>
    </w:p>
    <w:p w14:paraId="34067388" w14:textId="77777777" w:rsidR="00EF2A60" w:rsidRPr="00EF2A60" w:rsidRDefault="00EF2A60" w:rsidP="00AB1EB2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768AEBC4" w14:textId="77777777" w:rsidR="00EF2A60" w:rsidRPr="00EF2A60" w:rsidRDefault="00EF2A60" w:rsidP="00EF2A60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F2A60">
        <w:rPr>
          <w:rFonts w:ascii="Arial" w:hAnsi="Arial" w:cs="Arial"/>
          <w:b/>
          <w:sz w:val="32"/>
          <w:szCs w:val="32"/>
          <w:lang w:val="cs-CZ"/>
        </w:rPr>
        <w:t>UPS ZVEŘEJNILA VÝSLEDKY ZA 3. KVARTÁL 2019</w:t>
      </w:r>
    </w:p>
    <w:p w14:paraId="4A83A35B" w14:textId="77777777" w:rsidR="00EF2A60" w:rsidRPr="00EF2A60" w:rsidRDefault="00EF2A60" w:rsidP="00EF2A60">
      <w:pPr>
        <w:jc w:val="center"/>
        <w:rPr>
          <w:rFonts w:ascii="Arial" w:hAnsi="Arial" w:cs="Arial"/>
          <w:i/>
          <w:lang w:val="cs-CZ"/>
        </w:rPr>
      </w:pPr>
      <w:r w:rsidRPr="00EF2A60">
        <w:rPr>
          <w:rFonts w:ascii="Arial" w:hAnsi="Arial" w:cs="Arial"/>
          <w:i/>
          <w:lang w:val="cs-CZ"/>
        </w:rPr>
        <w:t>Provozní zisk vzrostl o více než 20 % s nárůstem marže ve všech segmentech</w:t>
      </w:r>
    </w:p>
    <w:p w14:paraId="371EBC4A" w14:textId="77777777" w:rsidR="00EF2A60" w:rsidRPr="00EF2A60" w:rsidRDefault="00EF2A60" w:rsidP="00EF2A60">
      <w:pPr>
        <w:rPr>
          <w:lang w:val="cs-CZ"/>
        </w:rPr>
      </w:pPr>
    </w:p>
    <w:p w14:paraId="312A41BE" w14:textId="775CBD65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 xml:space="preserve">Zisk na akcii ve 3. kvartálu ve výši 2,01 USD vzrostl o více než 16 %, upravený </w:t>
      </w:r>
      <w:r w:rsidR="00F87801">
        <w:rPr>
          <w:rFonts w:ascii="Arial" w:hAnsi="Arial" w:cs="Arial"/>
          <w:b/>
          <w:i/>
          <w:lang w:val="cs-CZ"/>
        </w:rPr>
        <w:t xml:space="preserve">zisk na akcii </w:t>
      </w:r>
      <w:r w:rsidRPr="00EF2A60">
        <w:rPr>
          <w:rFonts w:ascii="Arial" w:hAnsi="Arial" w:cs="Arial"/>
          <w:b/>
          <w:i/>
          <w:lang w:val="cs-CZ"/>
        </w:rPr>
        <w:t>o 13,7 % na 2,07 USD</w:t>
      </w:r>
    </w:p>
    <w:p w14:paraId="3D28EE37" w14:textId="77777777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>Denní objemy na domácím trhu v USA narostly o více než 9 %; objemy přepravy u služby doručení letecky do druhého dne (</w:t>
      </w:r>
      <w:proofErr w:type="spellStart"/>
      <w:r w:rsidRPr="00EF2A60">
        <w:rPr>
          <w:rFonts w:ascii="Arial" w:hAnsi="Arial" w:cs="Arial"/>
          <w:b/>
          <w:i/>
          <w:lang w:val="cs-CZ"/>
        </w:rPr>
        <w:t>Next</w:t>
      </w:r>
      <w:proofErr w:type="spellEnd"/>
      <w:r w:rsidRPr="00EF2A60">
        <w:rPr>
          <w:rFonts w:ascii="Arial" w:hAnsi="Arial" w:cs="Arial"/>
          <w:b/>
          <w:i/>
          <w:lang w:val="cs-CZ"/>
        </w:rPr>
        <w:t xml:space="preserve"> </w:t>
      </w:r>
      <w:proofErr w:type="spellStart"/>
      <w:r w:rsidRPr="00EF2A60">
        <w:rPr>
          <w:rFonts w:ascii="Arial" w:hAnsi="Arial" w:cs="Arial"/>
          <w:b/>
          <w:i/>
          <w:lang w:val="cs-CZ"/>
        </w:rPr>
        <w:t>Day</w:t>
      </w:r>
      <w:proofErr w:type="spellEnd"/>
      <w:r w:rsidRPr="00EF2A60">
        <w:rPr>
          <w:rFonts w:ascii="Arial" w:hAnsi="Arial" w:cs="Arial"/>
          <w:b/>
          <w:i/>
          <w:lang w:val="cs-CZ"/>
        </w:rPr>
        <w:t xml:space="preserve"> Air) zaznamenaly prudký nárůst téměř 24 %</w:t>
      </w:r>
    </w:p>
    <w:p w14:paraId="664785CD" w14:textId="79F459A6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>Provozní zisk v USA se zvýšil o více než 28 </w:t>
      </w:r>
      <w:r w:rsidR="00F87801">
        <w:rPr>
          <w:rFonts w:ascii="Arial" w:hAnsi="Arial" w:cs="Arial"/>
          <w:b/>
          <w:i/>
          <w:lang w:val="cs-CZ"/>
        </w:rPr>
        <w:t>%; na upraveném základě téměř o </w:t>
      </w:r>
      <w:r w:rsidRPr="00EF2A60">
        <w:rPr>
          <w:rFonts w:ascii="Arial" w:hAnsi="Arial" w:cs="Arial"/>
          <w:b/>
          <w:i/>
          <w:lang w:val="cs-CZ"/>
        </w:rPr>
        <w:t>26 %</w:t>
      </w:r>
    </w:p>
    <w:p w14:paraId="60E4F0CC" w14:textId="70BD8165" w:rsidR="00EF2A60" w:rsidRPr="00E81C9C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81C9C">
        <w:rPr>
          <w:rFonts w:ascii="Arial" w:hAnsi="Arial" w:cs="Arial"/>
          <w:b/>
          <w:i/>
          <w:lang w:val="cs-CZ"/>
        </w:rPr>
        <w:t xml:space="preserve">Poměr provozního zisku k příjmům na domácím trhu v USA se zlepšil díky nižším </w:t>
      </w:r>
      <w:r w:rsidR="00F87801" w:rsidRPr="00E81C9C">
        <w:rPr>
          <w:rFonts w:ascii="Arial" w:hAnsi="Arial" w:cs="Arial"/>
          <w:b/>
          <w:i/>
          <w:lang w:val="cs-CZ"/>
        </w:rPr>
        <w:t>nákladům na jednotku</w:t>
      </w:r>
      <w:r w:rsidRPr="00E81C9C">
        <w:rPr>
          <w:rFonts w:ascii="Arial" w:hAnsi="Arial" w:cs="Arial"/>
          <w:b/>
          <w:i/>
          <w:lang w:val="cs-CZ"/>
        </w:rPr>
        <w:t xml:space="preserve"> </w:t>
      </w:r>
    </w:p>
    <w:p w14:paraId="49F6AE75" w14:textId="4D1A5539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>Provozní zisk v </w:t>
      </w:r>
      <w:r w:rsidR="00255BCA" w:rsidRPr="00EF2A60">
        <w:rPr>
          <w:rFonts w:ascii="Arial" w:hAnsi="Arial" w:cs="Arial"/>
          <w:b/>
          <w:i/>
          <w:lang w:val="cs-CZ"/>
        </w:rPr>
        <w:t xml:space="preserve">segmentu </w:t>
      </w:r>
      <w:r w:rsidRPr="00EF2A60">
        <w:rPr>
          <w:rFonts w:ascii="Arial" w:hAnsi="Arial" w:cs="Arial"/>
          <w:b/>
          <w:i/>
          <w:lang w:val="cs-CZ"/>
        </w:rPr>
        <w:t>Mezinárodní</w:t>
      </w:r>
      <w:r w:rsidR="00255BCA">
        <w:rPr>
          <w:rFonts w:ascii="Arial" w:hAnsi="Arial" w:cs="Arial"/>
          <w:b/>
          <w:i/>
          <w:lang w:val="cs-CZ"/>
        </w:rPr>
        <w:t xml:space="preserve"> přepravy</w:t>
      </w:r>
      <w:r w:rsidRPr="00EF2A60">
        <w:rPr>
          <w:rFonts w:ascii="Arial" w:hAnsi="Arial" w:cs="Arial"/>
          <w:b/>
          <w:i/>
          <w:lang w:val="cs-CZ"/>
        </w:rPr>
        <w:t xml:space="preserve"> vzrostl o 24,4 %; upravený na 20,3 %</w:t>
      </w:r>
    </w:p>
    <w:p w14:paraId="178F8B02" w14:textId="77777777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>Provozní marže divize Dodavatelské řetězce a nákladní přeprava dosáhla výše 7,3 %; upravená marže pak 7,6 %</w:t>
      </w:r>
    </w:p>
    <w:p w14:paraId="78D490A8" w14:textId="064439DC" w:rsidR="00EF2A60" w:rsidRPr="00EF2A60" w:rsidRDefault="00EF2A60" w:rsidP="00EF2A60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EF2A60">
        <w:rPr>
          <w:rFonts w:ascii="Arial" w:hAnsi="Arial" w:cs="Arial"/>
          <w:b/>
          <w:i/>
          <w:lang w:val="cs-CZ"/>
        </w:rPr>
        <w:t>Společnost UPS znovu potvrdila výši upraveného zisku na akcii a zvýšila upravený cíl pro volný finanční tok na hodnotu přes 4 mld</w:t>
      </w:r>
      <w:r w:rsidR="00255BCA">
        <w:rPr>
          <w:rFonts w:ascii="Arial" w:hAnsi="Arial" w:cs="Arial"/>
          <w:b/>
          <w:i/>
          <w:lang w:val="cs-CZ"/>
        </w:rPr>
        <w:t>.</w:t>
      </w:r>
      <w:r w:rsidRPr="00EF2A60">
        <w:rPr>
          <w:rFonts w:ascii="Arial" w:hAnsi="Arial" w:cs="Arial"/>
          <w:b/>
          <w:i/>
          <w:lang w:val="cs-CZ"/>
        </w:rPr>
        <w:t xml:space="preserve"> USD</w:t>
      </w:r>
    </w:p>
    <w:p w14:paraId="0DBE816F" w14:textId="77777777" w:rsidR="00EF2A60" w:rsidRPr="00E81C9C" w:rsidRDefault="00EF2A60" w:rsidP="00AB1EB2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10A1D6F" w14:textId="77777777" w:rsidR="00EF2A60" w:rsidRPr="00696678" w:rsidRDefault="00EF2A60" w:rsidP="00EF2A60">
      <w:pPr>
        <w:rPr>
          <w:rFonts w:ascii="Arial" w:hAnsi="Arial" w:cs="Arial"/>
          <w:sz w:val="22"/>
          <w:lang w:val="cs-CZ"/>
        </w:rPr>
      </w:pPr>
    </w:p>
    <w:p w14:paraId="6C17F606" w14:textId="525FE7B8" w:rsidR="00EF2A60" w:rsidRPr="00696678" w:rsidRDefault="00EF2A60" w:rsidP="00EF2A60">
      <w:pPr>
        <w:rPr>
          <w:rFonts w:ascii="Arial" w:hAnsi="Arial" w:cs="Arial"/>
          <w:sz w:val="22"/>
          <w:lang w:val="cs-CZ"/>
        </w:rPr>
      </w:pPr>
      <w:r w:rsidRPr="00696678">
        <w:rPr>
          <w:rFonts w:ascii="Arial" w:hAnsi="Arial" w:cs="Arial"/>
          <w:b/>
          <w:bCs/>
          <w:sz w:val="22"/>
          <w:lang w:val="cs-CZ"/>
        </w:rPr>
        <w:t>ATLANTA – 22</w:t>
      </w:r>
      <w:r w:rsidR="005C0D82">
        <w:rPr>
          <w:rFonts w:ascii="Arial" w:hAnsi="Arial" w:cs="Arial"/>
          <w:b/>
          <w:bCs/>
          <w:sz w:val="22"/>
          <w:lang w:val="cs-CZ"/>
        </w:rPr>
        <w:t>. října</w:t>
      </w:r>
      <w:r w:rsidRPr="00696678">
        <w:rPr>
          <w:rFonts w:ascii="Arial" w:hAnsi="Arial" w:cs="Arial"/>
          <w:b/>
          <w:bCs/>
          <w:sz w:val="22"/>
          <w:lang w:val="cs-CZ"/>
        </w:rPr>
        <w:t xml:space="preserve"> 2019</w:t>
      </w:r>
      <w:r w:rsidRPr="00696678">
        <w:rPr>
          <w:rFonts w:ascii="Arial" w:hAnsi="Arial" w:cs="Arial"/>
          <w:sz w:val="22"/>
          <w:lang w:val="cs-CZ"/>
        </w:rPr>
        <w:t xml:space="preserve"> – Společnost UPS (</w:t>
      </w:r>
      <w:proofErr w:type="spellStart"/>
      <w:r w:rsidRPr="00696678">
        <w:rPr>
          <w:rFonts w:ascii="Arial" w:hAnsi="Arial" w:cs="Arial"/>
          <w:sz w:val="22"/>
          <w:lang w:val="cs-CZ"/>
        </w:rPr>
        <w:t>NYSE:UPS</w:t>
      </w:r>
      <w:proofErr w:type="spellEnd"/>
      <w:r w:rsidRPr="00696678">
        <w:rPr>
          <w:rFonts w:ascii="Arial" w:hAnsi="Arial" w:cs="Arial"/>
          <w:sz w:val="22"/>
          <w:lang w:val="cs-CZ"/>
        </w:rPr>
        <w:t xml:space="preserve">) dnes oznámila upravené finanční výsledky za </w:t>
      </w:r>
      <w:r w:rsidR="00255BCA">
        <w:rPr>
          <w:rFonts w:ascii="Arial" w:hAnsi="Arial" w:cs="Arial"/>
          <w:sz w:val="22"/>
          <w:lang w:val="cs-CZ"/>
        </w:rPr>
        <w:t>třetí</w:t>
      </w:r>
      <w:r w:rsidRPr="00696678">
        <w:rPr>
          <w:rFonts w:ascii="Arial" w:hAnsi="Arial" w:cs="Arial"/>
          <w:sz w:val="22"/>
          <w:lang w:val="cs-CZ"/>
        </w:rPr>
        <w:t xml:space="preserve"> kvartál 2019 ve výši 2,07 USD na akcii, což </w:t>
      </w:r>
      <w:r w:rsidR="005C0D82">
        <w:rPr>
          <w:rFonts w:ascii="Arial" w:hAnsi="Arial" w:cs="Arial"/>
          <w:sz w:val="22"/>
          <w:lang w:val="cs-CZ"/>
        </w:rPr>
        <w:t>představuje</w:t>
      </w:r>
      <w:r w:rsidRPr="00696678">
        <w:rPr>
          <w:rFonts w:ascii="Arial" w:hAnsi="Arial" w:cs="Arial"/>
          <w:sz w:val="22"/>
          <w:lang w:val="cs-CZ"/>
        </w:rPr>
        <w:t xml:space="preserve"> </w:t>
      </w:r>
      <w:r w:rsidR="005C0D82">
        <w:rPr>
          <w:rFonts w:ascii="Arial" w:hAnsi="Arial" w:cs="Arial"/>
          <w:sz w:val="22"/>
          <w:lang w:val="cs-CZ"/>
        </w:rPr>
        <w:t>13,7</w:t>
      </w:r>
      <w:r w:rsidR="005C0D82" w:rsidRPr="00696678">
        <w:rPr>
          <w:rFonts w:ascii="Arial" w:hAnsi="Arial" w:cs="Arial"/>
          <w:sz w:val="22"/>
          <w:lang w:val="cs-CZ"/>
        </w:rPr>
        <w:t>%</w:t>
      </w:r>
      <w:r w:rsidR="005C0D82">
        <w:rPr>
          <w:rFonts w:ascii="Arial" w:hAnsi="Arial" w:cs="Arial"/>
          <w:sz w:val="22"/>
          <w:lang w:val="cs-CZ"/>
        </w:rPr>
        <w:t xml:space="preserve"> </w:t>
      </w:r>
      <w:r w:rsidRPr="00696678">
        <w:rPr>
          <w:rFonts w:ascii="Arial" w:hAnsi="Arial" w:cs="Arial"/>
          <w:sz w:val="22"/>
          <w:lang w:val="cs-CZ"/>
        </w:rPr>
        <w:t>nárůst oproti stejnému období loňského roku. Společnost zaznamenala silný nárůst provozního zisku o více než 20 %, díky posilování na domácím trhu v USA i v</w:t>
      </w:r>
      <w:r w:rsidR="005C0D82">
        <w:rPr>
          <w:rFonts w:ascii="Arial" w:hAnsi="Arial" w:cs="Arial"/>
          <w:sz w:val="22"/>
          <w:lang w:val="cs-CZ"/>
        </w:rPr>
        <w:t xml:space="preserve"> segmentu </w:t>
      </w:r>
      <w:r w:rsidRPr="00696678">
        <w:rPr>
          <w:rFonts w:ascii="Arial" w:hAnsi="Arial" w:cs="Arial"/>
          <w:sz w:val="22"/>
          <w:lang w:val="cs-CZ"/>
        </w:rPr>
        <w:t>Mezinárodní</w:t>
      </w:r>
      <w:r w:rsidR="005C0D82">
        <w:rPr>
          <w:rFonts w:ascii="Arial" w:hAnsi="Arial" w:cs="Arial"/>
          <w:sz w:val="22"/>
          <w:lang w:val="cs-CZ"/>
        </w:rPr>
        <w:t xml:space="preserve"> přepravy. Meziroční na</w:t>
      </w:r>
      <w:r w:rsidRPr="00696678">
        <w:rPr>
          <w:rFonts w:ascii="Arial" w:hAnsi="Arial" w:cs="Arial"/>
          <w:sz w:val="22"/>
          <w:lang w:val="cs-CZ"/>
        </w:rPr>
        <w:t xml:space="preserve">výšení objemu ve všech </w:t>
      </w:r>
      <w:r w:rsidR="005C0D82">
        <w:rPr>
          <w:rFonts w:ascii="Arial" w:hAnsi="Arial" w:cs="Arial"/>
          <w:sz w:val="22"/>
          <w:lang w:val="cs-CZ"/>
        </w:rPr>
        <w:t xml:space="preserve">přepravních službách </w:t>
      </w:r>
      <w:r w:rsidRPr="00696678">
        <w:rPr>
          <w:rFonts w:ascii="Arial" w:hAnsi="Arial" w:cs="Arial"/>
          <w:sz w:val="22"/>
          <w:lang w:val="cs-CZ"/>
        </w:rPr>
        <w:t>na domácím trhu v USA bylo mimořádné.</w:t>
      </w:r>
    </w:p>
    <w:p w14:paraId="5614DC89" w14:textId="77777777" w:rsidR="00C27D1C" w:rsidRPr="00E81C9C" w:rsidRDefault="00C27D1C" w:rsidP="008159CD">
      <w:pPr>
        <w:rPr>
          <w:rFonts w:ascii="Arial" w:hAnsi="Arial" w:cs="Arial"/>
          <w:szCs w:val="20"/>
          <w:lang w:val="cs-CZ"/>
        </w:rPr>
      </w:pPr>
    </w:p>
    <w:p w14:paraId="795D5B51" w14:textId="21B05BF9" w:rsidR="00696678" w:rsidRPr="00696678" w:rsidRDefault="00696678" w:rsidP="00696678">
      <w:pPr>
        <w:rPr>
          <w:rFonts w:ascii="Arial" w:hAnsi="Arial" w:cs="Arial"/>
          <w:sz w:val="22"/>
          <w:lang w:val="cs-CZ"/>
        </w:rPr>
      </w:pPr>
      <w:r w:rsidRPr="00696678">
        <w:rPr>
          <w:rFonts w:ascii="Arial" w:hAnsi="Arial" w:cs="Arial"/>
          <w:sz w:val="22"/>
          <w:lang w:val="cs-CZ"/>
        </w:rPr>
        <w:t>„</w:t>
      </w:r>
      <w:r w:rsidR="00255BCA">
        <w:rPr>
          <w:rFonts w:ascii="Arial" w:hAnsi="Arial" w:cs="Arial"/>
          <w:sz w:val="22"/>
          <w:lang w:val="cs-CZ"/>
        </w:rPr>
        <w:t>V</w:t>
      </w:r>
      <w:r w:rsidRPr="00696678">
        <w:rPr>
          <w:rFonts w:ascii="Arial" w:hAnsi="Arial" w:cs="Arial"/>
          <w:sz w:val="22"/>
          <w:lang w:val="cs-CZ"/>
        </w:rPr>
        <w:t xml:space="preserve">ýsledky </w:t>
      </w:r>
      <w:r w:rsidR="005F0DF9">
        <w:rPr>
          <w:rFonts w:ascii="Arial" w:hAnsi="Arial" w:cs="Arial"/>
          <w:sz w:val="22"/>
          <w:lang w:val="cs-CZ"/>
        </w:rPr>
        <w:t>odrážejí významný</w:t>
      </w:r>
      <w:r w:rsidRPr="00696678">
        <w:rPr>
          <w:rFonts w:ascii="Arial" w:hAnsi="Arial" w:cs="Arial"/>
          <w:sz w:val="22"/>
          <w:lang w:val="cs-CZ"/>
        </w:rPr>
        <w:t xml:space="preserve"> </w:t>
      </w:r>
      <w:r w:rsidR="005F0DF9">
        <w:rPr>
          <w:rFonts w:ascii="Arial" w:hAnsi="Arial" w:cs="Arial"/>
          <w:sz w:val="22"/>
          <w:lang w:val="cs-CZ"/>
        </w:rPr>
        <w:t>rozvoj našich transformačních iniciativ a naši</w:t>
      </w:r>
      <w:r w:rsidRPr="00696678">
        <w:rPr>
          <w:rFonts w:ascii="Arial" w:hAnsi="Arial" w:cs="Arial"/>
          <w:sz w:val="22"/>
          <w:lang w:val="cs-CZ"/>
        </w:rPr>
        <w:t xml:space="preserve"> schopnost</w:t>
      </w:r>
      <w:r w:rsidR="005F0DF9">
        <w:rPr>
          <w:rFonts w:ascii="Arial" w:hAnsi="Arial" w:cs="Arial"/>
          <w:sz w:val="22"/>
          <w:lang w:val="cs-CZ"/>
        </w:rPr>
        <w:t xml:space="preserve"> růstu a</w:t>
      </w:r>
      <w:r w:rsidR="00255BCA">
        <w:rPr>
          <w:rFonts w:ascii="Arial" w:hAnsi="Arial" w:cs="Arial"/>
          <w:sz w:val="22"/>
          <w:lang w:val="cs-CZ"/>
        </w:rPr>
        <w:t> </w:t>
      </w:r>
      <w:r w:rsidRPr="00696678">
        <w:rPr>
          <w:rFonts w:ascii="Arial" w:hAnsi="Arial" w:cs="Arial"/>
          <w:sz w:val="22"/>
          <w:lang w:val="cs-CZ"/>
        </w:rPr>
        <w:t xml:space="preserve">zvyšování efektivity v dynamickém ekonomickém prostředí,“ uvedl David </w:t>
      </w:r>
      <w:proofErr w:type="spellStart"/>
      <w:r w:rsidRPr="00696678">
        <w:rPr>
          <w:rFonts w:ascii="Arial" w:hAnsi="Arial" w:cs="Arial"/>
          <w:sz w:val="22"/>
          <w:lang w:val="cs-CZ"/>
        </w:rPr>
        <w:t>Abney</w:t>
      </w:r>
      <w:proofErr w:type="spellEnd"/>
      <w:r w:rsidRPr="00696678">
        <w:rPr>
          <w:rFonts w:ascii="Arial" w:hAnsi="Arial" w:cs="Arial"/>
          <w:sz w:val="22"/>
          <w:lang w:val="cs-CZ"/>
        </w:rPr>
        <w:t>, předseda představenstva a generální ředitel UPS. „Jak j</w:t>
      </w:r>
      <w:r w:rsidR="005F0DF9">
        <w:rPr>
          <w:rFonts w:ascii="Arial" w:hAnsi="Arial" w:cs="Arial"/>
          <w:sz w:val="22"/>
          <w:lang w:val="cs-CZ"/>
        </w:rPr>
        <w:t>sme nedávno uvedli, budeme se i </w:t>
      </w:r>
      <w:r w:rsidRPr="00696678">
        <w:rPr>
          <w:rFonts w:ascii="Arial" w:hAnsi="Arial" w:cs="Arial"/>
          <w:sz w:val="22"/>
          <w:lang w:val="cs-CZ"/>
        </w:rPr>
        <w:t>nadále zaměřovat na uzavírání nových partnerství a vytváření inovativních řešení k posílení růstu na nejzajímavějších segmentech trhu.“</w:t>
      </w:r>
    </w:p>
    <w:p w14:paraId="0D8533AE" w14:textId="77777777" w:rsidR="00696678" w:rsidRPr="00696678" w:rsidRDefault="00696678" w:rsidP="00696678">
      <w:pPr>
        <w:rPr>
          <w:rFonts w:ascii="Arial" w:hAnsi="Arial" w:cs="Arial"/>
          <w:sz w:val="22"/>
          <w:lang w:val="cs-CZ"/>
        </w:rPr>
      </w:pPr>
    </w:p>
    <w:p w14:paraId="0C7ACD7A" w14:textId="3927A6E7" w:rsidR="00696678" w:rsidRDefault="00696678" w:rsidP="00696678">
      <w:pPr>
        <w:rPr>
          <w:rFonts w:ascii="Arial" w:hAnsi="Arial" w:cs="Arial"/>
          <w:sz w:val="22"/>
          <w:lang w:val="cs-CZ"/>
        </w:rPr>
      </w:pPr>
      <w:r w:rsidRPr="00696678">
        <w:rPr>
          <w:rFonts w:ascii="Arial" w:hAnsi="Arial" w:cs="Arial"/>
          <w:sz w:val="22"/>
          <w:lang w:val="cs-CZ"/>
        </w:rPr>
        <w:t>Strategické náklady na transformaci nejsou v upravených výsledcích zahrnuty. Upravené výsledky za 3. kvartál 2019 nezahrnují transformační náklad ve výši 63 mil</w:t>
      </w:r>
      <w:r w:rsidR="005F0DF9">
        <w:rPr>
          <w:rFonts w:ascii="Arial" w:hAnsi="Arial" w:cs="Arial"/>
          <w:sz w:val="22"/>
          <w:lang w:val="cs-CZ"/>
        </w:rPr>
        <w:t>.</w:t>
      </w:r>
      <w:r w:rsidRPr="00696678">
        <w:rPr>
          <w:rFonts w:ascii="Arial" w:hAnsi="Arial" w:cs="Arial"/>
          <w:sz w:val="22"/>
          <w:lang w:val="cs-CZ"/>
        </w:rPr>
        <w:t xml:space="preserve"> USD před zdaněním, </w:t>
      </w:r>
      <w:r w:rsidR="00255BCA">
        <w:rPr>
          <w:rFonts w:ascii="Arial" w:hAnsi="Arial" w:cs="Arial"/>
          <w:sz w:val="22"/>
          <w:lang w:val="cs-CZ"/>
        </w:rPr>
        <w:t>resp.</w:t>
      </w:r>
      <w:r w:rsidRPr="00696678">
        <w:rPr>
          <w:rFonts w:ascii="Arial" w:hAnsi="Arial" w:cs="Arial"/>
          <w:sz w:val="22"/>
          <w:lang w:val="cs-CZ"/>
        </w:rPr>
        <w:t xml:space="preserve"> 0,06 USD rozředěných na akcii po zdanění. Upravené výsledky za 3. kvartál 2018 nezahrnovaly transformační náklad ve výši 97 mil</w:t>
      </w:r>
      <w:r w:rsidR="005F0DF9">
        <w:rPr>
          <w:rFonts w:ascii="Arial" w:hAnsi="Arial" w:cs="Arial"/>
          <w:sz w:val="22"/>
          <w:lang w:val="cs-CZ"/>
        </w:rPr>
        <w:t>.</w:t>
      </w:r>
      <w:r w:rsidRPr="00696678">
        <w:rPr>
          <w:rFonts w:ascii="Arial" w:hAnsi="Arial" w:cs="Arial"/>
          <w:sz w:val="22"/>
          <w:lang w:val="cs-CZ"/>
        </w:rPr>
        <w:t xml:space="preserve"> USD před zdaněním, </w:t>
      </w:r>
      <w:r w:rsidR="005F0DF9">
        <w:rPr>
          <w:rFonts w:ascii="Arial" w:hAnsi="Arial" w:cs="Arial"/>
          <w:sz w:val="22"/>
          <w:lang w:val="cs-CZ"/>
        </w:rPr>
        <w:t xml:space="preserve">resp. </w:t>
      </w:r>
      <w:r w:rsidRPr="00696678">
        <w:rPr>
          <w:rFonts w:ascii="Arial" w:hAnsi="Arial" w:cs="Arial"/>
          <w:sz w:val="22"/>
          <w:lang w:val="cs-CZ"/>
        </w:rPr>
        <w:t xml:space="preserve">0,09 USD na akcii po zdanění. </w:t>
      </w:r>
    </w:p>
    <w:p w14:paraId="1BB17D52" w14:textId="77777777" w:rsidR="005F0DF9" w:rsidRDefault="005F0DF9" w:rsidP="00C73DB7">
      <w:pPr>
        <w:rPr>
          <w:rFonts w:ascii="Arial" w:hAnsi="Arial" w:cs="Arial"/>
          <w:sz w:val="22"/>
        </w:rPr>
      </w:pPr>
    </w:p>
    <w:p w14:paraId="03217854" w14:textId="77777777" w:rsidR="005F0DF9" w:rsidRDefault="005F0DF9" w:rsidP="00C73DB7">
      <w:pPr>
        <w:rPr>
          <w:rFonts w:ascii="Arial" w:hAnsi="Arial" w:cs="Arial"/>
          <w:sz w:val="22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638"/>
      </w:tblGrid>
      <w:tr w:rsidR="008159CD" w:rsidRPr="00737ADC" w14:paraId="4E72B9FE" w14:textId="77777777" w:rsidTr="00737ADC">
        <w:trPr>
          <w:trHeight w:val="503"/>
        </w:trPr>
        <w:tc>
          <w:tcPr>
            <w:tcW w:w="2694" w:type="dxa"/>
          </w:tcPr>
          <w:p w14:paraId="0AA4B1C6" w14:textId="77777777" w:rsidR="008159CD" w:rsidRPr="00737ADC" w:rsidRDefault="008159CD" w:rsidP="003A52B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Konsolidované výsle</w:t>
            </w:r>
            <w:r w:rsidR="00737ADC"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dk</w:t>
            </w: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y</w:t>
            </w:r>
          </w:p>
        </w:tc>
        <w:tc>
          <w:tcPr>
            <w:tcW w:w="1701" w:type="dxa"/>
          </w:tcPr>
          <w:p w14:paraId="6B44B9BE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46968C6F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2019</w:t>
            </w:r>
          </w:p>
        </w:tc>
        <w:tc>
          <w:tcPr>
            <w:tcW w:w="1701" w:type="dxa"/>
          </w:tcPr>
          <w:p w14:paraId="18965312" w14:textId="77777777" w:rsidR="008159CD" w:rsidRPr="00737ADC" w:rsidRDefault="00737ADC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59FD9DB9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2019</w:t>
            </w:r>
          </w:p>
        </w:tc>
        <w:tc>
          <w:tcPr>
            <w:tcW w:w="1842" w:type="dxa"/>
          </w:tcPr>
          <w:p w14:paraId="7198A748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85676A3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2018</w:t>
            </w:r>
          </w:p>
        </w:tc>
        <w:tc>
          <w:tcPr>
            <w:tcW w:w="1638" w:type="dxa"/>
          </w:tcPr>
          <w:p w14:paraId="7811F9E4" w14:textId="77777777" w:rsidR="008159CD" w:rsidRPr="00737ADC" w:rsidRDefault="00737ADC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64ACA63F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2018</w:t>
            </w:r>
          </w:p>
        </w:tc>
      </w:tr>
      <w:tr w:rsidR="008159CD" w:rsidRPr="00737ADC" w14:paraId="79BA56FC" w14:textId="77777777" w:rsidTr="00737ADC">
        <w:trPr>
          <w:trHeight w:val="246"/>
        </w:trPr>
        <w:tc>
          <w:tcPr>
            <w:tcW w:w="2694" w:type="dxa"/>
          </w:tcPr>
          <w:p w14:paraId="22562FD3" w14:textId="77777777" w:rsidR="008159CD" w:rsidRPr="00737ADC" w:rsidRDefault="00737ADC" w:rsidP="003A52BE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01" w:type="dxa"/>
          </w:tcPr>
          <w:p w14:paraId="5F75705E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18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318 </w:t>
            </w:r>
            <w:r w:rsidR="00737ADC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701" w:type="dxa"/>
          </w:tcPr>
          <w:p w14:paraId="3764A143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842" w:type="dxa"/>
          </w:tcPr>
          <w:p w14:paraId="2A8B5C63" w14:textId="77777777" w:rsidR="008159CD" w:rsidRPr="00737ADC" w:rsidRDefault="00737ADC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159CD" w:rsidRPr="00737ADC">
              <w:rPr>
                <w:rFonts w:ascii="Arial" w:hAnsi="Arial" w:cs="Arial"/>
                <w:sz w:val="20"/>
                <w:szCs w:val="22"/>
                <w:lang w:val="cs-CZ"/>
              </w:rPr>
              <w:t>17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159CD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444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638" w:type="dxa"/>
          </w:tcPr>
          <w:p w14:paraId="3F63FBA9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8159CD" w:rsidRPr="00737ADC" w14:paraId="10C28F93" w14:textId="77777777" w:rsidTr="00737ADC">
        <w:trPr>
          <w:trHeight w:val="246"/>
        </w:trPr>
        <w:tc>
          <w:tcPr>
            <w:tcW w:w="2694" w:type="dxa"/>
          </w:tcPr>
          <w:p w14:paraId="7CA80485" w14:textId="77777777" w:rsidR="008159CD" w:rsidRPr="00737ADC" w:rsidRDefault="00737ADC" w:rsidP="003A52BE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Čisté příjmy</w:t>
            </w:r>
          </w:p>
        </w:tc>
        <w:tc>
          <w:tcPr>
            <w:tcW w:w="1701" w:type="dxa"/>
          </w:tcPr>
          <w:p w14:paraId="54C24FA3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750 </w:t>
            </w:r>
            <w:r w:rsidR="00737ADC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701" w:type="dxa"/>
          </w:tcPr>
          <w:p w14:paraId="3D75FAA7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797 </w:t>
            </w:r>
            <w:r w:rsidR="00737ADC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842" w:type="dxa"/>
          </w:tcPr>
          <w:p w14:paraId="721DBBB8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508 </w:t>
            </w:r>
            <w:r w:rsidR="00737ADC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638" w:type="dxa"/>
          </w:tcPr>
          <w:p w14:paraId="79B786FD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581 </w:t>
            </w:r>
            <w:r w:rsidR="00737ADC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</w:tr>
      <w:tr w:rsidR="008159CD" w:rsidRPr="00737ADC" w14:paraId="06A52474" w14:textId="77777777" w:rsidTr="00737ADC">
        <w:trPr>
          <w:trHeight w:val="246"/>
        </w:trPr>
        <w:tc>
          <w:tcPr>
            <w:tcW w:w="2694" w:type="dxa"/>
          </w:tcPr>
          <w:p w14:paraId="130AB107" w14:textId="77777777" w:rsidR="008159CD" w:rsidRPr="00737ADC" w:rsidRDefault="00737ADC" w:rsidP="003A52BE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1701" w:type="dxa"/>
          </w:tcPr>
          <w:p w14:paraId="1C361CFB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2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01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701" w:type="dxa"/>
          </w:tcPr>
          <w:p w14:paraId="63028EF1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2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07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842" w:type="dxa"/>
          </w:tcPr>
          <w:p w14:paraId="74329182" w14:textId="77777777" w:rsidR="008159CD" w:rsidRPr="00737ADC" w:rsidRDefault="008159CD" w:rsidP="00737ADC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73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638" w:type="dxa"/>
          </w:tcPr>
          <w:p w14:paraId="53051FE3" w14:textId="77777777" w:rsidR="008159CD" w:rsidRPr="00737ADC" w:rsidRDefault="008159CD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82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</w:tr>
      <w:tr w:rsidR="008159CD" w:rsidRPr="00737ADC" w14:paraId="34AE3707" w14:textId="77777777" w:rsidTr="00737ADC">
        <w:trPr>
          <w:trHeight w:val="176"/>
        </w:trPr>
        <w:tc>
          <w:tcPr>
            <w:tcW w:w="2694" w:type="dxa"/>
          </w:tcPr>
          <w:p w14:paraId="08743994" w14:textId="77777777" w:rsidR="008159CD" w:rsidRPr="00737ADC" w:rsidRDefault="008159CD" w:rsidP="003A52BE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244" w:type="dxa"/>
            <w:gridSpan w:val="3"/>
          </w:tcPr>
          <w:p w14:paraId="6DD1A885" w14:textId="77777777" w:rsidR="008159CD" w:rsidRPr="00737ADC" w:rsidRDefault="008159CD" w:rsidP="003A52BE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1638" w:type="dxa"/>
          </w:tcPr>
          <w:p w14:paraId="1F3AFAA4" w14:textId="77777777" w:rsidR="008159CD" w:rsidRPr="00737ADC" w:rsidRDefault="008159CD" w:rsidP="003A52BE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14:paraId="0641F8B2" w14:textId="77777777" w:rsidR="00737ADC" w:rsidRPr="00884EF7" w:rsidRDefault="00737ADC" w:rsidP="00737ADC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uvedené v tiskové zprávě jsou zpracovány bez ohledu na účetní zásady </w:t>
      </w:r>
      <w:proofErr w:type="spellStart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. </w:t>
      </w:r>
      <w:bookmarkStart w:id="0" w:name="_Hlk536731412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</w:t>
      </w:r>
      <w:proofErr w:type="spellStart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, </w:t>
      </w:r>
      <w:bookmarkEnd w:id="0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2BEE863A" w14:textId="77777777" w:rsidR="00C27D1C" w:rsidRPr="00E81C9C" w:rsidRDefault="00C27D1C" w:rsidP="00B53E29">
      <w:pPr>
        <w:rPr>
          <w:rFonts w:ascii="Arial" w:hAnsi="Arial" w:cs="Arial"/>
          <w:sz w:val="22"/>
          <w:lang w:val="cs-CZ"/>
        </w:rPr>
      </w:pPr>
    </w:p>
    <w:p w14:paraId="21689A80" w14:textId="77777777" w:rsidR="0095043E" w:rsidRPr="00E81C9C" w:rsidRDefault="0095043E" w:rsidP="00B53E29">
      <w:pPr>
        <w:rPr>
          <w:rFonts w:ascii="Arial" w:hAnsi="Arial" w:cs="Arial"/>
          <w:sz w:val="22"/>
          <w:lang w:val="cs-CZ"/>
        </w:rPr>
      </w:pPr>
    </w:p>
    <w:p w14:paraId="44FBE955" w14:textId="77777777" w:rsidR="00737ADC" w:rsidRPr="00737ADC" w:rsidRDefault="00737ADC" w:rsidP="00737ADC">
      <w:pPr>
        <w:rPr>
          <w:rFonts w:ascii="Arial" w:hAnsi="Arial" w:cs="Arial"/>
          <w:sz w:val="22"/>
          <w:szCs w:val="22"/>
          <w:lang w:val="cs-CZ"/>
        </w:rPr>
      </w:pPr>
      <w:r w:rsidRPr="00737ADC">
        <w:rPr>
          <w:rFonts w:ascii="Arial" w:hAnsi="Arial" w:cs="Arial"/>
          <w:sz w:val="22"/>
          <w:szCs w:val="22"/>
          <w:lang w:val="cs-CZ"/>
        </w:rPr>
        <w:t xml:space="preserve">Výsledky za celou společnost </w:t>
      </w:r>
      <w:r w:rsidRPr="00696678">
        <w:rPr>
          <w:rFonts w:ascii="Arial" w:hAnsi="Arial" w:cs="Arial"/>
          <w:sz w:val="22"/>
          <w:szCs w:val="22"/>
          <w:lang w:val="cs-CZ"/>
        </w:rPr>
        <w:t>ve 3. kvartálu 2019:</w:t>
      </w:r>
    </w:p>
    <w:p w14:paraId="0F332AA3" w14:textId="77777777" w:rsidR="00514344" w:rsidRPr="00737ADC" w:rsidRDefault="00514344" w:rsidP="00B53E29">
      <w:pPr>
        <w:rPr>
          <w:rFonts w:ascii="Arial" w:hAnsi="Arial" w:cs="Arial"/>
          <w:sz w:val="22"/>
          <w:lang w:val="cs-CZ"/>
        </w:rPr>
      </w:pPr>
    </w:p>
    <w:p w14:paraId="38F77101" w14:textId="0E028541" w:rsidR="00696678" w:rsidRPr="00696678" w:rsidRDefault="00696678" w:rsidP="00696678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Konsolidované příjmy vzrostly o 5 % na 18,3 mld. USD díky nárůstu průměrného denního objemu přepravy na domácím trhu v</w:t>
      </w:r>
      <w:r w:rsidR="002A0DAB">
        <w:rPr>
          <w:rFonts w:ascii="Arial" w:hAnsi="Arial" w:cs="Arial"/>
          <w:bCs/>
          <w:sz w:val="22"/>
          <w:szCs w:val="22"/>
          <w:lang w:val="cs-CZ"/>
        </w:rPr>
        <w:t> </w:t>
      </w:r>
      <w:r w:rsidRPr="00696678">
        <w:rPr>
          <w:rFonts w:ascii="Arial" w:hAnsi="Arial" w:cs="Arial"/>
          <w:bCs/>
          <w:sz w:val="22"/>
          <w:szCs w:val="22"/>
          <w:lang w:val="cs-CZ"/>
        </w:rPr>
        <w:t>USA</w:t>
      </w:r>
      <w:r w:rsidR="002A0DAB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07B6F946" w14:textId="11BED739" w:rsidR="00696678" w:rsidRPr="00696678" w:rsidRDefault="00696678" w:rsidP="00696678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Celkový růst provozního zisku dosáhl více než 23 %, re</w:t>
      </w:r>
      <w:r w:rsidR="002A0DAB">
        <w:rPr>
          <w:rFonts w:ascii="Arial" w:hAnsi="Arial" w:cs="Arial"/>
          <w:bCs/>
          <w:sz w:val="22"/>
          <w:szCs w:val="22"/>
          <w:lang w:val="cs-CZ"/>
        </w:rPr>
        <w:t>sp. 20,1 % díky domácímu trhu v USA a segmentu Mezinárodní přepravy.</w:t>
      </w:r>
    </w:p>
    <w:p w14:paraId="1185B7F7" w14:textId="10857197" w:rsidR="00696678" w:rsidRPr="00696678" w:rsidRDefault="00696678" w:rsidP="002A0DAB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Celková provozní marže byla rozšířena o 170 bazických bodů</w:t>
      </w:r>
      <w:r w:rsidR="002A0DAB" w:rsidRPr="002A0DAB">
        <w:rPr>
          <w:rFonts w:ascii="Arial" w:hAnsi="Arial" w:cs="Arial"/>
          <w:bCs/>
          <w:sz w:val="22"/>
          <w:szCs w:val="22"/>
          <w:lang w:val="cs-CZ"/>
        </w:rPr>
        <w:t>**</w:t>
      </w:r>
      <w:r w:rsidRPr="00696678">
        <w:rPr>
          <w:rFonts w:ascii="Arial" w:hAnsi="Arial" w:cs="Arial"/>
          <w:bCs/>
          <w:sz w:val="22"/>
          <w:szCs w:val="22"/>
          <w:lang w:val="cs-CZ"/>
        </w:rPr>
        <w:t>; upravená pr</w:t>
      </w:r>
      <w:r w:rsidR="002A0DAB">
        <w:rPr>
          <w:rFonts w:ascii="Arial" w:hAnsi="Arial" w:cs="Arial"/>
          <w:bCs/>
          <w:sz w:val="22"/>
          <w:szCs w:val="22"/>
          <w:lang w:val="cs-CZ"/>
        </w:rPr>
        <w:t>ovozní marže o </w:t>
      </w:r>
      <w:r w:rsidRPr="00696678">
        <w:rPr>
          <w:rFonts w:ascii="Arial" w:hAnsi="Arial" w:cs="Arial"/>
          <w:bCs/>
          <w:sz w:val="22"/>
          <w:szCs w:val="22"/>
          <w:lang w:val="cs-CZ"/>
        </w:rPr>
        <w:t>150 bazických bodů.</w:t>
      </w:r>
    </w:p>
    <w:p w14:paraId="51EF47C9" w14:textId="155A9401" w:rsidR="00696678" w:rsidRPr="00696678" w:rsidRDefault="00696678" w:rsidP="00696678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Upravené ročn</w:t>
      </w:r>
      <w:r w:rsidR="002A0DAB">
        <w:rPr>
          <w:rFonts w:ascii="Arial" w:hAnsi="Arial" w:cs="Arial"/>
          <w:bCs/>
          <w:sz w:val="22"/>
          <w:szCs w:val="22"/>
          <w:lang w:val="cs-CZ"/>
        </w:rPr>
        <w:t>í kapitálové výdaje určené na z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lepšení sítě činí přibližně 4,5 mld. USD. </w:t>
      </w:r>
    </w:p>
    <w:p w14:paraId="63A1C7AE" w14:textId="413AB593" w:rsidR="00696678" w:rsidRPr="00696678" w:rsidRDefault="00696678" w:rsidP="00696678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Objem hotovosti od začátku roku dosáhl objemu 5,7 mld</w:t>
      </w:r>
      <w:r w:rsidR="00255BCA">
        <w:rPr>
          <w:rFonts w:ascii="Arial" w:hAnsi="Arial" w:cs="Arial"/>
          <w:bCs/>
          <w:sz w:val="22"/>
          <w:szCs w:val="22"/>
          <w:lang w:val="cs-CZ"/>
        </w:rPr>
        <w:t>.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 USD a upravená výše volné</w:t>
      </w:r>
      <w:r w:rsidR="000853DF">
        <w:rPr>
          <w:rFonts w:ascii="Arial" w:hAnsi="Arial" w:cs="Arial"/>
          <w:bCs/>
          <w:sz w:val="22"/>
          <w:szCs w:val="22"/>
          <w:lang w:val="cs-CZ"/>
        </w:rPr>
        <w:t>ho peněžního toku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 vzrostla na 3,3 mld</w:t>
      </w:r>
      <w:r w:rsidR="000853DF">
        <w:rPr>
          <w:rFonts w:ascii="Arial" w:hAnsi="Arial" w:cs="Arial"/>
          <w:bCs/>
          <w:sz w:val="22"/>
          <w:szCs w:val="22"/>
          <w:lang w:val="cs-CZ"/>
        </w:rPr>
        <w:t>.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 USD.</w:t>
      </w:r>
    </w:p>
    <w:p w14:paraId="507639FF" w14:textId="2B643219" w:rsidR="00696678" w:rsidRPr="00696678" w:rsidRDefault="00696678" w:rsidP="00696678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Dividenda na akcii</w:t>
      </w:r>
      <w:r w:rsidR="000853D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vzrostla o 5,5 % a společnost </w:t>
      </w:r>
      <w:r w:rsidR="000853DF" w:rsidRPr="00696678">
        <w:rPr>
          <w:rFonts w:ascii="Arial" w:hAnsi="Arial" w:cs="Arial"/>
          <w:bCs/>
          <w:sz w:val="22"/>
          <w:szCs w:val="22"/>
          <w:lang w:val="cs-CZ"/>
        </w:rPr>
        <w:t xml:space="preserve">od začátku roku </w:t>
      </w:r>
      <w:r w:rsidRPr="00696678">
        <w:rPr>
          <w:rFonts w:ascii="Arial" w:hAnsi="Arial" w:cs="Arial"/>
          <w:bCs/>
          <w:sz w:val="22"/>
          <w:szCs w:val="22"/>
          <w:lang w:val="cs-CZ"/>
        </w:rPr>
        <w:t>odkoupila 7 milionu akcií za přibližně 753 milionů dolarů.</w:t>
      </w:r>
    </w:p>
    <w:p w14:paraId="629BD908" w14:textId="77777777" w:rsidR="004A06F1" w:rsidRDefault="004A06F1" w:rsidP="00B53E29">
      <w:pPr>
        <w:rPr>
          <w:rFonts w:ascii="Arial" w:hAnsi="Arial" w:cs="Arial"/>
          <w:sz w:val="22"/>
          <w:lang w:val="cs-CZ"/>
        </w:rPr>
      </w:pPr>
    </w:p>
    <w:p w14:paraId="3DE2A553" w14:textId="77777777" w:rsidR="000853DF" w:rsidRPr="00696678" w:rsidRDefault="000853DF" w:rsidP="00B53E29">
      <w:pPr>
        <w:rPr>
          <w:rFonts w:ascii="Arial" w:hAnsi="Arial" w:cs="Arial"/>
          <w:sz w:val="22"/>
          <w:lang w:val="cs-CZ"/>
        </w:rPr>
      </w:pPr>
    </w:p>
    <w:p w14:paraId="746E36B2" w14:textId="77777777" w:rsidR="00737ADC" w:rsidRPr="00737ADC" w:rsidRDefault="00737ADC" w:rsidP="00670138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737ADC">
        <w:rPr>
          <w:rFonts w:ascii="Arial" w:hAnsi="Arial" w:cs="Arial"/>
          <w:b/>
          <w:sz w:val="22"/>
          <w:szCs w:val="22"/>
          <w:u w:val="single"/>
          <w:lang w:val="cs-CZ"/>
        </w:rPr>
        <w:t>Přeprava na domácím trhu v USA</w:t>
      </w:r>
    </w:p>
    <w:p w14:paraId="433534D6" w14:textId="77777777" w:rsidR="00737ADC" w:rsidRDefault="00737ADC" w:rsidP="00670138">
      <w:pPr>
        <w:rPr>
          <w:rFonts w:ascii="Arial" w:hAnsi="Arial" w:cs="Arial"/>
          <w:b/>
          <w:sz w:val="22"/>
          <w:szCs w:val="22"/>
          <w:lang w:val="cs-CZ"/>
        </w:rPr>
      </w:pPr>
    </w:p>
    <w:p w14:paraId="6B38DE6A" w14:textId="2C007690" w:rsidR="00696678" w:rsidRPr="00696678" w:rsidRDefault="00696678" w:rsidP="00696678">
      <w:pPr>
        <w:rPr>
          <w:rFonts w:ascii="Arial" w:hAnsi="Arial" w:cs="Arial"/>
          <w:sz w:val="22"/>
          <w:lang w:val="cs-CZ"/>
        </w:rPr>
      </w:pPr>
      <w:r w:rsidRPr="00696678">
        <w:rPr>
          <w:rFonts w:ascii="Arial" w:hAnsi="Arial" w:cs="Arial"/>
          <w:sz w:val="22"/>
          <w:lang w:val="cs-CZ"/>
        </w:rPr>
        <w:t>Na domácím trhu v USA vzrostl</w:t>
      </w:r>
      <w:r w:rsidR="008F53EE">
        <w:rPr>
          <w:rFonts w:ascii="Arial" w:hAnsi="Arial" w:cs="Arial"/>
          <w:sz w:val="22"/>
          <w:lang w:val="cs-CZ"/>
        </w:rPr>
        <w:t xml:space="preserve"> celkový</w:t>
      </w:r>
      <w:r w:rsidRPr="00696678">
        <w:rPr>
          <w:rFonts w:ascii="Arial" w:hAnsi="Arial" w:cs="Arial"/>
          <w:sz w:val="22"/>
          <w:lang w:val="cs-CZ"/>
        </w:rPr>
        <w:t xml:space="preserve"> objem přepravy ve všech službách o více než 9 %. Objem letecké přepravy s doručením do druhého dne (</w:t>
      </w:r>
      <w:proofErr w:type="spellStart"/>
      <w:r w:rsidRPr="00696678">
        <w:rPr>
          <w:rFonts w:ascii="Arial" w:hAnsi="Arial" w:cs="Arial"/>
          <w:sz w:val="22"/>
          <w:lang w:val="cs-CZ"/>
        </w:rPr>
        <w:t>Next</w:t>
      </w:r>
      <w:proofErr w:type="spellEnd"/>
      <w:r w:rsidRPr="00696678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lang w:val="cs-CZ"/>
        </w:rPr>
        <w:t>Day</w:t>
      </w:r>
      <w:proofErr w:type="spellEnd"/>
      <w:r w:rsidRPr="00696678">
        <w:rPr>
          <w:rFonts w:ascii="Arial" w:hAnsi="Arial" w:cs="Arial"/>
          <w:sz w:val="22"/>
          <w:lang w:val="cs-CZ"/>
        </w:rPr>
        <w:t xml:space="preserve"> Air) vzrostl o </w:t>
      </w:r>
      <w:r w:rsidR="008F53EE">
        <w:rPr>
          <w:rFonts w:ascii="Arial" w:hAnsi="Arial" w:cs="Arial"/>
          <w:sz w:val="22"/>
          <w:lang w:val="cs-CZ"/>
        </w:rPr>
        <w:t>téměř</w:t>
      </w:r>
      <w:r w:rsidRPr="00696678">
        <w:rPr>
          <w:rFonts w:ascii="Arial" w:hAnsi="Arial" w:cs="Arial"/>
          <w:sz w:val="22"/>
          <w:lang w:val="cs-CZ"/>
        </w:rPr>
        <w:t xml:space="preserve"> 24 %, letecká přeprava </w:t>
      </w:r>
      <w:proofErr w:type="spellStart"/>
      <w:r w:rsidR="008F53EE">
        <w:rPr>
          <w:rFonts w:ascii="Arial" w:hAnsi="Arial" w:cs="Arial"/>
          <w:sz w:val="22"/>
          <w:lang w:val="cs-CZ"/>
        </w:rPr>
        <w:t>Deferred</w:t>
      </w:r>
      <w:proofErr w:type="spellEnd"/>
      <w:r w:rsidR="008F53EE">
        <w:rPr>
          <w:rFonts w:ascii="Arial" w:hAnsi="Arial" w:cs="Arial"/>
          <w:sz w:val="22"/>
          <w:lang w:val="cs-CZ"/>
        </w:rPr>
        <w:t xml:space="preserve"> Air vzrostla o více než 17 % a</w:t>
      </w:r>
      <w:r w:rsidRPr="00696678">
        <w:rPr>
          <w:rFonts w:ascii="Arial" w:hAnsi="Arial" w:cs="Arial"/>
          <w:sz w:val="22"/>
          <w:lang w:val="cs-CZ"/>
        </w:rPr>
        <w:t xml:space="preserve"> o</w:t>
      </w:r>
      <w:r w:rsidR="008F53EE">
        <w:rPr>
          <w:rFonts w:ascii="Arial" w:hAnsi="Arial" w:cs="Arial"/>
          <w:sz w:val="22"/>
          <w:lang w:val="cs-CZ"/>
        </w:rPr>
        <w:t>bjem pozemní přepravy vzrostl o </w:t>
      </w:r>
      <w:r w:rsidRPr="00696678">
        <w:rPr>
          <w:rFonts w:ascii="Arial" w:hAnsi="Arial" w:cs="Arial"/>
          <w:sz w:val="22"/>
          <w:lang w:val="cs-CZ"/>
        </w:rPr>
        <w:t>téměř 7 %. Nárůst proběhl jak u velkoobchodní (B2B), tak maloobcho</w:t>
      </w:r>
      <w:r w:rsidR="008F53EE">
        <w:rPr>
          <w:rFonts w:ascii="Arial" w:hAnsi="Arial" w:cs="Arial"/>
          <w:sz w:val="22"/>
          <w:lang w:val="cs-CZ"/>
        </w:rPr>
        <w:t>dní (B2C) přepravy, především v </w:t>
      </w:r>
      <w:r w:rsidRPr="00696678">
        <w:rPr>
          <w:rFonts w:ascii="Arial" w:hAnsi="Arial" w:cs="Arial"/>
          <w:sz w:val="22"/>
          <w:lang w:val="cs-CZ"/>
        </w:rPr>
        <w:t xml:space="preserve">sektorech </w:t>
      </w:r>
      <w:r w:rsidR="008F53EE">
        <w:rPr>
          <w:rFonts w:ascii="Arial" w:hAnsi="Arial" w:cs="Arial"/>
          <w:sz w:val="22"/>
          <w:lang w:val="cs-CZ"/>
        </w:rPr>
        <w:t>maloobchodu</w:t>
      </w:r>
      <w:r w:rsidRPr="00696678">
        <w:rPr>
          <w:rFonts w:ascii="Arial" w:hAnsi="Arial" w:cs="Arial"/>
          <w:sz w:val="22"/>
          <w:lang w:val="cs-CZ"/>
        </w:rPr>
        <w:t>, zdravotnic</w:t>
      </w:r>
      <w:r w:rsidR="008F53EE">
        <w:rPr>
          <w:rFonts w:ascii="Arial" w:hAnsi="Arial" w:cs="Arial"/>
          <w:sz w:val="22"/>
          <w:lang w:val="cs-CZ"/>
        </w:rPr>
        <w:t xml:space="preserve">tví </w:t>
      </w:r>
      <w:r w:rsidRPr="00696678">
        <w:rPr>
          <w:rFonts w:ascii="Arial" w:hAnsi="Arial" w:cs="Arial"/>
          <w:sz w:val="22"/>
          <w:lang w:val="cs-CZ"/>
        </w:rPr>
        <w:t xml:space="preserve">a </w:t>
      </w:r>
      <w:r w:rsidR="008F53EE">
        <w:rPr>
          <w:rFonts w:ascii="Arial" w:hAnsi="Arial" w:cs="Arial"/>
          <w:sz w:val="22"/>
          <w:lang w:val="cs-CZ"/>
        </w:rPr>
        <w:t>moderních technologií</w:t>
      </w:r>
      <w:r w:rsidRPr="00696678">
        <w:rPr>
          <w:rFonts w:ascii="Arial" w:hAnsi="Arial" w:cs="Arial"/>
          <w:sz w:val="22"/>
          <w:lang w:val="cs-CZ"/>
        </w:rPr>
        <w:t>.</w:t>
      </w:r>
    </w:p>
    <w:p w14:paraId="7FB97F31" w14:textId="77777777" w:rsidR="00696678" w:rsidRPr="00696678" w:rsidRDefault="00696678" w:rsidP="00696678">
      <w:pPr>
        <w:rPr>
          <w:rFonts w:ascii="Arial" w:hAnsi="Arial" w:cs="Arial"/>
          <w:sz w:val="22"/>
          <w:lang w:val="cs-CZ"/>
        </w:rPr>
      </w:pPr>
    </w:p>
    <w:p w14:paraId="16D00C53" w14:textId="1C37F011" w:rsidR="00696678" w:rsidRDefault="00696678" w:rsidP="00696678">
      <w:pPr>
        <w:rPr>
          <w:rFonts w:ascii="Arial" w:hAnsi="Arial" w:cs="Arial"/>
          <w:sz w:val="22"/>
          <w:lang w:val="cs-CZ"/>
        </w:rPr>
      </w:pPr>
      <w:r w:rsidRPr="00696678">
        <w:rPr>
          <w:rFonts w:ascii="Arial" w:hAnsi="Arial" w:cs="Arial"/>
          <w:sz w:val="22"/>
          <w:lang w:val="cs-CZ"/>
        </w:rPr>
        <w:t xml:space="preserve">„Investice do nových </w:t>
      </w:r>
      <w:r w:rsidR="00D17EDB">
        <w:rPr>
          <w:rFonts w:ascii="Arial" w:hAnsi="Arial" w:cs="Arial"/>
          <w:sz w:val="22"/>
          <w:lang w:val="cs-CZ"/>
        </w:rPr>
        <w:t>logistických center</w:t>
      </w:r>
      <w:r w:rsidRPr="00696678">
        <w:rPr>
          <w:rFonts w:ascii="Arial" w:hAnsi="Arial" w:cs="Arial"/>
          <w:sz w:val="22"/>
          <w:lang w:val="cs-CZ"/>
        </w:rPr>
        <w:t xml:space="preserve"> a automatizace naší sítě ruku v ruce s </w:t>
      </w:r>
      <w:r w:rsidR="00D17EDB">
        <w:rPr>
          <w:rFonts w:ascii="Arial" w:hAnsi="Arial" w:cs="Arial"/>
          <w:sz w:val="22"/>
          <w:lang w:val="cs-CZ"/>
        </w:rPr>
        <w:t>důslednou</w:t>
      </w:r>
      <w:r w:rsidRPr="00696678">
        <w:rPr>
          <w:rFonts w:ascii="Arial" w:hAnsi="Arial" w:cs="Arial"/>
          <w:sz w:val="22"/>
          <w:lang w:val="cs-CZ"/>
        </w:rPr>
        <w:t xml:space="preserve"> realizací firemní strategie přinášejí příznivé výsledky vč</w:t>
      </w:r>
      <w:r w:rsidR="00D17EDB">
        <w:rPr>
          <w:rFonts w:ascii="Arial" w:hAnsi="Arial" w:cs="Arial"/>
          <w:sz w:val="22"/>
          <w:lang w:val="cs-CZ"/>
        </w:rPr>
        <w:t>etně pozitivního poměru zisku k </w:t>
      </w:r>
      <w:r w:rsidRPr="00696678">
        <w:rPr>
          <w:rFonts w:ascii="Arial" w:hAnsi="Arial" w:cs="Arial"/>
          <w:sz w:val="22"/>
          <w:lang w:val="cs-CZ"/>
        </w:rPr>
        <w:t xml:space="preserve">příjmům,“ uvedl </w:t>
      </w:r>
      <w:proofErr w:type="spellStart"/>
      <w:r w:rsidRPr="00696678">
        <w:rPr>
          <w:rFonts w:ascii="Arial" w:hAnsi="Arial" w:cs="Arial"/>
          <w:sz w:val="22"/>
          <w:lang w:val="cs-CZ"/>
        </w:rPr>
        <w:t>Abney</w:t>
      </w:r>
      <w:proofErr w:type="spellEnd"/>
      <w:r w:rsidRPr="00696678">
        <w:rPr>
          <w:rFonts w:ascii="Arial" w:hAnsi="Arial" w:cs="Arial"/>
          <w:sz w:val="22"/>
          <w:lang w:val="cs-CZ"/>
        </w:rPr>
        <w:t>. „Pozorujeme význa</w:t>
      </w:r>
      <w:r w:rsidR="00D17EDB">
        <w:rPr>
          <w:rFonts w:ascii="Arial" w:hAnsi="Arial" w:cs="Arial"/>
          <w:sz w:val="22"/>
          <w:lang w:val="cs-CZ"/>
        </w:rPr>
        <w:t>mný bezprostřední pozitivní vliv na výši</w:t>
      </w:r>
      <w:r w:rsidRPr="00696678">
        <w:rPr>
          <w:rFonts w:ascii="Arial" w:hAnsi="Arial" w:cs="Arial"/>
          <w:sz w:val="22"/>
          <w:lang w:val="cs-CZ"/>
        </w:rPr>
        <w:t xml:space="preserve"> příjm</w:t>
      </w:r>
      <w:r w:rsidR="00D17EDB">
        <w:rPr>
          <w:rFonts w:ascii="Arial" w:hAnsi="Arial" w:cs="Arial"/>
          <w:sz w:val="22"/>
          <w:lang w:val="cs-CZ"/>
        </w:rPr>
        <w:t>ů i </w:t>
      </w:r>
      <w:r w:rsidR="00CA5047">
        <w:rPr>
          <w:rFonts w:ascii="Arial" w:hAnsi="Arial" w:cs="Arial"/>
          <w:sz w:val="22"/>
          <w:lang w:val="cs-CZ"/>
        </w:rPr>
        <w:t>ziskovost na domácím trhu v </w:t>
      </w:r>
      <w:r w:rsidRPr="00696678">
        <w:rPr>
          <w:rFonts w:ascii="Arial" w:hAnsi="Arial" w:cs="Arial"/>
          <w:sz w:val="22"/>
          <w:lang w:val="cs-CZ"/>
        </w:rPr>
        <w:t>USA a tento trend pokračuje i do budoucna.“</w:t>
      </w:r>
    </w:p>
    <w:p w14:paraId="4675998E" w14:textId="77777777" w:rsidR="00696678" w:rsidRPr="00696678" w:rsidRDefault="00696678" w:rsidP="00696678">
      <w:pPr>
        <w:rPr>
          <w:rFonts w:ascii="Arial" w:hAnsi="Arial" w:cs="Arial"/>
          <w:sz w:val="22"/>
          <w:lang w:val="cs-CZ"/>
        </w:rPr>
      </w:pPr>
    </w:p>
    <w:p w14:paraId="5099BD74" w14:textId="77777777" w:rsidR="00670138" w:rsidRPr="00737ADC" w:rsidRDefault="00670138" w:rsidP="00AA6C14">
      <w:pPr>
        <w:ind w:firstLine="720"/>
        <w:rPr>
          <w:rFonts w:ascii="Arial" w:hAnsi="Arial" w:cs="Arial"/>
          <w:sz w:val="22"/>
          <w:lang w:val="cs-CZ"/>
        </w:rPr>
      </w:pPr>
    </w:p>
    <w:tbl>
      <w:tblPr>
        <w:tblStyle w:val="Mkatabulky"/>
        <w:tblW w:w="919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985"/>
        <w:gridCol w:w="1842"/>
        <w:gridCol w:w="1911"/>
        <w:gridCol w:w="1428"/>
      </w:tblGrid>
      <w:tr w:rsidR="00AF39AB" w:rsidRPr="00737ADC" w14:paraId="26B06EBF" w14:textId="77777777" w:rsidTr="00737ADC">
        <w:trPr>
          <w:trHeight w:val="476"/>
        </w:trPr>
        <w:tc>
          <w:tcPr>
            <w:tcW w:w="2032" w:type="dxa"/>
          </w:tcPr>
          <w:p w14:paraId="3505E7E7" w14:textId="77777777" w:rsidR="00AF39AB" w:rsidRPr="00737ADC" w:rsidRDefault="00AF39AB" w:rsidP="0082624B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3E9E5DD0" w14:textId="77777777" w:rsidR="00AF39AB" w:rsidRPr="00737ADC" w:rsidRDefault="00AF39AB" w:rsidP="0082624B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985" w:type="dxa"/>
          </w:tcPr>
          <w:p w14:paraId="5C81C6AF" w14:textId="77777777" w:rsidR="00AF39AB" w:rsidRPr="00737ADC" w:rsidRDefault="00AF39A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9B00468" w14:textId="77777777" w:rsidR="00AF39AB" w:rsidRPr="00737ADC" w:rsidRDefault="00FE3BBD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2019</w:t>
            </w:r>
          </w:p>
        </w:tc>
        <w:tc>
          <w:tcPr>
            <w:tcW w:w="1842" w:type="dxa"/>
          </w:tcPr>
          <w:p w14:paraId="70A60C01" w14:textId="77777777" w:rsidR="00AF39AB" w:rsidRPr="00737ADC" w:rsidRDefault="00737ADC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2D2776E1" w14:textId="77777777" w:rsidR="00AF39AB" w:rsidRPr="00737ADC" w:rsidRDefault="00FE3BBD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2019</w:t>
            </w:r>
          </w:p>
        </w:tc>
        <w:tc>
          <w:tcPr>
            <w:tcW w:w="1911" w:type="dxa"/>
          </w:tcPr>
          <w:p w14:paraId="5E085A99" w14:textId="77777777" w:rsidR="00AF39AB" w:rsidRPr="00737ADC" w:rsidRDefault="00AF39A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18876A7" w14:textId="77777777" w:rsidR="00AF39AB" w:rsidRPr="00737ADC" w:rsidRDefault="00FE3BBD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2018</w:t>
            </w:r>
          </w:p>
        </w:tc>
        <w:tc>
          <w:tcPr>
            <w:tcW w:w="1428" w:type="dxa"/>
          </w:tcPr>
          <w:p w14:paraId="6B3C9AB0" w14:textId="77777777" w:rsidR="00AF39AB" w:rsidRPr="00737ADC" w:rsidRDefault="00737ADC" w:rsidP="00AF39A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0F0750B8" w14:textId="77777777" w:rsidR="00AF39AB" w:rsidRPr="00737ADC" w:rsidRDefault="00FE3BBD" w:rsidP="00AF39A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737AD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2018</w:t>
            </w:r>
          </w:p>
        </w:tc>
      </w:tr>
      <w:tr w:rsidR="00AF39AB" w:rsidRPr="00737ADC" w14:paraId="2634C89C" w14:textId="77777777" w:rsidTr="00737ADC">
        <w:trPr>
          <w:trHeight w:val="227"/>
        </w:trPr>
        <w:tc>
          <w:tcPr>
            <w:tcW w:w="2032" w:type="dxa"/>
          </w:tcPr>
          <w:p w14:paraId="59956F4D" w14:textId="77777777" w:rsidR="00AF39AB" w:rsidRPr="00737ADC" w:rsidRDefault="00737ADC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85" w:type="dxa"/>
          </w:tcPr>
          <w:p w14:paraId="54DBB59D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455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842" w:type="dxa"/>
          </w:tcPr>
          <w:p w14:paraId="0BD31D4F" w14:textId="77777777" w:rsidR="00AF39AB" w:rsidRPr="00737ADC" w:rsidRDefault="00AF39A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911" w:type="dxa"/>
          </w:tcPr>
          <w:p w14:paraId="3D1807F0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10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437</w:t>
            </w:r>
            <w:r w:rsidR="00AF39AB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428" w:type="dxa"/>
          </w:tcPr>
          <w:p w14:paraId="5DF54A6B" w14:textId="77777777" w:rsidR="00AF39AB" w:rsidRPr="00737ADC" w:rsidRDefault="00AF39A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AF39AB" w:rsidRPr="00737ADC" w14:paraId="05059E5A" w14:textId="77777777" w:rsidTr="00737ADC">
        <w:trPr>
          <w:trHeight w:val="227"/>
        </w:trPr>
        <w:tc>
          <w:tcPr>
            <w:tcW w:w="2032" w:type="dxa"/>
          </w:tcPr>
          <w:p w14:paraId="5200C510" w14:textId="77777777" w:rsidR="00AF39AB" w:rsidRPr="00737ADC" w:rsidRDefault="00737ADC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985" w:type="dxa"/>
          </w:tcPr>
          <w:p w14:paraId="0294E017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216</w:t>
            </w:r>
            <w:r w:rsidR="00AF39AB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842" w:type="dxa"/>
          </w:tcPr>
          <w:p w14:paraId="24658DB3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242</w:t>
            </w:r>
            <w:r w:rsidR="00AF39AB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911" w:type="dxa"/>
          </w:tcPr>
          <w:p w14:paraId="66F9E079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949</w:t>
            </w:r>
            <w:r w:rsidR="00AF39AB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428" w:type="dxa"/>
          </w:tcPr>
          <w:p w14:paraId="1B2567A3" w14:textId="77777777" w:rsidR="00AF39AB" w:rsidRPr="00737ADC" w:rsidRDefault="00885C20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37ADC">
              <w:rPr>
                <w:rFonts w:ascii="Arial" w:hAnsi="Arial" w:cs="Arial"/>
                <w:sz w:val="20"/>
                <w:szCs w:val="22"/>
                <w:lang w:val="cs-CZ"/>
              </w:rPr>
              <w:t>988</w:t>
            </w:r>
            <w:r w:rsidR="00804E7D" w:rsidRPr="00737AD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737AD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AF39AB" w:rsidRPr="00737ADC" w14:paraId="4E210C15" w14:textId="77777777" w:rsidTr="00737ADC">
        <w:trPr>
          <w:trHeight w:val="142"/>
        </w:trPr>
        <w:tc>
          <w:tcPr>
            <w:tcW w:w="2032" w:type="dxa"/>
          </w:tcPr>
          <w:p w14:paraId="439896C5" w14:textId="77777777" w:rsidR="00AF39AB" w:rsidRPr="00737ADC" w:rsidRDefault="00AF39AB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5738" w:type="dxa"/>
            <w:gridSpan w:val="3"/>
          </w:tcPr>
          <w:p w14:paraId="4FDCE69F" w14:textId="77777777" w:rsidR="00AF39AB" w:rsidRPr="00737ADC" w:rsidRDefault="00AF39AB" w:rsidP="00971CED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428" w:type="dxa"/>
          </w:tcPr>
          <w:p w14:paraId="6888408B" w14:textId="77777777" w:rsidR="00AF39AB" w:rsidRPr="00737ADC" w:rsidRDefault="00AF39AB" w:rsidP="00971CED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</w:tbl>
    <w:p w14:paraId="64D95792" w14:textId="77777777" w:rsidR="009243FA" w:rsidRDefault="009243FA" w:rsidP="000E624D">
      <w:pPr>
        <w:rPr>
          <w:rFonts w:ascii="Arial" w:hAnsi="Arial" w:cs="Arial"/>
          <w:sz w:val="22"/>
        </w:rPr>
      </w:pPr>
    </w:p>
    <w:p w14:paraId="27984159" w14:textId="30C0A0E8" w:rsidR="00696678" w:rsidRPr="00696678" w:rsidRDefault="00696678" w:rsidP="00696678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Nárůst příjmů o více než 1 mld</w:t>
      </w:r>
      <w:r w:rsidR="00345C42">
        <w:rPr>
          <w:rFonts w:ascii="Arial" w:hAnsi="Arial" w:cs="Arial"/>
          <w:bCs/>
          <w:sz w:val="22"/>
          <w:szCs w:val="22"/>
          <w:lang w:val="cs-CZ"/>
        </w:rPr>
        <w:t>.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 USD, což </w:t>
      </w:r>
      <w:r w:rsidR="00345C42">
        <w:rPr>
          <w:rFonts w:ascii="Arial" w:hAnsi="Arial" w:cs="Arial"/>
          <w:bCs/>
          <w:sz w:val="22"/>
          <w:szCs w:val="22"/>
          <w:lang w:val="cs-CZ"/>
        </w:rPr>
        <w:t>představuje téměř 10</w:t>
      </w:r>
      <w:r w:rsidR="00345C42" w:rsidRPr="00696678">
        <w:rPr>
          <w:rFonts w:ascii="Arial" w:hAnsi="Arial" w:cs="Arial"/>
          <w:bCs/>
          <w:sz w:val="22"/>
          <w:szCs w:val="22"/>
          <w:lang w:val="cs-CZ"/>
        </w:rPr>
        <w:t>%</w:t>
      </w:r>
      <w:r w:rsidR="00345C42">
        <w:rPr>
          <w:rFonts w:ascii="Arial" w:hAnsi="Arial" w:cs="Arial"/>
          <w:bCs/>
          <w:sz w:val="22"/>
          <w:szCs w:val="22"/>
          <w:lang w:val="cs-CZ"/>
        </w:rPr>
        <w:t xml:space="preserve"> nárůst</w:t>
      </w:r>
      <w:r w:rsidRPr="00696678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170FAE3A" w14:textId="3FF1301F" w:rsidR="00696678" w:rsidRPr="00696678" w:rsidRDefault="00696678" w:rsidP="00696678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Pr</w:t>
      </w:r>
      <w:r w:rsidR="006E7C40">
        <w:rPr>
          <w:rFonts w:ascii="Arial" w:hAnsi="Arial" w:cs="Arial"/>
          <w:bCs/>
          <w:sz w:val="22"/>
          <w:szCs w:val="22"/>
          <w:lang w:val="cs-CZ"/>
        </w:rPr>
        <w:t xml:space="preserve">ovozní zisk se zvýšil o 28,1 % a </w:t>
      </w:r>
      <w:r w:rsidRPr="00696678">
        <w:rPr>
          <w:rFonts w:ascii="Arial" w:hAnsi="Arial" w:cs="Arial"/>
          <w:bCs/>
          <w:sz w:val="22"/>
          <w:szCs w:val="22"/>
          <w:lang w:val="cs-CZ"/>
        </w:rPr>
        <w:t>téměř o 26 % na upraveném základu.</w:t>
      </w:r>
    </w:p>
    <w:p w14:paraId="4F9BB811" w14:textId="77A25194" w:rsidR="00696678" w:rsidRPr="00696678" w:rsidRDefault="00696678" w:rsidP="00696678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Provozní marže dosáhla výše 10,6 %, </w:t>
      </w:r>
      <w:r w:rsidR="006E7C40">
        <w:rPr>
          <w:rFonts w:ascii="Arial" w:hAnsi="Arial" w:cs="Arial"/>
          <w:bCs/>
          <w:sz w:val="22"/>
          <w:szCs w:val="22"/>
          <w:lang w:val="cs-CZ"/>
        </w:rPr>
        <w:t>u</w:t>
      </w:r>
      <w:r w:rsidRPr="00696678">
        <w:rPr>
          <w:rFonts w:ascii="Arial" w:hAnsi="Arial" w:cs="Arial"/>
          <w:bCs/>
          <w:sz w:val="22"/>
          <w:szCs w:val="22"/>
          <w:lang w:val="cs-CZ"/>
        </w:rPr>
        <w:t>pravená provozní marže se zvýšila o 130 bazických bodů</w:t>
      </w:r>
      <w:r w:rsidR="006E7C40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AED39B7" w14:textId="413869D0" w:rsidR="00696678" w:rsidRPr="00255BCA" w:rsidRDefault="00696678" w:rsidP="00255BCA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696678">
        <w:rPr>
          <w:rFonts w:ascii="Arial" w:hAnsi="Arial" w:cs="Arial"/>
          <w:bCs/>
          <w:sz w:val="22"/>
          <w:szCs w:val="22"/>
          <w:lang w:val="cs-CZ"/>
        </w:rPr>
        <w:t>Jednotkové n</w:t>
      </w:r>
      <w:r w:rsidR="006E7C40">
        <w:rPr>
          <w:rFonts w:ascii="Arial" w:hAnsi="Arial" w:cs="Arial"/>
          <w:bCs/>
          <w:sz w:val="22"/>
          <w:szCs w:val="22"/>
          <w:lang w:val="cs-CZ"/>
        </w:rPr>
        <w:t>áklady byly sníženy o 2,7 %, resp.</w:t>
      </w:r>
      <w:r w:rsidRPr="00696678">
        <w:rPr>
          <w:rFonts w:ascii="Arial" w:hAnsi="Arial" w:cs="Arial"/>
          <w:bCs/>
          <w:sz w:val="22"/>
          <w:szCs w:val="22"/>
          <w:lang w:val="cs-CZ"/>
        </w:rPr>
        <w:t xml:space="preserve"> o 2,5 % na upraveném základě, a přispěly tak </w:t>
      </w:r>
      <w:r w:rsidRPr="00255BCA">
        <w:rPr>
          <w:rFonts w:ascii="Arial" w:hAnsi="Arial" w:cs="Arial"/>
          <w:bCs/>
          <w:sz w:val="22"/>
          <w:szCs w:val="22"/>
          <w:lang w:val="cs-CZ"/>
        </w:rPr>
        <w:t>k</w:t>
      </w:r>
      <w:r w:rsidR="006E7C40" w:rsidRPr="00255BCA">
        <w:rPr>
          <w:rFonts w:ascii="Arial" w:hAnsi="Arial" w:cs="Arial"/>
          <w:bCs/>
          <w:sz w:val="22"/>
          <w:szCs w:val="22"/>
          <w:lang w:val="cs-CZ"/>
        </w:rPr>
        <w:t> pozitivnímu poměru provozního zisku k příjmům</w:t>
      </w:r>
      <w:r w:rsidRPr="006E7C40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13643CE4" w14:textId="77777777" w:rsidR="00DA3680" w:rsidRPr="00EE4442" w:rsidRDefault="00DA3680" w:rsidP="009140E6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780C1C3" w14:textId="77777777" w:rsidR="00696678" w:rsidRPr="00EE4442" w:rsidRDefault="00696678" w:rsidP="009140E6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7195FB87" w14:textId="77777777" w:rsidR="00302BCF" w:rsidRPr="00302BCF" w:rsidRDefault="00302BCF" w:rsidP="00302BCF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302BCF">
        <w:rPr>
          <w:rFonts w:ascii="Arial" w:hAnsi="Arial" w:cs="Arial"/>
          <w:b/>
          <w:sz w:val="22"/>
          <w:szCs w:val="22"/>
          <w:u w:val="single"/>
          <w:lang w:val="cs-CZ"/>
        </w:rPr>
        <w:lastRenderedPageBreak/>
        <w:t>Mezinárodní přeprava</w:t>
      </w:r>
    </w:p>
    <w:p w14:paraId="21DF51E5" w14:textId="77777777" w:rsidR="00302BCF" w:rsidRPr="00E632DE" w:rsidRDefault="00302BCF" w:rsidP="009140E6">
      <w:pPr>
        <w:rPr>
          <w:rFonts w:ascii="Arial" w:hAnsi="Arial" w:cs="Arial"/>
          <w:bCs/>
          <w:sz w:val="22"/>
          <w:szCs w:val="22"/>
          <w:u w:val="single"/>
          <w:lang w:val="cs-CZ"/>
        </w:rPr>
      </w:pPr>
    </w:p>
    <w:p w14:paraId="0F558EBE" w14:textId="45FCF3AB" w:rsidR="00E632DE" w:rsidRDefault="00E632DE" w:rsidP="009140E6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Segment </w:t>
      </w:r>
      <w:r w:rsidRPr="00E632DE">
        <w:rPr>
          <w:rFonts w:ascii="Arial" w:hAnsi="Arial" w:cs="Arial"/>
          <w:bCs/>
          <w:sz w:val="22"/>
          <w:szCs w:val="22"/>
          <w:lang w:val="cs-CZ"/>
        </w:rPr>
        <w:t xml:space="preserve">Mezinárodní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přepravy </w:t>
      </w:r>
      <w:r w:rsidRPr="00E632DE">
        <w:rPr>
          <w:rFonts w:ascii="Arial" w:hAnsi="Arial" w:cs="Arial"/>
          <w:bCs/>
          <w:sz w:val="22"/>
          <w:szCs w:val="22"/>
          <w:lang w:val="cs-CZ"/>
        </w:rPr>
        <w:t xml:space="preserve">vykázal silný provozní zisk </w:t>
      </w:r>
      <w:r w:rsidR="008C4DD3">
        <w:rPr>
          <w:rFonts w:ascii="Arial" w:hAnsi="Arial" w:cs="Arial"/>
          <w:bCs/>
          <w:sz w:val="22"/>
          <w:szCs w:val="22"/>
          <w:lang w:val="cs-CZ"/>
        </w:rPr>
        <w:t>a rozšířil provozní marži. Za výsledky</w:t>
      </w:r>
      <w:r w:rsidRPr="00E632DE">
        <w:rPr>
          <w:rFonts w:ascii="Arial" w:hAnsi="Arial" w:cs="Arial"/>
          <w:bCs/>
          <w:sz w:val="22"/>
          <w:szCs w:val="22"/>
          <w:lang w:val="cs-CZ"/>
        </w:rPr>
        <w:t xml:space="preserve"> společnosti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v uplynulém čtvrtletí 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stojí řada </w:t>
      </w:r>
      <w:r w:rsidRPr="00E632DE">
        <w:rPr>
          <w:rFonts w:ascii="Arial" w:hAnsi="Arial" w:cs="Arial"/>
          <w:bCs/>
          <w:sz w:val="22"/>
          <w:szCs w:val="22"/>
          <w:lang w:val="cs-CZ"/>
        </w:rPr>
        <w:t>položek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, mezi </w:t>
      </w:r>
      <w:r w:rsidR="00A41E7F">
        <w:rPr>
          <w:rFonts w:ascii="Arial" w:hAnsi="Arial" w:cs="Arial"/>
          <w:bCs/>
          <w:sz w:val="22"/>
          <w:szCs w:val="22"/>
          <w:lang w:val="cs-CZ"/>
        </w:rPr>
        <w:t>ně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 patří </w:t>
      </w:r>
      <w:r w:rsidR="00A41E7F">
        <w:rPr>
          <w:rFonts w:ascii="Arial" w:hAnsi="Arial" w:cs="Arial"/>
          <w:bCs/>
          <w:sz w:val="22"/>
          <w:szCs w:val="22"/>
          <w:lang w:val="cs-CZ"/>
        </w:rPr>
        <w:t xml:space="preserve">zejména </w:t>
      </w:r>
      <w:r w:rsidR="008C4DD3">
        <w:rPr>
          <w:rFonts w:ascii="Arial" w:hAnsi="Arial" w:cs="Arial"/>
          <w:bCs/>
          <w:sz w:val="22"/>
          <w:szCs w:val="22"/>
          <w:lang w:val="cs-CZ"/>
        </w:rPr>
        <w:t>přísná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8C4DD3">
        <w:rPr>
          <w:rFonts w:ascii="Arial" w:hAnsi="Arial" w:cs="Arial"/>
          <w:bCs/>
          <w:sz w:val="22"/>
          <w:szCs w:val="22"/>
          <w:lang w:val="cs-CZ"/>
        </w:rPr>
        <w:t>kontrola</w:t>
      </w:r>
      <w:r w:rsidRPr="00E632DE">
        <w:rPr>
          <w:rFonts w:ascii="Arial" w:hAnsi="Arial" w:cs="Arial"/>
          <w:bCs/>
          <w:sz w:val="22"/>
          <w:szCs w:val="22"/>
          <w:lang w:val="cs-CZ"/>
        </w:rPr>
        <w:t xml:space="preserve"> nákladů, </w:t>
      </w:r>
      <w:r w:rsidR="008C4DD3">
        <w:rPr>
          <w:rFonts w:ascii="Arial" w:hAnsi="Arial" w:cs="Arial"/>
          <w:bCs/>
          <w:sz w:val="22"/>
          <w:szCs w:val="22"/>
          <w:lang w:val="cs-CZ"/>
        </w:rPr>
        <w:t>poskytování</w:t>
      </w:r>
      <w:r w:rsidR="00FA53A3">
        <w:rPr>
          <w:rFonts w:ascii="Arial" w:hAnsi="Arial" w:cs="Arial"/>
          <w:bCs/>
          <w:sz w:val="22"/>
          <w:szCs w:val="22"/>
          <w:lang w:val="cs-CZ"/>
        </w:rPr>
        <w:t xml:space="preserve"> kvalitních služeb </w:t>
      </w:r>
      <w:r w:rsidR="008C4DD3">
        <w:rPr>
          <w:rFonts w:ascii="Arial" w:hAnsi="Arial" w:cs="Arial"/>
          <w:bCs/>
          <w:sz w:val="22"/>
          <w:szCs w:val="22"/>
          <w:lang w:val="cs-CZ"/>
        </w:rPr>
        <w:t>a cílený domácí</w:t>
      </w:r>
      <w:r w:rsidRPr="00E632DE">
        <w:rPr>
          <w:rFonts w:ascii="Arial" w:hAnsi="Arial" w:cs="Arial"/>
          <w:bCs/>
          <w:sz w:val="22"/>
          <w:szCs w:val="22"/>
          <w:lang w:val="cs-CZ"/>
        </w:rPr>
        <w:t xml:space="preserve"> a vývozní růst.</w:t>
      </w:r>
    </w:p>
    <w:p w14:paraId="6051CC9D" w14:textId="77777777" w:rsidR="00302BCF" w:rsidRPr="00E632DE" w:rsidRDefault="00302BCF" w:rsidP="009140E6">
      <w:pPr>
        <w:rPr>
          <w:rFonts w:ascii="Arial" w:hAnsi="Arial" w:cs="Arial"/>
          <w:bCs/>
          <w:sz w:val="22"/>
          <w:szCs w:val="22"/>
          <w:u w:val="single"/>
          <w:lang w:val="cs-CZ"/>
        </w:rPr>
      </w:pPr>
    </w:p>
    <w:p w14:paraId="37272C03" w14:textId="77777777" w:rsidR="00CC7E18" w:rsidRPr="00EE4442" w:rsidRDefault="00CC7E18" w:rsidP="00745549">
      <w:pPr>
        <w:rPr>
          <w:rFonts w:ascii="Arial" w:hAnsi="Arial" w:cs="Arial"/>
          <w:bCs/>
          <w:sz w:val="22"/>
          <w:szCs w:val="22"/>
          <w:u w:val="single"/>
          <w:lang w:val="cs-CZ"/>
        </w:rPr>
      </w:pPr>
    </w:p>
    <w:tbl>
      <w:tblPr>
        <w:tblStyle w:val="Mkatabulky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103"/>
        <w:gridCol w:w="1539"/>
        <w:gridCol w:w="2005"/>
        <w:gridCol w:w="1539"/>
      </w:tblGrid>
      <w:tr w:rsidR="00302BCF" w:rsidRPr="00302BCF" w14:paraId="61B44398" w14:textId="77777777" w:rsidTr="00302BCF">
        <w:trPr>
          <w:trHeight w:val="395"/>
        </w:trPr>
        <w:tc>
          <w:tcPr>
            <w:tcW w:w="2150" w:type="dxa"/>
          </w:tcPr>
          <w:p w14:paraId="74D04DDF" w14:textId="77777777" w:rsidR="00302BCF" w:rsidRPr="00302BCF" w:rsidRDefault="00302BCF" w:rsidP="003A52BE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cs-CZ"/>
              </w:rPr>
            </w:pPr>
          </w:p>
          <w:p w14:paraId="76485B98" w14:textId="77777777" w:rsidR="00302BCF" w:rsidRPr="00302BCF" w:rsidRDefault="00302BCF" w:rsidP="003A52B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2103" w:type="dxa"/>
          </w:tcPr>
          <w:p w14:paraId="50EED286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50F45B4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2019</w:t>
            </w:r>
          </w:p>
        </w:tc>
        <w:tc>
          <w:tcPr>
            <w:tcW w:w="1539" w:type="dxa"/>
          </w:tcPr>
          <w:p w14:paraId="65F2013A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1025EB36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2019</w:t>
            </w:r>
          </w:p>
        </w:tc>
        <w:tc>
          <w:tcPr>
            <w:tcW w:w="2005" w:type="dxa"/>
          </w:tcPr>
          <w:p w14:paraId="19BD21A1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7BFDB02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2018</w:t>
            </w:r>
          </w:p>
        </w:tc>
        <w:tc>
          <w:tcPr>
            <w:tcW w:w="1539" w:type="dxa"/>
          </w:tcPr>
          <w:p w14:paraId="66419412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7CDA6727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302BCF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3Q 2018</w:t>
            </w:r>
          </w:p>
        </w:tc>
      </w:tr>
      <w:tr w:rsidR="00302BCF" w:rsidRPr="00302BCF" w14:paraId="639092CC" w14:textId="77777777" w:rsidTr="00302BCF">
        <w:trPr>
          <w:trHeight w:val="184"/>
        </w:trPr>
        <w:tc>
          <w:tcPr>
            <w:tcW w:w="2150" w:type="dxa"/>
          </w:tcPr>
          <w:p w14:paraId="5B9204F2" w14:textId="77777777" w:rsidR="00302BCF" w:rsidRPr="00302BCF" w:rsidRDefault="00302BCF" w:rsidP="003A52BE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2103" w:type="dxa"/>
          </w:tcPr>
          <w:p w14:paraId="0BD492E1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494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539" w:type="dxa"/>
          </w:tcPr>
          <w:p w14:paraId="751388D8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2005" w:type="dxa"/>
          </w:tcPr>
          <w:p w14:paraId="0975AEC6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478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539" w:type="dxa"/>
          </w:tcPr>
          <w:p w14:paraId="02BE8F6A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302BCF" w:rsidRPr="00302BCF" w14:paraId="3DA9C35F" w14:textId="77777777" w:rsidTr="00302BCF">
        <w:trPr>
          <w:trHeight w:val="184"/>
        </w:trPr>
        <w:tc>
          <w:tcPr>
            <w:tcW w:w="2150" w:type="dxa"/>
          </w:tcPr>
          <w:p w14:paraId="3C5C8C48" w14:textId="77777777" w:rsidR="00302BCF" w:rsidRPr="00302BCF" w:rsidRDefault="00302BCF" w:rsidP="003A52BE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2103" w:type="dxa"/>
          </w:tcPr>
          <w:p w14:paraId="457E6D6A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667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539" w:type="dxa"/>
          </w:tcPr>
          <w:p w14:paraId="1E384B62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693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2005" w:type="dxa"/>
          </w:tcPr>
          <w:p w14:paraId="70B0BA34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536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539" w:type="dxa"/>
          </w:tcPr>
          <w:p w14:paraId="46E4414B" w14:textId="77777777" w:rsidR="00302BCF" w:rsidRPr="00302BCF" w:rsidRDefault="00302BCF" w:rsidP="003A52BE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302BCF">
              <w:rPr>
                <w:rFonts w:ascii="Arial" w:hAnsi="Arial" w:cs="Arial"/>
                <w:sz w:val="20"/>
                <w:szCs w:val="22"/>
                <w:lang w:val="cs-CZ"/>
              </w:rPr>
              <w:t xml:space="preserve">576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</w:tbl>
    <w:p w14:paraId="348D91D8" w14:textId="77777777" w:rsidR="00302BCF" w:rsidRPr="00D352EF" w:rsidRDefault="00302BCF" w:rsidP="00745549">
      <w:pPr>
        <w:rPr>
          <w:rFonts w:ascii="Arial" w:hAnsi="Arial" w:cs="Arial"/>
          <w:sz w:val="22"/>
        </w:rPr>
      </w:pPr>
    </w:p>
    <w:p w14:paraId="36A8AF07" w14:textId="77777777" w:rsidR="00FA53A3" w:rsidRPr="00FA53A3" w:rsidRDefault="00FA53A3" w:rsidP="00FA53A3">
      <w:pPr>
        <w:rPr>
          <w:rFonts w:ascii="Arial" w:hAnsi="Arial" w:cs="Arial"/>
          <w:bCs/>
          <w:sz w:val="22"/>
          <w:szCs w:val="22"/>
          <w:lang w:val="cs-CZ"/>
        </w:rPr>
      </w:pPr>
    </w:p>
    <w:p w14:paraId="004F7B42" w14:textId="256BC153" w:rsidR="00FA53A3" w:rsidRPr="00FA53A3" w:rsidRDefault="00FA53A3" w:rsidP="00FA53A3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Mezinárodní </w:t>
      </w:r>
      <w:r w:rsidR="008C4DD3">
        <w:rPr>
          <w:rFonts w:ascii="Arial" w:hAnsi="Arial" w:cs="Arial"/>
          <w:bCs/>
          <w:sz w:val="22"/>
          <w:szCs w:val="22"/>
          <w:lang w:val="cs-CZ"/>
        </w:rPr>
        <w:t>přeprava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 zaznamenala nárůst objemu vývozu na obchodních trasách </w:t>
      </w:r>
      <w:r>
        <w:rPr>
          <w:rFonts w:ascii="Arial" w:hAnsi="Arial" w:cs="Arial"/>
          <w:bCs/>
          <w:sz w:val="22"/>
          <w:szCs w:val="22"/>
          <w:lang w:val="cs-CZ"/>
        </w:rPr>
        <w:t>v rámci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 Evropy a prakticky na všech obchodních </w:t>
      </w:r>
      <w:r w:rsidR="004F79E7">
        <w:rPr>
          <w:rFonts w:ascii="Arial" w:hAnsi="Arial" w:cs="Arial"/>
          <w:bCs/>
          <w:sz w:val="22"/>
          <w:szCs w:val="22"/>
          <w:lang w:val="cs-CZ"/>
        </w:rPr>
        <w:t xml:space="preserve">trasách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v</w:t>
      </w:r>
      <w:r w:rsidR="004F79E7">
        <w:rPr>
          <w:rFonts w:ascii="Arial" w:hAnsi="Arial" w:cs="Arial"/>
          <w:bCs/>
          <w:sz w:val="22"/>
          <w:szCs w:val="22"/>
          <w:lang w:val="cs-CZ"/>
        </w:rPr>
        <w:t> 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Asii s výjimkou 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trasy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Asie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8C4DD3">
        <w:rPr>
          <w:rFonts w:ascii="Arial" w:hAnsi="Arial" w:cs="Arial"/>
          <w:bCs/>
          <w:sz w:val="22"/>
          <w:szCs w:val="22"/>
          <w:lang w:val="cs-CZ"/>
        </w:rPr>
        <w:t>-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USA</w:t>
      </w:r>
      <w:r w:rsidRPr="00FA53A3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0438530B" w14:textId="3F4EDEF5" w:rsidR="00FA53A3" w:rsidRPr="00FA53A3" w:rsidRDefault="00FA53A3" w:rsidP="00FA53A3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Celkové příjmy na zásilku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klesl</w:t>
      </w:r>
      <w:r>
        <w:rPr>
          <w:rFonts w:ascii="Arial" w:hAnsi="Arial" w:cs="Arial"/>
          <w:bCs/>
          <w:sz w:val="22"/>
          <w:szCs w:val="22"/>
          <w:lang w:val="cs-CZ"/>
        </w:rPr>
        <w:t>y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 o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necelé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1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%, </w:t>
      </w:r>
      <w:r>
        <w:rPr>
          <w:rFonts w:ascii="Arial" w:hAnsi="Arial" w:cs="Arial"/>
          <w:bCs/>
          <w:sz w:val="22"/>
          <w:szCs w:val="22"/>
          <w:lang w:val="cs-CZ"/>
        </w:rPr>
        <w:t>po měnových úpravách však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 vzrostl</w:t>
      </w:r>
      <w:r>
        <w:rPr>
          <w:rFonts w:ascii="Arial" w:hAnsi="Arial" w:cs="Arial"/>
          <w:bCs/>
          <w:sz w:val="22"/>
          <w:szCs w:val="22"/>
          <w:lang w:val="cs-CZ"/>
        </w:rPr>
        <w:t>y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 o </w:t>
      </w:r>
      <w:r w:rsidRPr="00FA53A3">
        <w:rPr>
          <w:rFonts w:ascii="Arial" w:hAnsi="Arial" w:cs="Arial"/>
          <w:bCs/>
          <w:sz w:val="22"/>
          <w:szCs w:val="22"/>
          <w:lang w:val="cs-CZ"/>
        </w:rPr>
        <w:t>2,3</w:t>
      </w:r>
      <w:r w:rsidR="004F79E7">
        <w:rPr>
          <w:rFonts w:ascii="Arial" w:hAnsi="Arial" w:cs="Arial"/>
          <w:bCs/>
          <w:sz w:val="22"/>
          <w:szCs w:val="22"/>
          <w:lang w:val="cs-CZ"/>
        </w:rPr>
        <w:t> %</w:t>
      </w:r>
      <w:r w:rsidRPr="00FA53A3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FD68C15" w14:textId="77777777" w:rsidR="00FA53A3" w:rsidRPr="00FA53A3" w:rsidRDefault="00FA53A3" w:rsidP="00FA53A3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FA53A3">
        <w:rPr>
          <w:rFonts w:ascii="Arial" w:hAnsi="Arial" w:cs="Arial"/>
          <w:bCs/>
          <w:sz w:val="22"/>
          <w:szCs w:val="22"/>
          <w:lang w:val="cs-CZ"/>
        </w:rPr>
        <w:t>Provozní zisk vzrostl o více než 24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%, resp.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20,3 % na upra</w:t>
      </w:r>
      <w:r w:rsidR="004F79E7">
        <w:rPr>
          <w:rFonts w:ascii="Arial" w:hAnsi="Arial" w:cs="Arial"/>
          <w:bCs/>
          <w:sz w:val="22"/>
          <w:szCs w:val="22"/>
          <w:lang w:val="cs-CZ"/>
        </w:rPr>
        <w:t>v</w:t>
      </w:r>
      <w:r>
        <w:rPr>
          <w:rFonts w:ascii="Arial" w:hAnsi="Arial" w:cs="Arial"/>
          <w:bCs/>
          <w:sz w:val="22"/>
          <w:szCs w:val="22"/>
          <w:lang w:val="cs-CZ"/>
        </w:rPr>
        <w:t>ené</w:t>
      </w:r>
      <w:r w:rsidR="004F79E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bázi.</w:t>
      </w:r>
    </w:p>
    <w:p w14:paraId="64C90DF4" w14:textId="462915E1" w:rsidR="00FA53A3" w:rsidRPr="00FA53A3" w:rsidRDefault="00FA53A3" w:rsidP="00FA53A3">
      <w:pPr>
        <w:pStyle w:val="Odstavecseseznamem"/>
        <w:numPr>
          <w:ilvl w:val="0"/>
          <w:numId w:val="1"/>
        </w:numPr>
        <w:ind w:left="378" w:hanging="378"/>
        <w:rPr>
          <w:rFonts w:ascii="Arial" w:hAnsi="Arial" w:cs="Arial"/>
          <w:bCs/>
          <w:sz w:val="22"/>
          <w:szCs w:val="22"/>
          <w:lang w:val="cs-CZ"/>
        </w:rPr>
      </w:pPr>
      <w:r w:rsidRPr="00FA53A3">
        <w:rPr>
          <w:rFonts w:ascii="Arial" w:hAnsi="Arial" w:cs="Arial"/>
          <w:bCs/>
          <w:sz w:val="22"/>
          <w:szCs w:val="22"/>
          <w:lang w:val="cs-CZ"/>
        </w:rPr>
        <w:t>Provozní marže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8C4DD3">
        <w:rPr>
          <w:rFonts w:ascii="Arial" w:hAnsi="Arial" w:cs="Arial"/>
          <w:bCs/>
          <w:sz w:val="22"/>
          <w:szCs w:val="22"/>
          <w:lang w:val="cs-CZ"/>
        </w:rPr>
        <w:t>která byla</w:t>
      </w:r>
      <w:r w:rsidR="004F79E7">
        <w:rPr>
          <w:rFonts w:ascii="Arial" w:hAnsi="Arial" w:cs="Arial"/>
          <w:bCs/>
          <w:sz w:val="22"/>
          <w:szCs w:val="22"/>
          <w:lang w:val="cs-CZ"/>
        </w:rPr>
        <w:t xml:space="preserve"> tahounem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odvětví</w:t>
      </w:r>
      <w:r w:rsidR="004F79E7">
        <w:rPr>
          <w:rFonts w:ascii="Arial" w:hAnsi="Arial" w:cs="Arial"/>
          <w:bCs/>
          <w:sz w:val="22"/>
          <w:szCs w:val="22"/>
          <w:lang w:val="cs-CZ"/>
        </w:rPr>
        <w:t>,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 zůstala silná</w:t>
      </w:r>
      <w:r w:rsidR="004F79E7">
        <w:rPr>
          <w:rFonts w:ascii="Arial" w:hAnsi="Arial" w:cs="Arial"/>
          <w:bCs/>
          <w:sz w:val="22"/>
          <w:szCs w:val="22"/>
          <w:lang w:val="cs-CZ"/>
        </w:rPr>
        <w:t>, a to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19,1</w:t>
      </w:r>
      <w:r w:rsidR="004F79E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A53A3">
        <w:rPr>
          <w:rFonts w:ascii="Arial" w:hAnsi="Arial" w:cs="Arial"/>
          <w:bCs/>
          <w:sz w:val="22"/>
          <w:szCs w:val="22"/>
          <w:lang w:val="cs-CZ"/>
        </w:rPr>
        <w:t xml:space="preserve">%; upravená provozní marže </w:t>
      </w:r>
      <w:r w:rsidR="004F79E7">
        <w:rPr>
          <w:rFonts w:ascii="Arial" w:hAnsi="Arial" w:cs="Arial"/>
          <w:bCs/>
          <w:sz w:val="22"/>
          <w:szCs w:val="22"/>
          <w:lang w:val="cs-CZ"/>
        </w:rPr>
        <w:t xml:space="preserve">byla </w:t>
      </w:r>
      <w:r w:rsidRPr="00FA53A3">
        <w:rPr>
          <w:rFonts w:ascii="Arial" w:hAnsi="Arial" w:cs="Arial"/>
          <w:bCs/>
          <w:sz w:val="22"/>
          <w:szCs w:val="22"/>
          <w:lang w:val="cs-CZ"/>
        </w:rPr>
        <w:t>rozšířena o 320 bazických bodů **.</w:t>
      </w:r>
    </w:p>
    <w:p w14:paraId="10293B29" w14:textId="77777777" w:rsidR="00FA53A3" w:rsidRPr="00EE4442" w:rsidRDefault="00FA53A3" w:rsidP="00EE4442">
      <w:pPr>
        <w:rPr>
          <w:rFonts w:ascii="Arial" w:hAnsi="Arial" w:cs="Arial"/>
          <w:bCs/>
          <w:sz w:val="22"/>
          <w:szCs w:val="22"/>
          <w:u w:val="single"/>
          <w:lang w:val="cs-CZ"/>
        </w:rPr>
      </w:pPr>
    </w:p>
    <w:p w14:paraId="18CF4E7E" w14:textId="77777777" w:rsidR="00FA53A3" w:rsidRPr="00FA53A3" w:rsidRDefault="00FA53A3" w:rsidP="00FA53A3">
      <w:pPr>
        <w:rPr>
          <w:rFonts w:ascii="Arial" w:hAnsi="Arial" w:cs="Arial"/>
          <w:bCs/>
          <w:i/>
          <w:iCs/>
          <w:sz w:val="18"/>
          <w:szCs w:val="18"/>
          <w:lang w:val="cs-CZ"/>
        </w:rPr>
      </w:pPr>
      <w:r w:rsidRPr="00FA53A3">
        <w:rPr>
          <w:rFonts w:ascii="Arial" w:hAnsi="Arial" w:cs="Arial"/>
          <w:bCs/>
          <w:i/>
          <w:iCs/>
          <w:sz w:val="18"/>
          <w:szCs w:val="18"/>
          <w:lang w:val="cs-CZ"/>
        </w:rPr>
        <w:t xml:space="preserve">** Jeden bazický bod je </w:t>
      </w:r>
      <w:r w:rsidR="004F79E7" w:rsidRPr="004F79E7">
        <w:rPr>
          <w:rFonts w:ascii="Arial" w:hAnsi="Arial" w:cs="Arial"/>
          <w:bCs/>
          <w:i/>
          <w:iCs/>
          <w:sz w:val="18"/>
          <w:szCs w:val="18"/>
          <w:lang w:val="cs-CZ"/>
        </w:rPr>
        <w:t>ekvivalent jedné setiny procentního bodu</w:t>
      </w:r>
      <w:r w:rsidRPr="00FA53A3">
        <w:rPr>
          <w:rFonts w:ascii="Arial" w:hAnsi="Arial" w:cs="Arial"/>
          <w:bCs/>
          <w:i/>
          <w:iCs/>
          <w:sz w:val="18"/>
          <w:szCs w:val="18"/>
          <w:lang w:val="cs-CZ"/>
        </w:rPr>
        <w:t>.</w:t>
      </w:r>
    </w:p>
    <w:p w14:paraId="481F160A" w14:textId="77777777" w:rsidR="004360A5" w:rsidRPr="00EE4442" w:rsidRDefault="004360A5" w:rsidP="00EE4442">
      <w:pPr>
        <w:rPr>
          <w:rFonts w:ascii="Arial" w:hAnsi="Arial" w:cs="Arial"/>
          <w:bCs/>
          <w:sz w:val="22"/>
          <w:szCs w:val="22"/>
          <w:u w:val="single"/>
          <w:lang w:val="cs-CZ"/>
        </w:rPr>
      </w:pPr>
    </w:p>
    <w:p w14:paraId="6B9D5718" w14:textId="77777777" w:rsidR="0061713E" w:rsidRDefault="0061713E" w:rsidP="004914AA">
      <w:pPr>
        <w:rPr>
          <w:rFonts w:ascii="Arial" w:hAnsi="Arial" w:cs="Arial"/>
          <w:b/>
          <w:sz w:val="22"/>
          <w:szCs w:val="22"/>
          <w:u w:val="single"/>
        </w:rPr>
      </w:pPr>
    </w:p>
    <w:p w14:paraId="0E232F47" w14:textId="77777777" w:rsidR="00302BCF" w:rsidRDefault="00302BCF" w:rsidP="00302BCF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75F32">
        <w:rPr>
          <w:rFonts w:ascii="Arial" w:hAnsi="Arial" w:cs="Arial"/>
          <w:b/>
          <w:sz w:val="22"/>
          <w:szCs w:val="22"/>
          <w:u w:val="single"/>
          <w:lang w:val="cs-CZ"/>
        </w:rPr>
        <w:t>Dodavatelské řetězce a nákladní přeprava</w:t>
      </w:r>
    </w:p>
    <w:p w14:paraId="76D97E7F" w14:textId="77777777" w:rsidR="004F79E7" w:rsidRDefault="004F79E7" w:rsidP="004F79E7">
      <w:pPr>
        <w:pStyle w:val="msolistparagraph0"/>
        <w:ind w:left="0"/>
        <w:rPr>
          <w:rFonts w:ascii="Arial" w:hAnsi="Arial" w:cs="Arial"/>
          <w:bCs/>
          <w:sz w:val="22"/>
          <w:szCs w:val="22"/>
          <w:lang w:val="cs-CZ"/>
        </w:rPr>
      </w:pPr>
    </w:p>
    <w:p w14:paraId="10D6C7D3" w14:textId="3B8D802D" w:rsidR="00302BCF" w:rsidRDefault="004F79E7" w:rsidP="004F79E7">
      <w:pPr>
        <w:pStyle w:val="msolistparagraph0"/>
        <w:ind w:left="0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Za </w:t>
      </w:r>
      <w:r w:rsidR="008C4DD3">
        <w:rPr>
          <w:rFonts w:ascii="Arial" w:hAnsi="Arial" w:cs="Arial"/>
          <w:bCs/>
          <w:sz w:val="22"/>
          <w:szCs w:val="22"/>
          <w:lang w:val="cs-CZ"/>
        </w:rPr>
        <w:t xml:space="preserve">výsledky 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segmentu </w:t>
      </w:r>
      <w:r>
        <w:rPr>
          <w:rFonts w:ascii="Arial" w:hAnsi="Arial" w:cs="Arial"/>
          <w:bCs/>
          <w:sz w:val="22"/>
          <w:szCs w:val="22"/>
          <w:lang w:val="cs-CZ"/>
        </w:rPr>
        <w:t>D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odavatelské řetězce a nákladní </w:t>
      </w:r>
      <w:r>
        <w:rPr>
          <w:rFonts w:ascii="Arial" w:hAnsi="Arial" w:cs="Arial"/>
          <w:bCs/>
          <w:sz w:val="22"/>
          <w:szCs w:val="22"/>
          <w:lang w:val="cs-CZ"/>
        </w:rPr>
        <w:t>pře</w:t>
      </w:r>
      <w:r w:rsidRPr="004F79E7">
        <w:rPr>
          <w:rFonts w:ascii="Arial" w:hAnsi="Arial" w:cs="Arial"/>
          <w:bCs/>
          <w:sz w:val="22"/>
          <w:szCs w:val="22"/>
          <w:lang w:val="cs-CZ"/>
        </w:rPr>
        <w:t>prav</w:t>
      </w:r>
      <w:r>
        <w:rPr>
          <w:rFonts w:ascii="Arial" w:hAnsi="Arial" w:cs="Arial"/>
          <w:bCs/>
          <w:sz w:val="22"/>
          <w:szCs w:val="22"/>
          <w:lang w:val="cs-CZ"/>
        </w:rPr>
        <w:t>a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8C4DD3">
        <w:rPr>
          <w:rFonts w:ascii="Arial" w:hAnsi="Arial" w:cs="Arial"/>
          <w:bCs/>
          <w:sz w:val="22"/>
          <w:szCs w:val="22"/>
          <w:lang w:val="cs-CZ"/>
        </w:rPr>
        <w:t>stojí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zákazníci z řad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mal</w:t>
      </w:r>
      <w:r>
        <w:rPr>
          <w:rFonts w:ascii="Arial" w:hAnsi="Arial" w:cs="Arial"/>
          <w:bCs/>
          <w:sz w:val="22"/>
          <w:szCs w:val="22"/>
          <w:lang w:val="cs-CZ"/>
        </w:rPr>
        <w:t>ých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 a</w:t>
      </w:r>
      <w:r>
        <w:rPr>
          <w:rFonts w:ascii="Arial" w:hAnsi="Arial" w:cs="Arial"/>
          <w:bCs/>
          <w:sz w:val="22"/>
          <w:szCs w:val="22"/>
          <w:lang w:val="cs-CZ"/>
        </w:rPr>
        <w:t> </w:t>
      </w:r>
      <w:r w:rsidRPr="004F79E7">
        <w:rPr>
          <w:rFonts w:ascii="Arial" w:hAnsi="Arial" w:cs="Arial"/>
          <w:bCs/>
          <w:sz w:val="22"/>
          <w:szCs w:val="22"/>
          <w:lang w:val="cs-CZ"/>
        </w:rPr>
        <w:t>střední</w:t>
      </w:r>
      <w:r>
        <w:rPr>
          <w:rFonts w:ascii="Arial" w:hAnsi="Arial" w:cs="Arial"/>
          <w:bCs/>
          <w:sz w:val="22"/>
          <w:szCs w:val="22"/>
          <w:lang w:val="cs-CZ"/>
        </w:rPr>
        <w:t>ch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firem</w:t>
      </w:r>
      <w:r w:rsidRPr="004F79E7">
        <w:rPr>
          <w:rFonts w:ascii="Arial" w:hAnsi="Arial" w:cs="Arial"/>
          <w:bCs/>
          <w:sz w:val="22"/>
          <w:szCs w:val="22"/>
          <w:lang w:val="cs-CZ"/>
        </w:rPr>
        <w:t>, kte</w:t>
      </w:r>
      <w:r>
        <w:rPr>
          <w:rFonts w:ascii="Arial" w:hAnsi="Arial" w:cs="Arial"/>
          <w:bCs/>
          <w:sz w:val="22"/>
          <w:szCs w:val="22"/>
          <w:lang w:val="cs-CZ"/>
        </w:rPr>
        <w:t>ří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 generují kvalitnější výnosy, a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dále pak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opat</w:t>
      </w:r>
      <w:r w:rsidR="008C4DD3">
        <w:rPr>
          <w:rFonts w:ascii="Arial" w:hAnsi="Arial" w:cs="Arial"/>
          <w:bCs/>
          <w:sz w:val="22"/>
          <w:szCs w:val="22"/>
          <w:lang w:val="cs-CZ"/>
        </w:rPr>
        <w:t>ření v oblasti řízení nákladů v </w:t>
      </w:r>
      <w:r w:rsidRPr="004F79E7">
        <w:rPr>
          <w:rFonts w:ascii="Arial" w:hAnsi="Arial" w:cs="Arial"/>
          <w:bCs/>
          <w:sz w:val="22"/>
          <w:szCs w:val="22"/>
          <w:lang w:val="cs-CZ"/>
        </w:rPr>
        <w:t>celé síti.</w:t>
      </w:r>
    </w:p>
    <w:p w14:paraId="1ABC9C88" w14:textId="77777777" w:rsidR="00921375" w:rsidRDefault="00921375" w:rsidP="004F79E7">
      <w:pPr>
        <w:pStyle w:val="msolistparagraph0"/>
        <w:ind w:left="0"/>
        <w:rPr>
          <w:rFonts w:ascii="Arial" w:hAnsi="Arial" w:cs="Arial"/>
          <w:bCs/>
          <w:sz w:val="22"/>
          <w:szCs w:val="22"/>
          <w:lang w:val="cs-CZ"/>
        </w:rPr>
      </w:pPr>
    </w:p>
    <w:p w14:paraId="6F2222B0" w14:textId="77777777" w:rsidR="009140E6" w:rsidRPr="008B194A" w:rsidRDefault="009140E6" w:rsidP="004914AA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1779"/>
      </w:tblGrid>
      <w:tr w:rsidR="00AF39AB" w:rsidRPr="008B194A" w14:paraId="061BA43F" w14:textId="77777777" w:rsidTr="008B194A">
        <w:trPr>
          <w:trHeight w:val="495"/>
        </w:trPr>
        <w:tc>
          <w:tcPr>
            <w:tcW w:w="1985" w:type="dxa"/>
          </w:tcPr>
          <w:p w14:paraId="0B99A84F" w14:textId="77777777" w:rsidR="00AF39AB" w:rsidRPr="008B194A" w:rsidRDefault="00AF39AB" w:rsidP="002651E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843" w:type="dxa"/>
          </w:tcPr>
          <w:p w14:paraId="20DAA79B" w14:textId="77777777" w:rsidR="00AF39AB" w:rsidRPr="008B194A" w:rsidRDefault="00AF39AB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F5CB507" w14:textId="77777777" w:rsidR="00AF39AB" w:rsidRPr="008B194A" w:rsidRDefault="00FE3BBD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2019</w:t>
            </w:r>
          </w:p>
        </w:tc>
        <w:tc>
          <w:tcPr>
            <w:tcW w:w="1984" w:type="dxa"/>
          </w:tcPr>
          <w:p w14:paraId="2299D7F0" w14:textId="77777777" w:rsidR="00AF39AB" w:rsidRPr="008B194A" w:rsidRDefault="008B194A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02FDD88D" w14:textId="77777777" w:rsidR="00AF39AB" w:rsidRPr="008B194A" w:rsidRDefault="00FE3BBD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2019</w:t>
            </w:r>
          </w:p>
        </w:tc>
        <w:tc>
          <w:tcPr>
            <w:tcW w:w="1985" w:type="dxa"/>
          </w:tcPr>
          <w:p w14:paraId="5F693BD7" w14:textId="77777777" w:rsidR="00AF39AB" w:rsidRPr="008B194A" w:rsidRDefault="00AF39AB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3297DCC" w14:textId="77777777" w:rsidR="00AF39AB" w:rsidRPr="008B194A" w:rsidRDefault="00FE3BBD" w:rsidP="002651E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2018</w:t>
            </w:r>
          </w:p>
        </w:tc>
        <w:tc>
          <w:tcPr>
            <w:tcW w:w="1779" w:type="dxa"/>
          </w:tcPr>
          <w:p w14:paraId="49CBF205" w14:textId="77777777" w:rsidR="00AF39AB" w:rsidRPr="008B194A" w:rsidRDefault="008B194A" w:rsidP="00AF39A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30108DC6" w14:textId="77777777" w:rsidR="00AF39AB" w:rsidRPr="008B194A" w:rsidRDefault="00FE3BBD" w:rsidP="00AF39A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3</w:t>
            </w:r>
            <w:r w:rsidR="00AF39AB" w:rsidRPr="008B194A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2018</w:t>
            </w:r>
          </w:p>
        </w:tc>
      </w:tr>
      <w:tr w:rsidR="00AF39AB" w:rsidRPr="008B194A" w14:paraId="387C5302" w14:textId="77777777" w:rsidTr="008B194A">
        <w:trPr>
          <w:trHeight w:val="221"/>
        </w:trPr>
        <w:tc>
          <w:tcPr>
            <w:tcW w:w="1985" w:type="dxa"/>
          </w:tcPr>
          <w:p w14:paraId="6D78CB04" w14:textId="77777777" w:rsidR="00AF39AB" w:rsidRPr="008B194A" w:rsidRDefault="008B194A" w:rsidP="002651E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43" w:type="dxa"/>
          </w:tcPr>
          <w:p w14:paraId="4E115941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369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984" w:type="dxa"/>
          </w:tcPr>
          <w:p w14:paraId="0A99F5BF" w14:textId="77777777" w:rsidR="00AF39AB" w:rsidRPr="008B194A" w:rsidRDefault="00AF39A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985" w:type="dxa"/>
          </w:tcPr>
          <w:p w14:paraId="4F755FC7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3,529</w:t>
            </w:r>
            <w:r w:rsidR="00AF39AB"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79" w:type="dxa"/>
          </w:tcPr>
          <w:p w14:paraId="64E82264" w14:textId="77777777" w:rsidR="00AF39AB" w:rsidRPr="008B194A" w:rsidRDefault="00AF39A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AF39AB" w:rsidRPr="008B194A" w14:paraId="60651E28" w14:textId="77777777" w:rsidTr="008B194A">
        <w:trPr>
          <w:trHeight w:val="221"/>
        </w:trPr>
        <w:tc>
          <w:tcPr>
            <w:tcW w:w="1985" w:type="dxa"/>
          </w:tcPr>
          <w:p w14:paraId="14895729" w14:textId="77777777" w:rsidR="00AF39AB" w:rsidRPr="008B194A" w:rsidRDefault="008B194A" w:rsidP="002651E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43" w:type="dxa"/>
          </w:tcPr>
          <w:p w14:paraId="73E174CB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245</w:t>
            </w:r>
            <w:r w:rsidR="00AF39AB"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984" w:type="dxa"/>
          </w:tcPr>
          <w:p w14:paraId="2B4A72BA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256</w:t>
            </w:r>
            <w:r w:rsidR="00AF39AB"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985" w:type="dxa"/>
          </w:tcPr>
          <w:p w14:paraId="62202176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>242</w:t>
            </w:r>
            <w:r w:rsidR="00AF39AB"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79" w:type="dxa"/>
          </w:tcPr>
          <w:p w14:paraId="05B0882F" w14:textId="77777777" w:rsidR="00AF39AB" w:rsidRPr="008B194A" w:rsidRDefault="00916C0B" w:rsidP="002651E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8B194A">
              <w:rPr>
                <w:rFonts w:ascii="Arial" w:hAnsi="Arial" w:cs="Arial"/>
                <w:sz w:val="20"/>
                <w:szCs w:val="22"/>
                <w:lang w:val="cs-CZ"/>
              </w:rPr>
              <w:t xml:space="preserve">$260 </w:t>
            </w:r>
            <w:r w:rsidR="008B194A" w:rsidRPr="008B194A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</w:tbl>
    <w:p w14:paraId="2242CF62" w14:textId="77777777" w:rsidR="00B85D96" w:rsidRPr="008B194A" w:rsidRDefault="00B85D96" w:rsidP="00B85D96">
      <w:pPr>
        <w:rPr>
          <w:rFonts w:ascii="Arial" w:hAnsi="Arial" w:cs="Arial"/>
          <w:sz w:val="22"/>
          <w:szCs w:val="22"/>
          <w:lang w:val="en-GB"/>
        </w:rPr>
      </w:pPr>
    </w:p>
    <w:p w14:paraId="5B994C1B" w14:textId="77777777" w:rsidR="008B194A" w:rsidRDefault="008B194A" w:rsidP="00B85D96">
      <w:pPr>
        <w:rPr>
          <w:rFonts w:ascii="Arial" w:hAnsi="Arial" w:cs="Arial"/>
          <w:sz w:val="22"/>
          <w:szCs w:val="22"/>
        </w:rPr>
      </w:pPr>
    </w:p>
    <w:p w14:paraId="23098E2A" w14:textId="77777777" w:rsidR="004F79E7" w:rsidRPr="004F79E7" w:rsidRDefault="004F79E7" w:rsidP="004F79E7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4F79E7">
        <w:rPr>
          <w:rFonts w:ascii="Arial" w:hAnsi="Arial" w:cs="Arial"/>
          <w:bCs/>
          <w:sz w:val="22"/>
          <w:szCs w:val="22"/>
          <w:lang w:val="cs-CZ"/>
        </w:rPr>
        <w:t>Provozní marže vzrostla na 7,3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%</w:t>
      </w:r>
      <w:r w:rsidR="00A122DA">
        <w:rPr>
          <w:rFonts w:ascii="Arial" w:hAnsi="Arial" w:cs="Arial"/>
          <w:bCs/>
          <w:sz w:val="22"/>
          <w:szCs w:val="22"/>
          <w:lang w:val="cs-CZ"/>
        </w:rPr>
        <w:t xml:space="preserve">, resp.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na 7,6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% na upraveném základě.</w:t>
      </w:r>
    </w:p>
    <w:p w14:paraId="409F9961" w14:textId="05FA6F1C" w:rsidR="004F79E7" w:rsidRPr="004F79E7" w:rsidRDefault="004F79E7" w:rsidP="004F79E7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4F79E7">
        <w:rPr>
          <w:rFonts w:ascii="Arial" w:hAnsi="Arial" w:cs="Arial"/>
          <w:bCs/>
          <w:sz w:val="22"/>
          <w:szCs w:val="22"/>
          <w:lang w:val="cs-CZ"/>
        </w:rPr>
        <w:t>Příjmy z logistiky vzrostly o více než 7</w:t>
      </w:r>
      <w:r w:rsidR="00A122D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% </w:t>
      </w:r>
      <w:r w:rsidR="006817E5">
        <w:rPr>
          <w:rFonts w:ascii="Arial" w:hAnsi="Arial" w:cs="Arial"/>
          <w:bCs/>
          <w:sz w:val="22"/>
          <w:szCs w:val="22"/>
          <w:lang w:val="cs-CZ"/>
        </w:rPr>
        <w:t>díky</w:t>
      </w:r>
      <w:r w:rsidR="008E7E08">
        <w:rPr>
          <w:rFonts w:ascii="Arial" w:hAnsi="Arial" w:cs="Arial"/>
          <w:bCs/>
          <w:sz w:val="22"/>
          <w:szCs w:val="22"/>
          <w:lang w:val="cs-CZ"/>
        </w:rPr>
        <w:t xml:space="preserve"> růstu ve </w:t>
      </w:r>
      <w:r w:rsidRPr="004F79E7">
        <w:rPr>
          <w:rFonts w:ascii="Arial" w:hAnsi="Arial" w:cs="Arial"/>
          <w:bCs/>
          <w:sz w:val="22"/>
          <w:szCs w:val="22"/>
          <w:lang w:val="cs-CZ"/>
        </w:rPr>
        <w:t>zdr</w:t>
      </w:r>
      <w:r w:rsidR="008E7E08">
        <w:rPr>
          <w:rFonts w:ascii="Arial" w:hAnsi="Arial" w:cs="Arial"/>
          <w:bCs/>
          <w:sz w:val="22"/>
          <w:szCs w:val="22"/>
          <w:lang w:val="cs-CZ"/>
        </w:rPr>
        <w:t>avotnictví, maloobchodu a výrobě</w:t>
      </w:r>
      <w:r w:rsidRPr="004F79E7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45CBF9F3" w14:textId="77777777" w:rsidR="004F79E7" w:rsidRPr="004F79E7" w:rsidRDefault="006817E5" w:rsidP="004F79E7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Nákladní přeprava (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UPS </w:t>
      </w:r>
      <w:proofErr w:type="spellStart"/>
      <w:r w:rsidR="004F79E7" w:rsidRPr="004F79E7">
        <w:rPr>
          <w:rFonts w:ascii="Arial" w:hAnsi="Arial" w:cs="Arial"/>
          <w:bCs/>
          <w:sz w:val="22"/>
          <w:szCs w:val="22"/>
          <w:lang w:val="cs-CZ"/>
        </w:rPr>
        <w:t>Freight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) dosáhla 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>nárůst</w:t>
      </w:r>
      <w:r>
        <w:rPr>
          <w:rFonts w:ascii="Arial" w:hAnsi="Arial" w:cs="Arial"/>
          <w:bCs/>
          <w:sz w:val="22"/>
          <w:szCs w:val="22"/>
          <w:lang w:val="cs-CZ"/>
        </w:rPr>
        <w:t xml:space="preserve">u 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tržeb </w:t>
      </w:r>
      <w:r>
        <w:rPr>
          <w:rFonts w:ascii="Arial" w:hAnsi="Arial" w:cs="Arial"/>
          <w:bCs/>
          <w:sz w:val="22"/>
          <w:szCs w:val="22"/>
          <w:lang w:val="cs-CZ"/>
        </w:rPr>
        <w:t>n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a </w:t>
      </w:r>
      <w:proofErr w:type="spellStart"/>
      <w:r w:rsidR="004F79E7" w:rsidRPr="004F79E7">
        <w:rPr>
          <w:rFonts w:ascii="Arial" w:hAnsi="Arial" w:cs="Arial"/>
          <w:bCs/>
          <w:sz w:val="22"/>
          <w:szCs w:val="22"/>
          <w:lang w:val="cs-CZ"/>
        </w:rPr>
        <w:t>LTL</w:t>
      </w:r>
      <w:proofErr w:type="spellEnd"/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>(</w:t>
      </w:r>
      <w:proofErr w:type="spellStart"/>
      <w:r w:rsidRPr="00175F32">
        <w:rPr>
          <w:rFonts w:ascii="Arial" w:hAnsi="Arial" w:cs="Arial"/>
          <w:lang w:val="cs-CZ"/>
        </w:rPr>
        <w:t>Less</w:t>
      </w:r>
      <w:proofErr w:type="spellEnd"/>
      <w:r w:rsidRPr="00175F32">
        <w:rPr>
          <w:rFonts w:ascii="Arial" w:hAnsi="Arial" w:cs="Arial"/>
          <w:lang w:val="cs-CZ"/>
        </w:rPr>
        <w:t xml:space="preserve"> </w:t>
      </w:r>
      <w:proofErr w:type="spellStart"/>
      <w:r w:rsidRPr="00175F32">
        <w:rPr>
          <w:rFonts w:ascii="Arial" w:hAnsi="Arial" w:cs="Arial"/>
          <w:lang w:val="cs-CZ"/>
        </w:rPr>
        <w:t>Then</w:t>
      </w:r>
      <w:proofErr w:type="spellEnd"/>
      <w:r w:rsidRPr="00175F32">
        <w:rPr>
          <w:rFonts w:ascii="Arial" w:hAnsi="Arial" w:cs="Arial"/>
          <w:lang w:val="cs-CZ"/>
        </w:rPr>
        <w:t xml:space="preserve"> </w:t>
      </w:r>
      <w:proofErr w:type="spellStart"/>
      <w:r w:rsidRPr="00175F32">
        <w:rPr>
          <w:rFonts w:ascii="Arial" w:hAnsi="Arial" w:cs="Arial"/>
          <w:lang w:val="cs-CZ"/>
        </w:rPr>
        <w:t>Truckload</w:t>
      </w:r>
      <w:proofErr w:type="spellEnd"/>
      <w:r w:rsidRPr="00175F32">
        <w:rPr>
          <w:rFonts w:ascii="Arial" w:hAnsi="Arial" w:cs="Arial"/>
          <w:lang w:val="cs-CZ"/>
        </w:rPr>
        <w:t>)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 o</w:t>
      </w:r>
      <w:r w:rsidR="00A122DA">
        <w:rPr>
          <w:rFonts w:ascii="Arial" w:hAnsi="Arial" w:cs="Arial"/>
          <w:bCs/>
          <w:sz w:val="22"/>
          <w:szCs w:val="22"/>
          <w:lang w:val="cs-CZ"/>
        </w:rPr>
        <w:t> 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>téměř 4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 xml:space="preserve">%, a to díky zaměření na malé a střední </w:t>
      </w:r>
      <w:r>
        <w:rPr>
          <w:rFonts w:ascii="Arial" w:hAnsi="Arial" w:cs="Arial"/>
          <w:bCs/>
          <w:sz w:val="22"/>
          <w:szCs w:val="22"/>
          <w:lang w:val="cs-CZ"/>
        </w:rPr>
        <w:t>firmy</w:t>
      </w:r>
      <w:r w:rsidR="004F79E7" w:rsidRPr="004F79E7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3D40C5B4" w14:textId="77777777" w:rsidR="004F79E7" w:rsidRPr="0078392E" w:rsidRDefault="004F79E7" w:rsidP="004F79E7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Jednotka </w:t>
      </w:r>
      <w:r w:rsidR="006817E5">
        <w:rPr>
          <w:rFonts w:ascii="Arial" w:hAnsi="Arial" w:cs="Arial"/>
          <w:bCs/>
          <w:sz w:val="22"/>
          <w:szCs w:val="22"/>
          <w:lang w:val="cs-CZ"/>
        </w:rPr>
        <w:t>S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pedice </w:t>
      </w:r>
      <w:r w:rsidR="006817E5">
        <w:rPr>
          <w:rFonts w:ascii="Arial" w:hAnsi="Arial" w:cs="Arial"/>
          <w:bCs/>
          <w:sz w:val="22"/>
          <w:szCs w:val="22"/>
          <w:lang w:val="cs-CZ"/>
        </w:rPr>
        <w:t xml:space="preserve">(Forward) </w:t>
      </w:r>
      <w:r w:rsidRPr="004F79E7">
        <w:rPr>
          <w:rFonts w:ascii="Arial" w:hAnsi="Arial" w:cs="Arial"/>
          <w:bCs/>
          <w:sz w:val="22"/>
          <w:szCs w:val="22"/>
          <w:lang w:val="cs-CZ"/>
        </w:rPr>
        <w:t xml:space="preserve">upravila náklady a částečně kompenzovala </w:t>
      </w:r>
      <w:r w:rsidRPr="0078392E">
        <w:rPr>
          <w:rFonts w:ascii="Arial" w:hAnsi="Arial" w:cs="Arial"/>
          <w:bCs/>
          <w:sz w:val="22"/>
          <w:szCs w:val="22"/>
          <w:lang w:val="cs-CZ"/>
        </w:rPr>
        <w:t>negativní dopad obchodní</w:t>
      </w:r>
      <w:r w:rsidR="00921375" w:rsidRPr="0078392E">
        <w:rPr>
          <w:rFonts w:ascii="Arial" w:hAnsi="Arial" w:cs="Arial"/>
          <w:bCs/>
          <w:sz w:val="22"/>
          <w:szCs w:val="22"/>
          <w:lang w:val="cs-CZ"/>
        </w:rPr>
        <w:t>ch</w:t>
      </w:r>
      <w:r w:rsidRPr="0078392E">
        <w:rPr>
          <w:rFonts w:ascii="Arial" w:hAnsi="Arial" w:cs="Arial"/>
          <w:bCs/>
          <w:sz w:val="22"/>
          <w:szCs w:val="22"/>
          <w:lang w:val="cs-CZ"/>
        </w:rPr>
        <w:t xml:space="preserve"> nejistot na příjmy.</w:t>
      </w:r>
    </w:p>
    <w:p w14:paraId="78ED6FD7" w14:textId="77777777" w:rsidR="004F79E7" w:rsidRPr="004F79E7" w:rsidRDefault="004F79E7" w:rsidP="00B85D96">
      <w:pPr>
        <w:rPr>
          <w:rFonts w:ascii="Arial" w:hAnsi="Arial" w:cs="Arial"/>
          <w:sz w:val="22"/>
          <w:szCs w:val="22"/>
          <w:lang w:val="cs-CZ"/>
        </w:rPr>
      </w:pPr>
    </w:p>
    <w:p w14:paraId="1B0DE654" w14:textId="77777777" w:rsidR="008B194A" w:rsidRPr="00E81C9C" w:rsidRDefault="008B194A" w:rsidP="008B194A">
      <w:pPr>
        <w:rPr>
          <w:rFonts w:ascii="Arial" w:hAnsi="Arial" w:cs="Arial"/>
          <w:sz w:val="22"/>
          <w:szCs w:val="22"/>
          <w:lang w:val="cs-CZ"/>
        </w:rPr>
      </w:pPr>
    </w:p>
    <w:p w14:paraId="7F49F177" w14:textId="77777777" w:rsidR="008B194A" w:rsidRPr="008E7E08" w:rsidRDefault="008B194A" w:rsidP="008B194A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8E7E08">
        <w:rPr>
          <w:rFonts w:ascii="Arial" w:hAnsi="Arial" w:cs="Arial"/>
          <w:b/>
          <w:sz w:val="22"/>
          <w:szCs w:val="22"/>
          <w:u w:val="single"/>
          <w:lang w:val="cs-CZ"/>
        </w:rPr>
        <w:t>Výhled</w:t>
      </w:r>
    </w:p>
    <w:p w14:paraId="52C150F9" w14:textId="77777777" w:rsidR="008B194A" w:rsidRPr="008E7E08" w:rsidRDefault="008B194A" w:rsidP="008B194A">
      <w:pPr>
        <w:rPr>
          <w:rFonts w:ascii="Arial" w:hAnsi="Arial" w:cs="Arial"/>
          <w:sz w:val="22"/>
          <w:szCs w:val="22"/>
          <w:lang w:val="cs-CZ"/>
        </w:rPr>
      </w:pPr>
    </w:p>
    <w:p w14:paraId="5D4C4C47" w14:textId="4CCF3BE7" w:rsidR="00921375" w:rsidRPr="008E7E08" w:rsidRDefault="00921375" w:rsidP="00921375">
      <w:pPr>
        <w:rPr>
          <w:rFonts w:ascii="Arial" w:hAnsi="Arial" w:cs="Arial"/>
          <w:sz w:val="22"/>
          <w:szCs w:val="22"/>
          <w:lang w:val="cs-CZ"/>
        </w:rPr>
      </w:pPr>
      <w:r w:rsidRPr="008E7E08">
        <w:rPr>
          <w:rFonts w:ascii="Arial" w:hAnsi="Arial" w:cs="Arial"/>
          <w:sz w:val="22"/>
          <w:szCs w:val="22"/>
          <w:lang w:val="cs-CZ"/>
        </w:rPr>
        <w:t xml:space="preserve">Společnost UPS poskytuje výhled na upravené bázi (neodpovídající účetním zásadám </w:t>
      </w:r>
      <w:proofErr w:type="spellStart"/>
      <w:r w:rsidRPr="008E7E08">
        <w:rPr>
          <w:rFonts w:ascii="Arial" w:hAnsi="Arial" w:cs="Arial"/>
          <w:sz w:val="22"/>
          <w:szCs w:val="22"/>
          <w:lang w:val="cs-CZ"/>
        </w:rPr>
        <w:t>GAAP</w:t>
      </w:r>
      <w:proofErr w:type="spellEnd"/>
      <w:r w:rsidRPr="008E7E08">
        <w:rPr>
          <w:rFonts w:ascii="Arial" w:hAnsi="Arial" w:cs="Arial"/>
          <w:sz w:val="22"/>
          <w:szCs w:val="22"/>
          <w:lang w:val="cs-CZ"/>
        </w:rPr>
        <w:t xml:space="preserve">), není totiž možné předpovědět či odhadnout vliv budoucího tržního nacenění penzijních položek a dalších neočekávaných událostí. Ty jsou zahrnuty ve vykazovaných výsledcích podle </w:t>
      </w:r>
      <w:proofErr w:type="spellStart"/>
      <w:r w:rsidRPr="008E7E08">
        <w:rPr>
          <w:rFonts w:ascii="Arial" w:hAnsi="Arial" w:cs="Arial"/>
          <w:sz w:val="22"/>
          <w:szCs w:val="22"/>
          <w:lang w:val="cs-CZ"/>
        </w:rPr>
        <w:t>GAAP</w:t>
      </w:r>
      <w:proofErr w:type="spellEnd"/>
      <w:r w:rsidRPr="008E7E08">
        <w:rPr>
          <w:rFonts w:ascii="Arial" w:hAnsi="Arial" w:cs="Arial"/>
          <w:sz w:val="22"/>
          <w:szCs w:val="22"/>
          <w:lang w:val="cs-CZ"/>
        </w:rPr>
        <w:t xml:space="preserve"> a</w:t>
      </w:r>
      <w:r w:rsidR="0078392E">
        <w:rPr>
          <w:rFonts w:ascii="Arial" w:hAnsi="Arial" w:cs="Arial"/>
          <w:sz w:val="22"/>
          <w:szCs w:val="22"/>
          <w:lang w:val="cs-CZ"/>
        </w:rPr>
        <w:t> </w:t>
      </w:r>
      <w:r w:rsidRPr="008E7E08">
        <w:rPr>
          <w:rFonts w:ascii="Arial" w:hAnsi="Arial" w:cs="Arial"/>
          <w:sz w:val="22"/>
          <w:szCs w:val="22"/>
          <w:lang w:val="cs-CZ"/>
        </w:rPr>
        <w:t>mohou být významné.</w:t>
      </w:r>
    </w:p>
    <w:p w14:paraId="5317283E" w14:textId="77777777" w:rsidR="00921375" w:rsidRPr="008E7E08" w:rsidRDefault="00921375" w:rsidP="00921375">
      <w:pPr>
        <w:rPr>
          <w:rFonts w:ascii="Arial" w:hAnsi="Arial" w:cs="Arial"/>
          <w:sz w:val="22"/>
          <w:szCs w:val="22"/>
          <w:lang w:val="cs-CZ"/>
        </w:rPr>
      </w:pPr>
    </w:p>
    <w:p w14:paraId="74929EBC" w14:textId="74066343" w:rsidR="00921375" w:rsidRPr="008E7E08" w:rsidRDefault="00921375" w:rsidP="00921375">
      <w:pPr>
        <w:rPr>
          <w:rFonts w:ascii="Arial" w:hAnsi="Arial" w:cs="Arial"/>
          <w:sz w:val="22"/>
          <w:szCs w:val="22"/>
          <w:lang w:val="cs-CZ"/>
        </w:rPr>
      </w:pPr>
      <w:r w:rsidRPr="008E7E08">
        <w:rPr>
          <w:rFonts w:ascii="Arial" w:hAnsi="Arial" w:cs="Arial"/>
          <w:sz w:val="22"/>
          <w:szCs w:val="22"/>
          <w:lang w:val="cs-CZ"/>
        </w:rPr>
        <w:t xml:space="preserve">„Společnost UPS dosáhla ve třetím čtvrtletí </w:t>
      </w:r>
      <w:r w:rsidR="001E684C" w:rsidRPr="008E7E08">
        <w:rPr>
          <w:rFonts w:ascii="Arial" w:hAnsi="Arial" w:cs="Arial"/>
          <w:sz w:val="22"/>
          <w:szCs w:val="22"/>
          <w:lang w:val="cs-CZ"/>
        </w:rPr>
        <w:t>dobrých</w:t>
      </w:r>
      <w:r w:rsidR="00630241" w:rsidRPr="008E7E08">
        <w:rPr>
          <w:rFonts w:ascii="Arial" w:hAnsi="Arial" w:cs="Arial"/>
          <w:sz w:val="22"/>
          <w:szCs w:val="22"/>
          <w:lang w:val="cs-CZ"/>
        </w:rPr>
        <w:t xml:space="preserve"> výsledků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,“ </w:t>
      </w:r>
      <w:r w:rsidR="001E684C" w:rsidRPr="008E7E08">
        <w:rPr>
          <w:rFonts w:ascii="Arial" w:hAnsi="Arial" w:cs="Arial"/>
          <w:sz w:val="22"/>
          <w:szCs w:val="22"/>
          <w:lang w:val="cs-CZ"/>
        </w:rPr>
        <w:t>uvedl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 Brian </w:t>
      </w:r>
      <w:proofErr w:type="spellStart"/>
      <w:r w:rsidRPr="008E7E08">
        <w:rPr>
          <w:rFonts w:ascii="Arial" w:hAnsi="Arial" w:cs="Arial"/>
          <w:sz w:val="22"/>
          <w:szCs w:val="22"/>
          <w:lang w:val="cs-CZ"/>
        </w:rPr>
        <w:t>Newman</w:t>
      </w:r>
      <w:proofErr w:type="spellEnd"/>
      <w:r w:rsidRPr="008E7E08">
        <w:rPr>
          <w:rFonts w:ascii="Arial" w:hAnsi="Arial" w:cs="Arial"/>
          <w:sz w:val="22"/>
          <w:szCs w:val="22"/>
          <w:lang w:val="cs-CZ"/>
        </w:rPr>
        <w:t xml:space="preserve">, finanční ředitel společnosti UPS. </w:t>
      </w:r>
      <w:r w:rsidR="00630241" w:rsidRPr="008E7E08">
        <w:rPr>
          <w:rFonts w:ascii="Arial" w:hAnsi="Arial" w:cs="Arial"/>
          <w:sz w:val="22"/>
          <w:szCs w:val="22"/>
          <w:lang w:val="cs-CZ"/>
        </w:rPr>
        <w:t>„</w:t>
      </w:r>
      <w:r w:rsidR="001E684C" w:rsidRPr="008E7E08">
        <w:rPr>
          <w:rFonts w:ascii="Arial" w:hAnsi="Arial" w:cs="Arial"/>
          <w:sz w:val="22"/>
          <w:szCs w:val="22"/>
          <w:lang w:val="cs-CZ"/>
        </w:rPr>
        <w:t>N</w:t>
      </w:r>
      <w:r w:rsidRPr="008E7E08">
        <w:rPr>
          <w:rFonts w:ascii="Arial" w:hAnsi="Arial" w:cs="Arial"/>
          <w:sz w:val="22"/>
          <w:szCs w:val="22"/>
          <w:lang w:val="cs-CZ"/>
        </w:rPr>
        <w:t>aš</w:t>
      </w:r>
      <w:r w:rsidR="001E684C" w:rsidRPr="008E7E08">
        <w:rPr>
          <w:rFonts w:ascii="Arial" w:hAnsi="Arial" w:cs="Arial"/>
          <w:sz w:val="22"/>
          <w:szCs w:val="22"/>
          <w:lang w:val="cs-CZ"/>
        </w:rPr>
        <w:t>e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 transformační iniciativ</w:t>
      </w:r>
      <w:r w:rsidR="001E684C" w:rsidRPr="008E7E08">
        <w:rPr>
          <w:rFonts w:ascii="Arial" w:hAnsi="Arial" w:cs="Arial"/>
          <w:sz w:val="22"/>
          <w:szCs w:val="22"/>
          <w:lang w:val="cs-CZ"/>
        </w:rPr>
        <w:t>y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 </w:t>
      </w:r>
      <w:r w:rsidR="001E684C" w:rsidRPr="008E7E08">
        <w:rPr>
          <w:rFonts w:ascii="Arial" w:hAnsi="Arial" w:cs="Arial"/>
          <w:sz w:val="22"/>
          <w:szCs w:val="22"/>
          <w:lang w:val="cs-CZ"/>
        </w:rPr>
        <w:t xml:space="preserve">se pozitivně odráží </w:t>
      </w:r>
      <w:r w:rsidRPr="008E7E08">
        <w:rPr>
          <w:rFonts w:ascii="Arial" w:hAnsi="Arial" w:cs="Arial"/>
          <w:sz w:val="22"/>
          <w:szCs w:val="22"/>
          <w:lang w:val="cs-CZ"/>
        </w:rPr>
        <w:t>v</w:t>
      </w:r>
      <w:r w:rsidR="001E684C" w:rsidRPr="008E7E08">
        <w:rPr>
          <w:rFonts w:ascii="Arial" w:hAnsi="Arial" w:cs="Arial"/>
          <w:sz w:val="22"/>
          <w:szCs w:val="22"/>
          <w:lang w:val="cs-CZ"/>
        </w:rPr>
        <w:t> </w:t>
      </w:r>
      <w:r w:rsidRPr="008E7E08">
        <w:rPr>
          <w:rFonts w:ascii="Arial" w:hAnsi="Arial" w:cs="Arial"/>
          <w:sz w:val="22"/>
          <w:szCs w:val="22"/>
          <w:lang w:val="cs-CZ"/>
        </w:rPr>
        <w:t>našich výsledcích</w:t>
      </w:r>
      <w:r w:rsidR="001E684C" w:rsidRPr="008E7E08">
        <w:rPr>
          <w:rFonts w:ascii="Arial" w:hAnsi="Arial" w:cs="Arial"/>
          <w:sz w:val="22"/>
          <w:szCs w:val="22"/>
          <w:lang w:val="cs-CZ"/>
        </w:rPr>
        <w:t xml:space="preserve">. </w:t>
      </w:r>
      <w:r w:rsidR="001E684C" w:rsidRPr="008E7E08">
        <w:rPr>
          <w:rFonts w:ascii="Arial" w:hAnsi="Arial" w:cs="Arial"/>
          <w:sz w:val="22"/>
          <w:szCs w:val="22"/>
          <w:lang w:val="cs-CZ"/>
        </w:rPr>
        <w:lastRenderedPageBreak/>
        <w:t>N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eustále zlepšujeme efektivitu sítě a </w:t>
      </w:r>
      <w:r w:rsidR="001E684C" w:rsidRPr="008E7E08">
        <w:rPr>
          <w:rFonts w:ascii="Arial" w:hAnsi="Arial" w:cs="Arial"/>
          <w:sz w:val="22"/>
          <w:szCs w:val="22"/>
          <w:lang w:val="cs-CZ"/>
        </w:rPr>
        <w:t>přicházíme s </w:t>
      </w:r>
      <w:r w:rsidRPr="008E7E08">
        <w:rPr>
          <w:rFonts w:ascii="Arial" w:hAnsi="Arial" w:cs="Arial"/>
          <w:sz w:val="22"/>
          <w:szCs w:val="22"/>
          <w:lang w:val="cs-CZ"/>
        </w:rPr>
        <w:t>nov</w:t>
      </w:r>
      <w:r w:rsidR="001E684C" w:rsidRPr="008E7E08">
        <w:rPr>
          <w:rFonts w:ascii="Arial" w:hAnsi="Arial" w:cs="Arial"/>
          <w:sz w:val="22"/>
          <w:szCs w:val="22"/>
          <w:lang w:val="cs-CZ"/>
        </w:rPr>
        <w:t>ými logistickými</w:t>
      </w:r>
      <w:r w:rsidRPr="008E7E08">
        <w:rPr>
          <w:rFonts w:ascii="Arial" w:hAnsi="Arial" w:cs="Arial"/>
          <w:sz w:val="22"/>
          <w:szCs w:val="22"/>
          <w:lang w:val="cs-CZ"/>
        </w:rPr>
        <w:t xml:space="preserve"> řešení</w:t>
      </w:r>
      <w:r w:rsidR="001E684C" w:rsidRPr="008E7E08">
        <w:rPr>
          <w:rFonts w:ascii="Arial" w:hAnsi="Arial" w:cs="Arial"/>
          <w:sz w:val="22"/>
          <w:szCs w:val="22"/>
          <w:lang w:val="cs-CZ"/>
        </w:rPr>
        <w:t>mi</w:t>
      </w:r>
      <w:r w:rsidRPr="008E7E08">
        <w:rPr>
          <w:rFonts w:ascii="Arial" w:hAnsi="Arial" w:cs="Arial"/>
          <w:sz w:val="22"/>
          <w:szCs w:val="22"/>
          <w:lang w:val="cs-CZ"/>
        </w:rPr>
        <w:t>, kter</w:t>
      </w:r>
      <w:r w:rsidR="001E684C" w:rsidRPr="008E7E08">
        <w:rPr>
          <w:rFonts w:ascii="Arial" w:hAnsi="Arial" w:cs="Arial"/>
          <w:sz w:val="22"/>
          <w:szCs w:val="22"/>
          <w:lang w:val="cs-CZ"/>
        </w:rPr>
        <w:t xml:space="preserve">é otevírají nové příležitosti pro </w:t>
      </w:r>
      <w:r w:rsidR="008E7E08">
        <w:rPr>
          <w:rFonts w:ascii="Arial" w:hAnsi="Arial" w:cs="Arial"/>
          <w:sz w:val="22"/>
          <w:szCs w:val="22"/>
          <w:lang w:val="cs-CZ"/>
        </w:rPr>
        <w:t xml:space="preserve">budoucí </w:t>
      </w:r>
      <w:r w:rsidR="001E684C" w:rsidRPr="008E7E08">
        <w:rPr>
          <w:rFonts w:ascii="Arial" w:hAnsi="Arial" w:cs="Arial"/>
          <w:sz w:val="22"/>
          <w:szCs w:val="22"/>
          <w:lang w:val="cs-CZ"/>
        </w:rPr>
        <w:t>růst</w:t>
      </w:r>
      <w:r w:rsidRPr="008E7E08">
        <w:rPr>
          <w:rFonts w:ascii="Arial" w:hAnsi="Arial" w:cs="Arial"/>
          <w:sz w:val="22"/>
          <w:szCs w:val="22"/>
          <w:lang w:val="cs-CZ"/>
        </w:rPr>
        <w:t>.</w:t>
      </w:r>
      <w:r w:rsidR="001E684C" w:rsidRPr="008E7E08">
        <w:rPr>
          <w:rFonts w:ascii="Arial" w:hAnsi="Arial" w:cs="Arial"/>
          <w:sz w:val="22"/>
          <w:szCs w:val="22"/>
          <w:lang w:val="cs-CZ"/>
        </w:rPr>
        <w:t>“</w:t>
      </w:r>
    </w:p>
    <w:p w14:paraId="37E08730" w14:textId="77777777" w:rsidR="00921375" w:rsidRPr="00921375" w:rsidRDefault="00921375" w:rsidP="00921375">
      <w:pPr>
        <w:rPr>
          <w:rFonts w:ascii="Arial" w:hAnsi="Arial" w:cs="Arial"/>
          <w:sz w:val="22"/>
          <w:szCs w:val="22"/>
          <w:lang w:val="cs-CZ"/>
        </w:rPr>
      </w:pPr>
    </w:p>
    <w:p w14:paraId="5A382FCE" w14:textId="77777777" w:rsidR="00921375" w:rsidRPr="00921375" w:rsidRDefault="001E684C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UPS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 znovu potvr</w:t>
      </w:r>
      <w:r>
        <w:rPr>
          <w:rFonts w:ascii="Arial" w:hAnsi="Arial" w:cs="Arial"/>
          <w:bCs/>
          <w:sz w:val="22"/>
          <w:szCs w:val="22"/>
          <w:lang w:val="cs-CZ"/>
        </w:rPr>
        <w:t xml:space="preserve">dila celoroční upravený zředěný zisk 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>v rozmezí 7,45 až 7,75 USD.</w:t>
      </w:r>
    </w:p>
    <w:p w14:paraId="388EDEEF" w14:textId="77777777" w:rsidR="00921375" w:rsidRPr="00921375" w:rsidRDefault="001E684C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Výhled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 nepředpoklád</w:t>
      </w:r>
      <w:r>
        <w:rPr>
          <w:rFonts w:ascii="Arial" w:hAnsi="Arial" w:cs="Arial"/>
          <w:bCs/>
          <w:sz w:val="22"/>
          <w:szCs w:val="22"/>
          <w:lang w:val="cs-CZ"/>
        </w:rPr>
        <w:t>á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 žádné další zhoršení, pokud jde o nejistotu světového obchodu nebo slab</w:t>
      </w:r>
      <w:r w:rsidR="00A9367E">
        <w:rPr>
          <w:rFonts w:ascii="Arial" w:hAnsi="Arial" w:cs="Arial"/>
          <w:bCs/>
          <w:sz w:val="22"/>
          <w:szCs w:val="22"/>
          <w:lang w:val="cs-CZ"/>
        </w:rPr>
        <w:t>ý trh USA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5C0B3C48" w14:textId="13EB02C4" w:rsidR="00921375" w:rsidRPr="00921375" w:rsidRDefault="0078392E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U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pravený volný peněžní tok pro tento rok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podle očekávání 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přesáhne 4,0 </w:t>
      </w:r>
      <w:r w:rsidR="00A35E2A">
        <w:rPr>
          <w:rFonts w:ascii="Arial" w:hAnsi="Arial" w:cs="Arial"/>
          <w:bCs/>
          <w:sz w:val="22"/>
          <w:szCs w:val="22"/>
          <w:lang w:val="cs-CZ"/>
        </w:rPr>
        <w:t>mld.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35E2A">
        <w:rPr>
          <w:rFonts w:ascii="Arial" w:hAnsi="Arial" w:cs="Arial"/>
          <w:bCs/>
          <w:sz w:val="22"/>
          <w:szCs w:val="22"/>
          <w:lang w:val="cs-CZ"/>
        </w:rPr>
        <w:t>USD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36147E9B" w14:textId="3AA1EAB5" w:rsidR="00921375" w:rsidRPr="00921375" w:rsidRDefault="00921375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921375">
        <w:rPr>
          <w:rFonts w:ascii="Arial" w:hAnsi="Arial" w:cs="Arial"/>
          <w:bCs/>
          <w:sz w:val="22"/>
          <w:szCs w:val="22"/>
          <w:lang w:val="cs-CZ"/>
        </w:rPr>
        <w:t xml:space="preserve">Kapitálové investice </w:t>
      </w:r>
      <w:r w:rsidR="00A35E2A">
        <w:rPr>
          <w:rFonts w:ascii="Arial" w:hAnsi="Arial" w:cs="Arial"/>
          <w:bCs/>
          <w:sz w:val="22"/>
          <w:szCs w:val="22"/>
          <w:lang w:val="cs-CZ"/>
        </w:rPr>
        <w:t xml:space="preserve">budou </w:t>
      </w:r>
      <w:r w:rsidRPr="00921375">
        <w:rPr>
          <w:rFonts w:ascii="Arial" w:hAnsi="Arial" w:cs="Arial"/>
          <w:bCs/>
          <w:sz w:val="22"/>
          <w:szCs w:val="22"/>
          <w:lang w:val="cs-CZ"/>
        </w:rPr>
        <w:t xml:space="preserve">v letech 2019 a 2020 </w:t>
      </w:r>
      <w:r w:rsidR="007B1CFB">
        <w:rPr>
          <w:rFonts w:ascii="Arial" w:hAnsi="Arial" w:cs="Arial"/>
          <w:bCs/>
          <w:sz w:val="22"/>
          <w:szCs w:val="22"/>
          <w:lang w:val="cs-CZ"/>
        </w:rPr>
        <w:t xml:space="preserve">každoročně </w:t>
      </w:r>
      <w:r w:rsidRPr="00921375">
        <w:rPr>
          <w:rFonts w:ascii="Arial" w:hAnsi="Arial" w:cs="Arial"/>
          <w:bCs/>
          <w:sz w:val="22"/>
          <w:szCs w:val="22"/>
          <w:lang w:val="cs-CZ"/>
        </w:rPr>
        <w:t xml:space="preserve">sníženy o zhruba 500 milionů USD. Cíle </w:t>
      </w:r>
      <w:r w:rsidR="00A35E2A">
        <w:rPr>
          <w:rFonts w:ascii="Arial" w:hAnsi="Arial" w:cs="Arial"/>
          <w:bCs/>
          <w:sz w:val="22"/>
          <w:szCs w:val="22"/>
          <w:lang w:val="cs-CZ"/>
        </w:rPr>
        <w:t xml:space="preserve">související s </w:t>
      </w:r>
      <w:r w:rsidRPr="00921375">
        <w:rPr>
          <w:rFonts w:ascii="Arial" w:hAnsi="Arial" w:cs="Arial"/>
          <w:bCs/>
          <w:sz w:val="22"/>
          <w:szCs w:val="22"/>
          <w:lang w:val="cs-CZ"/>
        </w:rPr>
        <w:t>automatizac</w:t>
      </w:r>
      <w:r w:rsidR="00A35E2A">
        <w:rPr>
          <w:rFonts w:ascii="Arial" w:hAnsi="Arial" w:cs="Arial"/>
          <w:bCs/>
          <w:sz w:val="22"/>
          <w:szCs w:val="22"/>
          <w:lang w:val="cs-CZ"/>
        </w:rPr>
        <w:t>í</w:t>
      </w:r>
      <w:r w:rsidRPr="00921375">
        <w:rPr>
          <w:rFonts w:ascii="Arial" w:hAnsi="Arial" w:cs="Arial"/>
          <w:bCs/>
          <w:sz w:val="22"/>
          <w:szCs w:val="22"/>
          <w:lang w:val="cs-CZ"/>
        </w:rPr>
        <w:t xml:space="preserve"> sítě a další </w:t>
      </w:r>
      <w:r w:rsidR="00A35E2A">
        <w:rPr>
          <w:rFonts w:ascii="Arial" w:hAnsi="Arial" w:cs="Arial"/>
          <w:bCs/>
          <w:sz w:val="22"/>
          <w:szCs w:val="22"/>
          <w:lang w:val="cs-CZ"/>
        </w:rPr>
        <w:t xml:space="preserve">transformační cíle </w:t>
      </w:r>
      <w:r w:rsidRPr="00921375">
        <w:rPr>
          <w:rFonts w:ascii="Arial" w:hAnsi="Arial" w:cs="Arial"/>
          <w:bCs/>
          <w:sz w:val="22"/>
          <w:szCs w:val="22"/>
          <w:lang w:val="cs-CZ"/>
        </w:rPr>
        <w:t>zůstávají nezměněny.</w:t>
      </w:r>
    </w:p>
    <w:p w14:paraId="4B49E217" w14:textId="77777777" w:rsidR="00921375" w:rsidRPr="00921375" w:rsidRDefault="00A35E2A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Skutečná 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 xml:space="preserve">sazba daně za celý rok 2019 se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podle odhadu bude pohybovat mezi 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>22 až 23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921375" w:rsidRPr="00921375">
        <w:rPr>
          <w:rFonts w:ascii="Arial" w:hAnsi="Arial" w:cs="Arial"/>
          <w:bCs/>
          <w:sz w:val="22"/>
          <w:szCs w:val="22"/>
          <w:lang w:val="cs-CZ"/>
        </w:rPr>
        <w:t>%.</w:t>
      </w:r>
    </w:p>
    <w:p w14:paraId="6C7367C4" w14:textId="77777777" w:rsidR="00921375" w:rsidRPr="00921375" w:rsidRDefault="00921375" w:rsidP="00921375">
      <w:pPr>
        <w:pStyle w:val="msolistparagraph0"/>
        <w:numPr>
          <w:ilvl w:val="0"/>
          <w:numId w:val="11"/>
        </w:numPr>
        <w:rPr>
          <w:rFonts w:ascii="Arial" w:hAnsi="Arial" w:cs="Arial"/>
          <w:bCs/>
          <w:sz w:val="22"/>
          <w:szCs w:val="22"/>
          <w:lang w:val="cs-CZ"/>
        </w:rPr>
      </w:pPr>
      <w:r w:rsidRPr="00921375">
        <w:rPr>
          <w:rFonts w:ascii="Arial" w:hAnsi="Arial" w:cs="Arial"/>
          <w:bCs/>
          <w:sz w:val="22"/>
          <w:szCs w:val="22"/>
          <w:lang w:val="cs-CZ"/>
        </w:rPr>
        <w:t xml:space="preserve">Transformační poplatky nejsou zahrnuty v upraveném </w:t>
      </w:r>
      <w:r w:rsidR="00A35E2A">
        <w:rPr>
          <w:rFonts w:ascii="Arial" w:hAnsi="Arial" w:cs="Arial"/>
          <w:bCs/>
          <w:sz w:val="22"/>
          <w:szCs w:val="22"/>
          <w:lang w:val="cs-CZ"/>
        </w:rPr>
        <w:t>výhledu</w:t>
      </w:r>
      <w:r w:rsidRPr="00921375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2260BB1F" w14:textId="77777777" w:rsidR="00921375" w:rsidRPr="008E7E08" w:rsidRDefault="00921375" w:rsidP="002501ED">
      <w:pPr>
        <w:rPr>
          <w:rFonts w:ascii="Arial" w:hAnsi="Arial" w:cs="Arial"/>
          <w:sz w:val="22"/>
          <w:szCs w:val="22"/>
          <w:lang w:val="cs-CZ"/>
        </w:rPr>
      </w:pPr>
    </w:p>
    <w:p w14:paraId="73F763E8" w14:textId="77777777" w:rsidR="00921375" w:rsidRPr="00FA53A3" w:rsidRDefault="00921375" w:rsidP="00921375">
      <w:pPr>
        <w:rPr>
          <w:rFonts w:ascii="Arial" w:hAnsi="Arial" w:cs="Arial"/>
          <w:bCs/>
          <w:i/>
          <w:iCs/>
          <w:sz w:val="18"/>
          <w:szCs w:val="18"/>
          <w:lang w:val="cs-CZ"/>
        </w:rPr>
      </w:pPr>
      <w:r w:rsidRPr="00FA53A3">
        <w:rPr>
          <w:rFonts w:ascii="Arial" w:hAnsi="Arial" w:cs="Arial"/>
          <w:bCs/>
          <w:i/>
          <w:iCs/>
          <w:sz w:val="18"/>
          <w:szCs w:val="18"/>
          <w:lang w:val="cs-CZ"/>
        </w:rPr>
        <w:t xml:space="preserve">** Jeden bazický bod je </w:t>
      </w:r>
      <w:r w:rsidRPr="004F79E7">
        <w:rPr>
          <w:rFonts w:ascii="Arial" w:hAnsi="Arial" w:cs="Arial"/>
          <w:bCs/>
          <w:i/>
          <w:iCs/>
          <w:sz w:val="18"/>
          <w:szCs w:val="18"/>
          <w:lang w:val="cs-CZ"/>
        </w:rPr>
        <w:t>ekvivalent jedné setiny procentního bodu</w:t>
      </w:r>
      <w:r w:rsidRPr="00FA53A3">
        <w:rPr>
          <w:rFonts w:ascii="Arial" w:hAnsi="Arial" w:cs="Arial"/>
          <w:bCs/>
          <w:i/>
          <w:iCs/>
          <w:sz w:val="18"/>
          <w:szCs w:val="18"/>
          <w:lang w:val="cs-CZ"/>
        </w:rPr>
        <w:t>.</w:t>
      </w:r>
    </w:p>
    <w:p w14:paraId="74C0BEB4" w14:textId="77777777" w:rsidR="00921375" w:rsidRPr="008E7E08" w:rsidRDefault="00921375" w:rsidP="002501ED">
      <w:pPr>
        <w:rPr>
          <w:rFonts w:ascii="Arial" w:hAnsi="Arial" w:cs="Arial"/>
          <w:sz w:val="22"/>
          <w:szCs w:val="22"/>
          <w:lang w:val="cs-CZ"/>
        </w:rPr>
      </w:pPr>
    </w:p>
    <w:p w14:paraId="6F35288D" w14:textId="77777777" w:rsidR="008B194A" w:rsidRPr="008E7E08" w:rsidRDefault="008B194A" w:rsidP="00E2710D">
      <w:pPr>
        <w:rPr>
          <w:rFonts w:ascii="Arial" w:hAnsi="Arial" w:cs="Arial"/>
          <w:sz w:val="22"/>
          <w:szCs w:val="22"/>
          <w:lang w:val="cs-CZ"/>
        </w:rPr>
      </w:pPr>
    </w:p>
    <w:p w14:paraId="6561999D" w14:textId="77777777" w:rsidR="00302BCF" w:rsidRPr="00696678" w:rsidRDefault="00302BCF" w:rsidP="00302BCF">
      <w:pPr>
        <w:pStyle w:val="Zkladntext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96678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6C4F078E" w14:textId="77777777" w:rsidR="00302BCF" w:rsidRPr="00696678" w:rsidRDefault="00302BCF" w:rsidP="00302BCF">
      <w:pPr>
        <w:rPr>
          <w:rFonts w:ascii="Arial" w:hAnsi="Arial" w:cs="Arial"/>
          <w:sz w:val="22"/>
          <w:szCs w:val="22"/>
          <w:lang w:val="cs-CZ"/>
        </w:rPr>
      </w:pPr>
    </w:p>
    <w:p w14:paraId="2EE1C587" w14:textId="77777777" w:rsidR="00302BCF" w:rsidRPr="00696678" w:rsidRDefault="00302BCF" w:rsidP="00302BCF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696678">
        <w:rPr>
          <w:rFonts w:ascii="Arial" w:hAnsi="Arial" w:cs="Arial"/>
          <w:sz w:val="22"/>
          <w:szCs w:val="22"/>
          <w:lang w:val="cs-CZ"/>
        </w:rPr>
        <w:t>UPS (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>) je světový lídr v oblasti logistiky a nabízí širokou škálu řešení včetně přepravy balíků a nákladní přepravy, usnadnění mezinárodního obchodu a</w:t>
      </w:r>
      <w:r w:rsidR="00200620" w:rsidRPr="00696678">
        <w:rPr>
          <w:rFonts w:ascii="Arial" w:hAnsi="Arial" w:cs="Arial"/>
          <w:sz w:val="22"/>
          <w:szCs w:val="22"/>
          <w:lang w:val="cs-CZ"/>
        </w:rPr>
        <w:t> </w:t>
      </w:r>
      <w:r w:rsidRPr="00696678">
        <w:rPr>
          <w:rFonts w:ascii="Arial" w:hAnsi="Arial" w:cs="Arial"/>
          <w:sz w:val="22"/>
          <w:szCs w:val="22"/>
          <w:lang w:val="cs-CZ"/>
        </w:rPr>
        <w:t>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</w:t>
      </w:r>
      <w:r w:rsidR="00200620" w:rsidRPr="00696678">
        <w:rPr>
          <w:rFonts w:ascii="Arial" w:hAnsi="Arial" w:cs="Arial"/>
          <w:sz w:val="22"/>
          <w:szCs w:val="22"/>
          <w:lang w:val="cs-CZ"/>
        </w:rPr>
        <w:t>a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 za nejvíce zákaznicky orientovanou americkou firmu (</w:t>
      </w:r>
      <w:proofErr w:type="spellStart"/>
      <w:r w:rsidR="00EE4442">
        <w:fldChar w:fldCharType="begin"/>
      </w:r>
      <w:r w:rsidR="00EE4442" w:rsidRPr="00EE4442">
        <w:rPr>
          <w:lang w:val="cs-CZ"/>
        </w:rPr>
        <w:instrText xml:space="preserve"> HYPERLINK "https://www.newswee</w:instrText>
      </w:r>
      <w:r w:rsidR="00EE4442" w:rsidRPr="00EE4442">
        <w:rPr>
          <w:lang w:val="cs-CZ"/>
        </w:rPr>
        <w:instrText xml:space="preserve">k.com/americas-best-customer-service-2019/services-transportation-travel" </w:instrText>
      </w:r>
      <w:r w:rsidR="00EE4442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 w:rsidR="00EE4442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>) v oblasti zasilatelství a distribuce; podle časopisu Forbes je firma Nejhodnotnější značkou v dopravě (</w:t>
      </w:r>
      <w:hyperlink r:id="rId10" w:anchor="tab:rank_industry:Transportation" w:history="1"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Most 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>Valuable</w:t>
        </w:r>
        <w:proofErr w:type="spellEnd"/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Brand in 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>Transportation</w:t>
        </w:r>
        <w:proofErr w:type="spellEnd"/>
      </w:hyperlink>
      <w:r w:rsidRPr="00696678">
        <w:rPr>
          <w:rFonts w:ascii="Arial" w:hAnsi="Arial" w:cs="Arial"/>
          <w:sz w:val="22"/>
          <w:szCs w:val="22"/>
          <w:lang w:val="cs-CZ"/>
        </w:rPr>
        <w:t>); UPS je vysoce ceněna i</w:t>
      </w:r>
      <w:r w:rsidR="00200620" w:rsidRPr="00696678">
        <w:rPr>
          <w:rFonts w:ascii="Arial" w:hAnsi="Arial" w:cs="Arial"/>
          <w:sz w:val="22"/>
          <w:szCs w:val="22"/>
          <w:lang w:val="cs-CZ"/>
        </w:rPr>
        <w:t> 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podle dalších prestižních hodnocení – v oblasti sociální odpovědnosti podle žebříčku </w:t>
      </w:r>
      <w:hyperlink r:id="rId11" w:anchor="4309ad3b2bf0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 w:rsidRPr="00696678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. Informace o společnosti naleznete na </w:t>
      </w:r>
      <w:r w:rsidRPr="00696678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2" w:tgtFrame="_blank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 w:rsidRPr="00696678"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hyperlink r:id="rId13" w:tgtFrame="_blank" w:history="1">
        <w:r w:rsidR="00200620"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="00200620"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longitudes</w:t>
        </w:r>
        <w:proofErr w:type="spellEnd"/>
      </w:hyperlink>
      <w:r w:rsidRPr="00696678">
        <w:rPr>
          <w:rFonts w:ascii="Arial" w:hAnsi="Arial" w:cs="Arial"/>
          <w:sz w:val="22"/>
          <w:szCs w:val="22"/>
          <w:lang w:val="cs-CZ"/>
        </w:rPr>
        <w:t xml:space="preserve">. Firemní online newsletter UPS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Horizons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4" w:history="1">
        <w:r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sustainabilitynewsletter</w:t>
        </w:r>
        <w:proofErr w:type="spellEnd"/>
      </w:hyperlink>
      <w:r w:rsidRPr="00696678">
        <w:rPr>
          <w:rFonts w:ascii="Arial" w:hAnsi="Arial" w:cs="Arial"/>
          <w:color w:val="0000FF"/>
          <w:sz w:val="22"/>
          <w:szCs w:val="22"/>
          <w:lang w:val="cs-CZ"/>
        </w:rPr>
        <w:t xml:space="preserve">. 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Novinky a zprávy UPS jsou k dispozici také prostřednictvím Twitteru na </w:t>
      </w:r>
      <w:hyperlink r:id="rId15" w:history="1"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 w:rsidRPr="00696678">
          <w:rPr>
            <w:rStyle w:val="Hypertextovodkaz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 w:rsidR="00200620" w:rsidRPr="00696678">
        <w:rPr>
          <w:rFonts w:ascii="Arial" w:hAnsi="Arial" w:cs="Arial"/>
          <w:sz w:val="22"/>
          <w:szCs w:val="22"/>
          <w:lang w:val="cs-CZ"/>
        </w:rPr>
        <w:t xml:space="preserve">, poslat zásilku je možné přes </w:t>
      </w:r>
      <w:hyperlink r:id="rId16" w:history="1">
        <w:r w:rsidR="00200620"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="00200620" w:rsidRPr="0069667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ship</w:t>
        </w:r>
        <w:proofErr w:type="spellEnd"/>
      </w:hyperlink>
      <w:r w:rsidR="00200620" w:rsidRPr="00696678">
        <w:rPr>
          <w:rFonts w:ascii="Arial" w:hAnsi="Arial" w:cs="Arial"/>
          <w:sz w:val="22"/>
          <w:szCs w:val="22"/>
          <w:lang w:val="cs-CZ"/>
        </w:rPr>
        <w:t>.</w:t>
      </w:r>
    </w:p>
    <w:p w14:paraId="26639819" w14:textId="77777777" w:rsidR="00302BCF" w:rsidRPr="00696678" w:rsidRDefault="00302BCF" w:rsidP="00EE4442">
      <w:pPr>
        <w:rPr>
          <w:rFonts w:ascii="Arial" w:hAnsi="Arial" w:cs="Arial"/>
          <w:sz w:val="22"/>
          <w:szCs w:val="22"/>
          <w:lang w:val="cs-CZ"/>
        </w:rPr>
      </w:pPr>
      <w:bookmarkStart w:id="1" w:name="_GoBack"/>
      <w:bookmarkEnd w:id="1"/>
    </w:p>
    <w:p w14:paraId="768B896F" w14:textId="77777777" w:rsidR="00B0128F" w:rsidRPr="00696678" w:rsidRDefault="0092416D" w:rsidP="006D4C14">
      <w:pPr>
        <w:jc w:val="center"/>
        <w:rPr>
          <w:rFonts w:ascii="Arial" w:hAnsi="Arial" w:cs="Arial"/>
          <w:color w:val="003436"/>
          <w:sz w:val="22"/>
          <w:szCs w:val="22"/>
        </w:rPr>
      </w:pPr>
      <w:r w:rsidRPr="00696678">
        <w:rPr>
          <w:rFonts w:ascii="Arial" w:hAnsi="Arial" w:cs="Arial"/>
          <w:color w:val="003436"/>
          <w:sz w:val="22"/>
          <w:szCs w:val="22"/>
        </w:rPr>
        <w:t># # #</w:t>
      </w:r>
    </w:p>
    <w:p w14:paraId="622463B4" w14:textId="77777777" w:rsidR="008F286A" w:rsidRPr="00696678" w:rsidRDefault="008F286A" w:rsidP="00A3766C">
      <w:pPr>
        <w:rPr>
          <w:rFonts w:ascii="Arial" w:hAnsi="Arial" w:cs="Arial"/>
          <w:b/>
          <w:sz w:val="22"/>
          <w:szCs w:val="22"/>
          <w:u w:val="single"/>
        </w:rPr>
      </w:pPr>
    </w:p>
    <w:sectPr w:rsidR="008F286A" w:rsidRPr="00696678" w:rsidSect="000346B8">
      <w:headerReference w:type="default" r:id="rId17"/>
      <w:headerReference w:type="first" r:id="rId18"/>
      <w:footerReference w:type="first" r:id="rId1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4982" w14:textId="77777777" w:rsidR="001615E3" w:rsidRDefault="001615E3">
      <w:r>
        <w:separator/>
      </w:r>
    </w:p>
  </w:endnote>
  <w:endnote w:type="continuationSeparator" w:id="0">
    <w:p w14:paraId="20659B2D" w14:textId="77777777" w:rsidR="001615E3" w:rsidRDefault="001615E3">
      <w:r>
        <w:continuationSeparator/>
      </w:r>
    </w:p>
  </w:endnote>
  <w:endnote w:type="continuationNotice" w:id="1">
    <w:p w14:paraId="6C12D201" w14:textId="77777777" w:rsidR="001615E3" w:rsidRDefault="00161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E30A" w14:textId="77777777" w:rsidR="008D7AC2" w:rsidRPr="00034414" w:rsidRDefault="008D7AC2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756B" w14:textId="77777777" w:rsidR="001615E3" w:rsidRDefault="001615E3">
      <w:r>
        <w:separator/>
      </w:r>
    </w:p>
  </w:footnote>
  <w:footnote w:type="continuationSeparator" w:id="0">
    <w:p w14:paraId="1D9A0AA7" w14:textId="77777777" w:rsidR="001615E3" w:rsidRDefault="001615E3">
      <w:r>
        <w:continuationSeparator/>
      </w:r>
    </w:p>
  </w:footnote>
  <w:footnote w:type="continuationNotice" w:id="1">
    <w:p w14:paraId="01E164A6" w14:textId="77777777" w:rsidR="001615E3" w:rsidRDefault="00161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7579" w14:textId="77777777" w:rsidR="008D7AC2" w:rsidRPr="00602E69" w:rsidRDefault="008D7AC2" w:rsidP="00602E69">
    <w:pPr>
      <w:pStyle w:val="Zhlav"/>
      <w:jc w:val="right"/>
      <w:rPr>
        <w:rFonts w:ascii="Arial" w:hAnsi="Arial" w:cs="Arial"/>
        <w:sz w:val="18"/>
        <w:szCs w:val="18"/>
      </w:rPr>
    </w:pPr>
  </w:p>
  <w:p w14:paraId="3BDC6FC2" w14:textId="77777777" w:rsidR="008D7AC2" w:rsidRPr="00AC447A" w:rsidRDefault="008D7AC2" w:rsidP="000346B8">
    <w:pPr>
      <w:pStyle w:val="Zhlav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C12" w14:textId="77777777" w:rsidR="008D7AC2" w:rsidRPr="007C49ED" w:rsidRDefault="008D7AC2" w:rsidP="00F36B0F">
    <w:pPr>
      <w:pStyle w:val="Zhlav"/>
      <w:tabs>
        <w:tab w:val="clear" w:pos="4320"/>
        <w:tab w:val="center" w:pos="0"/>
        <w:tab w:val="left" w:pos="4665"/>
      </w:tabs>
      <w:ind w:left="3240" w:hanging="342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69D8"/>
    <w:multiLevelType w:val="hybridMultilevel"/>
    <w:tmpl w:val="C3BE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46DE0"/>
    <w:multiLevelType w:val="hybridMultilevel"/>
    <w:tmpl w:val="E46240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594"/>
    <w:multiLevelType w:val="hybridMultilevel"/>
    <w:tmpl w:val="D5F26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8F2FD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1964"/>
    <w:multiLevelType w:val="hybridMultilevel"/>
    <w:tmpl w:val="6B00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72036BF"/>
    <w:multiLevelType w:val="hybridMultilevel"/>
    <w:tmpl w:val="07D6D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3D95"/>
    <w:multiLevelType w:val="hybridMultilevel"/>
    <w:tmpl w:val="8BB8812A"/>
    <w:lvl w:ilvl="0" w:tplc="9AB0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E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0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2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142B64"/>
    <w:multiLevelType w:val="multilevel"/>
    <w:tmpl w:val="D1F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FC4C01"/>
    <w:multiLevelType w:val="hybridMultilevel"/>
    <w:tmpl w:val="2960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333CD"/>
    <w:multiLevelType w:val="hybridMultilevel"/>
    <w:tmpl w:val="2CDA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C5B20F9"/>
    <w:multiLevelType w:val="hybridMultilevel"/>
    <w:tmpl w:val="596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1137"/>
    <w:multiLevelType w:val="hybridMultilevel"/>
    <w:tmpl w:val="1DB62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DB87A33"/>
    <w:multiLevelType w:val="multilevel"/>
    <w:tmpl w:val="B4D2589C"/>
    <w:lvl w:ilvl="0">
      <w:start w:val="1"/>
      <w:numFmt w:val="bullet"/>
      <w:pStyle w:val="QA1-Bullet-1st-Cle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808080"/>
        <w:sz w:val="16"/>
      </w:rPr>
    </w:lvl>
    <w:lvl w:ilvl="5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E9"/>
    <w:rsid w:val="000001AA"/>
    <w:rsid w:val="000009AD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38AB"/>
    <w:rsid w:val="00003F79"/>
    <w:rsid w:val="000046CC"/>
    <w:rsid w:val="00004702"/>
    <w:rsid w:val="000048BC"/>
    <w:rsid w:val="000057C1"/>
    <w:rsid w:val="0000599F"/>
    <w:rsid w:val="00005E38"/>
    <w:rsid w:val="00006B7B"/>
    <w:rsid w:val="00007181"/>
    <w:rsid w:val="0001037D"/>
    <w:rsid w:val="00010E65"/>
    <w:rsid w:val="00010EF6"/>
    <w:rsid w:val="00010EFA"/>
    <w:rsid w:val="0001150F"/>
    <w:rsid w:val="0001152C"/>
    <w:rsid w:val="0001185A"/>
    <w:rsid w:val="00011AEF"/>
    <w:rsid w:val="00012B1F"/>
    <w:rsid w:val="000138EB"/>
    <w:rsid w:val="000139B5"/>
    <w:rsid w:val="00013BB0"/>
    <w:rsid w:val="00013E39"/>
    <w:rsid w:val="00013EA6"/>
    <w:rsid w:val="00014512"/>
    <w:rsid w:val="000145DA"/>
    <w:rsid w:val="000152E7"/>
    <w:rsid w:val="00015BC1"/>
    <w:rsid w:val="0001608E"/>
    <w:rsid w:val="00016177"/>
    <w:rsid w:val="00016298"/>
    <w:rsid w:val="00016A51"/>
    <w:rsid w:val="00017619"/>
    <w:rsid w:val="00017624"/>
    <w:rsid w:val="00020147"/>
    <w:rsid w:val="0002098F"/>
    <w:rsid w:val="000209FE"/>
    <w:rsid w:val="00020EE2"/>
    <w:rsid w:val="00021289"/>
    <w:rsid w:val="0002227F"/>
    <w:rsid w:val="00022360"/>
    <w:rsid w:val="000223B2"/>
    <w:rsid w:val="00023555"/>
    <w:rsid w:val="000238FA"/>
    <w:rsid w:val="00023E74"/>
    <w:rsid w:val="000243F0"/>
    <w:rsid w:val="00024A62"/>
    <w:rsid w:val="00024AC7"/>
    <w:rsid w:val="00025957"/>
    <w:rsid w:val="00025BA7"/>
    <w:rsid w:val="00025ECA"/>
    <w:rsid w:val="000270C6"/>
    <w:rsid w:val="00030419"/>
    <w:rsid w:val="0003069C"/>
    <w:rsid w:val="00030EE2"/>
    <w:rsid w:val="00030F0B"/>
    <w:rsid w:val="000314AD"/>
    <w:rsid w:val="000314D4"/>
    <w:rsid w:val="00031BA6"/>
    <w:rsid w:val="00031E52"/>
    <w:rsid w:val="00031FF1"/>
    <w:rsid w:val="00032756"/>
    <w:rsid w:val="0003277E"/>
    <w:rsid w:val="00032B7A"/>
    <w:rsid w:val="00032DEA"/>
    <w:rsid w:val="00032F33"/>
    <w:rsid w:val="00033409"/>
    <w:rsid w:val="00033412"/>
    <w:rsid w:val="00033574"/>
    <w:rsid w:val="00033990"/>
    <w:rsid w:val="00033BC4"/>
    <w:rsid w:val="00034084"/>
    <w:rsid w:val="000341DE"/>
    <w:rsid w:val="00034414"/>
    <w:rsid w:val="000346A9"/>
    <w:rsid w:val="000346B8"/>
    <w:rsid w:val="00034865"/>
    <w:rsid w:val="00034F95"/>
    <w:rsid w:val="00035AB9"/>
    <w:rsid w:val="00035E68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07A5"/>
    <w:rsid w:val="00040802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59E4"/>
    <w:rsid w:val="00046D73"/>
    <w:rsid w:val="00047024"/>
    <w:rsid w:val="00050B3D"/>
    <w:rsid w:val="00050EEC"/>
    <w:rsid w:val="00051155"/>
    <w:rsid w:val="00052042"/>
    <w:rsid w:val="00052501"/>
    <w:rsid w:val="00053814"/>
    <w:rsid w:val="0005470C"/>
    <w:rsid w:val="000555D7"/>
    <w:rsid w:val="00055ABC"/>
    <w:rsid w:val="00055C69"/>
    <w:rsid w:val="00055EAA"/>
    <w:rsid w:val="00056264"/>
    <w:rsid w:val="00056BB6"/>
    <w:rsid w:val="00057025"/>
    <w:rsid w:val="00057381"/>
    <w:rsid w:val="000574CB"/>
    <w:rsid w:val="0005777D"/>
    <w:rsid w:val="00057816"/>
    <w:rsid w:val="00057B46"/>
    <w:rsid w:val="000601AD"/>
    <w:rsid w:val="000605FD"/>
    <w:rsid w:val="00060E93"/>
    <w:rsid w:val="00061559"/>
    <w:rsid w:val="0006242B"/>
    <w:rsid w:val="000625E9"/>
    <w:rsid w:val="00062A32"/>
    <w:rsid w:val="00062C26"/>
    <w:rsid w:val="00062CEA"/>
    <w:rsid w:val="00063266"/>
    <w:rsid w:val="00063957"/>
    <w:rsid w:val="00063A5B"/>
    <w:rsid w:val="0006447B"/>
    <w:rsid w:val="00065DAD"/>
    <w:rsid w:val="00065E6A"/>
    <w:rsid w:val="00066105"/>
    <w:rsid w:val="000665F0"/>
    <w:rsid w:val="00066B00"/>
    <w:rsid w:val="00066B4B"/>
    <w:rsid w:val="00066C39"/>
    <w:rsid w:val="00066E53"/>
    <w:rsid w:val="00066EC9"/>
    <w:rsid w:val="0006734E"/>
    <w:rsid w:val="00070311"/>
    <w:rsid w:val="000703B7"/>
    <w:rsid w:val="0007073D"/>
    <w:rsid w:val="00070906"/>
    <w:rsid w:val="00071848"/>
    <w:rsid w:val="00071CA3"/>
    <w:rsid w:val="00072B36"/>
    <w:rsid w:val="00072D38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2FFE"/>
    <w:rsid w:val="00083090"/>
    <w:rsid w:val="000832F9"/>
    <w:rsid w:val="00083894"/>
    <w:rsid w:val="00084379"/>
    <w:rsid w:val="0008447A"/>
    <w:rsid w:val="00084CBC"/>
    <w:rsid w:val="00085354"/>
    <w:rsid w:val="000853DF"/>
    <w:rsid w:val="00085810"/>
    <w:rsid w:val="000866E0"/>
    <w:rsid w:val="00086F86"/>
    <w:rsid w:val="00087CB9"/>
    <w:rsid w:val="000903AC"/>
    <w:rsid w:val="00090852"/>
    <w:rsid w:val="00090BCB"/>
    <w:rsid w:val="00090C7C"/>
    <w:rsid w:val="00090CFB"/>
    <w:rsid w:val="0009111F"/>
    <w:rsid w:val="00091121"/>
    <w:rsid w:val="000913F0"/>
    <w:rsid w:val="00091710"/>
    <w:rsid w:val="00091C9D"/>
    <w:rsid w:val="00093487"/>
    <w:rsid w:val="00094F32"/>
    <w:rsid w:val="0009544A"/>
    <w:rsid w:val="000954C0"/>
    <w:rsid w:val="000959E5"/>
    <w:rsid w:val="00095A24"/>
    <w:rsid w:val="000976B8"/>
    <w:rsid w:val="0009777D"/>
    <w:rsid w:val="00097B4A"/>
    <w:rsid w:val="00097D20"/>
    <w:rsid w:val="00097F41"/>
    <w:rsid w:val="00097FCE"/>
    <w:rsid w:val="000A0456"/>
    <w:rsid w:val="000A053A"/>
    <w:rsid w:val="000A0B78"/>
    <w:rsid w:val="000A1361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8B"/>
    <w:rsid w:val="000A77DA"/>
    <w:rsid w:val="000A78AC"/>
    <w:rsid w:val="000B0B29"/>
    <w:rsid w:val="000B1EE6"/>
    <w:rsid w:val="000B20CF"/>
    <w:rsid w:val="000B2AE2"/>
    <w:rsid w:val="000B33BD"/>
    <w:rsid w:val="000B3497"/>
    <w:rsid w:val="000B3C08"/>
    <w:rsid w:val="000B3C30"/>
    <w:rsid w:val="000B442C"/>
    <w:rsid w:val="000B4A03"/>
    <w:rsid w:val="000B4CB8"/>
    <w:rsid w:val="000B4CC5"/>
    <w:rsid w:val="000B561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3D93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706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B1E"/>
    <w:rsid w:val="000D6DF8"/>
    <w:rsid w:val="000D6E39"/>
    <w:rsid w:val="000D7811"/>
    <w:rsid w:val="000D78F7"/>
    <w:rsid w:val="000D7979"/>
    <w:rsid w:val="000D7D48"/>
    <w:rsid w:val="000E025E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28E"/>
    <w:rsid w:val="000E3F10"/>
    <w:rsid w:val="000E4053"/>
    <w:rsid w:val="000E40E0"/>
    <w:rsid w:val="000E4408"/>
    <w:rsid w:val="000E5379"/>
    <w:rsid w:val="000E624D"/>
    <w:rsid w:val="000E6D0D"/>
    <w:rsid w:val="000E6EAA"/>
    <w:rsid w:val="000E7712"/>
    <w:rsid w:val="000F03F7"/>
    <w:rsid w:val="000F0F70"/>
    <w:rsid w:val="000F1CE4"/>
    <w:rsid w:val="000F2042"/>
    <w:rsid w:val="000F2273"/>
    <w:rsid w:val="000F2933"/>
    <w:rsid w:val="000F2B05"/>
    <w:rsid w:val="000F2FEA"/>
    <w:rsid w:val="000F346D"/>
    <w:rsid w:val="000F383E"/>
    <w:rsid w:val="000F41A5"/>
    <w:rsid w:val="000F484E"/>
    <w:rsid w:val="000F59EF"/>
    <w:rsid w:val="000F5B11"/>
    <w:rsid w:val="000F5B30"/>
    <w:rsid w:val="000F65BC"/>
    <w:rsid w:val="000F67F5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1E05"/>
    <w:rsid w:val="00111F2F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6A"/>
    <w:rsid w:val="0011639D"/>
    <w:rsid w:val="0011667E"/>
    <w:rsid w:val="001170A5"/>
    <w:rsid w:val="001179E3"/>
    <w:rsid w:val="0012056F"/>
    <w:rsid w:val="00120784"/>
    <w:rsid w:val="0012084A"/>
    <w:rsid w:val="00120BAB"/>
    <w:rsid w:val="00120EF6"/>
    <w:rsid w:val="00121323"/>
    <w:rsid w:val="001214B2"/>
    <w:rsid w:val="001215D4"/>
    <w:rsid w:val="00121A07"/>
    <w:rsid w:val="00122485"/>
    <w:rsid w:val="001228D4"/>
    <w:rsid w:val="00123815"/>
    <w:rsid w:val="00123A5B"/>
    <w:rsid w:val="00124D39"/>
    <w:rsid w:val="00126151"/>
    <w:rsid w:val="001261E7"/>
    <w:rsid w:val="001262B3"/>
    <w:rsid w:val="0012670D"/>
    <w:rsid w:val="00126BB6"/>
    <w:rsid w:val="00126DED"/>
    <w:rsid w:val="00127993"/>
    <w:rsid w:val="001279AB"/>
    <w:rsid w:val="00127D26"/>
    <w:rsid w:val="001303EA"/>
    <w:rsid w:val="00130B44"/>
    <w:rsid w:val="00130DD5"/>
    <w:rsid w:val="00131B97"/>
    <w:rsid w:val="00131BA1"/>
    <w:rsid w:val="00132068"/>
    <w:rsid w:val="00132DF4"/>
    <w:rsid w:val="00133D62"/>
    <w:rsid w:val="0013469F"/>
    <w:rsid w:val="00135D6B"/>
    <w:rsid w:val="00136137"/>
    <w:rsid w:val="001375F9"/>
    <w:rsid w:val="00137C83"/>
    <w:rsid w:val="00137E23"/>
    <w:rsid w:val="00137F73"/>
    <w:rsid w:val="00140166"/>
    <w:rsid w:val="0014055C"/>
    <w:rsid w:val="001406B4"/>
    <w:rsid w:val="001410EB"/>
    <w:rsid w:val="001413D9"/>
    <w:rsid w:val="00141755"/>
    <w:rsid w:val="001423E9"/>
    <w:rsid w:val="00142542"/>
    <w:rsid w:val="001427D7"/>
    <w:rsid w:val="00142850"/>
    <w:rsid w:val="001436B0"/>
    <w:rsid w:val="00143DBB"/>
    <w:rsid w:val="00143EEF"/>
    <w:rsid w:val="0014456D"/>
    <w:rsid w:val="00144BC1"/>
    <w:rsid w:val="00144E1A"/>
    <w:rsid w:val="00144E31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718"/>
    <w:rsid w:val="00152FBD"/>
    <w:rsid w:val="001532F3"/>
    <w:rsid w:val="00153395"/>
    <w:rsid w:val="00153A74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5E3"/>
    <w:rsid w:val="001616A3"/>
    <w:rsid w:val="00161B7C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BCD"/>
    <w:rsid w:val="00170347"/>
    <w:rsid w:val="001705B2"/>
    <w:rsid w:val="00170B7B"/>
    <w:rsid w:val="00170BE7"/>
    <w:rsid w:val="00171A92"/>
    <w:rsid w:val="00171AB4"/>
    <w:rsid w:val="00171C66"/>
    <w:rsid w:val="001729EB"/>
    <w:rsid w:val="001737D8"/>
    <w:rsid w:val="0017498A"/>
    <w:rsid w:val="00175428"/>
    <w:rsid w:val="00175464"/>
    <w:rsid w:val="00175A11"/>
    <w:rsid w:val="00176343"/>
    <w:rsid w:val="00176DD7"/>
    <w:rsid w:val="0017738D"/>
    <w:rsid w:val="00177766"/>
    <w:rsid w:val="0017790C"/>
    <w:rsid w:val="00177AA7"/>
    <w:rsid w:val="00177F98"/>
    <w:rsid w:val="00180DD5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72B5"/>
    <w:rsid w:val="00187E21"/>
    <w:rsid w:val="00190155"/>
    <w:rsid w:val="0019052C"/>
    <w:rsid w:val="00190B42"/>
    <w:rsid w:val="00190C4B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1C4"/>
    <w:rsid w:val="001A2423"/>
    <w:rsid w:val="001A29A7"/>
    <w:rsid w:val="001A31C6"/>
    <w:rsid w:val="001A398E"/>
    <w:rsid w:val="001A3FB9"/>
    <w:rsid w:val="001A4088"/>
    <w:rsid w:val="001A4568"/>
    <w:rsid w:val="001A46F5"/>
    <w:rsid w:val="001A490E"/>
    <w:rsid w:val="001A4B8E"/>
    <w:rsid w:val="001A58DF"/>
    <w:rsid w:val="001A5BBC"/>
    <w:rsid w:val="001A6290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B30"/>
    <w:rsid w:val="001B2EE4"/>
    <w:rsid w:val="001B2EED"/>
    <w:rsid w:val="001B2F0A"/>
    <w:rsid w:val="001B360A"/>
    <w:rsid w:val="001B400D"/>
    <w:rsid w:val="001B4031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6CF"/>
    <w:rsid w:val="001C16EC"/>
    <w:rsid w:val="001C186B"/>
    <w:rsid w:val="001C21A9"/>
    <w:rsid w:val="001C267F"/>
    <w:rsid w:val="001C437D"/>
    <w:rsid w:val="001C458D"/>
    <w:rsid w:val="001C4621"/>
    <w:rsid w:val="001C4907"/>
    <w:rsid w:val="001C4A87"/>
    <w:rsid w:val="001C525A"/>
    <w:rsid w:val="001C5443"/>
    <w:rsid w:val="001C5786"/>
    <w:rsid w:val="001C5BE1"/>
    <w:rsid w:val="001C5DFB"/>
    <w:rsid w:val="001C6304"/>
    <w:rsid w:val="001C6BD2"/>
    <w:rsid w:val="001C6BFF"/>
    <w:rsid w:val="001C7B5B"/>
    <w:rsid w:val="001C7BB7"/>
    <w:rsid w:val="001C7F78"/>
    <w:rsid w:val="001D0071"/>
    <w:rsid w:val="001D0226"/>
    <w:rsid w:val="001D0C17"/>
    <w:rsid w:val="001D1CA7"/>
    <w:rsid w:val="001D1E65"/>
    <w:rsid w:val="001D2155"/>
    <w:rsid w:val="001D269F"/>
    <w:rsid w:val="001D3A35"/>
    <w:rsid w:val="001D3EDE"/>
    <w:rsid w:val="001D3F51"/>
    <w:rsid w:val="001D476F"/>
    <w:rsid w:val="001D5829"/>
    <w:rsid w:val="001D5B15"/>
    <w:rsid w:val="001D7AAA"/>
    <w:rsid w:val="001D7E4C"/>
    <w:rsid w:val="001E01BC"/>
    <w:rsid w:val="001E0219"/>
    <w:rsid w:val="001E02B0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1B0"/>
    <w:rsid w:val="001E4D69"/>
    <w:rsid w:val="001E50E1"/>
    <w:rsid w:val="001E5239"/>
    <w:rsid w:val="001E5309"/>
    <w:rsid w:val="001E5EA1"/>
    <w:rsid w:val="001E6577"/>
    <w:rsid w:val="001E684C"/>
    <w:rsid w:val="001E6A24"/>
    <w:rsid w:val="001E70C7"/>
    <w:rsid w:val="001E7684"/>
    <w:rsid w:val="001E77B6"/>
    <w:rsid w:val="001F07B4"/>
    <w:rsid w:val="001F0829"/>
    <w:rsid w:val="001F096A"/>
    <w:rsid w:val="001F0E82"/>
    <w:rsid w:val="001F1A0D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3C0"/>
    <w:rsid w:val="001F4769"/>
    <w:rsid w:val="001F4A35"/>
    <w:rsid w:val="001F4E0D"/>
    <w:rsid w:val="001F4E4B"/>
    <w:rsid w:val="001F54B8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620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BE0"/>
    <w:rsid w:val="00206EB7"/>
    <w:rsid w:val="00207482"/>
    <w:rsid w:val="002078DF"/>
    <w:rsid w:val="00207CF3"/>
    <w:rsid w:val="00210463"/>
    <w:rsid w:val="00210B1C"/>
    <w:rsid w:val="00210D12"/>
    <w:rsid w:val="0021108D"/>
    <w:rsid w:val="00211D32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9CE"/>
    <w:rsid w:val="00215BCB"/>
    <w:rsid w:val="00216582"/>
    <w:rsid w:val="00216AD0"/>
    <w:rsid w:val="00216AFF"/>
    <w:rsid w:val="00216D83"/>
    <w:rsid w:val="002176E7"/>
    <w:rsid w:val="00220CAC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0E2"/>
    <w:rsid w:val="00240E94"/>
    <w:rsid w:val="00240F9D"/>
    <w:rsid w:val="00241228"/>
    <w:rsid w:val="00241657"/>
    <w:rsid w:val="0024184D"/>
    <w:rsid w:val="00241D35"/>
    <w:rsid w:val="00242034"/>
    <w:rsid w:val="002421D3"/>
    <w:rsid w:val="002422D7"/>
    <w:rsid w:val="00242B67"/>
    <w:rsid w:val="002441DE"/>
    <w:rsid w:val="002445FB"/>
    <w:rsid w:val="00244948"/>
    <w:rsid w:val="002449A5"/>
    <w:rsid w:val="00245DCF"/>
    <w:rsid w:val="0024655C"/>
    <w:rsid w:val="00246AB8"/>
    <w:rsid w:val="002501ED"/>
    <w:rsid w:val="002509AF"/>
    <w:rsid w:val="00250B77"/>
    <w:rsid w:val="00250CA1"/>
    <w:rsid w:val="00250D5B"/>
    <w:rsid w:val="0025113B"/>
    <w:rsid w:val="00251176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5BCA"/>
    <w:rsid w:val="00256EFF"/>
    <w:rsid w:val="00257056"/>
    <w:rsid w:val="00257193"/>
    <w:rsid w:val="00257FBE"/>
    <w:rsid w:val="002602F0"/>
    <w:rsid w:val="00260BC3"/>
    <w:rsid w:val="0026130C"/>
    <w:rsid w:val="002618DB"/>
    <w:rsid w:val="00262BB1"/>
    <w:rsid w:val="00262E16"/>
    <w:rsid w:val="00263095"/>
    <w:rsid w:val="00263635"/>
    <w:rsid w:val="00263CC4"/>
    <w:rsid w:val="002645E7"/>
    <w:rsid w:val="00264711"/>
    <w:rsid w:val="002651E6"/>
    <w:rsid w:val="00265EC8"/>
    <w:rsid w:val="002660F8"/>
    <w:rsid w:val="00266BBB"/>
    <w:rsid w:val="00266C36"/>
    <w:rsid w:val="0026708F"/>
    <w:rsid w:val="002670A9"/>
    <w:rsid w:val="00267368"/>
    <w:rsid w:val="00267991"/>
    <w:rsid w:val="00267997"/>
    <w:rsid w:val="00267D9B"/>
    <w:rsid w:val="00271904"/>
    <w:rsid w:val="0027286F"/>
    <w:rsid w:val="0027295C"/>
    <w:rsid w:val="00272990"/>
    <w:rsid w:val="0027337C"/>
    <w:rsid w:val="00273BC7"/>
    <w:rsid w:val="00273EF1"/>
    <w:rsid w:val="002740F5"/>
    <w:rsid w:val="00274794"/>
    <w:rsid w:val="00274920"/>
    <w:rsid w:val="0027555C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787"/>
    <w:rsid w:val="00280BE3"/>
    <w:rsid w:val="002812FA"/>
    <w:rsid w:val="00281492"/>
    <w:rsid w:val="00282A71"/>
    <w:rsid w:val="00282E42"/>
    <w:rsid w:val="0028398B"/>
    <w:rsid w:val="00283D40"/>
    <w:rsid w:val="00284120"/>
    <w:rsid w:val="00284372"/>
    <w:rsid w:val="0028470C"/>
    <w:rsid w:val="00284B16"/>
    <w:rsid w:val="00285167"/>
    <w:rsid w:val="002851AC"/>
    <w:rsid w:val="002856BC"/>
    <w:rsid w:val="00286555"/>
    <w:rsid w:val="00287C0A"/>
    <w:rsid w:val="00290263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4857"/>
    <w:rsid w:val="00295586"/>
    <w:rsid w:val="002959D3"/>
    <w:rsid w:val="00296337"/>
    <w:rsid w:val="00296586"/>
    <w:rsid w:val="0029677C"/>
    <w:rsid w:val="00296A00"/>
    <w:rsid w:val="00296D70"/>
    <w:rsid w:val="00296E9C"/>
    <w:rsid w:val="00297045"/>
    <w:rsid w:val="00297048"/>
    <w:rsid w:val="00297BF7"/>
    <w:rsid w:val="002A0188"/>
    <w:rsid w:val="002A0B48"/>
    <w:rsid w:val="002A0DAB"/>
    <w:rsid w:val="002A0FBC"/>
    <w:rsid w:val="002A0FDD"/>
    <w:rsid w:val="002A2042"/>
    <w:rsid w:val="002A2323"/>
    <w:rsid w:val="002A244B"/>
    <w:rsid w:val="002A27F4"/>
    <w:rsid w:val="002A415C"/>
    <w:rsid w:val="002A515E"/>
    <w:rsid w:val="002A5271"/>
    <w:rsid w:val="002A572E"/>
    <w:rsid w:val="002A57D6"/>
    <w:rsid w:val="002A58B2"/>
    <w:rsid w:val="002A6649"/>
    <w:rsid w:val="002A7139"/>
    <w:rsid w:val="002A717C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5F30"/>
    <w:rsid w:val="002B6068"/>
    <w:rsid w:val="002B60BC"/>
    <w:rsid w:val="002B66FB"/>
    <w:rsid w:val="002B6C9F"/>
    <w:rsid w:val="002B6D69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59C6"/>
    <w:rsid w:val="002C6F3C"/>
    <w:rsid w:val="002C79D9"/>
    <w:rsid w:val="002C7BAF"/>
    <w:rsid w:val="002C7BF5"/>
    <w:rsid w:val="002C7FEB"/>
    <w:rsid w:val="002D0446"/>
    <w:rsid w:val="002D17C0"/>
    <w:rsid w:val="002D1BA3"/>
    <w:rsid w:val="002D24F9"/>
    <w:rsid w:val="002D25D2"/>
    <w:rsid w:val="002D304B"/>
    <w:rsid w:val="002D462B"/>
    <w:rsid w:val="002D462D"/>
    <w:rsid w:val="002D4C5E"/>
    <w:rsid w:val="002D5A13"/>
    <w:rsid w:val="002D764C"/>
    <w:rsid w:val="002E0FD1"/>
    <w:rsid w:val="002E1477"/>
    <w:rsid w:val="002E177A"/>
    <w:rsid w:val="002E17A1"/>
    <w:rsid w:val="002E1A21"/>
    <w:rsid w:val="002E1A8F"/>
    <w:rsid w:val="002E1ED9"/>
    <w:rsid w:val="002E22C6"/>
    <w:rsid w:val="002E28FC"/>
    <w:rsid w:val="002E2EB6"/>
    <w:rsid w:val="002E308D"/>
    <w:rsid w:val="002E35F0"/>
    <w:rsid w:val="002E39FA"/>
    <w:rsid w:val="002E42F1"/>
    <w:rsid w:val="002E46BE"/>
    <w:rsid w:val="002E4926"/>
    <w:rsid w:val="002E5778"/>
    <w:rsid w:val="002E59AD"/>
    <w:rsid w:val="002E5CA4"/>
    <w:rsid w:val="002E5D3B"/>
    <w:rsid w:val="002E6031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3E9C"/>
    <w:rsid w:val="002F4199"/>
    <w:rsid w:val="002F566E"/>
    <w:rsid w:val="002F5894"/>
    <w:rsid w:val="002F6B1D"/>
    <w:rsid w:val="002F6C16"/>
    <w:rsid w:val="002F6DAB"/>
    <w:rsid w:val="002F6ED9"/>
    <w:rsid w:val="002F7190"/>
    <w:rsid w:val="002F757F"/>
    <w:rsid w:val="002F7819"/>
    <w:rsid w:val="002F7C66"/>
    <w:rsid w:val="00300007"/>
    <w:rsid w:val="0030054B"/>
    <w:rsid w:val="003014DB"/>
    <w:rsid w:val="0030157A"/>
    <w:rsid w:val="00301F3A"/>
    <w:rsid w:val="00301FDE"/>
    <w:rsid w:val="003020B8"/>
    <w:rsid w:val="003022D3"/>
    <w:rsid w:val="00302B7F"/>
    <w:rsid w:val="00302BCF"/>
    <w:rsid w:val="003035F7"/>
    <w:rsid w:val="00303884"/>
    <w:rsid w:val="003038EA"/>
    <w:rsid w:val="00304417"/>
    <w:rsid w:val="00304941"/>
    <w:rsid w:val="003052F6"/>
    <w:rsid w:val="0030549D"/>
    <w:rsid w:val="00305D78"/>
    <w:rsid w:val="00305F6B"/>
    <w:rsid w:val="003064C6"/>
    <w:rsid w:val="00306814"/>
    <w:rsid w:val="00306FF6"/>
    <w:rsid w:val="0030747A"/>
    <w:rsid w:val="003074E3"/>
    <w:rsid w:val="003124EC"/>
    <w:rsid w:val="00312912"/>
    <w:rsid w:val="00312CCC"/>
    <w:rsid w:val="003139BF"/>
    <w:rsid w:val="00314276"/>
    <w:rsid w:val="00315633"/>
    <w:rsid w:val="00315EE8"/>
    <w:rsid w:val="00315FBD"/>
    <w:rsid w:val="00316A2C"/>
    <w:rsid w:val="00317653"/>
    <w:rsid w:val="00317A48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39D1"/>
    <w:rsid w:val="00323C3C"/>
    <w:rsid w:val="00323CB0"/>
    <w:rsid w:val="003243FD"/>
    <w:rsid w:val="00324D15"/>
    <w:rsid w:val="00326231"/>
    <w:rsid w:val="0032645C"/>
    <w:rsid w:val="00326687"/>
    <w:rsid w:val="00327104"/>
    <w:rsid w:val="00327A64"/>
    <w:rsid w:val="00327DB0"/>
    <w:rsid w:val="00330FB1"/>
    <w:rsid w:val="00331927"/>
    <w:rsid w:val="00331983"/>
    <w:rsid w:val="003319EB"/>
    <w:rsid w:val="00331C20"/>
    <w:rsid w:val="00331E66"/>
    <w:rsid w:val="003320A1"/>
    <w:rsid w:val="003321D6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592"/>
    <w:rsid w:val="003377F9"/>
    <w:rsid w:val="00341118"/>
    <w:rsid w:val="00341297"/>
    <w:rsid w:val="003420C7"/>
    <w:rsid w:val="00342EEA"/>
    <w:rsid w:val="003436E8"/>
    <w:rsid w:val="003448DF"/>
    <w:rsid w:val="003455D8"/>
    <w:rsid w:val="00345833"/>
    <w:rsid w:val="00345C42"/>
    <w:rsid w:val="00346BEE"/>
    <w:rsid w:val="00347610"/>
    <w:rsid w:val="00347E20"/>
    <w:rsid w:val="00347F13"/>
    <w:rsid w:val="00350267"/>
    <w:rsid w:val="00350321"/>
    <w:rsid w:val="00350D66"/>
    <w:rsid w:val="00350F88"/>
    <w:rsid w:val="00351062"/>
    <w:rsid w:val="00351A7E"/>
    <w:rsid w:val="00351AF2"/>
    <w:rsid w:val="00351E15"/>
    <w:rsid w:val="003523FB"/>
    <w:rsid w:val="003535C6"/>
    <w:rsid w:val="0035394A"/>
    <w:rsid w:val="0035428A"/>
    <w:rsid w:val="003546F4"/>
    <w:rsid w:val="0035473D"/>
    <w:rsid w:val="00354DEA"/>
    <w:rsid w:val="00356447"/>
    <w:rsid w:val="003576A7"/>
    <w:rsid w:val="00360006"/>
    <w:rsid w:val="00360288"/>
    <w:rsid w:val="00360A57"/>
    <w:rsid w:val="00360BAE"/>
    <w:rsid w:val="00361A91"/>
    <w:rsid w:val="00361AAE"/>
    <w:rsid w:val="00361D84"/>
    <w:rsid w:val="00362756"/>
    <w:rsid w:val="00362ACC"/>
    <w:rsid w:val="00363073"/>
    <w:rsid w:val="003642C3"/>
    <w:rsid w:val="003644EA"/>
    <w:rsid w:val="0036461C"/>
    <w:rsid w:val="00364A66"/>
    <w:rsid w:val="00364B8F"/>
    <w:rsid w:val="00365000"/>
    <w:rsid w:val="0036726F"/>
    <w:rsid w:val="00367663"/>
    <w:rsid w:val="00367A93"/>
    <w:rsid w:val="00367BDD"/>
    <w:rsid w:val="00370199"/>
    <w:rsid w:val="00370A24"/>
    <w:rsid w:val="00370B43"/>
    <w:rsid w:val="00371983"/>
    <w:rsid w:val="003719E8"/>
    <w:rsid w:val="003728D0"/>
    <w:rsid w:val="00373455"/>
    <w:rsid w:val="003739B9"/>
    <w:rsid w:val="00373CA6"/>
    <w:rsid w:val="00373E6B"/>
    <w:rsid w:val="00374619"/>
    <w:rsid w:val="00374A01"/>
    <w:rsid w:val="00375A12"/>
    <w:rsid w:val="00375C98"/>
    <w:rsid w:val="003760BD"/>
    <w:rsid w:val="00376FCB"/>
    <w:rsid w:val="0037705D"/>
    <w:rsid w:val="003778E4"/>
    <w:rsid w:val="00377CD2"/>
    <w:rsid w:val="00377D3D"/>
    <w:rsid w:val="0038030D"/>
    <w:rsid w:val="0038077D"/>
    <w:rsid w:val="00381158"/>
    <w:rsid w:val="00381175"/>
    <w:rsid w:val="00381A5B"/>
    <w:rsid w:val="0038206B"/>
    <w:rsid w:val="00382368"/>
    <w:rsid w:val="003826C8"/>
    <w:rsid w:val="00382798"/>
    <w:rsid w:val="00382B8D"/>
    <w:rsid w:val="00383269"/>
    <w:rsid w:val="0038342D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60C"/>
    <w:rsid w:val="003967E0"/>
    <w:rsid w:val="003968EE"/>
    <w:rsid w:val="003975A3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564"/>
    <w:rsid w:val="003A67FF"/>
    <w:rsid w:val="003A69AF"/>
    <w:rsid w:val="003A7154"/>
    <w:rsid w:val="003A768B"/>
    <w:rsid w:val="003A7BD4"/>
    <w:rsid w:val="003B0194"/>
    <w:rsid w:val="003B07EE"/>
    <w:rsid w:val="003B0DF0"/>
    <w:rsid w:val="003B0EAC"/>
    <w:rsid w:val="003B113D"/>
    <w:rsid w:val="003B117B"/>
    <w:rsid w:val="003B1BAE"/>
    <w:rsid w:val="003B1C05"/>
    <w:rsid w:val="003B26AB"/>
    <w:rsid w:val="003B28AD"/>
    <w:rsid w:val="003B30B4"/>
    <w:rsid w:val="003B365C"/>
    <w:rsid w:val="003B3E75"/>
    <w:rsid w:val="003B3F01"/>
    <w:rsid w:val="003B41B2"/>
    <w:rsid w:val="003B4545"/>
    <w:rsid w:val="003B48B6"/>
    <w:rsid w:val="003B4B07"/>
    <w:rsid w:val="003B5DD4"/>
    <w:rsid w:val="003B639B"/>
    <w:rsid w:val="003B6732"/>
    <w:rsid w:val="003B686F"/>
    <w:rsid w:val="003B6974"/>
    <w:rsid w:val="003B6D07"/>
    <w:rsid w:val="003B6D23"/>
    <w:rsid w:val="003B76D7"/>
    <w:rsid w:val="003C04B5"/>
    <w:rsid w:val="003C056B"/>
    <w:rsid w:val="003C0B68"/>
    <w:rsid w:val="003C1BBF"/>
    <w:rsid w:val="003C1E29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115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9EE"/>
    <w:rsid w:val="003D7EDB"/>
    <w:rsid w:val="003E0627"/>
    <w:rsid w:val="003E08A7"/>
    <w:rsid w:val="003E0D67"/>
    <w:rsid w:val="003E199F"/>
    <w:rsid w:val="003E20F8"/>
    <w:rsid w:val="003E3D42"/>
    <w:rsid w:val="003E447F"/>
    <w:rsid w:val="003E4E31"/>
    <w:rsid w:val="003E4E43"/>
    <w:rsid w:val="003E55E6"/>
    <w:rsid w:val="003E66C5"/>
    <w:rsid w:val="003E7116"/>
    <w:rsid w:val="003E7BDA"/>
    <w:rsid w:val="003E7E12"/>
    <w:rsid w:val="003F02CC"/>
    <w:rsid w:val="003F0361"/>
    <w:rsid w:val="003F065F"/>
    <w:rsid w:val="003F0A0C"/>
    <w:rsid w:val="003F0D56"/>
    <w:rsid w:val="003F11FF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54D0"/>
    <w:rsid w:val="003F693D"/>
    <w:rsid w:val="003F7B7C"/>
    <w:rsid w:val="0040016C"/>
    <w:rsid w:val="00400311"/>
    <w:rsid w:val="0040098C"/>
    <w:rsid w:val="00400C12"/>
    <w:rsid w:val="00401285"/>
    <w:rsid w:val="00402550"/>
    <w:rsid w:val="00402E49"/>
    <w:rsid w:val="004033E4"/>
    <w:rsid w:val="004036F3"/>
    <w:rsid w:val="00403F0E"/>
    <w:rsid w:val="0040408A"/>
    <w:rsid w:val="00404801"/>
    <w:rsid w:val="00404AFC"/>
    <w:rsid w:val="00404C6B"/>
    <w:rsid w:val="00404C92"/>
    <w:rsid w:val="00404D37"/>
    <w:rsid w:val="00405C9C"/>
    <w:rsid w:val="004068B0"/>
    <w:rsid w:val="00407024"/>
    <w:rsid w:val="00407064"/>
    <w:rsid w:val="00407985"/>
    <w:rsid w:val="004109FD"/>
    <w:rsid w:val="00410B71"/>
    <w:rsid w:val="00411C13"/>
    <w:rsid w:val="00411D2F"/>
    <w:rsid w:val="00412480"/>
    <w:rsid w:val="00412B8D"/>
    <w:rsid w:val="00412C61"/>
    <w:rsid w:val="00412DCF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6A23"/>
    <w:rsid w:val="004179D5"/>
    <w:rsid w:val="00417AFE"/>
    <w:rsid w:val="004206B6"/>
    <w:rsid w:val="00420A55"/>
    <w:rsid w:val="00421757"/>
    <w:rsid w:val="0042187B"/>
    <w:rsid w:val="00422380"/>
    <w:rsid w:val="004226CA"/>
    <w:rsid w:val="00422A2F"/>
    <w:rsid w:val="00423266"/>
    <w:rsid w:val="00423BEC"/>
    <w:rsid w:val="004250D7"/>
    <w:rsid w:val="00425175"/>
    <w:rsid w:val="00425824"/>
    <w:rsid w:val="00426027"/>
    <w:rsid w:val="00426303"/>
    <w:rsid w:val="00426804"/>
    <w:rsid w:val="00426CAB"/>
    <w:rsid w:val="00427516"/>
    <w:rsid w:val="00427ECF"/>
    <w:rsid w:val="004309E0"/>
    <w:rsid w:val="00430C3A"/>
    <w:rsid w:val="00430D60"/>
    <w:rsid w:val="00430F86"/>
    <w:rsid w:val="0043187E"/>
    <w:rsid w:val="00431FD6"/>
    <w:rsid w:val="004320DC"/>
    <w:rsid w:val="00432854"/>
    <w:rsid w:val="00432C40"/>
    <w:rsid w:val="00433270"/>
    <w:rsid w:val="004335E5"/>
    <w:rsid w:val="00433995"/>
    <w:rsid w:val="004348F4"/>
    <w:rsid w:val="004359E0"/>
    <w:rsid w:val="00435A3A"/>
    <w:rsid w:val="00435ABD"/>
    <w:rsid w:val="00435ECF"/>
    <w:rsid w:val="004360A5"/>
    <w:rsid w:val="00436410"/>
    <w:rsid w:val="00436B1F"/>
    <w:rsid w:val="00437ABF"/>
    <w:rsid w:val="00440C3E"/>
    <w:rsid w:val="00440D51"/>
    <w:rsid w:val="00441A0B"/>
    <w:rsid w:val="00441EEC"/>
    <w:rsid w:val="0044304B"/>
    <w:rsid w:val="004430EE"/>
    <w:rsid w:val="00443251"/>
    <w:rsid w:val="004435EC"/>
    <w:rsid w:val="00443631"/>
    <w:rsid w:val="00443B83"/>
    <w:rsid w:val="00443ED4"/>
    <w:rsid w:val="00444A8F"/>
    <w:rsid w:val="004469AC"/>
    <w:rsid w:val="00446ADF"/>
    <w:rsid w:val="00446DA9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4B"/>
    <w:rsid w:val="00453183"/>
    <w:rsid w:val="00453378"/>
    <w:rsid w:val="00453D67"/>
    <w:rsid w:val="00453DAD"/>
    <w:rsid w:val="00454FC3"/>
    <w:rsid w:val="00455024"/>
    <w:rsid w:val="00456224"/>
    <w:rsid w:val="004562DC"/>
    <w:rsid w:val="00456544"/>
    <w:rsid w:val="00457A87"/>
    <w:rsid w:val="00457C69"/>
    <w:rsid w:val="00457D59"/>
    <w:rsid w:val="00460E1B"/>
    <w:rsid w:val="0046121D"/>
    <w:rsid w:val="00461E52"/>
    <w:rsid w:val="0046290C"/>
    <w:rsid w:val="00463149"/>
    <w:rsid w:val="00463359"/>
    <w:rsid w:val="00463403"/>
    <w:rsid w:val="004634FB"/>
    <w:rsid w:val="0046388B"/>
    <w:rsid w:val="004638E0"/>
    <w:rsid w:val="00464DA7"/>
    <w:rsid w:val="00465270"/>
    <w:rsid w:val="00465AEA"/>
    <w:rsid w:val="00466139"/>
    <w:rsid w:val="0046796D"/>
    <w:rsid w:val="0047064D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3ED3"/>
    <w:rsid w:val="00474C71"/>
    <w:rsid w:val="00475128"/>
    <w:rsid w:val="0047515B"/>
    <w:rsid w:val="00475AFD"/>
    <w:rsid w:val="00475E84"/>
    <w:rsid w:val="00476023"/>
    <w:rsid w:val="00476135"/>
    <w:rsid w:val="0047639A"/>
    <w:rsid w:val="004766E5"/>
    <w:rsid w:val="00476D63"/>
    <w:rsid w:val="00476DE6"/>
    <w:rsid w:val="00477B10"/>
    <w:rsid w:val="0048020E"/>
    <w:rsid w:val="004802A3"/>
    <w:rsid w:val="00480509"/>
    <w:rsid w:val="00480592"/>
    <w:rsid w:val="00480633"/>
    <w:rsid w:val="004806F6"/>
    <w:rsid w:val="004807FE"/>
    <w:rsid w:val="00480AC8"/>
    <w:rsid w:val="00480E3F"/>
    <w:rsid w:val="0048171B"/>
    <w:rsid w:val="004818C9"/>
    <w:rsid w:val="004818E6"/>
    <w:rsid w:val="00481DE5"/>
    <w:rsid w:val="004822D0"/>
    <w:rsid w:val="00482D96"/>
    <w:rsid w:val="004837C0"/>
    <w:rsid w:val="00483908"/>
    <w:rsid w:val="0048454C"/>
    <w:rsid w:val="00484724"/>
    <w:rsid w:val="00484C92"/>
    <w:rsid w:val="00484FAD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20BD"/>
    <w:rsid w:val="00492BF7"/>
    <w:rsid w:val="00492F77"/>
    <w:rsid w:val="00494034"/>
    <w:rsid w:val="004940A3"/>
    <w:rsid w:val="00494292"/>
    <w:rsid w:val="00494295"/>
    <w:rsid w:val="00494452"/>
    <w:rsid w:val="00494754"/>
    <w:rsid w:val="00494F43"/>
    <w:rsid w:val="00494F87"/>
    <w:rsid w:val="00495C19"/>
    <w:rsid w:val="00496E59"/>
    <w:rsid w:val="004972A4"/>
    <w:rsid w:val="00497573"/>
    <w:rsid w:val="00497C58"/>
    <w:rsid w:val="004A00C9"/>
    <w:rsid w:val="004A030D"/>
    <w:rsid w:val="004A031D"/>
    <w:rsid w:val="004A06F1"/>
    <w:rsid w:val="004A087D"/>
    <w:rsid w:val="004A08A3"/>
    <w:rsid w:val="004A0D82"/>
    <w:rsid w:val="004A1F71"/>
    <w:rsid w:val="004A235E"/>
    <w:rsid w:val="004A4319"/>
    <w:rsid w:val="004A559B"/>
    <w:rsid w:val="004A601A"/>
    <w:rsid w:val="004A6B01"/>
    <w:rsid w:val="004A6B0F"/>
    <w:rsid w:val="004A747A"/>
    <w:rsid w:val="004A75E8"/>
    <w:rsid w:val="004A7D94"/>
    <w:rsid w:val="004B0F42"/>
    <w:rsid w:val="004B1B99"/>
    <w:rsid w:val="004B1DBB"/>
    <w:rsid w:val="004B2151"/>
    <w:rsid w:val="004B2AB9"/>
    <w:rsid w:val="004B2EC7"/>
    <w:rsid w:val="004B45A3"/>
    <w:rsid w:val="004B488D"/>
    <w:rsid w:val="004B62BA"/>
    <w:rsid w:val="004B63AD"/>
    <w:rsid w:val="004B63D7"/>
    <w:rsid w:val="004B6F72"/>
    <w:rsid w:val="004B71E2"/>
    <w:rsid w:val="004B7E87"/>
    <w:rsid w:val="004B7FD8"/>
    <w:rsid w:val="004C0123"/>
    <w:rsid w:val="004C221A"/>
    <w:rsid w:val="004C3002"/>
    <w:rsid w:val="004C3185"/>
    <w:rsid w:val="004C3DD5"/>
    <w:rsid w:val="004C46DD"/>
    <w:rsid w:val="004C4C9D"/>
    <w:rsid w:val="004C4D90"/>
    <w:rsid w:val="004C5432"/>
    <w:rsid w:val="004C54C6"/>
    <w:rsid w:val="004C5C11"/>
    <w:rsid w:val="004C5DDE"/>
    <w:rsid w:val="004C5DEC"/>
    <w:rsid w:val="004C5F94"/>
    <w:rsid w:val="004C6D15"/>
    <w:rsid w:val="004C7606"/>
    <w:rsid w:val="004C78CC"/>
    <w:rsid w:val="004C7BB8"/>
    <w:rsid w:val="004C7BEC"/>
    <w:rsid w:val="004D0704"/>
    <w:rsid w:val="004D0EFE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1F8B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6EF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1B33"/>
    <w:rsid w:val="004F2DB0"/>
    <w:rsid w:val="004F41BD"/>
    <w:rsid w:val="004F4B48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9E7"/>
    <w:rsid w:val="004F7BE1"/>
    <w:rsid w:val="005014FE"/>
    <w:rsid w:val="00501A3B"/>
    <w:rsid w:val="00501B5C"/>
    <w:rsid w:val="005022F2"/>
    <w:rsid w:val="0050295A"/>
    <w:rsid w:val="00502F92"/>
    <w:rsid w:val="0050336C"/>
    <w:rsid w:val="00503AB6"/>
    <w:rsid w:val="00503F57"/>
    <w:rsid w:val="00503F5E"/>
    <w:rsid w:val="00503F67"/>
    <w:rsid w:val="0050471E"/>
    <w:rsid w:val="00504A35"/>
    <w:rsid w:val="00505202"/>
    <w:rsid w:val="00505B9D"/>
    <w:rsid w:val="00505BAE"/>
    <w:rsid w:val="00505C1D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2CD"/>
    <w:rsid w:val="00510B61"/>
    <w:rsid w:val="0051119A"/>
    <w:rsid w:val="00511B17"/>
    <w:rsid w:val="00511CBA"/>
    <w:rsid w:val="005124F9"/>
    <w:rsid w:val="00512620"/>
    <w:rsid w:val="00512699"/>
    <w:rsid w:val="00512D19"/>
    <w:rsid w:val="00512E39"/>
    <w:rsid w:val="005132A6"/>
    <w:rsid w:val="00513898"/>
    <w:rsid w:val="00514344"/>
    <w:rsid w:val="005144E2"/>
    <w:rsid w:val="005147E8"/>
    <w:rsid w:val="00514BC7"/>
    <w:rsid w:val="00514FC2"/>
    <w:rsid w:val="005150D3"/>
    <w:rsid w:val="00515429"/>
    <w:rsid w:val="00515543"/>
    <w:rsid w:val="00515B4E"/>
    <w:rsid w:val="00516C64"/>
    <w:rsid w:val="00516D1A"/>
    <w:rsid w:val="00516FA6"/>
    <w:rsid w:val="005173E7"/>
    <w:rsid w:val="00517AC1"/>
    <w:rsid w:val="00520112"/>
    <w:rsid w:val="00520807"/>
    <w:rsid w:val="00520AAB"/>
    <w:rsid w:val="0052178F"/>
    <w:rsid w:val="005219C6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17E"/>
    <w:rsid w:val="005243BC"/>
    <w:rsid w:val="0052493D"/>
    <w:rsid w:val="00524BA3"/>
    <w:rsid w:val="005257D2"/>
    <w:rsid w:val="00526305"/>
    <w:rsid w:val="00526752"/>
    <w:rsid w:val="00526F93"/>
    <w:rsid w:val="0052761B"/>
    <w:rsid w:val="00527BC7"/>
    <w:rsid w:val="00530AD9"/>
    <w:rsid w:val="00531124"/>
    <w:rsid w:val="005313A2"/>
    <w:rsid w:val="00531A13"/>
    <w:rsid w:val="005323C4"/>
    <w:rsid w:val="005326E6"/>
    <w:rsid w:val="0053284E"/>
    <w:rsid w:val="0053294F"/>
    <w:rsid w:val="005329AE"/>
    <w:rsid w:val="00534684"/>
    <w:rsid w:val="00534F31"/>
    <w:rsid w:val="005353FB"/>
    <w:rsid w:val="005354BA"/>
    <w:rsid w:val="00535CA2"/>
    <w:rsid w:val="00535D0E"/>
    <w:rsid w:val="00535F99"/>
    <w:rsid w:val="00535FBC"/>
    <w:rsid w:val="005372CD"/>
    <w:rsid w:val="00537344"/>
    <w:rsid w:val="005373EA"/>
    <w:rsid w:val="0054067A"/>
    <w:rsid w:val="005407C2"/>
    <w:rsid w:val="00540AE2"/>
    <w:rsid w:val="00540C50"/>
    <w:rsid w:val="00540EDF"/>
    <w:rsid w:val="005414C3"/>
    <w:rsid w:val="0054150F"/>
    <w:rsid w:val="00541809"/>
    <w:rsid w:val="00541F81"/>
    <w:rsid w:val="00542271"/>
    <w:rsid w:val="00542785"/>
    <w:rsid w:val="005435A8"/>
    <w:rsid w:val="0054369F"/>
    <w:rsid w:val="005436F7"/>
    <w:rsid w:val="00543B13"/>
    <w:rsid w:val="00544423"/>
    <w:rsid w:val="005453FF"/>
    <w:rsid w:val="005460F4"/>
    <w:rsid w:val="005468F6"/>
    <w:rsid w:val="00547011"/>
    <w:rsid w:val="005475BF"/>
    <w:rsid w:val="0054760B"/>
    <w:rsid w:val="00547E57"/>
    <w:rsid w:val="005502B4"/>
    <w:rsid w:val="0055084F"/>
    <w:rsid w:val="005518F1"/>
    <w:rsid w:val="005519E9"/>
    <w:rsid w:val="00551F9F"/>
    <w:rsid w:val="005525C8"/>
    <w:rsid w:val="00552830"/>
    <w:rsid w:val="00552993"/>
    <w:rsid w:val="005533ED"/>
    <w:rsid w:val="005542B0"/>
    <w:rsid w:val="005547D0"/>
    <w:rsid w:val="00554C5D"/>
    <w:rsid w:val="00554EC5"/>
    <w:rsid w:val="005555D5"/>
    <w:rsid w:val="005555D8"/>
    <w:rsid w:val="00555AFB"/>
    <w:rsid w:val="00555BA5"/>
    <w:rsid w:val="00556C3F"/>
    <w:rsid w:val="00556EC5"/>
    <w:rsid w:val="005576FD"/>
    <w:rsid w:val="00557941"/>
    <w:rsid w:val="005579D4"/>
    <w:rsid w:val="00557A55"/>
    <w:rsid w:val="00560592"/>
    <w:rsid w:val="00561166"/>
    <w:rsid w:val="00561212"/>
    <w:rsid w:val="00561798"/>
    <w:rsid w:val="00561D5C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32D"/>
    <w:rsid w:val="005714EF"/>
    <w:rsid w:val="00571798"/>
    <w:rsid w:val="00571CA8"/>
    <w:rsid w:val="00572527"/>
    <w:rsid w:val="00572679"/>
    <w:rsid w:val="00572906"/>
    <w:rsid w:val="00572913"/>
    <w:rsid w:val="00573B50"/>
    <w:rsid w:val="00573DA7"/>
    <w:rsid w:val="00574702"/>
    <w:rsid w:val="005751EE"/>
    <w:rsid w:val="005761EA"/>
    <w:rsid w:val="00576472"/>
    <w:rsid w:val="00576504"/>
    <w:rsid w:val="00576749"/>
    <w:rsid w:val="00576866"/>
    <w:rsid w:val="005775F1"/>
    <w:rsid w:val="0058000E"/>
    <w:rsid w:val="00581821"/>
    <w:rsid w:val="00581C75"/>
    <w:rsid w:val="005833DB"/>
    <w:rsid w:val="005836EA"/>
    <w:rsid w:val="005848E0"/>
    <w:rsid w:val="00584CD5"/>
    <w:rsid w:val="0058509A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17F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2D9D"/>
    <w:rsid w:val="005A3B36"/>
    <w:rsid w:val="005A3BE4"/>
    <w:rsid w:val="005A3D45"/>
    <w:rsid w:val="005A4ADF"/>
    <w:rsid w:val="005A50BD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51F"/>
    <w:rsid w:val="005B5735"/>
    <w:rsid w:val="005B5E46"/>
    <w:rsid w:val="005B6541"/>
    <w:rsid w:val="005B67E6"/>
    <w:rsid w:val="005B78BB"/>
    <w:rsid w:val="005B7AA7"/>
    <w:rsid w:val="005C005F"/>
    <w:rsid w:val="005C0918"/>
    <w:rsid w:val="005C093E"/>
    <w:rsid w:val="005C0A25"/>
    <w:rsid w:val="005C0C72"/>
    <w:rsid w:val="005C0D82"/>
    <w:rsid w:val="005C1491"/>
    <w:rsid w:val="005C221D"/>
    <w:rsid w:val="005C266A"/>
    <w:rsid w:val="005C2808"/>
    <w:rsid w:val="005C2957"/>
    <w:rsid w:val="005C2B56"/>
    <w:rsid w:val="005C2E34"/>
    <w:rsid w:val="005C32D7"/>
    <w:rsid w:val="005C3620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CD5"/>
    <w:rsid w:val="005D1D0A"/>
    <w:rsid w:val="005D2391"/>
    <w:rsid w:val="005D385D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855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0DF9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514B"/>
    <w:rsid w:val="005F55DA"/>
    <w:rsid w:val="005F55E6"/>
    <w:rsid w:val="005F68EC"/>
    <w:rsid w:val="005F697C"/>
    <w:rsid w:val="005F6AE2"/>
    <w:rsid w:val="005F7EC6"/>
    <w:rsid w:val="00600621"/>
    <w:rsid w:val="006010F4"/>
    <w:rsid w:val="006013E6"/>
    <w:rsid w:val="0060142A"/>
    <w:rsid w:val="006015E8"/>
    <w:rsid w:val="006028CB"/>
    <w:rsid w:val="00602B0B"/>
    <w:rsid w:val="00602E69"/>
    <w:rsid w:val="00603824"/>
    <w:rsid w:val="006057A9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BF9"/>
    <w:rsid w:val="00610DB7"/>
    <w:rsid w:val="006113E1"/>
    <w:rsid w:val="00611EF4"/>
    <w:rsid w:val="00612401"/>
    <w:rsid w:val="00613473"/>
    <w:rsid w:val="00613688"/>
    <w:rsid w:val="00613717"/>
    <w:rsid w:val="00613828"/>
    <w:rsid w:val="0061452D"/>
    <w:rsid w:val="006148E3"/>
    <w:rsid w:val="00615614"/>
    <w:rsid w:val="006156ED"/>
    <w:rsid w:val="006158BB"/>
    <w:rsid w:val="00616171"/>
    <w:rsid w:val="00616561"/>
    <w:rsid w:val="00616B8D"/>
    <w:rsid w:val="0061713E"/>
    <w:rsid w:val="0061785B"/>
    <w:rsid w:val="00617EB2"/>
    <w:rsid w:val="00617F51"/>
    <w:rsid w:val="00617FD9"/>
    <w:rsid w:val="00620D69"/>
    <w:rsid w:val="00620F13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F7F"/>
    <w:rsid w:val="00627089"/>
    <w:rsid w:val="00630170"/>
    <w:rsid w:val="00630241"/>
    <w:rsid w:val="006305F8"/>
    <w:rsid w:val="00630717"/>
    <w:rsid w:val="00630C05"/>
    <w:rsid w:val="00630E22"/>
    <w:rsid w:val="00631159"/>
    <w:rsid w:val="0063196F"/>
    <w:rsid w:val="006325CA"/>
    <w:rsid w:val="00633827"/>
    <w:rsid w:val="00635123"/>
    <w:rsid w:val="00635A36"/>
    <w:rsid w:val="00636013"/>
    <w:rsid w:val="00636496"/>
    <w:rsid w:val="00636CF7"/>
    <w:rsid w:val="00636FC8"/>
    <w:rsid w:val="006376D6"/>
    <w:rsid w:val="0063772E"/>
    <w:rsid w:val="00637754"/>
    <w:rsid w:val="00637C81"/>
    <w:rsid w:val="00637EC2"/>
    <w:rsid w:val="00640B90"/>
    <w:rsid w:val="00640CFF"/>
    <w:rsid w:val="00641C40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0C5F"/>
    <w:rsid w:val="00651369"/>
    <w:rsid w:val="00651508"/>
    <w:rsid w:val="00651673"/>
    <w:rsid w:val="00651A66"/>
    <w:rsid w:val="00652537"/>
    <w:rsid w:val="006528B8"/>
    <w:rsid w:val="00652A2F"/>
    <w:rsid w:val="00653198"/>
    <w:rsid w:val="00653414"/>
    <w:rsid w:val="00653B2B"/>
    <w:rsid w:val="006542A3"/>
    <w:rsid w:val="006545BC"/>
    <w:rsid w:val="006547F1"/>
    <w:rsid w:val="006549BE"/>
    <w:rsid w:val="00655727"/>
    <w:rsid w:val="006566C8"/>
    <w:rsid w:val="00656F6C"/>
    <w:rsid w:val="00657285"/>
    <w:rsid w:val="006600AD"/>
    <w:rsid w:val="006605AF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B4"/>
    <w:rsid w:val="006657DF"/>
    <w:rsid w:val="00666830"/>
    <w:rsid w:val="0066686D"/>
    <w:rsid w:val="006669EF"/>
    <w:rsid w:val="00666BDB"/>
    <w:rsid w:val="00666C9D"/>
    <w:rsid w:val="00666CFA"/>
    <w:rsid w:val="00667784"/>
    <w:rsid w:val="00667966"/>
    <w:rsid w:val="00667D9F"/>
    <w:rsid w:val="00670138"/>
    <w:rsid w:val="00670CAA"/>
    <w:rsid w:val="00672108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7E5"/>
    <w:rsid w:val="00681B58"/>
    <w:rsid w:val="00681CA8"/>
    <w:rsid w:val="00682929"/>
    <w:rsid w:val="0068311A"/>
    <w:rsid w:val="006832EC"/>
    <w:rsid w:val="0068386D"/>
    <w:rsid w:val="00683BE7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13E2"/>
    <w:rsid w:val="00692124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5E0B"/>
    <w:rsid w:val="00696167"/>
    <w:rsid w:val="006965E9"/>
    <w:rsid w:val="00696678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570B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10A2"/>
    <w:rsid w:val="006B12D8"/>
    <w:rsid w:val="006B2780"/>
    <w:rsid w:val="006B2BC6"/>
    <w:rsid w:val="006B339E"/>
    <w:rsid w:val="006B4233"/>
    <w:rsid w:val="006B442C"/>
    <w:rsid w:val="006B4AC3"/>
    <w:rsid w:val="006B4BD1"/>
    <w:rsid w:val="006B4F7E"/>
    <w:rsid w:val="006B50E8"/>
    <w:rsid w:val="006B52CC"/>
    <w:rsid w:val="006B626C"/>
    <w:rsid w:val="006B62D6"/>
    <w:rsid w:val="006B7007"/>
    <w:rsid w:val="006B706B"/>
    <w:rsid w:val="006B75BB"/>
    <w:rsid w:val="006C01C1"/>
    <w:rsid w:val="006C0702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44B7"/>
    <w:rsid w:val="006C4BE3"/>
    <w:rsid w:val="006C4EC9"/>
    <w:rsid w:val="006C5142"/>
    <w:rsid w:val="006C53CF"/>
    <w:rsid w:val="006C5790"/>
    <w:rsid w:val="006C5C35"/>
    <w:rsid w:val="006C5C91"/>
    <w:rsid w:val="006C5D58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4562"/>
    <w:rsid w:val="006D4C14"/>
    <w:rsid w:val="006D4DE7"/>
    <w:rsid w:val="006D4FA4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22D"/>
    <w:rsid w:val="006E18F7"/>
    <w:rsid w:val="006E1AB4"/>
    <w:rsid w:val="006E1C2A"/>
    <w:rsid w:val="006E1F8F"/>
    <w:rsid w:val="006E26D0"/>
    <w:rsid w:val="006E28E3"/>
    <w:rsid w:val="006E33B3"/>
    <w:rsid w:val="006E4261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C40"/>
    <w:rsid w:val="006E7D7D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2C4"/>
    <w:rsid w:val="006F7955"/>
    <w:rsid w:val="006F7D22"/>
    <w:rsid w:val="006F7F7C"/>
    <w:rsid w:val="007007F0"/>
    <w:rsid w:val="00703401"/>
    <w:rsid w:val="007035DD"/>
    <w:rsid w:val="00703F61"/>
    <w:rsid w:val="0070445A"/>
    <w:rsid w:val="007045FC"/>
    <w:rsid w:val="007047F5"/>
    <w:rsid w:val="00705451"/>
    <w:rsid w:val="007059C4"/>
    <w:rsid w:val="00705A4C"/>
    <w:rsid w:val="00705B1E"/>
    <w:rsid w:val="00705E05"/>
    <w:rsid w:val="007060D9"/>
    <w:rsid w:val="007061DF"/>
    <w:rsid w:val="0070624D"/>
    <w:rsid w:val="007063C2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2EB"/>
    <w:rsid w:val="007118CF"/>
    <w:rsid w:val="00712826"/>
    <w:rsid w:val="00714096"/>
    <w:rsid w:val="00714357"/>
    <w:rsid w:val="007144B9"/>
    <w:rsid w:val="0071456F"/>
    <w:rsid w:val="00714814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320E"/>
    <w:rsid w:val="00723799"/>
    <w:rsid w:val="00724149"/>
    <w:rsid w:val="007241CD"/>
    <w:rsid w:val="00725069"/>
    <w:rsid w:val="007250D9"/>
    <w:rsid w:val="00725F95"/>
    <w:rsid w:val="007260C2"/>
    <w:rsid w:val="007262CA"/>
    <w:rsid w:val="00726583"/>
    <w:rsid w:val="00726DB1"/>
    <w:rsid w:val="00727C98"/>
    <w:rsid w:val="00727F83"/>
    <w:rsid w:val="007301C7"/>
    <w:rsid w:val="00730FFA"/>
    <w:rsid w:val="00732696"/>
    <w:rsid w:val="00732A94"/>
    <w:rsid w:val="00732FCE"/>
    <w:rsid w:val="0073314A"/>
    <w:rsid w:val="00733459"/>
    <w:rsid w:val="007337C2"/>
    <w:rsid w:val="007338CE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37ADC"/>
    <w:rsid w:val="00740056"/>
    <w:rsid w:val="00740302"/>
    <w:rsid w:val="00740C41"/>
    <w:rsid w:val="00740EF2"/>
    <w:rsid w:val="00741B74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3F05"/>
    <w:rsid w:val="007444B6"/>
    <w:rsid w:val="00744658"/>
    <w:rsid w:val="00744C36"/>
    <w:rsid w:val="00745549"/>
    <w:rsid w:val="00745839"/>
    <w:rsid w:val="00745F32"/>
    <w:rsid w:val="00746CB8"/>
    <w:rsid w:val="007470DE"/>
    <w:rsid w:val="00747682"/>
    <w:rsid w:val="00747D68"/>
    <w:rsid w:val="00750424"/>
    <w:rsid w:val="00750542"/>
    <w:rsid w:val="00750BF7"/>
    <w:rsid w:val="00750DA4"/>
    <w:rsid w:val="00751000"/>
    <w:rsid w:val="007513BF"/>
    <w:rsid w:val="007515E0"/>
    <w:rsid w:val="00751948"/>
    <w:rsid w:val="0075229F"/>
    <w:rsid w:val="00752589"/>
    <w:rsid w:val="007527B7"/>
    <w:rsid w:val="00752B12"/>
    <w:rsid w:val="0075336D"/>
    <w:rsid w:val="00753AB2"/>
    <w:rsid w:val="00754C98"/>
    <w:rsid w:val="00755E5D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9B"/>
    <w:rsid w:val="00763DE7"/>
    <w:rsid w:val="007640D9"/>
    <w:rsid w:val="007643B4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4984"/>
    <w:rsid w:val="00774A2D"/>
    <w:rsid w:val="00774DB9"/>
    <w:rsid w:val="00775806"/>
    <w:rsid w:val="00775D61"/>
    <w:rsid w:val="00776478"/>
    <w:rsid w:val="00776752"/>
    <w:rsid w:val="007769A9"/>
    <w:rsid w:val="00776E96"/>
    <w:rsid w:val="00776F27"/>
    <w:rsid w:val="00776FC6"/>
    <w:rsid w:val="00777B27"/>
    <w:rsid w:val="00777B94"/>
    <w:rsid w:val="00780A4A"/>
    <w:rsid w:val="007822DB"/>
    <w:rsid w:val="0078236D"/>
    <w:rsid w:val="007827B0"/>
    <w:rsid w:val="0078392E"/>
    <w:rsid w:val="00783FB0"/>
    <w:rsid w:val="00784F27"/>
    <w:rsid w:val="007854D7"/>
    <w:rsid w:val="00785524"/>
    <w:rsid w:val="00785765"/>
    <w:rsid w:val="007862D6"/>
    <w:rsid w:val="007862FA"/>
    <w:rsid w:val="0078630C"/>
    <w:rsid w:val="00786312"/>
    <w:rsid w:val="00786763"/>
    <w:rsid w:val="007870C4"/>
    <w:rsid w:val="007876BA"/>
    <w:rsid w:val="00787C9D"/>
    <w:rsid w:val="00787DD3"/>
    <w:rsid w:val="007901A4"/>
    <w:rsid w:val="007904E7"/>
    <w:rsid w:val="007905D2"/>
    <w:rsid w:val="0079098A"/>
    <w:rsid w:val="0079376C"/>
    <w:rsid w:val="00793A8B"/>
    <w:rsid w:val="007940DA"/>
    <w:rsid w:val="00794A7B"/>
    <w:rsid w:val="00794F3B"/>
    <w:rsid w:val="0079516C"/>
    <w:rsid w:val="007951D3"/>
    <w:rsid w:val="00795D04"/>
    <w:rsid w:val="00796A5C"/>
    <w:rsid w:val="00796CD2"/>
    <w:rsid w:val="00797DFF"/>
    <w:rsid w:val="00797F7E"/>
    <w:rsid w:val="007A11C8"/>
    <w:rsid w:val="007A19CD"/>
    <w:rsid w:val="007A23CC"/>
    <w:rsid w:val="007A2A3A"/>
    <w:rsid w:val="007A2E5C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8E5"/>
    <w:rsid w:val="007A79A6"/>
    <w:rsid w:val="007A7FD3"/>
    <w:rsid w:val="007B05F1"/>
    <w:rsid w:val="007B0C53"/>
    <w:rsid w:val="007B1CFB"/>
    <w:rsid w:val="007B1F33"/>
    <w:rsid w:val="007B20F6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B7C85"/>
    <w:rsid w:val="007C09CD"/>
    <w:rsid w:val="007C0C6C"/>
    <w:rsid w:val="007C1AFF"/>
    <w:rsid w:val="007C338C"/>
    <w:rsid w:val="007C37EA"/>
    <w:rsid w:val="007C38AC"/>
    <w:rsid w:val="007C3BDA"/>
    <w:rsid w:val="007C49ED"/>
    <w:rsid w:val="007C4BBF"/>
    <w:rsid w:val="007C4D9A"/>
    <w:rsid w:val="007C6789"/>
    <w:rsid w:val="007C6A90"/>
    <w:rsid w:val="007C6C22"/>
    <w:rsid w:val="007C70B5"/>
    <w:rsid w:val="007C70E1"/>
    <w:rsid w:val="007C7992"/>
    <w:rsid w:val="007C7BF2"/>
    <w:rsid w:val="007C7DEE"/>
    <w:rsid w:val="007D0A9F"/>
    <w:rsid w:val="007D134A"/>
    <w:rsid w:val="007D16B9"/>
    <w:rsid w:val="007D3C11"/>
    <w:rsid w:val="007D4ACD"/>
    <w:rsid w:val="007D4D2A"/>
    <w:rsid w:val="007D61EA"/>
    <w:rsid w:val="007D65E4"/>
    <w:rsid w:val="007D744F"/>
    <w:rsid w:val="007D7855"/>
    <w:rsid w:val="007D7949"/>
    <w:rsid w:val="007D7987"/>
    <w:rsid w:val="007D7B04"/>
    <w:rsid w:val="007D7D02"/>
    <w:rsid w:val="007D7F8C"/>
    <w:rsid w:val="007E0B9B"/>
    <w:rsid w:val="007E0CA6"/>
    <w:rsid w:val="007E0CAB"/>
    <w:rsid w:val="007E0DA8"/>
    <w:rsid w:val="007E0E73"/>
    <w:rsid w:val="007E25BE"/>
    <w:rsid w:val="007E2A0B"/>
    <w:rsid w:val="007E2B1A"/>
    <w:rsid w:val="007E3277"/>
    <w:rsid w:val="007E35B2"/>
    <w:rsid w:val="007E36AC"/>
    <w:rsid w:val="007E412A"/>
    <w:rsid w:val="007E502F"/>
    <w:rsid w:val="007E52AE"/>
    <w:rsid w:val="007E53D3"/>
    <w:rsid w:val="007E5640"/>
    <w:rsid w:val="007E5954"/>
    <w:rsid w:val="007E5D88"/>
    <w:rsid w:val="007E5F41"/>
    <w:rsid w:val="007E5F87"/>
    <w:rsid w:val="007E733A"/>
    <w:rsid w:val="007E7B92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8003D4"/>
    <w:rsid w:val="008019F4"/>
    <w:rsid w:val="00801EED"/>
    <w:rsid w:val="00801F1D"/>
    <w:rsid w:val="00802178"/>
    <w:rsid w:val="0080233A"/>
    <w:rsid w:val="00802517"/>
    <w:rsid w:val="0080274A"/>
    <w:rsid w:val="008035E5"/>
    <w:rsid w:val="0080362E"/>
    <w:rsid w:val="00803770"/>
    <w:rsid w:val="00804E7D"/>
    <w:rsid w:val="00805EF1"/>
    <w:rsid w:val="008063F3"/>
    <w:rsid w:val="00807017"/>
    <w:rsid w:val="00807497"/>
    <w:rsid w:val="0081004B"/>
    <w:rsid w:val="008101D3"/>
    <w:rsid w:val="008101EC"/>
    <w:rsid w:val="00810F3E"/>
    <w:rsid w:val="00811D29"/>
    <w:rsid w:val="00811F89"/>
    <w:rsid w:val="008125A0"/>
    <w:rsid w:val="00812865"/>
    <w:rsid w:val="008128A1"/>
    <w:rsid w:val="00814946"/>
    <w:rsid w:val="00815345"/>
    <w:rsid w:val="008159CD"/>
    <w:rsid w:val="00815CF9"/>
    <w:rsid w:val="0081647B"/>
    <w:rsid w:val="008169A2"/>
    <w:rsid w:val="00816BAD"/>
    <w:rsid w:val="00817143"/>
    <w:rsid w:val="0081777B"/>
    <w:rsid w:val="008179B5"/>
    <w:rsid w:val="008218FA"/>
    <w:rsid w:val="00821927"/>
    <w:rsid w:val="00821B46"/>
    <w:rsid w:val="00821BD4"/>
    <w:rsid w:val="00821C26"/>
    <w:rsid w:val="00822684"/>
    <w:rsid w:val="008227A7"/>
    <w:rsid w:val="00822E8A"/>
    <w:rsid w:val="008244D3"/>
    <w:rsid w:val="00824905"/>
    <w:rsid w:val="00824AD9"/>
    <w:rsid w:val="00825A62"/>
    <w:rsid w:val="0082624B"/>
    <w:rsid w:val="00826BE1"/>
    <w:rsid w:val="008271EE"/>
    <w:rsid w:val="00827D31"/>
    <w:rsid w:val="00827E85"/>
    <w:rsid w:val="00827EFA"/>
    <w:rsid w:val="00830145"/>
    <w:rsid w:val="00830CA9"/>
    <w:rsid w:val="0083138F"/>
    <w:rsid w:val="00832233"/>
    <w:rsid w:val="00832759"/>
    <w:rsid w:val="008328FF"/>
    <w:rsid w:val="00832CB9"/>
    <w:rsid w:val="00832F1A"/>
    <w:rsid w:val="00833324"/>
    <w:rsid w:val="008333BA"/>
    <w:rsid w:val="00835AC6"/>
    <w:rsid w:val="00836A9E"/>
    <w:rsid w:val="00836C5C"/>
    <w:rsid w:val="00840123"/>
    <w:rsid w:val="00840669"/>
    <w:rsid w:val="008406C0"/>
    <w:rsid w:val="00840CCA"/>
    <w:rsid w:val="00841142"/>
    <w:rsid w:val="00841B13"/>
    <w:rsid w:val="00842BC0"/>
    <w:rsid w:val="00843713"/>
    <w:rsid w:val="00843AE2"/>
    <w:rsid w:val="00843C62"/>
    <w:rsid w:val="00843C6B"/>
    <w:rsid w:val="0084458B"/>
    <w:rsid w:val="00844779"/>
    <w:rsid w:val="00845EE2"/>
    <w:rsid w:val="008461E4"/>
    <w:rsid w:val="0084675F"/>
    <w:rsid w:val="0084706C"/>
    <w:rsid w:val="00847218"/>
    <w:rsid w:val="008474E9"/>
    <w:rsid w:val="008478C1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2"/>
    <w:rsid w:val="00860723"/>
    <w:rsid w:val="00861461"/>
    <w:rsid w:val="00861BEC"/>
    <w:rsid w:val="008621F6"/>
    <w:rsid w:val="00862640"/>
    <w:rsid w:val="008632C2"/>
    <w:rsid w:val="00863344"/>
    <w:rsid w:val="00863491"/>
    <w:rsid w:val="00863593"/>
    <w:rsid w:val="00864188"/>
    <w:rsid w:val="008642CF"/>
    <w:rsid w:val="0086564C"/>
    <w:rsid w:val="00865E87"/>
    <w:rsid w:val="00866B1D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3D95"/>
    <w:rsid w:val="00874706"/>
    <w:rsid w:val="00874B17"/>
    <w:rsid w:val="00875998"/>
    <w:rsid w:val="00875F2D"/>
    <w:rsid w:val="00875F9E"/>
    <w:rsid w:val="0087616E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45B3"/>
    <w:rsid w:val="00884EF7"/>
    <w:rsid w:val="00884F61"/>
    <w:rsid w:val="00885779"/>
    <w:rsid w:val="00885B88"/>
    <w:rsid w:val="00885C20"/>
    <w:rsid w:val="008866EE"/>
    <w:rsid w:val="0088716B"/>
    <w:rsid w:val="008871E6"/>
    <w:rsid w:val="00891746"/>
    <w:rsid w:val="00891786"/>
    <w:rsid w:val="00891CF6"/>
    <w:rsid w:val="008921E3"/>
    <w:rsid w:val="008922D9"/>
    <w:rsid w:val="00893DD6"/>
    <w:rsid w:val="00893DEA"/>
    <w:rsid w:val="00894915"/>
    <w:rsid w:val="008954BC"/>
    <w:rsid w:val="008959D7"/>
    <w:rsid w:val="0089611A"/>
    <w:rsid w:val="00896396"/>
    <w:rsid w:val="0089709F"/>
    <w:rsid w:val="00897A00"/>
    <w:rsid w:val="008A0771"/>
    <w:rsid w:val="008A0E14"/>
    <w:rsid w:val="008A19FB"/>
    <w:rsid w:val="008A1CBD"/>
    <w:rsid w:val="008A1D38"/>
    <w:rsid w:val="008A1F7F"/>
    <w:rsid w:val="008A2393"/>
    <w:rsid w:val="008A29E7"/>
    <w:rsid w:val="008A2A70"/>
    <w:rsid w:val="008A2FD0"/>
    <w:rsid w:val="008A33E3"/>
    <w:rsid w:val="008A3425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8FF"/>
    <w:rsid w:val="008A7C3C"/>
    <w:rsid w:val="008A7D8D"/>
    <w:rsid w:val="008A7EB7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194A"/>
    <w:rsid w:val="008B3434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4D5"/>
    <w:rsid w:val="008C1955"/>
    <w:rsid w:val="008C1C7A"/>
    <w:rsid w:val="008C1CB6"/>
    <w:rsid w:val="008C1CE5"/>
    <w:rsid w:val="008C2071"/>
    <w:rsid w:val="008C2148"/>
    <w:rsid w:val="008C30D5"/>
    <w:rsid w:val="008C354B"/>
    <w:rsid w:val="008C36DE"/>
    <w:rsid w:val="008C4DC8"/>
    <w:rsid w:val="008C4DD3"/>
    <w:rsid w:val="008C53D4"/>
    <w:rsid w:val="008C57F4"/>
    <w:rsid w:val="008C5D41"/>
    <w:rsid w:val="008C5D48"/>
    <w:rsid w:val="008C5DEC"/>
    <w:rsid w:val="008C695E"/>
    <w:rsid w:val="008C71E2"/>
    <w:rsid w:val="008C72A1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AC2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E7E08"/>
    <w:rsid w:val="008F02D2"/>
    <w:rsid w:val="008F03B6"/>
    <w:rsid w:val="008F166B"/>
    <w:rsid w:val="008F1782"/>
    <w:rsid w:val="008F19DD"/>
    <w:rsid w:val="008F1ADE"/>
    <w:rsid w:val="008F1CDB"/>
    <w:rsid w:val="008F210E"/>
    <w:rsid w:val="008F286A"/>
    <w:rsid w:val="008F2DE0"/>
    <w:rsid w:val="008F415C"/>
    <w:rsid w:val="008F4E90"/>
    <w:rsid w:val="008F4EE9"/>
    <w:rsid w:val="008F53EE"/>
    <w:rsid w:val="008F53EF"/>
    <w:rsid w:val="008F5698"/>
    <w:rsid w:val="008F6C64"/>
    <w:rsid w:val="008F6EBA"/>
    <w:rsid w:val="008F79B2"/>
    <w:rsid w:val="008F7AAB"/>
    <w:rsid w:val="00900C8B"/>
    <w:rsid w:val="00900E91"/>
    <w:rsid w:val="00901059"/>
    <w:rsid w:val="009010EF"/>
    <w:rsid w:val="00901D1D"/>
    <w:rsid w:val="00902022"/>
    <w:rsid w:val="0090288A"/>
    <w:rsid w:val="009036A3"/>
    <w:rsid w:val="00903AEE"/>
    <w:rsid w:val="0090412A"/>
    <w:rsid w:val="00904396"/>
    <w:rsid w:val="009077E4"/>
    <w:rsid w:val="00910158"/>
    <w:rsid w:val="009101E9"/>
    <w:rsid w:val="009104B2"/>
    <w:rsid w:val="00910DF3"/>
    <w:rsid w:val="00911004"/>
    <w:rsid w:val="009115D5"/>
    <w:rsid w:val="009120DD"/>
    <w:rsid w:val="009130E8"/>
    <w:rsid w:val="00913255"/>
    <w:rsid w:val="00913834"/>
    <w:rsid w:val="009140E6"/>
    <w:rsid w:val="00914127"/>
    <w:rsid w:val="00914C73"/>
    <w:rsid w:val="009156B7"/>
    <w:rsid w:val="00915872"/>
    <w:rsid w:val="00915B38"/>
    <w:rsid w:val="00915CD8"/>
    <w:rsid w:val="00916ACE"/>
    <w:rsid w:val="00916C0B"/>
    <w:rsid w:val="0091746C"/>
    <w:rsid w:val="0091751C"/>
    <w:rsid w:val="00917701"/>
    <w:rsid w:val="00921255"/>
    <w:rsid w:val="0092137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3FA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0A4"/>
    <w:rsid w:val="00930286"/>
    <w:rsid w:val="009303CC"/>
    <w:rsid w:val="00930597"/>
    <w:rsid w:val="009306E2"/>
    <w:rsid w:val="00930D58"/>
    <w:rsid w:val="00930F1A"/>
    <w:rsid w:val="00931013"/>
    <w:rsid w:val="00931214"/>
    <w:rsid w:val="009313E9"/>
    <w:rsid w:val="009318E1"/>
    <w:rsid w:val="00932367"/>
    <w:rsid w:val="00933116"/>
    <w:rsid w:val="009332B9"/>
    <w:rsid w:val="00933519"/>
    <w:rsid w:val="00933CBE"/>
    <w:rsid w:val="00933E7F"/>
    <w:rsid w:val="00933FEB"/>
    <w:rsid w:val="009342C2"/>
    <w:rsid w:val="00934587"/>
    <w:rsid w:val="00934CD5"/>
    <w:rsid w:val="00935362"/>
    <w:rsid w:val="00935495"/>
    <w:rsid w:val="009356E8"/>
    <w:rsid w:val="00936461"/>
    <w:rsid w:val="0093659E"/>
    <w:rsid w:val="00937234"/>
    <w:rsid w:val="0093787F"/>
    <w:rsid w:val="009400C9"/>
    <w:rsid w:val="00940241"/>
    <w:rsid w:val="009403C9"/>
    <w:rsid w:val="00940A78"/>
    <w:rsid w:val="00940C84"/>
    <w:rsid w:val="00940D74"/>
    <w:rsid w:val="00941031"/>
    <w:rsid w:val="00941BD6"/>
    <w:rsid w:val="00941FB4"/>
    <w:rsid w:val="00941FD4"/>
    <w:rsid w:val="0094301B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C81"/>
    <w:rsid w:val="00950052"/>
    <w:rsid w:val="0095043E"/>
    <w:rsid w:val="0095048E"/>
    <w:rsid w:val="00950D38"/>
    <w:rsid w:val="009514EF"/>
    <w:rsid w:val="009516F2"/>
    <w:rsid w:val="009518EB"/>
    <w:rsid w:val="009527CC"/>
    <w:rsid w:val="00953033"/>
    <w:rsid w:val="009538EA"/>
    <w:rsid w:val="00953C0E"/>
    <w:rsid w:val="00953EA3"/>
    <w:rsid w:val="009545BC"/>
    <w:rsid w:val="00954823"/>
    <w:rsid w:val="009549D4"/>
    <w:rsid w:val="00954DFC"/>
    <w:rsid w:val="00955561"/>
    <w:rsid w:val="009557C5"/>
    <w:rsid w:val="00955C2B"/>
    <w:rsid w:val="009561A5"/>
    <w:rsid w:val="009568DD"/>
    <w:rsid w:val="00956AB7"/>
    <w:rsid w:val="00956BA1"/>
    <w:rsid w:val="00956BC9"/>
    <w:rsid w:val="00956CC9"/>
    <w:rsid w:val="00956E2E"/>
    <w:rsid w:val="009573F5"/>
    <w:rsid w:val="00957E9D"/>
    <w:rsid w:val="0096036C"/>
    <w:rsid w:val="009613B8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676"/>
    <w:rsid w:val="00964696"/>
    <w:rsid w:val="00964C69"/>
    <w:rsid w:val="00964DF4"/>
    <w:rsid w:val="00964E31"/>
    <w:rsid w:val="00964E52"/>
    <w:rsid w:val="0096556F"/>
    <w:rsid w:val="00965758"/>
    <w:rsid w:val="00965BCE"/>
    <w:rsid w:val="0096613E"/>
    <w:rsid w:val="00966205"/>
    <w:rsid w:val="0096675B"/>
    <w:rsid w:val="009670D3"/>
    <w:rsid w:val="00970832"/>
    <w:rsid w:val="00970A20"/>
    <w:rsid w:val="00971197"/>
    <w:rsid w:val="009712B6"/>
    <w:rsid w:val="00971549"/>
    <w:rsid w:val="0097181D"/>
    <w:rsid w:val="009718F8"/>
    <w:rsid w:val="00971CED"/>
    <w:rsid w:val="009720B9"/>
    <w:rsid w:val="00972995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BE2"/>
    <w:rsid w:val="00981F1B"/>
    <w:rsid w:val="00982752"/>
    <w:rsid w:val="00982843"/>
    <w:rsid w:val="009829C2"/>
    <w:rsid w:val="00982C4C"/>
    <w:rsid w:val="00983FD9"/>
    <w:rsid w:val="00984BD6"/>
    <w:rsid w:val="00984F8F"/>
    <w:rsid w:val="00984FB5"/>
    <w:rsid w:val="00984FF4"/>
    <w:rsid w:val="00985236"/>
    <w:rsid w:val="00985CDF"/>
    <w:rsid w:val="009862AC"/>
    <w:rsid w:val="0099081E"/>
    <w:rsid w:val="009916CF"/>
    <w:rsid w:val="00991BC7"/>
    <w:rsid w:val="009921AA"/>
    <w:rsid w:val="009925A5"/>
    <w:rsid w:val="00992E10"/>
    <w:rsid w:val="0099303B"/>
    <w:rsid w:val="00993D55"/>
    <w:rsid w:val="00994576"/>
    <w:rsid w:val="009945CE"/>
    <w:rsid w:val="00994718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5CEF"/>
    <w:rsid w:val="009A7264"/>
    <w:rsid w:val="009A73EC"/>
    <w:rsid w:val="009A79E1"/>
    <w:rsid w:val="009A7DFA"/>
    <w:rsid w:val="009B0276"/>
    <w:rsid w:val="009B0B70"/>
    <w:rsid w:val="009B0E8A"/>
    <w:rsid w:val="009B1060"/>
    <w:rsid w:val="009B1074"/>
    <w:rsid w:val="009B1170"/>
    <w:rsid w:val="009B14FE"/>
    <w:rsid w:val="009B28E7"/>
    <w:rsid w:val="009B316C"/>
    <w:rsid w:val="009B31B2"/>
    <w:rsid w:val="009B369C"/>
    <w:rsid w:val="009B3FEA"/>
    <w:rsid w:val="009B474B"/>
    <w:rsid w:val="009B4C07"/>
    <w:rsid w:val="009B541B"/>
    <w:rsid w:val="009B594E"/>
    <w:rsid w:val="009B63DE"/>
    <w:rsid w:val="009B732D"/>
    <w:rsid w:val="009C0384"/>
    <w:rsid w:val="009C0F56"/>
    <w:rsid w:val="009C11E3"/>
    <w:rsid w:val="009C1DD9"/>
    <w:rsid w:val="009C1F2B"/>
    <w:rsid w:val="009C2375"/>
    <w:rsid w:val="009C243A"/>
    <w:rsid w:val="009C2BEB"/>
    <w:rsid w:val="009C4080"/>
    <w:rsid w:val="009C4333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7DE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593C"/>
    <w:rsid w:val="009D62D6"/>
    <w:rsid w:val="009D72E9"/>
    <w:rsid w:val="009D756C"/>
    <w:rsid w:val="009D7C6B"/>
    <w:rsid w:val="009E0720"/>
    <w:rsid w:val="009E0924"/>
    <w:rsid w:val="009E0F45"/>
    <w:rsid w:val="009E0F68"/>
    <w:rsid w:val="009E1005"/>
    <w:rsid w:val="009E124D"/>
    <w:rsid w:val="009E1419"/>
    <w:rsid w:val="009E14F9"/>
    <w:rsid w:val="009E1639"/>
    <w:rsid w:val="009E16A7"/>
    <w:rsid w:val="009E1B4C"/>
    <w:rsid w:val="009E24AA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BE3"/>
    <w:rsid w:val="009E7DA3"/>
    <w:rsid w:val="009E7EED"/>
    <w:rsid w:val="009F04B2"/>
    <w:rsid w:val="009F04FB"/>
    <w:rsid w:val="009F10E6"/>
    <w:rsid w:val="009F118B"/>
    <w:rsid w:val="009F1551"/>
    <w:rsid w:val="009F192E"/>
    <w:rsid w:val="009F1D1B"/>
    <w:rsid w:val="009F1FCA"/>
    <w:rsid w:val="009F21E9"/>
    <w:rsid w:val="009F2449"/>
    <w:rsid w:val="009F270D"/>
    <w:rsid w:val="009F29DC"/>
    <w:rsid w:val="009F33FC"/>
    <w:rsid w:val="009F4520"/>
    <w:rsid w:val="009F4637"/>
    <w:rsid w:val="009F5286"/>
    <w:rsid w:val="009F59A0"/>
    <w:rsid w:val="009F5DB1"/>
    <w:rsid w:val="009F5F69"/>
    <w:rsid w:val="009F66E7"/>
    <w:rsid w:val="009F76D6"/>
    <w:rsid w:val="009F77A9"/>
    <w:rsid w:val="009F7896"/>
    <w:rsid w:val="009F7DD6"/>
    <w:rsid w:val="00A00066"/>
    <w:rsid w:val="00A00BBA"/>
    <w:rsid w:val="00A00C0F"/>
    <w:rsid w:val="00A00CA3"/>
    <w:rsid w:val="00A010F7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5C12"/>
    <w:rsid w:val="00A0600F"/>
    <w:rsid w:val="00A063EE"/>
    <w:rsid w:val="00A066FC"/>
    <w:rsid w:val="00A06D28"/>
    <w:rsid w:val="00A06D5D"/>
    <w:rsid w:val="00A07295"/>
    <w:rsid w:val="00A073CF"/>
    <w:rsid w:val="00A07A52"/>
    <w:rsid w:val="00A104CC"/>
    <w:rsid w:val="00A105EE"/>
    <w:rsid w:val="00A1065C"/>
    <w:rsid w:val="00A10844"/>
    <w:rsid w:val="00A10AB9"/>
    <w:rsid w:val="00A10AD6"/>
    <w:rsid w:val="00A113BF"/>
    <w:rsid w:val="00A113CC"/>
    <w:rsid w:val="00A122DA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6CA1"/>
    <w:rsid w:val="00A16F01"/>
    <w:rsid w:val="00A17696"/>
    <w:rsid w:val="00A200DB"/>
    <w:rsid w:val="00A20181"/>
    <w:rsid w:val="00A201EE"/>
    <w:rsid w:val="00A20E87"/>
    <w:rsid w:val="00A21B5B"/>
    <w:rsid w:val="00A22732"/>
    <w:rsid w:val="00A23497"/>
    <w:rsid w:val="00A24D43"/>
    <w:rsid w:val="00A24E76"/>
    <w:rsid w:val="00A25571"/>
    <w:rsid w:val="00A258CC"/>
    <w:rsid w:val="00A267C3"/>
    <w:rsid w:val="00A27335"/>
    <w:rsid w:val="00A276EE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079"/>
    <w:rsid w:val="00A33161"/>
    <w:rsid w:val="00A33E51"/>
    <w:rsid w:val="00A342C9"/>
    <w:rsid w:val="00A34339"/>
    <w:rsid w:val="00A358DF"/>
    <w:rsid w:val="00A35E2A"/>
    <w:rsid w:val="00A366FC"/>
    <w:rsid w:val="00A36AA7"/>
    <w:rsid w:val="00A3744E"/>
    <w:rsid w:val="00A3766C"/>
    <w:rsid w:val="00A37C93"/>
    <w:rsid w:val="00A37FB6"/>
    <w:rsid w:val="00A40049"/>
    <w:rsid w:val="00A40297"/>
    <w:rsid w:val="00A40640"/>
    <w:rsid w:val="00A4095E"/>
    <w:rsid w:val="00A41388"/>
    <w:rsid w:val="00A41583"/>
    <w:rsid w:val="00A41751"/>
    <w:rsid w:val="00A41E54"/>
    <w:rsid w:val="00A41E7F"/>
    <w:rsid w:val="00A42057"/>
    <w:rsid w:val="00A43389"/>
    <w:rsid w:val="00A43A26"/>
    <w:rsid w:val="00A43D44"/>
    <w:rsid w:val="00A43DDB"/>
    <w:rsid w:val="00A43F10"/>
    <w:rsid w:val="00A44025"/>
    <w:rsid w:val="00A440BE"/>
    <w:rsid w:val="00A4431B"/>
    <w:rsid w:val="00A44560"/>
    <w:rsid w:val="00A445B5"/>
    <w:rsid w:val="00A4464E"/>
    <w:rsid w:val="00A44671"/>
    <w:rsid w:val="00A4496C"/>
    <w:rsid w:val="00A44E3B"/>
    <w:rsid w:val="00A4567E"/>
    <w:rsid w:val="00A4596B"/>
    <w:rsid w:val="00A45996"/>
    <w:rsid w:val="00A46035"/>
    <w:rsid w:val="00A46B7B"/>
    <w:rsid w:val="00A5039C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AF4"/>
    <w:rsid w:val="00A560A5"/>
    <w:rsid w:val="00A5627D"/>
    <w:rsid w:val="00A566A0"/>
    <w:rsid w:val="00A57179"/>
    <w:rsid w:val="00A57BF6"/>
    <w:rsid w:val="00A57C78"/>
    <w:rsid w:val="00A60067"/>
    <w:rsid w:val="00A603F1"/>
    <w:rsid w:val="00A61BF2"/>
    <w:rsid w:val="00A61C61"/>
    <w:rsid w:val="00A62458"/>
    <w:rsid w:val="00A62D79"/>
    <w:rsid w:val="00A63566"/>
    <w:rsid w:val="00A637D3"/>
    <w:rsid w:val="00A64823"/>
    <w:rsid w:val="00A64A0C"/>
    <w:rsid w:val="00A64C55"/>
    <w:rsid w:val="00A662B8"/>
    <w:rsid w:val="00A6688E"/>
    <w:rsid w:val="00A66A89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B86"/>
    <w:rsid w:val="00A73401"/>
    <w:rsid w:val="00A738B7"/>
    <w:rsid w:val="00A739F1"/>
    <w:rsid w:val="00A73FBF"/>
    <w:rsid w:val="00A7465C"/>
    <w:rsid w:val="00A74753"/>
    <w:rsid w:val="00A7566C"/>
    <w:rsid w:val="00A760B4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4826"/>
    <w:rsid w:val="00A84EA4"/>
    <w:rsid w:val="00A85056"/>
    <w:rsid w:val="00A85F1D"/>
    <w:rsid w:val="00A879AA"/>
    <w:rsid w:val="00A9119C"/>
    <w:rsid w:val="00A9178C"/>
    <w:rsid w:val="00A91DEC"/>
    <w:rsid w:val="00A92922"/>
    <w:rsid w:val="00A92AFC"/>
    <w:rsid w:val="00A9346A"/>
    <w:rsid w:val="00A9367E"/>
    <w:rsid w:val="00A93D14"/>
    <w:rsid w:val="00A93DA7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0508"/>
    <w:rsid w:val="00AA0A7C"/>
    <w:rsid w:val="00AA176F"/>
    <w:rsid w:val="00AA2697"/>
    <w:rsid w:val="00AA2931"/>
    <w:rsid w:val="00AA2C16"/>
    <w:rsid w:val="00AA3B9B"/>
    <w:rsid w:val="00AA4403"/>
    <w:rsid w:val="00AA445C"/>
    <w:rsid w:val="00AA464F"/>
    <w:rsid w:val="00AA49CE"/>
    <w:rsid w:val="00AA6C14"/>
    <w:rsid w:val="00AA6E7D"/>
    <w:rsid w:val="00AA7203"/>
    <w:rsid w:val="00AA7853"/>
    <w:rsid w:val="00AB044C"/>
    <w:rsid w:val="00AB06AB"/>
    <w:rsid w:val="00AB06B1"/>
    <w:rsid w:val="00AB11F6"/>
    <w:rsid w:val="00AB1EB2"/>
    <w:rsid w:val="00AB1EED"/>
    <w:rsid w:val="00AB267F"/>
    <w:rsid w:val="00AB27B4"/>
    <w:rsid w:val="00AB3439"/>
    <w:rsid w:val="00AB391D"/>
    <w:rsid w:val="00AB429A"/>
    <w:rsid w:val="00AB4312"/>
    <w:rsid w:val="00AB438B"/>
    <w:rsid w:val="00AB43B3"/>
    <w:rsid w:val="00AB4859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D28"/>
    <w:rsid w:val="00AB7E89"/>
    <w:rsid w:val="00AC0A2D"/>
    <w:rsid w:val="00AC180B"/>
    <w:rsid w:val="00AC1DC0"/>
    <w:rsid w:val="00AC1F0D"/>
    <w:rsid w:val="00AC1F74"/>
    <w:rsid w:val="00AC206E"/>
    <w:rsid w:val="00AC29A5"/>
    <w:rsid w:val="00AC367E"/>
    <w:rsid w:val="00AC394D"/>
    <w:rsid w:val="00AC3ABC"/>
    <w:rsid w:val="00AC3F4D"/>
    <w:rsid w:val="00AC4396"/>
    <w:rsid w:val="00AC447A"/>
    <w:rsid w:val="00AC57F9"/>
    <w:rsid w:val="00AC6324"/>
    <w:rsid w:val="00AC647D"/>
    <w:rsid w:val="00AC65C1"/>
    <w:rsid w:val="00AC6632"/>
    <w:rsid w:val="00AC7142"/>
    <w:rsid w:val="00AD0646"/>
    <w:rsid w:val="00AD070F"/>
    <w:rsid w:val="00AD08C7"/>
    <w:rsid w:val="00AD0AB7"/>
    <w:rsid w:val="00AD108A"/>
    <w:rsid w:val="00AD1969"/>
    <w:rsid w:val="00AD279C"/>
    <w:rsid w:val="00AD2A30"/>
    <w:rsid w:val="00AD3589"/>
    <w:rsid w:val="00AD3A86"/>
    <w:rsid w:val="00AD407D"/>
    <w:rsid w:val="00AD46A1"/>
    <w:rsid w:val="00AD476E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CFE"/>
    <w:rsid w:val="00AE2300"/>
    <w:rsid w:val="00AE299B"/>
    <w:rsid w:val="00AE2DF0"/>
    <w:rsid w:val="00AE3AC9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066F"/>
    <w:rsid w:val="00AF06E5"/>
    <w:rsid w:val="00AF2159"/>
    <w:rsid w:val="00AF2273"/>
    <w:rsid w:val="00AF271E"/>
    <w:rsid w:val="00AF2B82"/>
    <w:rsid w:val="00AF348F"/>
    <w:rsid w:val="00AF3934"/>
    <w:rsid w:val="00AF39AB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2E4C"/>
    <w:rsid w:val="00B035FB"/>
    <w:rsid w:val="00B0367B"/>
    <w:rsid w:val="00B04319"/>
    <w:rsid w:val="00B047A3"/>
    <w:rsid w:val="00B048C3"/>
    <w:rsid w:val="00B05385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332"/>
    <w:rsid w:val="00B15991"/>
    <w:rsid w:val="00B15F10"/>
    <w:rsid w:val="00B1604B"/>
    <w:rsid w:val="00B1747D"/>
    <w:rsid w:val="00B176F3"/>
    <w:rsid w:val="00B17AD2"/>
    <w:rsid w:val="00B17C6C"/>
    <w:rsid w:val="00B204CF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481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4CA3"/>
    <w:rsid w:val="00B351D7"/>
    <w:rsid w:val="00B366C7"/>
    <w:rsid w:val="00B368E0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3CC"/>
    <w:rsid w:val="00B46540"/>
    <w:rsid w:val="00B46836"/>
    <w:rsid w:val="00B46A0E"/>
    <w:rsid w:val="00B46E02"/>
    <w:rsid w:val="00B47330"/>
    <w:rsid w:val="00B47CCC"/>
    <w:rsid w:val="00B47F01"/>
    <w:rsid w:val="00B500A0"/>
    <w:rsid w:val="00B50478"/>
    <w:rsid w:val="00B50B7A"/>
    <w:rsid w:val="00B51654"/>
    <w:rsid w:val="00B518E7"/>
    <w:rsid w:val="00B51E24"/>
    <w:rsid w:val="00B51F1E"/>
    <w:rsid w:val="00B52C10"/>
    <w:rsid w:val="00B52EAC"/>
    <w:rsid w:val="00B534DA"/>
    <w:rsid w:val="00B538C0"/>
    <w:rsid w:val="00B53A21"/>
    <w:rsid w:val="00B53C36"/>
    <w:rsid w:val="00B53E29"/>
    <w:rsid w:val="00B53F13"/>
    <w:rsid w:val="00B54057"/>
    <w:rsid w:val="00B54509"/>
    <w:rsid w:val="00B5450B"/>
    <w:rsid w:val="00B54A23"/>
    <w:rsid w:val="00B55419"/>
    <w:rsid w:val="00B55718"/>
    <w:rsid w:val="00B55A71"/>
    <w:rsid w:val="00B55DA4"/>
    <w:rsid w:val="00B56152"/>
    <w:rsid w:val="00B5666E"/>
    <w:rsid w:val="00B57761"/>
    <w:rsid w:val="00B57E40"/>
    <w:rsid w:val="00B60032"/>
    <w:rsid w:val="00B60F76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39"/>
    <w:rsid w:val="00B67356"/>
    <w:rsid w:val="00B67465"/>
    <w:rsid w:val="00B674AC"/>
    <w:rsid w:val="00B7062A"/>
    <w:rsid w:val="00B708AB"/>
    <w:rsid w:val="00B708F6"/>
    <w:rsid w:val="00B7094B"/>
    <w:rsid w:val="00B70BA5"/>
    <w:rsid w:val="00B70DE2"/>
    <w:rsid w:val="00B71814"/>
    <w:rsid w:val="00B71B34"/>
    <w:rsid w:val="00B71BD1"/>
    <w:rsid w:val="00B7201F"/>
    <w:rsid w:val="00B720B0"/>
    <w:rsid w:val="00B72213"/>
    <w:rsid w:val="00B72735"/>
    <w:rsid w:val="00B732A3"/>
    <w:rsid w:val="00B73348"/>
    <w:rsid w:val="00B73442"/>
    <w:rsid w:val="00B73783"/>
    <w:rsid w:val="00B744D6"/>
    <w:rsid w:val="00B75974"/>
    <w:rsid w:val="00B75E09"/>
    <w:rsid w:val="00B75F16"/>
    <w:rsid w:val="00B7649F"/>
    <w:rsid w:val="00B7675D"/>
    <w:rsid w:val="00B76E37"/>
    <w:rsid w:val="00B76FF1"/>
    <w:rsid w:val="00B77027"/>
    <w:rsid w:val="00B771B0"/>
    <w:rsid w:val="00B77423"/>
    <w:rsid w:val="00B775AF"/>
    <w:rsid w:val="00B775B3"/>
    <w:rsid w:val="00B779CE"/>
    <w:rsid w:val="00B80BB7"/>
    <w:rsid w:val="00B81CB9"/>
    <w:rsid w:val="00B81D30"/>
    <w:rsid w:val="00B8229C"/>
    <w:rsid w:val="00B836D6"/>
    <w:rsid w:val="00B845C4"/>
    <w:rsid w:val="00B853AA"/>
    <w:rsid w:val="00B85CCD"/>
    <w:rsid w:val="00B85D96"/>
    <w:rsid w:val="00B86319"/>
    <w:rsid w:val="00B86C7E"/>
    <w:rsid w:val="00B87B14"/>
    <w:rsid w:val="00B87D0B"/>
    <w:rsid w:val="00B91167"/>
    <w:rsid w:val="00B91D3D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1FB"/>
    <w:rsid w:val="00B95506"/>
    <w:rsid w:val="00B95C5D"/>
    <w:rsid w:val="00B9653A"/>
    <w:rsid w:val="00B96583"/>
    <w:rsid w:val="00B969FA"/>
    <w:rsid w:val="00BA060A"/>
    <w:rsid w:val="00BA0A43"/>
    <w:rsid w:val="00BA12D8"/>
    <w:rsid w:val="00BA1C19"/>
    <w:rsid w:val="00BA2280"/>
    <w:rsid w:val="00BA38A4"/>
    <w:rsid w:val="00BA38AF"/>
    <w:rsid w:val="00BA3F05"/>
    <w:rsid w:val="00BA4900"/>
    <w:rsid w:val="00BA51B6"/>
    <w:rsid w:val="00BA53DB"/>
    <w:rsid w:val="00BA5950"/>
    <w:rsid w:val="00BA5F92"/>
    <w:rsid w:val="00BA63E9"/>
    <w:rsid w:val="00BA6445"/>
    <w:rsid w:val="00BA6C65"/>
    <w:rsid w:val="00BA7D0B"/>
    <w:rsid w:val="00BB025D"/>
    <w:rsid w:val="00BB0902"/>
    <w:rsid w:val="00BB0A88"/>
    <w:rsid w:val="00BB0ED4"/>
    <w:rsid w:val="00BB0EEF"/>
    <w:rsid w:val="00BB1444"/>
    <w:rsid w:val="00BB1AB9"/>
    <w:rsid w:val="00BB29EE"/>
    <w:rsid w:val="00BB2A80"/>
    <w:rsid w:val="00BB3168"/>
    <w:rsid w:val="00BB3223"/>
    <w:rsid w:val="00BB393B"/>
    <w:rsid w:val="00BB3EE5"/>
    <w:rsid w:val="00BB46C1"/>
    <w:rsid w:val="00BB4C9E"/>
    <w:rsid w:val="00BB50E4"/>
    <w:rsid w:val="00BB53C5"/>
    <w:rsid w:val="00BB5970"/>
    <w:rsid w:val="00BB62D1"/>
    <w:rsid w:val="00BB6FFE"/>
    <w:rsid w:val="00BC0583"/>
    <w:rsid w:val="00BC22F4"/>
    <w:rsid w:val="00BC25A7"/>
    <w:rsid w:val="00BC2708"/>
    <w:rsid w:val="00BC29C0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96D"/>
    <w:rsid w:val="00BC4D81"/>
    <w:rsid w:val="00BC4F57"/>
    <w:rsid w:val="00BC5CF7"/>
    <w:rsid w:val="00BC6106"/>
    <w:rsid w:val="00BC6FC0"/>
    <w:rsid w:val="00BC7049"/>
    <w:rsid w:val="00BC7D50"/>
    <w:rsid w:val="00BD0611"/>
    <w:rsid w:val="00BD1519"/>
    <w:rsid w:val="00BD1F2A"/>
    <w:rsid w:val="00BD4141"/>
    <w:rsid w:val="00BD41CC"/>
    <w:rsid w:val="00BD42C6"/>
    <w:rsid w:val="00BD436C"/>
    <w:rsid w:val="00BD4473"/>
    <w:rsid w:val="00BD4763"/>
    <w:rsid w:val="00BD48C4"/>
    <w:rsid w:val="00BD4DB8"/>
    <w:rsid w:val="00BD564B"/>
    <w:rsid w:val="00BD5A74"/>
    <w:rsid w:val="00BD6427"/>
    <w:rsid w:val="00BD65EE"/>
    <w:rsid w:val="00BD6760"/>
    <w:rsid w:val="00BD7BA9"/>
    <w:rsid w:val="00BE002D"/>
    <w:rsid w:val="00BE06FB"/>
    <w:rsid w:val="00BE0830"/>
    <w:rsid w:val="00BE0D54"/>
    <w:rsid w:val="00BE0DAF"/>
    <w:rsid w:val="00BE0F9A"/>
    <w:rsid w:val="00BE1183"/>
    <w:rsid w:val="00BE1820"/>
    <w:rsid w:val="00BE24B9"/>
    <w:rsid w:val="00BE293B"/>
    <w:rsid w:val="00BE2B43"/>
    <w:rsid w:val="00BE2C4D"/>
    <w:rsid w:val="00BE3322"/>
    <w:rsid w:val="00BE3635"/>
    <w:rsid w:val="00BE48D5"/>
    <w:rsid w:val="00BE4CA7"/>
    <w:rsid w:val="00BE74C8"/>
    <w:rsid w:val="00BE76CC"/>
    <w:rsid w:val="00BE7BA7"/>
    <w:rsid w:val="00BF26E5"/>
    <w:rsid w:val="00BF3CAA"/>
    <w:rsid w:val="00BF3E79"/>
    <w:rsid w:val="00BF4194"/>
    <w:rsid w:val="00BF46EF"/>
    <w:rsid w:val="00BF4BFB"/>
    <w:rsid w:val="00BF5A66"/>
    <w:rsid w:val="00BF6102"/>
    <w:rsid w:val="00BF65C0"/>
    <w:rsid w:val="00BF6754"/>
    <w:rsid w:val="00BF688D"/>
    <w:rsid w:val="00BF7174"/>
    <w:rsid w:val="00BF73A7"/>
    <w:rsid w:val="00BF77CE"/>
    <w:rsid w:val="00C0026F"/>
    <w:rsid w:val="00C00566"/>
    <w:rsid w:val="00C00956"/>
    <w:rsid w:val="00C016FC"/>
    <w:rsid w:val="00C01A20"/>
    <w:rsid w:val="00C01D88"/>
    <w:rsid w:val="00C02A7A"/>
    <w:rsid w:val="00C0333D"/>
    <w:rsid w:val="00C0385C"/>
    <w:rsid w:val="00C03955"/>
    <w:rsid w:val="00C039B9"/>
    <w:rsid w:val="00C03A16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226"/>
    <w:rsid w:val="00C2069E"/>
    <w:rsid w:val="00C20895"/>
    <w:rsid w:val="00C20FFF"/>
    <w:rsid w:val="00C210E8"/>
    <w:rsid w:val="00C21923"/>
    <w:rsid w:val="00C22275"/>
    <w:rsid w:val="00C22881"/>
    <w:rsid w:val="00C22CB8"/>
    <w:rsid w:val="00C23509"/>
    <w:rsid w:val="00C23CD1"/>
    <w:rsid w:val="00C242FD"/>
    <w:rsid w:val="00C244C5"/>
    <w:rsid w:val="00C24CCA"/>
    <w:rsid w:val="00C24D53"/>
    <w:rsid w:val="00C254A4"/>
    <w:rsid w:val="00C258CB"/>
    <w:rsid w:val="00C259E6"/>
    <w:rsid w:val="00C261F3"/>
    <w:rsid w:val="00C2688D"/>
    <w:rsid w:val="00C2742D"/>
    <w:rsid w:val="00C277D4"/>
    <w:rsid w:val="00C27D1C"/>
    <w:rsid w:val="00C27ECC"/>
    <w:rsid w:val="00C303B9"/>
    <w:rsid w:val="00C30A56"/>
    <w:rsid w:val="00C31199"/>
    <w:rsid w:val="00C313D5"/>
    <w:rsid w:val="00C3177D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37D"/>
    <w:rsid w:val="00C366F2"/>
    <w:rsid w:val="00C36CA7"/>
    <w:rsid w:val="00C36CAC"/>
    <w:rsid w:val="00C3724C"/>
    <w:rsid w:val="00C40079"/>
    <w:rsid w:val="00C402F6"/>
    <w:rsid w:val="00C406DE"/>
    <w:rsid w:val="00C41234"/>
    <w:rsid w:val="00C41355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A01"/>
    <w:rsid w:val="00C53851"/>
    <w:rsid w:val="00C53B27"/>
    <w:rsid w:val="00C53B86"/>
    <w:rsid w:val="00C53E8B"/>
    <w:rsid w:val="00C54396"/>
    <w:rsid w:val="00C54686"/>
    <w:rsid w:val="00C54D88"/>
    <w:rsid w:val="00C553F1"/>
    <w:rsid w:val="00C55C88"/>
    <w:rsid w:val="00C55F74"/>
    <w:rsid w:val="00C567FD"/>
    <w:rsid w:val="00C56861"/>
    <w:rsid w:val="00C56F55"/>
    <w:rsid w:val="00C6061C"/>
    <w:rsid w:val="00C60839"/>
    <w:rsid w:val="00C61338"/>
    <w:rsid w:val="00C61F23"/>
    <w:rsid w:val="00C62F4A"/>
    <w:rsid w:val="00C63849"/>
    <w:rsid w:val="00C64612"/>
    <w:rsid w:val="00C64841"/>
    <w:rsid w:val="00C65099"/>
    <w:rsid w:val="00C66981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3DB7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AF7"/>
    <w:rsid w:val="00C82D71"/>
    <w:rsid w:val="00C82EFA"/>
    <w:rsid w:val="00C83190"/>
    <w:rsid w:val="00C83C5C"/>
    <w:rsid w:val="00C844C9"/>
    <w:rsid w:val="00C84519"/>
    <w:rsid w:val="00C867D9"/>
    <w:rsid w:val="00C86F56"/>
    <w:rsid w:val="00C87787"/>
    <w:rsid w:val="00C87C3E"/>
    <w:rsid w:val="00C87EAE"/>
    <w:rsid w:val="00C914D9"/>
    <w:rsid w:val="00C9198E"/>
    <w:rsid w:val="00C92633"/>
    <w:rsid w:val="00C927FE"/>
    <w:rsid w:val="00C9296B"/>
    <w:rsid w:val="00C92AED"/>
    <w:rsid w:val="00C92D8C"/>
    <w:rsid w:val="00C92F22"/>
    <w:rsid w:val="00C932C6"/>
    <w:rsid w:val="00C93ABE"/>
    <w:rsid w:val="00C944E2"/>
    <w:rsid w:val="00C945DC"/>
    <w:rsid w:val="00C94B39"/>
    <w:rsid w:val="00C951E7"/>
    <w:rsid w:val="00C9554F"/>
    <w:rsid w:val="00C95F5A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E39"/>
    <w:rsid w:val="00CA1E58"/>
    <w:rsid w:val="00CA27DA"/>
    <w:rsid w:val="00CA2D22"/>
    <w:rsid w:val="00CA3158"/>
    <w:rsid w:val="00CA32C0"/>
    <w:rsid w:val="00CA33EE"/>
    <w:rsid w:val="00CA3849"/>
    <w:rsid w:val="00CA3A90"/>
    <w:rsid w:val="00CA47DE"/>
    <w:rsid w:val="00CA4942"/>
    <w:rsid w:val="00CA4E0C"/>
    <w:rsid w:val="00CA5047"/>
    <w:rsid w:val="00CA5ECF"/>
    <w:rsid w:val="00CA5F97"/>
    <w:rsid w:val="00CA60C5"/>
    <w:rsid w:val="00CA6B56"/>
    <w:rsid w:val="00CA6ED4"/>
    <w:rsid w:val="00CA7B06"/>
    <w:rsid w:val="00CA7DF7"/>
    <w:rsid w:val="00CB040A"/>
    <w:rsid w:val="00CB07C1"/>
    <w:rsid w:val="00CB0D07"/>
    <w:rsid w:val="00CB15DB"/>
    <w:rsid w:val="00CB1AEA"/>
    <w:rsid w:val="00CB22C0"/>
    <w:rsid w:val="00CB37F1"/>
    <w:rsid w:val="00CB4083"/>
    <w:rsid w:val="00CB426C"/>
    <w:rsid w:val="00CB45F1"/>
    <w:rsid w:val="00CB5096"/>
    <w:rsid w:val="00CB564F"/>
    <w:rsid w:val="00CB5755"/>
    <w:rsid w:val="00CB6140"/>
    <w:rsid w:val="00CB6E25"/>
    <w:rsid w:val="00CB7049"/>
    <w:rsid w:val="00CB710C"/>
    <w:rsid w:val="00CB71D1"/>
    <w:rsid w:val="00CB7B06"/>
    <w:rsid w:val="00CC0900"/>
    <w:rsid w:val="00CC13C8"/>
    <w:rsid w:val="00CC1777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D2D"/>
    <w:rsid w:val="00CC6E59"/>
    <w:rsid w:val="00CC6E97"/>
    <w:rsid w:val="00CC6EE5"/>
    <w:rsid w:val="00CC70D3"/>
    <w:rsid w:val="00CC7E18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CE4"/>
    <w:rsid w:val="00CD5D4E"/>
    <w:rsid w:val="00CD626B"/>
    <w:rsid w:val="00CD653B"/>
    <w:rsid w:val="00CD6B4B"/>
    <w:rsid w:val="00CD6C42"/>
    <w:rsid w:val="00CD77C1"/>
    <w:rsid w:val="00CD7F12"/>
    <w:rsid w:val="00CD7F56"/>
    <w:rsid w:val="00CE0CA3"/>
    <w:rsid w:val="00CE0D74"/>
    <w:rsid w:val="00CE14C2"/>
    <w:rsid w:val="00CE1A62"/>
    <w:rsid w:val="00CE1CFD"/>
    <w:rsid w:val="00CE1E9D"/>
    <w:rsid w:val="00CE254C"/>
    <w:rsid w:val="00CE2F5C"/>
    <w:rsid w:val="00CE3024"/>
    <w:rsid w:val="00CE34C7"/>
    <w:rsid w:val="00CE39FA"/>
    <w:rsid w:val="00CE48BB"/>
    <w:rsid w:val="00CE4DE1"/>
    <w:rsid w:val="00CE538D"/>
    <w:rsid w:val="00CE56B1"/>
    <w:rsid w:val="00CE5899"/>
    <w:rsid w:val="00CE5D07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CCC"/>
    <w:rsid w:val="00CF2E61"/>
    <w:rsid w:val="00CF31F5"/>
    <w:rsid w:val="00CF3597"/>
    <w:rsid w:val="00CF39AC"/>
    <w:rsid w:val="00CF3E71"/>
    <w:rsid w:val="00CF3F20"/>
    <w:rsid w:val="00CF5000"/>
    <w:rsid w:val="00CF51E7"/>
    <w:rsid w:val="00CF5A5A"/>
    <w:rsid w:val="00CF5EB1"/>
    <w:rsid w:val="00CF6952"/>
    <w:rsid w:val="00CF69FC"/>
    <w:rsid w:val="00CF6BC6"/>
    <w:rsid w:val="00CF7657"/>
    <w:rsid w:val="00CF79C0"/>
    <w:rsid w:val="00D02362"/>
    <w:rsid w:val="00D03012"/>
    <w:rsid w:val="00D03884"/>
    <w:rsid w:val="00D039CD"/>
    <w:rsid w:val="00D03C8E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477"/>
    <w:rsid w:val="00D12D8C"/>
    <w:rsid w:val="00D130C8"/>
    <w:rsid w:val="00D144E2"/>
    <w:rsid w:val="00D1532A"/>
    <w:rsid w:val="00D15C3F"/>
    <w:rsid w:val="00D1707C"/>
    <w:rsid w:val="00D17629"/>
    <w:rsid w:val="00D17D80"/>
    <w:rsid w:val="00D17EDB"/>
    <w:rsid w:val="00D17F0E"/>
    <w:rsid w:val="00D205D7"/>
    <w:rsid w:val="00D20962"/>
    <w:rsid w:val="00D20C15"/>
    <w:rsid w:val="00D20E37"/>
    <w:rsid w:val="00D214DD"/>
    <w:rsid w:val="00D21607"/>
    <w:rsid w:val="00D21932"/>
    <w:rsid w:val="00D22355"/>
    <w:rsid w:val="00D2262E"/>
    <w:rsid w:val="00D22F35"/>
    <w:rsid w:val="00D22F36"/>
    <w:rsid w:val="00D235FD"/>
    <w:rsid w:val="00D23A03"/>
    <w:rsid w:val="00D25661"/>
    <w:rsid w:val="00D2568E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B80"/>
    <w:rsid w:val="00D32C2D"/>
    <w:rsid w:val="00D337CE"/>
    <w:rsid w:val="00D33CF0"/>
    <w:rsid w:val="00D33EC8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1E73"/>
    <w:rsid w:val="00D42075"/>
    <w:rsid w:val="00D42096"/>
    <w:rsid w:val="00D428F5"/>
    <w:rsid w:val="00D42F4F"/>
    <w:rsid w:val="00D43A9D"/>
    <w:rsid w:val="00D44441"/>
    <w:rsid w:val="00D44AA3"/>
    <w:rsid w:val="00D44D8F"/>
    <w:rsid w:val="00D44E65"/>
    <w:rsid w:val="00D4535B"/>
    <w:rsid w:val="00D458C2"/>
    <w:rsid w:val="00D458FC"/>
    <w:rsid w:val="00D45B60"/>
    <w:rsid w:val="00D46400"/>
    <w:rsid w:val="00D46940"/>
    <w:rsid w:val="00D47B89"/>
    <w:rsid w:val="00D50D45"/>
    <w:rsid w:val="00D51412"/>
    <w:rsid w:val="00D51791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53D0"/>
    <w:rsid w:val="00D55C30"/>
    <w:rsid w:val="00D56676"/>
    <w:rsid w:val="00D56B52"/>
    <w:rsid w:val="00D56C78"/>
    <w:rsid w:val="00D56F3B"/>
    <w:rsid w:val="00D576F8"/>
    <w:rsid w:val="00D57777"/>
    <w:rsid w:val="00D579A1"/>
    <w:rsid w:val="00D57D92"/>
    <w:rsid w:val="00D601D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46AA"/>
    <w:rsid w:val="00D64E1E"/>
    <w:rsid w:val="00D65509"/>
    <w:rsid w:val="00D658EB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2211"/>
    <w:rsid w:val="00D725F7"/>
    <w:rsid w:val="00D72F36"/>
    <w:rsid w:val="00D72FEC"/>
    <w:rsid w:val="00D7305A"/>
    <w:rsid w:val="00D739FD"/>
    <w:rsid w:val="00D744B2"/>
    <w:rsid w:val="00D74548"/>
    <w:rsid w:val="00D75BF8"/>
    <w:rsid w:val="00D75CE1"/>
    <w:rsid w:val="00D75E53"/>
    <w:rsid w:val="00D7629E"/>
    <w:rsid w:val="00D7635E"/>
    <w:rsid w:val="00D763D0"/>
    <w:rsid w:val="00D76673"/>
    <w:rsid w:val="00D7683C"/>
    <w:rsid w:val="00D76B30"/>
    <w:rsid w:val="00D77FAA"/>
    <w:rsid w:val="00D8122D"/>
    <w:rsid w:val="00D81563"/>
    <w:rsid w:val="00D824B5"/>
    <w:rsid w:val="00D833FA"/>
    <w:rsid w:val="00D83448"/>
    <w:rsid w:val="00D8397A"/>
    <w:rsid w:val="00D83CF6"/>
    <w:rsid w:val="00D83F27"/>
    <w:rsid w:val="00D841BE"/>
    <w:rsid w:val="00D84E10"/>
    <w:rsid w:val="00D84EA9"/>
    <w:rsid w:val="00D84EC1"/>
    <w:rsid w:val="00D8561E"/>
    <w:rsid w:val="00D8587D"/>
    <w:rsid w:val="00D86289"/>
    <w:rsid w:val="00D86F8A"/>
    <w:rsid w:val="00D90F2E"/>
    <w:rsid w:val="00D91499"/>
    <w:rsid w:val="00D922EC"/>
    <w:rsid w:val="00D9270E"/>
    <w:rsid w:val="00D9272B"/>
    <w:rsid w:val="00D92A4A"/>
    <w:rsid w:val="00D93C29"/>
    <w:rsid w:val="00D9515B"/>
    <w:rsid w:val="00D96C9C"/>
    <w:rsid w:val="00D97F6A"/>
    <w:rsid w:val="00DA084F"/>
    <w:rsid w:val="00DA1249"/>
    <w:rsid w:val="00DA1C6F"/>
    <w:rsid w:val="00DA1DD9"/>
    <w:rsid w:val="00DA2EAB"/>
    <w:rsid w:val="00DA3377"/>
    <w:rsid w:val="00DA3680"/>
    <w:rsid w:val="00DA3735"/>
    <w:rsid w:val="00DA37FC"/>
    <w:rsid w:val="00DA43F0"/>
    <w:rsid w:val="00DA4586"/>
    <w:rsid w:val="00DA5007"/>
    <w:rsid w:val="00DA6EFE"/>
    <w:rsid w:val="00DA71F3"/>
    <w:rsid w:val="00DA798B"/>
    <w:rsid w:val="00DA7B83"/>
    <w:rsid w:val="00DA7CFB"/>
    <w:rsid w:val="00DA7F66"/>
    <w:rsid w:val="00DB0610"/>
    <w:rsid w:val="00DB0670"/>
    <w:rsid w:val="00DB09BF"/>
    <w:rsid w:val="00DB1213"/>
    <w:rsid w:val="00DB1B35"/>
    <w:rsid w:val="00DB1ED7"/>
    <w:rsid w:val="00DB2677"/>
    <w:rsid w:val="00DB26F0"/>
    <w:rsid w:val="00DB274D"/>
    <w:rsid w:val="00DB2F31"/>
    <w:rsid w:val="00DB340B"/>
    <w:rsid w:val="00DB3865"/>
    <w:rsid w:val="00DB39FF"/>
    <w:rsid w:val="00DB41CA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28E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0F32"/>
    <w:rsid w:val="00DD18F0"/>
    <w:rsid w:val="00DD1A0F"/>
    <w:rsid w:val="00DD1B26"/>
    <w:rsid w:val="00DD1BB9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0EE"/>
    <w:rsid w:val="00DD7244"/>
    <w:rsid w:val="00DE03C1"/>
    <w:rsid w:val="00DE0883"/>
    <w:rsid w:val="00DE1100"/>
    <w:rsid w:val="00DE11F8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F05DB"/>
    <w:rsid w:val="00DF1B4B"/>
    <w:rsid w:val="00DF1B8F"/>
    <w:rsid w:val="00DF32FA"/>
    <w:rsid w:val="00DF38DC"/>
    <w:rsid w:val="00DF39F0"/>
    <w:rsid w:val="00DF3AD8"/>
    <w:rsid w:val="00DF3B51"/>
    <w:rsid w:val="00DF4B67"/>
    <w:rsid w:val="00DF4CC7"/>
    <w:rsid w:val="00DF50E2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66"/>
    <w:rsid w:val="00DF7C84"/>
    <w:rsid w:val="00E00EDC"/>
    <w:rsid w:val="00E011E7"/>
    <w:rsid w:val="00E016BE"/>
    <w:rsid w:val="00E0249C"/>
    <w:rsid w:val="00E0261C"/>
    <w:rsid w:val="00E02D12"/>
    <w:rsid w:val="00E02D38"/>
    <w:rsid w:val="00E02EEA"/>
    <w:rsid w:val="00E037D2"/>
    <w:rsid w:val="00E03B2C"/>
    <w:rsid w:val="00E03C04"/>
    <w:rsid w:val="00E03D9C"/>
    <w:rsid w:val="00E03DD0"/>
    <w:rsid w:val="00E03FFE"/>
    <w:rsid w:val="00E045EE"/>
    <w:rsid w:val="00E04FAE"/>
    <w:rsid w:val="00E051DB"/>
    <w:rsid w:val="00E057C3"/>
    <w:rsid w:val="00E05800"/>
    <w:rsid w:val="00E05C21"/>
    <w:rsid w:val="00E068F2"/>
    <w:rsid w:val="00E10001"/>
    <w:rsid w:val="00E1052E"/>
    <w:rsid w:val="00E10BC1"/>
    <w:rsid w:val="00E10C20"/>
    <w:rsid w:val="00E10FC6"/>
    <w:rsid w:val="00E11C5B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47CE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50D7"/>
    <w:rsid w:val="00E25916"/>
    <w:rsid w:val="00E2610F"/>
    <w:rsid w:val="00E2620B"/>
    <w:rsid w:val="00E26477"/>
    <w:rsid w:val="00E26B31"/>
    <w:rsid w:val="00E2710D"/>
    <w:rsid w:val="00E30387"/>
    <w:rsid w:val="00E30897"/>
    <w:rsid w:val="00E30903"/>
    <w:rsid w:val="00E311BC"/>
    <w:rsid w:val="00E31370"/>
    <w:rsid w:val="00E31D5C"/>
    <w:rsid w:val="00E329D5"/>
    <w:rsid w:val="00E334AB"/>
    <w:rsid w:val="00E340C6"/>
    <w:rsid w:val="00E34422"/>
    <w:rsid w:val="00E348C9"/>
    <w:rsid w:val="00E34908"/>
    <w:rsid w:val="00E35A87"/>
    <w:rsid w:val="00E35BCA"/>
    <w:rsid w:val="00E35D21"/>
    <w:rsid w:val="00E369F1"/>
    <w:rsid w:val="00E36FDC"/>
    <w:rsid w:val="00E37475"/>
    <w:rsid w:val="00E37DD2"/>
    <w:rsid w:val="00E40058"/>
    <w:rsid w:val="00E4007D"/>
    <w:rsid w:val="00E40131"/>
    <w:rsid w:val="00E40569"/>
    <w:rsid w:val="00E40AC6"/>
    <w:rsid w:val="00E40F22"/>
    <w:rsid w:val="00E413D5"/>
    <w:rsid w:val="00E41770"/>
    <w:rsid w:val="00E4177C"/>
    <w:rsid w:val="00E44691"/>
    <w:rsid w:val="00E44A70"/>
    <w:rsid w:val="00E45002"/>
    <w:rsid w:val="00E45618"/>
    <w:rsid w:val="00E4625D"/>
    <w:rsid w:val="00E465B3"/>
    <w:rsid w:val="00E466EA"/>
    <w:rsid w:val="00E46CFB"/>
    <w:rsid w:val="00E46E99"/>
    <w:rsid w:val="00E471C5"/>
    <w:rsid w:val="00E47434"/>
    <w:rsid w:val="00E4792A"/>
    <w:rsid w:val="00E47AFB"/>
    <w:rsid w:val="00E47BF6"/>
    <w:rsid w:val="00E5038A"/>
    <w:rsid w:val="00E504D5"/>
    <w:rsid w:val="00E50C82"/>
    <w:rsid w:val="00E523D9"/>
    <w:rsid w:val="00E524E4"/>
    <w:rsid w:val="00E52928"/>
    <w:rsid w:val="00E52BFC"/>
    <w:rsid w:val="00E54842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8BE"/>
    <w:rsid w:val="00E61E56"/>
    <w:rsid w:val="00E6221B"/>
    <w:rsid w:val="00E62F1D"/>
    <w:rsid w:val="00E632DE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37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51EF"/>
    <w:rsid w:val="00E75454"/>
    <w:rsid w:val="00E75F85"/>
    <w:rsid w:val="00E77079"/>
    <w:rsid w:val="00E77A41"/>
    <w:rsid w:val="00E77F05"/>
    <w:rsid w:val="00E77F3A"/>
    <w:rsid w:val="00E8036C"/>
    <w:rsid w:val="00E80845"/>
    <w:rsid w:val="00E8103A"/>
    <w:rsid w:val="00E810FA"/>
    <w:rsid w:val="00E815CD"/>
    <w:rsid w:val="00E815E3"/>
    <w:rsid w:val="00E81732"/>
    <w:rsid w:val="00E81ADC"/>
    <w:rsid w:val="00E81C9C"/>
    <w:rsid w:val="00E81D5D"/>
    <w:rsid w:val="00E81E52"/>
    <w:rsid w:val="00E81F97"/>
    <w:rsid w:val="00E82D07"/>
    <w:rsid w:val="00E84074"/>
    <w:rsid w:val="00E84F4E"/>
    <w:rsid w:val="00E851CB"/>
    <w:rsid w:val="00E855B8"/>
    <w:rsid w:val="00E858D9"/>
    <w:rsid w:val="00E86212"/>
    <w:rsid w:val="00E86369"/>
    <w:rsid w:val="00E86474"/>
    <w:rsid w:val="00E86A52"/>
    <w:rsid w:val="00E86B94"/>
    <w:rsid w:val="00E876CA"/>
    <w:rsid w:val="00E8795E"/>
    <w:rsid w:val="00E900F7"/>
    <w:rsid w:val="00E90849"/>
    <w:rsid w:val="00E90B30"/>
    <w:rsid w:val="00E90C45"/>
    <w:rsid w:val="00E91D7C"/>
    <w:rsid w:val="00E930A5"/>
    <w:rsid w:val="00E9337D"/>
    <w:rsid w:val="00E933B2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00"/>
    <w:rsid w:val="00EA14C1"/>
    <w:rsid w:val="00EA1688"/>
    <w:rsid w:val="00EA17BB"/>
    <w:rsid w:val="00EA1DC5"/>
    <w:rsid w:val="00EA1F7D"/>
    <w:rsid w:val="00EA1FCE"/>
    <w:rsid w:val="00EA34E8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BE3"/>
    <w:rsid w:val="00EB0C13"/>
    <w:rsid w:val="00EB176F"/>
    <w:rsid w:val="00EB1B39"/>
    <w:rsid w:val="00EB1D47"/>
    <w:rsid w:val="00EB21CE"/>
    <w:rsid w:val="00EB23AA"/>
    <w:rsid w:val="00EB2B80"/>
    <w:rsid w:val="00EB2D76"/>
    <w:rsid w:val="00EB304B"/>
    <w:rsid w:val="00EB45BC"/>
    <w:rsid w:val="00EB46E0"/>
    <w:rsid w:val="00EB5C95"/>
    <w:rsid w:val="00EB5E50"/>
    <w:rsid w:val="00EB60FB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5D9"/>
    <w:rsid w:val="00EC16FA"/>
    <w:rsid w:val="00EC181D"/>
    <w:rsid w:val="00EC306C"/>
    <w:rsid w:val="00EC31CC"/>
    <w:rsid w:val="00EC3B42"/>
    <w:rsid w:val="00EC3B99"/>
    <w:rsid w:val="00EC3D80"/>
    <w:rsid w:val="00EC4386"/>
    <w:rsid w:val="00EC4616"/>
    <w:rsid w:val="00EC4D10"/>
    <w:rsid w:val="00EC5288"/>
    <w:rsid w:val="00EC5E00"/>
    <w:rsid w:val="00EC5F2B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4FD"/>
    <w:rsid w:val="00ED2E18"/>
    <w:rsid w:val="00ED2F76"/>
    <w:rsid w:val="00ED3429"/>
    <w:rsid w:val="00ED3DA3"/>
    <w:rsid w:val="00ED434E"/>
    <w:rsid w:val="00ED51D4"/>
    <w:rsid w:val="00ED53A1"/>
    <w:rsid w:val="00ED5C94"/>
    <w:rsid w:val="00ED5E39"/>
    <w:rsid w:val="00ED5ECF"/>
    <w:rsid w:val="00ED5EFE"/>
    <w:rsid w:val="00ED669A"/>
    <w:rsid w:val="00ED6A75"/>
    <w:rsid w:val="00ED6AAA"/>
    <w:rsid w:val="00ED7461"/>
    <w:rsid w:val="00ED7561"/>
    <w:rsid w:val="00ED7A11"/>
    <w:rsid w:val="00ED7CBE"/>
    <w:rsid w:val="00EE02CE"/>
    <w:rsid w:val="00EE0794"/>
    <w:rsid w:val="00EE0E20"/>
    <w:rsid w:val="00EE122A"/>
    <w:rsid w:val="00EE210E"/>
    <w:rsid w:val="00EE2AA0"/>
    <w:rsid w:val="00EE2E88"/>
    <w:rsid w:val="00EE2F89"/>
    <w:rsid w:val="00EE30B8"/>
    <w:rsid w:val="00EE328B"/>
    <w:rsid w:val="00EE39F5"/>
    <w:rsid w:val="00EE4442"/>
    <w:rsid w:val="00EE4537"/>
    <w:rsid w:val="00EE4828"/>
    <w:rsid w:val="00EE4FAE"/>
    <w:rsid w:val="00EE5019"/>
    <w:rsid w:val="00EE50AA"/>
    <w:rsid w:val="00EE5F7B"/>
    <w:rsid w:val="00EE6834"/>
    <w:rsid w:val="00EE6A28"/>
    <w:rsid w:val="00EE6CF1"/>
    <w:rsid w:val="00EE6E2F"/>
    <w:rsid w:val="00EE72BE"/>
    <w:rsid w:val="00EE7503"/>
    <w:rsid w:val="00EE7A56"/>
    <w:rsid w:val="00EE7F76"/>
    <w:rsid w:val="00EF0343"/>
    <w:rsid w:val="00EF0688"/>
    <w:rsid w:val="00EF185B"/>
    <w:rsid w:val="00EF2A60"/>
    <w:rsid w:val="00EF3E79"/>
    <w:rsid w:val="00EF448E"/>
    <w:rsid w:val="00EF44DB"/>
    <w:rsid w:val="00EF4A6C"/>
    <w:rsid w:val="00EF583E"/>
    <w:rsid w:val="00EF6405"/>
    <w:rsid w:val="00EF6F7B"/>
    <w:rsid w:val="00EF71E7"/>
    <w:rsid w:val="00EF7421"/>
    <w:rsid w:val="00EF78CD"/>
    <w:rsid w:val="00F00506"/>
    <w:rsid w:val="00F007E5"/>
    <w:rsid w:val="00F021EC"/>
    <w:rsid w:val="00F027A1"/>
    <w:rsid w:val="00F02963"/>
    <w:rsid w:val="00F02A59"/>
    <w:rsid w:val="00F035E0"/>
    <w:rsid w:val="00F03792"/>
    <w:rsid w:val="00F03D28"/>
    <w:rsid w:val="00F04038"/>
    <w:rsid w:val="00F04395"/>
    <w:rsid w:val="00F0450B"/>
    <w:rsid w:val="00F047EC"/>
    <w:rsid w:val="00F04CB9"/>
    <w:rsid w:val="00F052BA"/>
    <w:rsid w:val="00F05303"/>
    <w:rsid w:val="00F055A2"/>
    <w:rsid w:val="00F05609"/>
    <w:rsid w:val="00F061AB"/>
    <w:rsid w:val="00F07957"/>
    <w:rsid w:val="00F106EC"/>
    <w:rsid w:val="00F1116E"/>
    <w:rsid w:val="00F1206E"/>
    <w:rsid w:val="00F127FD"/>
    <w:rsid w:val="00F1291B"/>
    <w:rsid w:val="00F12948"/>
    <w:rsid w:val="00F129AF"/>
    <w:rsid w:val="00F13860"/>
    <w:rsid w:val="00F1412C"/>
    <w:rsid w:val="00F14E96"/>
    <w:rsid w:val="00F14F44"/>
    <w:rsid w:val="00F15649"/>
    <w:rsid w:val="00F1655C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262"/>
    <w:rsid w:val="00F27931"/>
    <w:rsid w:val="00F306B8"/>
    <w:rsid w:val="00F310C3"/>
    <w:rsid w:val="00F31B2F"/>
    <w:rsid w:val="00F31F1A"/>
    <w:rsid w:val="00F320A3"/>
    <w:rsid w:val="00F33DE0"/>
    <w:rsid w:val="00F349B4"/>
    <w:rsid w:val="00F3665D"/>
    <w:rsid w:val="00F36923"/>
    <w:rsid w:val="00F36B0F"/>
    <w:rsid w:val="00F406CC"/>
    <w:rsid w:val="00F4074E"/>
    <w:rsid w:val="00F40C5A"/>
    <w:rsid w:val="00F40D47"/>
    <w:rsid w:val="00F41413"/>
    <w:rsid w:val="00F41846"/>
    <w:rsid w:val="00F419BE"/>
    <w:rsid w:val="00F41A85"/>
    <w:rsid w:val="00F423C4"/>
    <w:rsid w:val="00F43448"/>
    <w:rsid w:val="00F43453"/>
    <w:rsid w:val="00F43C37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9D3"/>
    <w:rsid w:val="00F51B7C"/>
    <w:rsid w:val="00F52C51"/>
    <w:rsid w:val="00F53463"/>
    <w:rsid w:val="00F53F11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AFC"/>
    <w:rsid w:val="00F60DDB"/>
    <w:rsid w:val="00F611B3"/>
    <w:rsid w:val="00F61520"/>
    <w:rsid w:val="00F61884"/>
    <w:rsid w:val="00F61F45"/>
    <w:rsid w:val="00F629EF"/>
    <w:rsid w:val="00F63100"/>
    <w:rsid w:val="00F6332A"/>
    <w:rsid w:val="00F65A2B"/>
    <w:rsid w:val="00F65D37"/>
    <w:rsid w:val="00F661D0"/>
    <w:rsid w:val="00F66E50"/>
    <w:rsid w:val="00F70342"/>
    <w:rsid w:val="00F7095B"/>
    <w:rsid w:val="00F709BD"/>
    <w:rsid w:val="00F71174"/>
    <w:rsid w:val="00F711FF"/>
    <w:rsid w:val="00F719D4"/>
    <w:rsid w:val="00F71D1E"/>
    <w:rsid w:val="00F72BF7"/>
    <w:rsid w:val="00F72DE1"/>
    <w:rsid w:val="00F7338C"/>
    <w:rsid w:val="00F744B4"/>
    <w:rsid w:val="00F74A08"/>
    <w:rsid w:val="00F74A33"/>
    <w:rsid w:val="00F74BCF"/>
    <w:rsid w:val="00F75204"/>
    <w:rsid w:val="00F75BD2"/>
    <w:rsid w:val="00F765BA"/>
    <w:rsid w:val="00F767EC"/>
    <w:rsid w:val="00F76B01"/>
    <w:rsid w:val="00F76CA8"/>
    <w:rsid w:val="00F8001F"/>
    <w:rsid w:val="00F80377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BDD"/>
    <w:rsid w:val="00F84F68"/>
    <w:rsid w:val="00F85B45"/>
    <w:rsid w:val="00F867D0"/>
    <w:rsid w:val="00F8741F"/>
    <w:rsid w:val="00F874AA"/>
    <w:rsid w:val="00F875F4"/>
    <w:rsid w:val="00F87801"/>
    <w:rsid w:val="00F878A9"/>
    <w:rsid w:val="00F87E74"/>
    <w:rsid w:val="00F9024E"/>
    <w:rsid w:val="00F9088C"/>
    <w:rsid w:val="00F90C05"/>
    <w:rsid w:val="00F911D7"/>
    <w:rsid w:val="00F911FB"/>
    <w:rsid w:val="00F929F2"/>
    <w:rsid w:val="00F932B1"/>
    <w:rsid w:val="00F93D6E"/>
    <w:rsid w:val="00F93F6A"/>
    <w:rsid w:val="00F94709"/>
    <w:rsid w:val="00F949F4"/>
    <w:rsid w:val="00F97BCD"/>
    <w:rsid w:val="00F97E6F"/>
    <w:rsid w:val="00FA017D"/>
    <w:rsid w:val="00FA01F0"/>
    <w:rsid w:val="00FA0951"/>
    <w:rsid w:val="00FA18C6"/>
    <w:rsid w:val="00FA1B31"/>
    <w:rsid w:val="00FA233C"/>
    <w:rsid w:val="00FA24FA"/>
    <w:rsid w:val="00FA4901"/>
    <w:rsid w:val="00FA53A3"/>
    <w:rsid w:val="00FA56D1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C00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0817"/>
    <w:rsid w:val="00FC1040"/>
    <w:rsid w:val="00FC11C1"/>
    <w:rsid w:val="00FC121A"/>
    <w:rsid w:val="00FC1818"/>
    <w:rsid w:val="00FC18B0"/>
    <w:rsid w:val="00FC1FEC"/>
    <w:rsid w:val="00FC2C65"/>
    <w:rsid w:val="00FC2DA8"/>
    <w:rsid w:val="00FC3421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12D"/>
    <w:rsid w:val="00FD3722"/>
    <w:rsid w:val="00FD3868"/>
    <w:rsid w:val="00FD3A82"/>
    <w:rsid w:val="00FD3F74"/>
    <w:rsid w:val="00FD4B43"/>
    <w:rsid w:val="00FD5384"/>
    <w:rsid w:val="00FD7411"/>
    <w:rsid w:val="00FD77D0"/>
    <w:rsid w:val="00FD7B3B"/>
    <w:rsid w:val="00FE05F6"/>
    <w:rsid w:val="00FE1655"/>
    <w:rsid w:val="00FE19ED"/>
    <w:rsid w:val="00FE1A45"/>
    <w:rsid w:val="00FE279E"/>
    <w:rsid w:val="00FE2DF2"/>
    <w:rsid w:val="00FE3879"/>
    <w:rsid w:val="00FE3B8B"/>
    <w:rsid w:val="00FE3BBD"/>
    <w:rsid w:val="00FE3C0A"/>
    <w:rsid w:val="00FE41A4"/>
    <w:rsid w:val="00FE4559"/>
    <w:rsid w:val="00FE49D4"/>
    <w:rsid w:val="00FE5BB6"/>
    <w:rsid w:val="00FE6606"/>
    <w:rsid w:val="00FE6A00"/>
    <w:rsid w:val="00FE79CB"/>
    <w:rsid w:val="00FF09EE"/>
    <w:rsid w:val="00FF0B90"/>
    <w:rsid w:val="00FF0C18"/>
    <w:rsid w:val="00FF0F62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4E9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2E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</w:rPr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39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8FB"/>
    <w:rPr>
      <w:rFonts w:cs="Times New Roman"/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62AC"/>
    <w:rPr>
      <w:rFonts w:cs="Times New Roman"/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locked/>
    <w:rsid w:val="00D75E53"/>
    <w:rPr>
      <w:rFonts w:cs="Times New Roman"/>
      <w:sz w:val="24"/>
      <w:szCs w:val="24"/>
    </w:rPr>
  </w:style>
  <w:style w:type="character" w:customStyle="1" w:styleId="st1">
    <w:name w:val="st1"/>
    <w:basedOn w:val="Standardnpsmoodstavce"/>
    <w:rsid w:val="00215BCB"/>
    <w:rPr>
      <w:rFonts w:cs="Times New Roman"/>
    </w:rPr>
  </w:style>
  <w:style w:type="paragraph" w:customStyle="1" w:styleId="QA1-Bullet-1st-Clear">
    <w:name w:val="Q&amp;A 1-Bullet-1st-Clear"/>
    <w:basedOn w:val="Normln"/>
    <w:qFormat/>
    <w:rsid w:val="00C73DB7"/>
    <w:pPr>
      <w:widowControl w:val="0"/>
      <w:numPr>
        <w:numId w:val="5"/>
      </w:numPr>
      <w:shd w:val="clear" w:color="auto" w:fill="FFFFFF" w:themeFill="background1"/>
      <w:tabs>
        <w:tab w:val="clear" w:pos="360"/>
      </w:tabs>
      <w:autoSpaceDE w:val="0"/>
      <w:autoSpaceDN w:val="0"/>
      <w:adjustRightInd w:val="0"/>
      <w:ind w:left="166" w:hanging="166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302BCF"/>
    <w:rPr>
      <w:rFonts w:ascii="Times New Roman" w:hAnsi="Times New Roman"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0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2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3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2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8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0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1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essroom.ups.com/pressroom/Home.pa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ps.com/ship/guided/destination?tx=2168142152068288&amp;loc=en_US&amp;WT.mc_id=BOILERPLATE_PRESSRELEASE_END_SHIP_0716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just-compan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PS_News" TargetMode="External"/><Relationship Id="rId10" Type="http://schemas.openxmlformats.org/officeDocument/2006/relationships/hyperlink" Target="https://www.forbes.com/powerful-brands/lis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sustainability.ups.com/resources/sustainability-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1259-90F7-4A6E-8CCD-61475B30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2019-10-22T13:37:00Z</dcterms:created>
  <dcterms:modified xsi:type="dcterms:W3CDTF">2019-10-23T07:55:00Z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</Properties>
</file>