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5E2A" w14:textId="77777777" w:rsidR="00486D14" w:rsidRDefault="00A47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0" simplePos="0" relativeHeight="2" behindDoc="0" locked="0" layoutInCell="1" allowOverlap="1" wp14:anchorId="159F4A37" wp14:editId="1AEECB97">
            <wp:simplePos x="0" y="0"/>
            <wp:positionH relativeFrom="margin">
              <wp:posOffset>5315585</wp:posOffset>
            </wp:positionH>
            <wp:positionV relativeFrom="paragraph">
              <wp:posOffset>635</wp:posOffset>
            </wp:positionV>
            <wp:extent cx="571500" cy="6858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95B96" w14:textId="77777777" w:rsidR="00486D14" w:rsidRDefault="00A475E0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Kontakt:</w:t>
      </w:r>
      <w:r>
        <w:rPr>
          <w:rFonts w:ascii="Arial" w:hAnsi="Arial" w:cs="Arial"/>
          <w:sz w:val="16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Steve Gaut, Public Relations</w:t>
      </w:r>
    </w:p>
    <w:p w14:paraId="3EBB3361" w14:textId="77777777" w:rsidR="00486D14" w:rsidRDefault="00A475E0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+1 404-828-8787</w:t>
      </w:r>
    </w:p>
    <w:p w14:paraId="2EAED852" w14:textId="77777777" w:rsidR="00486D14" w:rsidRDefault="00486D14">
      <w:pPr>
        <w:rPr>
          <w:rFonts w:ascii="Arial" w:hAnsi="Arial" w:cs="Arial"/>
          <w:sz w:val="20"/>
          <w:szCs w:val="20"/>
        </w:rPr>
      </w:pPr>
    </w:p>
    <w:p w14:paraId="04AD9197" w14:textId="77777777" w:rsidR="00486D14" w:rsidRDefault="00A475E0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 Childress, Investor Relations</w:t>
      </w:r>
    </w:p>
    <w:p w14:paraId="11B7127E" w14:textId="77777777" w:rsidR="00486D14" w:rsidRDefault="00A475E0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+1 404-828-7957</w:t>
      </w:r>
    </w:p>
    <w:p w14:paraId="374D2DF0" w14:textId="77777777" w:rsidR="00486D14" w:rsidRDefault="00486D14">
      <w:pPr>
        <w:rPr>
          <w:rFonts w:ascii="Arial" w:hAnsi="Arial" w:cs="Arial"/>
          <w:sz w:val="20"/>
          <w:szCs w:val="20"/>
        </w:rPr>
      </w:pPr>
    </w:p>
    <w:p w14:paraId="26E81293" w14:textId="77777777" w:rsidR="00486D14" w:rsidRDefault="00A475E0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14:paraId="301D68B2" w14:textId="77777777" w:rsidR="00486D14" w:rsidRDefault="00A475E0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14:paraId="73463F97" w14:textId="77777777" w:rsidR="00486D14" w:rsidRDefault="00ED5789">
      <w:pPr>
        <w:ind w:left="589" w:firstLine="851"/>
      </w:pPr>
      <w:hyperlink r:id="rId9">
        <w:r w:rsidR="00A475E0">
          <w:rPr>
            <w:rStyle w:val="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69027645" w14:textId="77777777" w:rsidR="00486D14" w:rsidRDefault="00486D14">
      <w:pPr>
        <w:rPr>
          <w:rFonts w:ascii="Arial" w:hAnsi="Arial" w:cs="Arial"/>
          <w:sz w:val="20"/>
          <w:szCs w:val="20"/>
          <w:lang w:val="cs-CZ"/>
        </w:rPr>
      </w:pPr>
    </w:p>
    <w:p w14:paraId="1E801CFF" w14:textId="77777777" w:rsidR="00486D14" w:rsidRDefault="00486D14">
      <w:pPr>
        <w:rPr>
          <w:rFonts w:ascii="Arial" w:hAnsi="Arial" w:cs="Arial"/>
          <w:sz w:val="20"/>
          <w:szCs w:val="20"/>
          <w:lang w:val="cs-CZ"/>
        </w:rPr>
      </w:pPr>
    </w:p>
    <w:p w14:paraId="33E513A4" w14:textId="77777777" w:rsidR="00486D14" w:rsidRDefault="00486D14">
      <w:pPr>
        <w:rPr>
          <w:rFonts w:ascii="Arial" w:hAnsi="Arial" w:cs="Arial"/>
          <w:sz w:val="20"/>
          <w:szCs w:val="20"/>
          <w:lang w:val="cs-CZ"/>
        </w:rPr>
      </w:pPr>
    </w:p>
    <w:p w14:paraId="762F4C79" w14:textId="77777777" w:rsidR="00486D14" w:rsidRDefault="00A475E0">
      <w:pPr>
        <w:jc w:val="center"/>
        <w:rPr>
          <w:rFonts w:ascii="Arial" w:hAnsi="Arial" w:cs="Arial"/>
          <w:b/>
          <w:sz w:val="32"/>
          <w:szCs w:val="26"/>
          <w:lang w:val="cs-CZ"/>
        </w:rPr>
      </w:pPr>
      <w:r>
        <w:rPr>
          <w:rFonts w:ascii="Arial" w:hAnsi="Arial" w:cs="Arial"/>
          <w:b/>
          <w:sz w:val="32"/>
          <w:szCs w:val="26"/>
          <w:lang w:val="cs-CZ"/>
        </w:rPr>
        <w:t>Zisk na akcii UPS ve 3. kvartálu 2018 vzrostl o více než 20 %</w:t>
      </w:r>
    </w:p>
    <w:p w14:paraId="0F95AC41" w14:textId="77777777" w:rsidR="00486D14" w:rsidRDefault="00486D14">
      <w:pPr>
        <w:ind w:left="180"/>
        <w:jc w:val="center"/>
        <w:rPr>
          <w:rFonts w:ascii="Arial" w:hAnsi="Arial" w:cs="Arial"/>
          <w:b/>
          <w:sz w:val="28"/>
          <w:szCs w:val="26"/>
        </w:rPr>
      </w:pPr>
    </w:p>
    <w:p w14:paraId="7BFDFB79" w14:textId="77777777" w:rsidR="00486D14" w:rsidRDefault="00A475E0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Firma za 3. kvartál 2018 vykázala zisk na akcii ve výši 1,73 USD, což  představuje navýšení o 20 %, upravený zisk na akcii vzrostl o 26 % na 1,82</w:t>
      </w:r>
      <w:r w:rsidR="00976EE6">
        <w:rPr>
          <w:rFonts w:ascii="Arial" w:hAnsi="Arial" w:cs="Arial"/>
          <w:b/>
          <w:i/>
          <w:lang w:val="cs-CZ"/>
        </w:rPr>
        <w:t> </w:t>
      </w:r>
      <w:r>
        <w:rPr>
          <w:rFonts w:ascii="Arial" w:hAnsi="Arial" w:cs="Arial"/>
          <w:b/>
          <w:i/>
          <w:lang w:val="cs-CZ"/>
        </w:rPr>
        <w:t>USD.</w:t>
      </w:r>
    </w:p>
    <w:p w14:paraId="59A54432" w14:textId="77777777" w:rsidR="00486D14" w:rsidRDefault="00A475E0">
      <w:pPr>
        <w:pStyle w:val="ListParagraph"/>
        <w:numPr>
          <w:ilvl w:val="0"/>
          <w:numId w:val="1"/>
        </w:numPr>
        <w:ind w:left="540"/>
      </w:pPr>
      <w:r>
        <w:rPr>
          <w:rFonts w:ascii="Arial" w:hAnsi="Arial" w:cs="Arial"/>
          <w:b/>
          <w:i/>
          <w:lang w:val="cs-CZ"/>
        </w:rPr>
        <w:t>Příjmy na domácím trhu v USA vzrostly o 8,1 % díky růstu a akceleraci výnosů.</w:t>
      </w:r>
    </w:p>
    <w:p w14:paraId="34361A17" w14:textId="77777777" w:rsidR="00486D14" w:rsidRDefault="00A475E0">
      <w:pPr>
        <w:pStyle w:val="ListParagraph"/>
        <w:numPr>
          <w:ilvl w:val="0"/>
          <w:numId w:val="1"/>
        </w:numPr>
        <w:ind w:left="540"/>
      </w:pPr>
      <w:r>
        <w:rPr>
          <w:rFonts w:ascii="Arial" w:hAnsi="Arial" w:cs="Arial"/>
          <w:b/>
          <w:i/>
          <w:lang w:val="cs-CZ"/>
        </w:rPr>
        <w:t>Příjmy na měnově neutrální bázi v mezinárodní přepravě vzrostly o 5 %, přírůstky zaznamenaly všechny regiony.</w:t>
      </w:r>
    </w:p>
    <w:p w14:paraId="1A93BBB9" w14:textId="77777777" w:rsidR="00486D14" w:rsidRDefault="00A475E0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Mezinárodní přeprava v meziročním srovnání byla ovlivněna výkyvy měnových kurzů a cen paliva.</w:t>
      </w:r>
    </w:p>
    <w:p w14:paraId="30957A1B" w14:textId="77777777" w:rsidR="00486D14" w:rsidRDefault="00A475E0">
      <w:pPr>
        <w:pStyle w:val="ListParagraph"/>
        <w:numPr>
          <w:ilvl w:val="0"/>
          <w:numId w:val="1"/>
        </w:numPr>
        <w:ind w:left="540"/>
      </w:pPr>
      <w:r>
        <w:rPr>
          <w:rFonts w:ascii="Arial" w:hAnsi="Arial" w:cs="Arial"/>
          <w:b/>
          <w:i/>
          <w:lang w:val="cs-CZ"/>
        </w:rPr>
        <w:t>Provozní zisk divize Dodavatelské řetězce a nákladní přeprava se zvýšil o 24 %, upravený provozní zisk poskočil na 33 %.</w:t>
      </w:r>
    </w:p>
    <w:p w14:paraId="717A25BD" w14:textId="77777777" w:rsidR="00486D14" w:rsidRDefault="00A475E0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Provozní hotovost za tři kvartály tohoto roku dosáhla 9,4 mld. USD, volný peněžní tok se navýšil na 4,9 mld. USD.</w:t>
      </w:r>
    </w:p>
    <w:p w14:paraId="7606ABE2" w14:textId="1FA8FFE1" w:rsidR="00486D14" w:rsidRDefault="00A475E0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Výhled na volný peněžní tok</w:t>
      </w:r>
      <w:bookmarkStart w:id="0" w:name="_GoBack"/>
      <w:bookmarkEnd w:id="0"/>
      <w:r>
        <w:rPr>
          <w:rFonts w:ascii="Arial" w:hAnsi="Arial" w:cs="Arial"/>
          <w:b/>
          <w:i/>
          <w:lang w:val="cs-CZ"/>
        </w:rPr>
        <w:t xml:space="preserve"> byl navýšen na více než 5 mld. USD a firma opětovně potvrdila upravený zisk na akcii pro rok 2018.</w:t>
      </w:r>
    </w:p>
    <w:p w14:paraId="78FCF06A" w14:textId="77777777" w:rsidR="00486D14" w:rsidRDefault="00486D14">
      <w:pPr>
        <w:pStyle w:val="ListParagraph"/>
        <w:ind w:left="540"/>
        <w:rPr>
          <w:rFonts w:ascii="Arial" w:hAnsi="Arial" w:cs="Arial"/>
          <w:b/>
          <w:i/>
          <w:lang w:val="cs-CZ"/>
        </w:rPr>
      </w:pPr>
    </w:p>
    <w:p w14:paraId="1AA00154" w14:textId="77777777" w:rsidR="00486D14" w:rsidRDefault="00A475E0">
      <w:pPr>
        <w:ind w:firstLine="720"/>
      </w:pPr>
      <w:r>
        <w:rPr>
          <w:rFonts w:ascii="Arial" w:hAnsi="Arial" w:cs="Arial"/>
          <w:b/>
          <w:sz w:val="22"/>
          <w:szCs w:val="22"/>
          <w:lang w:val="cs-CZ"/>
        </w:rPr>
        <w:t>ATLANTA, 24. října 2018</w:t>
      </w:r>
      <w:r>
        <w:rPr>
          <w:rFonts w:ascii="Arial" w:hAnsi="Arial" w:cs="Arial"/>
          <w:sz w:val="22"/>
          <w:szCs w:val="22"/>
          <w:lang w:val="cs-CZ"/>
        </w:rPr>
        <w:t xml:space="preserve"> – Společnost UPS (NYSE:UPS) dnes oznámila růst zředěného zisku na akcii ve třetím kvartálu 2018 o více než 20 % na 1,73 USD, upravený zisk na akcii dosáhl 1,82 USD s 26% nárůstem.</w:t>
      </w:r>
    </w:p>
    <w:p w14:paraId="075FBFDF" w14:textId="77777777" w:rsidR="00486D14" w:rsidRDefault="00486D14">
      <w:pPr>
        <w:ind w:firstLine="720"/>
        <w:rPr>
          <w:rFonts w:ascii="Arial" w:hAnsi="Arial" w:cs="Arial"/>
          <w:b/>
          <w:lang w:val="cs-CZ"/>
        </w:rPr>
      </w:pPr>
    </w:p>
    <w:p w14:paraId="7F508501" w14:textId="77777777" w:rsidR="00486D14" w:rsidRDefault="00A475E0">
      <w:pPr>
        <w:ind w:firstLine="720"/>
      </w:pPr>
      <w:r>
        <w:rPr>
          <w:rFonts w:ascii="Arial" w:hAnsi="Arial" w:cs="Arial"/>
          <w:sz w:val="22"/>
          <w:szCs w:val="22"/>
          <w:lang w:val="cs-CZ"/>
        </w:rPr>
        <w:t>Upravené výsledky za třetí kvartál 2018 nezahrnují poplatky před zdaněním ve výši 97</w:t>
      </w:r>
      <w:r w:rsidR="00976EE6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 xml:space="preserve">mil. USD, respektive 0,09 USD na akcii po zdanění, kvůli transformačním nákladům. Tyto projekty jsou součástí transformačních iniciativ firmy, které cílí na efektivitu napříč společností. Transformace rovněž umožní zlepšení kvality příjmů.  </w:t>
      </w:r>
    </w:p>
    <w:p w14:paraId="4F0B8401" w14:textId="77777777" w:rsidR="00486D14" w:rsidRDefault="00486D14">
      <w:pPr>
        <w:ind w:firstLine="720"/>
        <w:rPr>
          <w:rFonts w:ascii="Arial" w:hAnsi="Arial" w:cs="Arial"/>
          <w:sz w:val="22"/>
        </w:rPr>
      </w:pPr>
    </w:p>
    <w:tbl>
      <w:tblPr>
        <w:tblStyle w:val="TableGrid"/>
        <w:tblW w:w="8103" w:type="dxa"/>
        <w:jc w:val="center"/>
        <w:tblLook w:val="04A0" w:firstRow="1" w:lastRow="0" w:firstColumn="1" w:lastColumn="0" w:noHBand="0" w:noVBand="1"/>
      </w:tblPr>
      <w:tblGrid>
        <w:gridCol w:w="2662"/>
        <w:gridCol w:w="1851"/>
        <w:gridCol w:w="1739"/>
        <w:gridCol w:w="1851"/>
      </w:tblGrid>
      <w:tr w:rsidR="00486D14" w14:paraId="07972B11" w14:textId="77777777" w:rsidTr="00EF2732">
        <w:trPr>
          <w:jc w:val="center"/>
        </w:trPr>
        <w:tc>
          <w:tcPr>
            <w:tcW w:w="2662" w:type="dxa"/>
            <w:shd w:val="clear" w:color="auto" w:fill="auto"/>
          </w:tcPr>
          <w:p w14:paraId="07D3F1F5" w14:textId="77777777" w:rsidR="00486D14" w:rsidRDefault="00486D14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68F60471" w14:textId="77777777" w:rsidR="00486D14" w:rsidRDefault="00A475E0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Konsolidované výsledky</w:t>
            </w:r>
          </w:p>
        </w:tc>
        <w:tc>
          <w:tcPr>
            <w:tcW w:w="1851" w:type="dxa"/>
            <w:shd w:val="clear" w:color="auto" w:fill="auto"/>
          </w:tcPr>
          <w:p w14:paraId="411544FB" w14:textId="77777777" w:rsidR="00486D14" w:rsidRDefault="00486D14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68043A88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2018</w:t>
            </w:r>
          </w:p>
        </w:tc>
        <w:tc>
          <w:tcPr>
            <w:tcW w:w="1739" w:type="dxa"/>
            <w:shd w:val="clear" w:color="auto" w:fill="auto"/>
          </w:tcPr>
          <w:p w14:paraId="05465C16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774761F3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2018</w:t>
            </w:r>
          </w:p>
        </w:tc>
        <w:tc>
          <w:tcPr>
            <w:tcW w:w="1851" w:type="dxa"/>
            <w:shd w:val="clear" w:color="auto" w:fill="auto"/>
          </w:tcPr>
          <w:p w14:paraId="08859CB2" w14:textId="77777777" w:rsidR="00486D14" w:rsidRDefault="00486D14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08D8FE0F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2017</w:t>
            </w:r>
          </w:p>
        </w:tc>
      </w:tr>
      <w:tr w:rsidR="00486D14" w14:paraId="7E595AB8" w14:textId="77777777" w:rsidTr="00EF2732">
        <w:trPr>
          <w:jc w:val="center"/>
        </w:trPr>
        <w:tc>
          <w:tcPr>
            <w:tcW w:w="2662" w:type="dxa"/>
            <w:shd w:val="clear" w:color="auto" w:fill="auto"/>
          </w:tcPr>
          <w:p w14:paraId="4D5BE5B2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851" w:type="dxa"/>
            <w:shd w:val="clear" w:color="auto" w:fill="auto"/>
          </w:tcPr>
          <w:p w14:paraId="5987B22F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17 444 mld. USD</w:t>
            </w:r>
          </w:p>
        </w:tc>
        <w:tc>
          <w:tcPr>
            <w:tcW w:w="1739" w:type="dxa"/>
            <w:shd w:val="clear" w:color="auto" w:fill="auto"/>
          </w:tcPr>
          <w:p w14:paraId="45CB8AB8" w14:textId="77777777" w:rsidR="00486D14" w:rsidRDefault="00486D14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851" w:type="dxa"/>
            <w:shd w:val="clear" w:color="auto" w:fill="auto"/>
          </w:tcPr>
          <w:p w14:paraId="2C957FEC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16 173 mld. USD</w:t>
            </w:r>
          </w:p>
        </w:tc>
      </w:tr>
      <w:tr w:rsidR="00486D14" w14:paraId="684F48E8" w14:textId="77777777" w:rsidTr="00EF2732">
        <w:trPr>
          <w:jc w:val="center"/>
        </w:trPr>
        <w:tc>
          <w:tcPr>
            <w:tcW w:w="2662" w:type="dxa"/>
            <w:shd w:val="clear" w:color="auto" w:fill="auto"/>
          </w:tcPr>
          <w:p w14:paraId="44FA4AD1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Čisté příjmy</w:t>
            </w:r>
          </w:p>
        </w:tc>
        <w:tc>
          <w:tcPr>
            <w:tcW w:w="1851" w:type="dxa"/>
            <w:shd w:val="clear" w:color="auto" w:fill="auto"/>
          </w:tcPr>
          <w:p w14:paraId="51150513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1 508 mld. USD</w:t>
            </w:r>
          </w:p>
        </w:tc>
        <w:tc>
          <w:tcPr>
            <w:tcW w:w="1739" w:type="dxa"/>
            <w:shd w:val="clear" w:color="auto" w:fill="auto"/>
          </w:tcPr>
          <w:p w14:paraId="2E7078E1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1 581 mld. USD</w:t>
            </w:r>
          </w:p>
        </w:tc>
        <w:tc>
          <w:tcPr>
            <w:tcW w:w="1851" w:type="dxa"/>
            <w:shd w:val="clear" w:color="auto" w:fill="auto"/>
          </w:tcPr>
          <w:p w14:paraId="2BDA1473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1 259 mld. USD</w:t>
            </w:r>
          </w:p>
        </w:tc>
      </w:tr>
      <w:tr w:rsidR="00486D14" w14:paraId="2AF1AC25" w14:textId="77777777" w:rsidTr="00EF2732">
        <w:trPr>
          <w:jc w:val="center"/>
        </w:trPr>
        <w:tc>
          <w:tcPr>
            <w:tcW w:w="2662" w:type="dxa"/>
            <w:shd w:val="clear" w:color="auto" w:fill="auto"/>
          </w:tcPr>
          <w:p w14:paraId="44ACD0E9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Upravený zisk na akcii</w:t>
            </w:r>
          </w:p>
        </w:tc>
        <w:tc>
          <w:tcPr>
            <w:tcW w:w="1851" w:type="dxa"/>
            <w:shd w:val="clear" w:color="auto" w:fill="auto"/>
          </w:tcPr>
          <w:p w14:paraId="34D75250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1,73 USD</w:t>
            </w:r>
          </w:p>
        </w:tc>
        <w:tc>
          <w:tcPr>
            <w:tcW w:w="1739" w:type="dxa"/>
            <w:shd w:val="clear" w:color="auto" w:fill="auto"/>
          </w:tcPr>
          <w:p w14:paraId="437D8E78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1,82 USD</w:t>
            </w:r>
          </w:p>
        </w:tc>
        <w:tc>
          <w:tcPr>
            <w:tcW w:w="1851" w:type="dxa"/>
            <w:shd w:val="clear" w:color="auto" w:fill="auto"/>
          </w:tcPr>
          <w:p w14:paraId="42CF6F67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1,44 USD</w:t>
            </w:r>
          </w:p>
        </w:tc>
      </w:tr>
      <w:tr w:rsidR="00486D14" w14:paraId="79557E45" w14:textId="77777777" w:rsidTr="00EF2732">
        <w:trPr>
          <w:jc w:val="center"/>
        </w:trPr>
        <w:tc>
          <w:tcPr>
            <w:tcW w:w="2662" w:type="dxa"/>
            <w:shd w:val="clear" w:color="auto" w:fill="auto"/>
          </w:tcPr>
          <w:p w14:paraId="1465C63C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Růst zisku na akcii</w:t>
            </w:r>
          </w:p>
        </w:tc>
        <w:tc>
          <w:tcPr>
            <w:tcW w:w="1851" w:type="dxa"/>
            <w:shd w:val="clear" w:color="auto" w:fill="auto"/>
          </w:tcPr>
          <w:p w14:paraId="1F72A784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20,1 %</w:t>
            </w:r>
          </w:p>
        </w:tc>
        <w:tc>
          <w:tcPr>
            <w:tcW w:w="1739" w:type="dxa"/>
            <w:shd w:val="clear" w:color="auto" w:fill="auto"/>
          </w:tcPr>
          <w:p w14:paraId="0C9143E1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26,4 %</w:t>
            </w:r>
          </w:p>
        </w:tc>
        <w:tc>
          <w:tcPr>
            <w:tcW w:w="1851" w:type="dxa"/>
            <w:shd w:val="clear" w:color="auto" w:fill="auto"/>
          </w:tcPr>
          <w:p w14:paraId="3BE5C8CF" w14:textId="77777777" w:rsidR="00486D14" w:rsidRDefault="00486D14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5FDA0B6F" w14:textId="77777777" w:rsidR="00486D14" w:rsidRDefault="00486D14">
      <w:pPr>
        <w:ind w:firstLine="720"/>
        <w:rPr>
          <w:rFonts w:ascii="Arial" w:hAnsi="Arial" w:cs="Arial"/>
          <w:color w:val="0070C0"/>
          <w:sz w:val="22"/>
        </w:rPr>
      </w:pPr>
    </w:p>
    <w:p w14:paraId="4AF59098" w14:textId="77777777" w:rsidR="00486D14" w:rsidRDefault="00A475E0">
      <w:pPr>
        <w:ind w:firstLine="720"/>
      </w:pPr>
      <w:r>
        <w:rPr>
          <w:rFonts w:ascii="Arial" w:hAnsi="Arial" w:cs="Arial"/>
          <w:sz w:val="22"/>
          <w:szCs w:val="22"/>
          <w:lang w:val="cs-CZ"/>
        </w:rPr>
        <w:t xml:space="preserve">„Naše obchodní strategie posune UPS na pozici, </w:t>
      </w:r>
      <w:r w:rsidRPr="00976EE6">
        <w:rPr>
          <w:rFonts w:ascii="Arial" w:hAnsi="Arial" w:cs="Arial"/>
          <w:sz w:val="22"/>
          <w:szCs w:val="22"/>
          <w:lang w:val="cs-CZ"/>
        </w:rPr>
        <w:t xml:space="preserve">která </w:t>
      </w:r>
      <w:r w:rsidR="00976EE6" w:rsidRPr="00976EE6">
        <w:rPr>
          <w:rFonts w:ascii="Arial" w:hAnsi="Arial" w:cs="Arial"/>
          <w:sz w:val="22"/>
          <w:szCs w:val="22"/>
          <w:lang w:val="cs-CZ"/>
        </w:rPr>
        <w:t>zvýší</w:t>
      </w:r>
      <w:r w:rsidRPr="00976EE6">
        <w:rPr>
          <w:rFonts w:ascii="Arial" w:hAnsi="Arial" w:cs="Arial"/>
          <w:sz w:val="22"/>
          <w:szCs w:val="22"/>
          <w:lang w:val="cs-CZ"/>
        </w:rPr>
        <w:t xml:space="preserve"> vliv na provozní podmínky,</w:t>
      </w:r>
      <w:r>
        <w:rPr>
          <w:rFonts w:ascii="Arial" w:hAnsi="Arial" w:cs="Arial"/>
          <w:sz w:val="22"/>
          <w:szCs w:val="22"/>
          <w:lang w:val="cs-CZ"/>
        </w:rPr>
        <w:t xml:space="preserve"> přičemž řada našich aktivit již ke zvýšení výkonnosti přispívá,“ uvedl David Abney, generální ředitel UPS. „Zaznamenali jsme další čtvrtletí s maržemi v čele odvětví a silným peněžním tokem a máme důvěru v nastavený výhled.“</w:t>
      </w:r>
    </w:p>
    <w:p w14:paraId="49B8E6F1" w14:textId="77777777" w:rsidR="00486D14" w:rsidRDefault="00486D14">
      <w:pPr>
        <w:ind w:firstLine="720"/>
        <w:rPr>
          <w:rFonts w:ascii="Arial" w:hAnsi="Arial" w:cs="Arial"/>
          <w:sz w:val="22"/>
          <w:szCs w:val="22"/>
          <w:lang w:val="cs-CZ"/>
        </w:rPr>
      </w:pPr>
    </w:p>
    <w:p w14:paraId="55808F94" w14:textId="77777777" w:rsidR="00486D14" w:rsidRDefault="00A475E0">
      <w:pPr>
        <w:rPr>
          <w:rFonts w:ascii="Arial" w:hAnsi="Arial" w:cs="Arial"/>
          <w:b/>
          <w:sz w:val="22"/>
          <w:vertAlign w:val="subscript"/>
          <w:lang w:val="cs-CZ"/>
        </w:rPr>
      </w:pPr>
      <w:r>
        <w:rPr>
          <w:rFonts w:ascii="Arial" w:hAnsi="Arial" w:cs="Arial"/>
          <w:b/>
          <w:sz w:val="22"/>
          <w:vertAlign w:val="subscript"/>
          <w:lang w:val="cs-CZ"/>
        </w:rPr>
        <w:t>* Informace o finančních opatřeních, které nepodléhají účetním standardům GAAP, jsou uvedeny v příloze.</w:t>
      </w:r>
    </w:p>
    <w:p w14:paraId="40110D69" w14:textId="77777777" w:rsidR="00486D14" w:rsidRDefault="00486D14">
      <w:pPr>
        <w:rPr>
          <w:rFonts w:ascii="Arial" w:hAnsi="Arial" w:cs="Arial"/>
          <w:sz w:val="20"/>
          <w:szCs w:val="20"/>
        </w:rPr>
      </w:pPr>
    </w:p>
    <w:p w14:paraId="693C5D84" w14:textId="77777777" w:rsidR="00486D14" w:rsidRDefault="00A475E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Celkové výsledky společnosti UPS ve 3. kvartálu: </w:t>
      </w:r>
    </w:p>
    <w:p w14:paraId="4BDC9221" w14:textId="77777777" w:rsidR="00486D14" w:rsidRDefault="00A475E0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2"/>
          <w:szCs w:val="22"/>
          <w:lang w:val="cs-CZ"/>
        </w:rPr>
        <w:t xml:space="preserve">Konsolidované příjmy vzrostly o 7,9 % a příjmy na měnově neutrální bázi byly navýšeny o 8,4 %. </w:t>
      </w:r>
    </w:p>
    <w:p w14:paraId="67DEDB85" w14:textId="77777777" w:rsidR="00486D14" w:rsidRDefault="00A475E0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2"/>
          <w:szCs w:val="22"/>
          <w:lang w:val="cs-CZ"/>
        </w:rPr>
        <w:t>Průměrný výnos příjmů vzrostl o 4,0 %, se zisky z nacenění u všech produktových kategorií.</w:t>
      </w:r>
    </w:p>
    <w:p w14:paraId="6B986DDB" w14:textId="77777777" w:rsidR="00486D14" w:rsidRDefault="00A475E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Meziroční hotovost z operací vzrostla na 9,4 mld. USD. </w:t>
      </w:r>
    </w:p>
    <w:p w14:paraId="51BB6404" w14:textId="77777777" w:rsidR="00486D14" w:rsidRDefault="00A475E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Volný peněžní tok dosáhl v prvních třech kvartálech 4,9 mld. USD. </w:t>
      </w:r>
    </w:p>
    <w:p w14:paraId="1CF8D83A" w14:textId="77777777" w:rsidR="00486D14" w:rsidRDefault="00A475E0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2"/>
          <w:szCs w:val="22"/>
          <w:lang w:val="cs-CZ"/>
        </w:rPr>
        <w:t xml:space="preserve">Dividenda na akcii od začátku roku vzrostla o 10 % s více než 3% ročním výnosem. </w:t>
      </w:r>
    </w:p>
    <w:p w14:paraId="118BFCB2" w14:textId="77777777" w:rsidR="00486D14" w:rsidRDefault="00A475E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Firma od začátku roku odkoupila 6,6 milionů akcií za přibližně 750 milionů USD.</w:t>
      </w:r>
    </w:p>
    <w:p w14:paraId="4269E10D" w14:textId="77777777" w:rsidR="00486D14" w:rsidRPr="00976EE6" w:rsidRDefault="00A475E0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2"/>
          <w:szCs w:val="22"/>
          <w:lang w:val="cs-CZ"/>
        </w:rPr>
        <w:t xml:space="preserve">Kapitálové investice </w:t>
      </w:r>
      <w:r w:rsidRPr="00976EE6">
        <w:rPr>
          <w:rFonts w:ascii="Arial" w:hAnsi="Arial" w:cs="Arial"/>
          <w:sz w:val="22"/>
          <w:szCs w:val="22"/>
          <w:lang w:val="cs-CZ"/>
        </w:rPr>
        <w:t>a s tím spojené úspory byly realizovány dle očekávání s výdaji od začátku roku ve výši 4,5 mld. USD.</w:t>
      </w:r>
    </w:p>
    <w:p w14:paraId="72EB85E3" w14:textId="77777777" w:rsidR="00486D14" w:rsidRDefault="00A475E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Výsledky třetího čtvrtletí profitovaly z několika diskrétních položek včetně daní, které pomohly vyrovnat neplánované výkyvy měnových kurzů a cen paliva.</w:t>
      </w:r>
    </w:p>
    <w:p w14:paraId="507C5152" w14:textId="77777777" w:rsidR="00486D14" w:rsidRDefault="00486D14">
      <w:pPr>
        <w:rPr>
          <w:rFonts w:ascii="Arial" w:hAnsi="Arial" w:cs="Arial"/>
          <w:sz w:val="22"/>
          <w:szCs w:val="22"/>
          <w:lang w:val="cs-CZ"/>
        </w:rPr>
      </w:pPr>
    </w:p>
    <w:p w14:paraId="4C489A5E" w14:textId="77777777" w:rsidR="00976EE6" w:rsidRDefault="00976EE6">
      <w:pPr>
        <w:rPr>
          <w:rFonts w:ascii="Arial" w:hAnsi="Arial" w:cs="Arial"/>
          <w:sz w:val="22"/>
          <w:szCs w:val="22"/>
          <w:lang w:val="cs-CZ"/>
        </w:rPr>
      </w:pPr>
    </w:p>
    <w:p w14:paraId="1856F15A" w14:textId="77777777" w:rsidR="00486D14" w:rsidRDefault="00A475E0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>
        <w:rPr>
          <w:rFonts w:ascii="Arial" w:hAnsi="Arial" w:cs="Arial"/>
          <w:b/>
          <w:sz w:val="22"/>
          <w:szCs w:val="22"/>
          <w:u w:val="single"/>
          <w:lang w:val="cs-CZ"/>
        </w:rPr>
        <w:t>Domácí trh v USA</w:t>
      </w:r>
    </w:p>
    <w:p w14:paraId="5A75BE12" w14:textId="77777777" w:rsidR="00486D14" w:rsidRDefault="00486D14">
      <w:pPr>
        <w:rPr>
          <w:rFonts w:ascii="Arial" w:hAnsi="Arial" w:cs="Arial"/>
          <w:sz w:val="22"/>
          <w:szCs w:val="22"/>
          <w:lang w:val="cs-CZ"/>
        </w:rPr>
      </w:pPr>
    </w:p>
    <w:p w14:paraId="7209911A" w14:textId="77777777" w:rsidR="00486D14" w:rsidRDefault="00A475E0">
      <w:r>
        <w:rPr>
          <w:rFonts w:ascii="Arial" w:hAnsi="Arial" w:cs="Arial"/>
          <w:sz w:val="22"/>
          <w:szCs w:val="22"/>
          <w:lang w:val="cs-CZ"/>
        </w:rPr>
        <w:t>Příjmy na domácím trhu v USA vykázaly ve srovnání se 3. kvartálem roku 2017 silný nárůst příjmů o 8,1 % na 10,4 mld. USD, především díky velké poptávce po službách UPS a také díky markantnímu růstu výnosů. Segment zaznamenal také průběžné zlepšování výnosnosti, zčásti díky cílenějšímu zaměření se na prorůstové příležitosti v oblasti vyšší kvality zakázek.</w:t>
      </w:r>
    </w:p>
    <w:p w14:paraId="7410871B" w14:textId="77777777" w:rsidR="00486D14" w:rsidRDefault="00486D14">
      <w:pPr>
        <w:rPr>
          <w:rFonts w:ascii="Arial" w:hAnsi="Arial" w:cs="Arial"/>
          <w:sz w:val="20"/>
          <w:szCs w:val="20"/>
          <w:lang w:val="cs-CZ"/>
        </w:rPr>
      </w:pPr>
    </w:p>
    <w:tbl>
      <w:tblPr>
        <w:tblStyle w:val="TableGrid"/>
        <w:tblW w:w="6680" w:type="dxa"/>
        <w:jc w:val="center"/>
        <w:tblLook w:val="04A0" w:firstRow="1" w:lastRow="0" w:firstColumn="1" w:lastColumn="0" w:noHBand="0" w:noVBand="1"/>
      </w:tblPr>
      <w:tblGrid>
        <w:gridCol w:w="1518"/>
        <w:gridCol w:w="1851"/>
        <w:gridCol w:w="1573"/>
        <w:gridCol w:w="1738"/>
      </w:tblGrid>
      <w:tr w:rsidR="00486D14" w14:paraId="421E113D" w14:textId="77777777">
        <w:trPr>
          <w:jc w:val="center"/>
        </w:trPr>
        <w:tc>
          <w:tcPr>
            <w:tcW w:w="1517" w:type="dxa"/>
            <w:shd w:val="clear" w:color="auto" w:fill="auto"/>
          </w:tcPr>
          <w:p w14:paraId="391C0FF8" w14:textId="77777777" w:rsidR="00486D14" w:rsidRDefault="00486D14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049D6BFF" w14:textId="77777777" w:rsidR="00486D14" w:rsidRDefault="00486D14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851" w:type="dxa"/>
            <w:shd w:val="clear" w:color="auto" w:fill="auto"/>
          </w:tcPr>
          <w:p w14:paraId="2644D361" w14:textId="77777777" w:rsidR="00486D14" w:rsidRDefault="00486D14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396DFD7D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2018</w:t>
            </w:r>
          </w:p>
        </w:tc>
        <w:tc>
          <w:tcPr>
            <w:tcW w:w="1573" w:type="dxa"/>
            <w:shd w:val="clear" w:color="auto" w:fill="auto"/>
          </w:tcPr>
          <w:p w14:paraId="4BA288AA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3561BCF2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2018</w:t>
            </w:r>
          </w:p>
        </w:tc>
        <w:tc>
          <w:tcPr>
            <w:tcW w:w="1738" w:type="dxa"/>
            <w:shd w:val="clear" w:color="auto" w:fill="auto"/>
          </w:tcPr>
          <w:p w14:paraId="019A6BEE" w14:textId="77777777" w:rsidR="00486D14" w:rsidRDefault="00486D14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1C2B3F0A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2017</w:t>
            </w:r>
          </w:p>
        </w:tc>
      </w:tr>
      <w:tr w:rsidR="00486D14" w14:paraId="279B6254" w14:textId="77777777">
        <w:trPr>
          <w:jc w:val="center"/>
        </w:trPr>
        <w:tc>
          <w:tcPr>
            <w:tcW w:w="1517" w:type="dxa"/>
            <w:shd w:val="clear" w:color="auto" w:fill="auto"/>
          </w:tcPr>
          <w:p w14:paraId="168835C1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851" w:type="dxa"/>
            <w:shd w:val="clear" w:color="auto" w:fill="auto"/>
          </w:tcPr>
          <w:p w14:paraId="0282EE28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10 437 mld. USD</w:t>
            </w:r>
          </w:p>
        </w:tc>
        <w:tc>
          <w:tcPr>
            <w:tcW w:w="1573" w:type="dxa"/>
            <w:shd w:val="clear" w:color="auto" w:fill="auto"/>
          </w:tcPr>
          <w:p w14:paraId="73F71B1E" w14:textId="77777777" w:rsidR="00486D14" w:rsidRDefault="00486D14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38" w:type="dxa"/>
            <w:shd w:val="clear" w:color="auto" w:fill="auto"/>
          </w:tcPr>
          <w:p w14:paraId="69D83CA4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9 651 mld. USD</w:t>
            </w:r>
          </w:p>
        </w:tc>
      </w:tr>
      <w:tr w:rsidR="00486D14" w14:paraId="220F63FB" w14:textId="77777777">
        <w:trPr>
          <w:jc w:val="center"/>
        </w:trPr>
        <w:tc>
          <w:tcPr>
            <w:tcW w:w="1517" w:type="dxa"/>
            <w:shd w:val="clear" w:color="auto" w:fill="auto"/>
          </w:tcPr>
          <w:p w14:paraId="0F1808EF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851" w:type="dxa"/>
            <w:shd w:val="clear" w:color="auto" w:fill="auto"/>
          </w:tcPr>
          <w:p w14:paraId="281B7930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949 mld. USD</w:t>
            </w:r>
          </w:p>
        </w:tc>
        <w:tc>
          <w:tcPr>
            <w:tcW w:w="1573" w:type="dxa"/>
            <w:shd w:val="clear" w:color="auto" w:fill="auto"/>
          </w:tcPr>
          <w:p w14:paraId="41050167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988 mld. USD</w:t>
            </w:r>
          </w:p>
        </w:tc>
        <w:tc>
          <w:tcPr>
            <w:tcW w:w="1738" w:type="dxa"/>
            <w:shd w:val="clear" w:color="auto" w:fill="auto"/>
          </w:tcPr>
          <w:p w14:paraId="78139386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1 011 mld. USD</w:t>
            </w:r>
          </w:p>
        </w:tc>
      </w:tr>
    </w:tbl>
    <w:p w14:paraId="437B6807" w14:textId="77777777" w:rsidR="00486D14" w:rsidRDefault="00486D14">
      <w:pPr>
        <w:rPr>
          <w:rFonts w:ascii="Arial" w:hAnsi="Arial" w:cs="Arial"/>
          <w:b/>
          <w:sz w:val="22"/>
          <w:u w:val="single"/>
          <w:lang w:val="cs-CZ"/>
        </w:rPr>
      </w:pPr>
    </w:p>
    <w:p w14:paraId="7052B832" w14:textId="77777777" w:rsidR="00486D14" w:rsidRDefault="00A475E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Segment domácího trhu USA ve 3. kvartálu 2018:</w:t>
      </w:r>
    </w:p>
    <w:p w14:paraId="30714655" w14:textId="77777777" w:rsidR="00486D14" w:rsidRDefault="00A475E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Příjmy, objem přepravy a příjem na zakázku se ve čtvrtletí zvyšovaly.</w:t>
      </w:r>
    </w:p>
    <w:p w14:paraId="04A40193" w14:textId="77777777" w:rsidR="00486D14" w:rsidRDefault="00A475E0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2"/>
          <w:szCs w:val="22"/>
          <w:lang w:val="cs-CZ"/>
        </w:rPr>
        <w:t>Denní objem přepravy stoupl o 3,3 %, hlavně u služeb Next Day Air a pozemní přepravy.</w:t>
      </w:r>
    </w:p>
    <w:p w14:paraId="22DD1DF3" w14:textId="77777777" w:rsidR="00486D14" w:rsidRDefault="00A475E0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2"/>
          <w:szCs w:val="22"/>
          <w:lang w:val="cs-CZ"/>
        </w:rPr>
        <w:t>Příjem na zakázku se u pozemní přepravy oproti loňsku zvýšil o 5,1 %.</w:t>
      </w:r>
    </w:p>
    <w:p w14:paraId="17D2B9F0" w14:textId="77777777" w:rsidR="00486D14" w:rsidRDefault="00A475E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Provozní zisk byl snížen o plánované výdaje do penzijního systému a o náklady na průběžné zlepšování distribuční sítě.</w:t>
      </w:r>
    </w:p>
    <w:p w14:paraId="0A33EAAE" w14:textId="77777777" w:rsidR="00486D14" w:rsidRDefault="00A475E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Upravený provozní zisk nezahrnuje transformační náklady ve výši 39 mil USD.</w:t>
      </w:r>
    </w:p>
    <w:p w14:paraId="04BEDB6C" w14:textId="77777777" w:rsidR="00486D14" w:rsidRDefault="00486D1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8F47948" w14:textId="77777777" w:rsidR="00486D14" w:rsidRDefault="00486D14">
      <w:pPr>
        <w:rPr>
          <w:rFonts w:ascii="Arial" w:hAnsi="Arial" w:cs="Arial"/>
          <w:b/>
          <w:sz w:val="22"/>
          <w:szCs w:val="20"/>
          <w:highlight w:val="yellow"/>
          <w:u w:val="single"/>
        </w:rPr>
      </w:pPr>
    </w:p>
    <w:p w14:paraId="45DD77BA" w14:textId="77777777" w:rsidR="00486D14" w:rsidRDefault="00A475E0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>
        <w:rPr>
          <w:rFonts w:ascii="Arial" w:hAnsi="Arial" w:cs="Arial"/>
          <w:b/>
          <w:sz w:val="22"/>
          <w:szCs w:val="22"/>
          <w:u w:val="single"/>
          <w:lang w:val="cs-CZ"/>
        </w:rPr>
        <w:t>Mezinárodní přeprava</w:t>
      </w:r>
    </w:p>
    <w:p w14:paraId="5C46F9BA" w14:textId="77777777" w:rsidR="00486D14" w:rsidRDefault="00486D1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9E748A3" w14:textId="77777777" w:rsidR="00486D14" w:rsidRDefault="00A475E0" w:rsidP="00976EE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Příjmy v mezinárodní přepravě ve srovnání se stejným obdobím loňského roku rostly ve všech regionech, a to jak vykazované, tak na měnově neutrální bázi. Objem exportu rostl také ve všech regionech a šlo o nárůst téměř o 3% oproti loňskému 19% růstu. Meziroční srovnání je ovlivněno mimořádně silným růstem UPS v Evropě ve 3. kvartálu 2017.</w:t>
      </w:r>
    </w:p>
    <w:p w14:paraId="28DA568E" w14:textId="77777777" w:rsidR="00486D14" w:rsidRDefault="00486D14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Style w:val="TableGrid"/>
        <w:tblW w:w="6568" w:type="dxa"/>
        <w:jc w:val="center"/>
        <w:tblLook w:val="04A0" w:firstRow="1" w:lastRow="0" w:firstColumn="1" w:lastColumn="0" w:noHBand="0" w:noVBand="1"/>
      </w:tblPr>
      <w:tblGrid>
        <w:gridCol w:w="1518"/>
        <w:gridCol w:w="1738"/>
        <w:gridCol w:w="1573"/>
        <w:gridCol w:w="1739"/>
      </w:tblGrid>
      <w:tr w:rsidR="00486D14" w14:paraId="7B74F1F5" w14:textId="77777777">
        <w:trPr>
          <w:jc w:val="center"/>
        </w:trPr>
        <w:tc>
          <w:tcPr>
            <w:tcW w:w="1517" w:type="dxa"/>
            <w:shd w:val="clear" w:color="auto" w:fill="auto"/>
          </w:tcPr>
          <w:p w14:paraId="5B37480C" w14:textId="77777777" w:rsidR="00486D14" w:rsidRDefault="00486D14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72D3D29E" w14:textId="77777777" w:rsidR="00486D14" w:rsidRDefault="00486D14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738" w:type="dxa"/>
            <w:shd w:val="clear" w:color="auto" w:fill="auto"/>
          </w:tcPr>
          <w:p w14:paraId="4343E492" w14:textId="77777777" w:rsidR="00486D14" w:rsidRDefault="00486D14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1EA4818B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2018</w:t>
            </w:r>
          </w:p>
        </w:tc>
        <w:tc>
          <w:tcPr>
            <w:tcW w:w="1573" w:type="dxa"/>
            <w:shd w:val="clear" w:color="auto" w:fill="auto"/>
          </w:tcPr>
          <w:p w14:paraId="280A766F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346E37FF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2018</w:t>
            </w:r>
          </w:p>
        </w:tc>
        <w:tc>
          <w:tcPr>
            <w:tcW w:w="1739" w:type="dxa"/>
            <w:shd w:val="clear" w:color="auto" w:fill="auto"/>
          </w:tcPr>
          <w:p w14:paraId="036709E8" w14:textId="77777777" w:rsidR="00486D14" w:rsidRDefault="00486D14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22F3BBB6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2017</w:t>
            </w:r>
          </w:p>
        </w:tc>
      </w:tr>
      <w:tr w:rsidR="00486D14" w14:paraId="0FF7A4FA" w14:textId="77777777">
        <w:trPr>
          <w:jc w:val="center"/>
        </w:trPr>
        <w:tc>
          <w:tcPr>
            <w:tcW w:w="1517" w:type="dxa"/>
            <w:shd w:val="clear" w:color="auto" w:fill="auto"/>
          </w:tcPr>
          <w:p w14:paraId="507330B9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738" w:type="dxa"/>
            <w:shd w:val="clear" w:color="auto" w:fill="auto"/>
          </w:tcPr>
          <w:p w14:paraId="6E21189F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3 478 mld. USD</w:t>
            </w:r>
          </w:p>
        </w:tc>
        <w:tc>
          <w:tcPr>
            <w:tcW w:w="1573" w:type="dxa"/>
            <w:shd w:val="clear" w:color="auto" w:fill="auto"/>
          </w:tcPr>
          <w:p w14:paraId="06BA8FCA" w14:textId="77777777" w:rsidR="00486D14" w:rsidRDefault="00486D14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39" w:type="dxa"/>
            <w:shd w:val="clear" w:color="auto" w:fill="auto"/>
          </w:tcPr>
          <w:p w14:paraId="3E2AEDF5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3 376 mld. USD</w:t>
            </w:r>
          </w:p>
        </w:tc>
      </w:tr>
      <w:tr w:rsidR="00486D14" w14:paraId="6D37D50D" w14:textId="77777777">
        <w:trPr>
          <w:jc w:val="center"/>
        </w:trPr>
        <w:tc>
          <w:tcPr>
            <w:tcW w:w="1517" w:type="dxa"/>
            <w:shd w:val="clear" w:color="auto" w:fill="auto"/>
          </w:tcPr>
          <w:p w14:paraId="2A80BD8C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738" w:type="dxa"/>
            <w:shd w:val="clear" w:color="auto" w:fill="auto"/>
          </w:tcPr>
          <w:p w14:paraId="27F47C94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536 mld. USD</w:t>
            </w:r>
          </w:p>
        </w:tc>
        <w:tc>
          <w:tcPr>
            <w:tcW w:w="1573" w:type="dxa"/>
            <w:shd w:val="clear" w:color="auto" w:fill="auto"/>
          </w:tcPr>
          <w:p w14:paraId="695BEFA3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576 mld. USD</w:t>
            </w:r>
          </w:p>
        </w:tc>
        <w:tc>
          <w:tcPr>
            <w:tcW w:w="1739" w:type="dxa"/>
            <w:shd w:val="clear" w:color="auto" w:fill="auto"/>
          </w:tcPr>
          <w:p w14:paraId="07053110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606 mld. USD</w:t>
            </w:r>
          </w:p>
        </w:tc>
      </w:tr>
    </w:tbl>
    <w:p w14:paraId="11F5544E" w14:textId="77777777" w:rsidR="00486D14" w:rsidRDefault="00486D14">
      <w:pPr>
        <w:ind w:firstLine="720"/>
        <w:rPr>
          <w:rFonts w:ascii="Arial" w:hAnsi="Arial" w:cs="Arial"/>
          <w:sz w:val="22"/>
        </w:rPr>
      </w:pPr>
    </w:p>
    <w:p w14:paraId="0BAFDC20" w14:textId="77777777" w:rsidR="00486D14" w:rsidRDefault="00A475E0">
      <w:pPr>
        <w:rPr>
          <w:rFonts w:ascii="Arial" w:hAnsi="Arial" w:cs="Arial"/>
          <w:b/>
          <w:sz w:val="22"/>
          <w:vertAlign w:val="subscript"/>
          <w:lang w:val="cs-CZ"/>
        </w:rPr>
      </w:pPr>
      <w:r>
        <w:rPr>
          <w:rFonts w:ascii="Arial" w:hAnsi="Arial" w:cs="Arial"/>
          <w:b/>
          <w:sz w:val="22"/>
          <w:vertAlign w:val="subscript"/>
          <w:lang w:val="cs-CZ"/>
        </w:rPr>
        <w:t>* Informace o finančních opatřeních, které nepodléhají účetním standardům GAAP, jsou uvedeny v příloze.</w:t>
      </w:r>
    </w:p>
    <w:p w14:paraId="749C7C68" w14:textId="77777777" w:rsidR="00486D14" w:rsidRDefault="00486D1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25D983E" w14:textId="77777777" w:rsidR="00486D14" w:rsidRDefault="00A475E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Mezinárodní přeprava ve 3. kvartálu 2018:</w:t>
      </w:r>
    </w:p>
    <w:p w14:paraId="4BA6631B" w14:textId="77777777" w:rsidR="00486D14" w:rsidRDefault="00A475E0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  <w:lang w:val="cs-CZ"/>
        </w:rPr>
        <w:t>Příjmy se zvýšily o 3 %; na měnově neutrální bázi se příjmy zvýšily o 5 %.</w:t>
      </w:r>
    </w:p>
    <w:p w14:paraId="4934E1D1" w14:textId="77777777" w:rsidR="00486D14" w:rsidRDefault="00A475E0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  <w:lang w:val="cs-CZ"/>
        </w:rPr>
        <w:lastRenderedPageBreak/>
        <w:t>Objem exportu v Evropě vzrostl o 4,2 % oproti 25% nárůstu ve 3. kvartálu 2017.</w:t>
      </w:r>
    </w:p>
    <w:p w14:paraId="0CC7F50E" w14:textId="77777777" w:rsidR="00486D14" w:rsidRDefault="00A475E0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  <w:lang w:val="cs-CZ"/>
        </w:rPr>
        <w:t>Výnos se zvýšil o 3,0 %; výnos na měnově neutrální bázi poskočil na 5,1 % především díky pozornosti věnované správě příjmů a zlepšení nabídky služeb.</w:t>
      </w:r>
    </w:p>
    <w:p w14:paraId="6E10E3AA" w14:textId="77777777" w:rsidR="00486D14" w:rsidRDefault="00A475E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Provozní zisk zahrnuje nepříznivé vlivy pohybu měnových kurzů a ceny paliva, jakož i jistého ekonomického ochlazení vlivem změn obchodní politiky.</w:t>
      </w:r>
    </w:p>
    <w:p w14:paraId="18FAD8D6" w14:textId="77777777" w:rsidR="00486D14" w:rsidRDefault="00A475E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Negativní vlivy měnových pohybů dosáhly výše 28 mil. USD, především na rozvojových trzích.</w:t>
      </w:r>
    </w:p>
    <w:p w14:paraId="6A5D48C1" w14:textId="77777777" w:rsidR="00486D14" w:rsidRDefault="00A475E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Upravený provozní zisk nezahrnuje transformační náklady ve výši 40 mil. USD.</w:t>
      </w:r>
    </w:p>
    <w:p w14:paraId="17BD0B1A" w14:textId="77777777" w:rsidR="00486D14" w:rsidRDefault="00486D1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A5FA901" w14:textId="77777777" w:rsidR="00486D14" w:rsidRDefault="00486D14">
      <w:pPr>
        <w:rPr>
          <w:rFonts w:ascii="Arial" w:hAnsi="Arial" w:cs="Arial"/>
          <w:sz w:val="22"/>
        </w:rPr>
      </w:pPr>
    </w:p>
    <w:p w14:paraId="52E36CEB" w14:textId="77777777" w:rsidR="00486D14" w:rsidRDefault="00A475E0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>
        <w:rPr>
          <w:rFonts w:ascii="Arial" w:hAnsi="Arial" w:cs="Arial"/>
          <w:b/>
          <w:sz w:val="22"/>
          <w:szCs w:val="22"/>
          <w:u w:val="single"/>
          <w:lang w:val="cs-CZ"/>
        </w:rPr>
        <w:t>Dodavatelské řetězce a nákladní přeprava</w:t>
      </w:r>
    </w:p>
    <w:p w14:paraId="79D6603D" w14:textId="77777777" w:rsidR="00486D14" w:rsidRDefault="00486D1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0370171" w14:textId="77777777" w:rsidR="00486D14" w:rsidRDefault="00A475E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„Výkonnost segmentu Dodavatelské řetězce a nákladní přeprava byla v tomto čtvrtletí mimořádná, divize vykázala dvouciferný růst jak příjmů, tak i upraveného provozního zisku,“ říká Abney. „Společnost UPS bude i nadále nabízet své služby v oblastech zasilatelství, celního řízení i dodavatelských řetězců, a pomáhat tak zákazníkům s expanzí na nové trhy.“</w:t>
      </w:r>
    </w:p>
    <w:p w14:paraId="493F1A80" w14:textId="77777777" w:rsidR="00486D14" w:rsidRDefault="00486D14">
      <w:pPr>
        <w:rPr>
          <w:rFonts w:ascii="Arial" w:hAnsi="Arial" w:cs="Arial"/>
          <w:sz w:val="22"/>
          <w:lang w:val="cs-CZ"/>
        </w:rPr>
      </w:pPr>
    </w:p>
    <w:tbl>
      <w:tblPr>
        <w:tblStyle w:val="TableGrid"/>
        <w:tblW w:w="6568" w:type="dxa"/>
        <w:jc w:val="center"/>
        <w:tblLook w:val="04A0" w:firstRow="1" w:lastRow="0" w:firstColumn="1" w:lastColumn="0" w:noHBand="0" w:noVBand="1"/>
      </w:tblPr>
      <w:tblGrid>
        <w:gridCol w:w="1518"/>
        <w:gridCol w:w="1738"/>
        <w:gridCol w:w="1573"/>
        <w:gridCol w:w="1739"/>
      </w:tblGrid>
      <w:tr w:rsidR="00486D14" w14:paraId="7C5C2CE3" w14:textId="77777777">
        <w:trPr>
          <w:jc w:val="center"/>
        </w:trPr>
        <w:tc>
          <w:tcPr>
            <w:tcW w:w="1517" w:type="dxa"/>
            <w:shd w:val="clear" w:color="auto" w:fill="auto"/>
          </w:tcPr>
          <w:p w14:paraId="14E88129" w14:textId="77777777" w:rsidR="00486D14" w:rsidRDefault="00486D14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36AFC182" w14:textId="77777777" w:rsidR="00486D14" w:rsidRDefault="00486D14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738" w:type="dxa"/>
            <w:shd w:val="clear" w:color="auto" w:fill="auto"/>
          </w:tcPr>
          <w:p w14:paraId="0F9F7A3C" w14:textId="77777777" w:rsidR="00486D14" w:rsidRDefault="00486D14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742119C0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2018</w:t>
            </w:r>
          </w:p>
        </w:tc>
        <w:tc>
          <w:tcPr>
            <w:tcW w:w="1573" w:type="dxa"/>
            <w:shd w:val="clear" w:color="auto" w:fill="auto"/>
          </w:tcPr>
          <w:p w14:paraId="34E5BF4E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6CE8E42E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2018</w:t>
            </w:r>
          </w:p>
        </w:tc>
        <w:tc>
          <w:tcPr>
            <w:tcW w:w="1739" w:type="dxa"/>
            <w:shd w:val="clear" w:color="auto" w:fill="auto"/>
          </w:tcPr>
          <w:p w14:paraId="3D86B88A" w14:textId="77777777" w:rsidR="00486D14" w:rsidRDefault="00486D14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74625B79" w14:textId="77777777" w:rsidR="00486D14" w:rsidRDefault="00A475E0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3Q 2017</w:t>
            </w:r>
          </w:p>
        </w:tc>
      </w:tr>
      <w:tr w:rsidR="00486D14" w14:paraId="65BFF6FF" w14:textId="77777777">
        <w:trPr>
          <w:jc w:val="center"/>
        </w:trPr>
        <w:tc>
          <w:tcPr>
            <w:tcW w:w="1517" w:type="dxa"/>
            <w:shd w:val="clear" w:color="auto" w:fill="auto"/>
          </w:tcPr>
          <w:p w14:paraId="7732EB16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738" w:type="dxa"/>
            <w:shd w:val="clear" w:color="auto" w:fill="auto"/>
          </w:tcPr>
          <w:p w14:paraId="7771971C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3 529 mld. USD</w:t>
            </w:r>
          </w:p>
        </w:tc>
        <w:tc>
          <w:tcPr>
            <w:tcW w:w="1573" w:type="dxa"/>
            <w:shd w:val="clear" w:color="auto" w:fill="auto"/>
          </w:tcPr>
          <w:p w14:paraId="5BBF1192" w14:textId="77777777" w:rsidR="00486D14" w:rsidRDefault="00486D14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39" w:type="dxa"/>
            <w:shd w:val="clear" w:color="auto" w:fill="auto"/>
          </w:tcPr>
          <w:p w14:paraId="4C11E661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3 146 mld. USD</w:t>
            </w:r>
          </w:p>
        </w:tc>
      </w:tr>
      <w:tr w:rsidR="00486D14" w14:paraId="4C3F7A47" w14:textId="77777777">
        <w:trPr>
          <w:jc w:val="center"/>
        </w:trPr>
        <w:tc>
          <w:tcPr>
            <w:tcW w:w="1517" w:type="dxa"/>
            <w:shd w:val="clear" w:color="auto" w:fill="auto"/>
          </w:tcPr>
          <w:p w14:paraId="107373B9" w14:textId="77777777" w:rsidR="00486D14" w:rsidRDefault="00A475E0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738" w:type="dxa"/>
            <w:shd w:val="clear" w:color="auto" w:fill="auto"/>
          </w:tcPr>
          <w:p w14:paraId="382B46F1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242 mld. USD</w:t>
            </w:r>
          </w:p>
        </w:tc>
        <w:tc>
          <w:tcPr>
            <w:tcW w:w="1573" w:type="dxa"/>
            <w:shd w:val="clear" w:color="auto" w:fill="auto"/>
          </w:tcPr>
          <w:p w14:paraId="6F4D5102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260 mld. USD</w:t>
            </w:r>
          </w:p>
        </w:tc>
        <w:tc>
          <w:tcPr>
            <w:tcW w:w="1739" w:type="dxa"/>
            <w:shd w:val="clear" w:color="auto" w:fill="auto"/>
          </w:tcPr>
          <w:p w14:paraId="0429A22E" w14:textId="77777777" w:rsidR="00486D14" w:rsidRDefault="00A475E0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195 mld. USD</w:t>
            </w:r>
          </w:p>
        </w:tc>
      </w:tr>
    </w:tbl>
    <w:p w14:paraId="3A42DF25" w14:textId="77777777" w:rsidR="00486D14" w:rsidRDefault="00486D14">
      <w:pPr>
        <w:ind w:left="720" w:hanging="720"/>
        <w:rPr>
          <w:rFonts w:ascii="Arial" w:hAnsi="Arial" w:cs="Arial"/>
          <w:sz w:val="22"/>
          <w:szCs w:val="22"/>
        </w:rPr>
      </w:pPr>
    </w:p>
    <w:p w14:paraId="327750C1" w14:textId="77777777" w:rsidR="00486D14" w:rsidRDefault="00976EE6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Dodavatelské řetězce a nákladní přeprava ve 3. kvartálu 2</w:t>
      </w:r>
      <w:r w:rsidR="00A475E0">
        <w:rPr>
          <w:rFonts w:ascii="Arial" w:hAnsi="Arial" w:cs="Arial"/>
          <w:sz w:val="22"/>
          <w:szCs w:val="22"/>
          <w:lang w:val="cs-CZ"/>
        </w:rPr>
        <w:t>018:</w:t>
      </w:r>
    </w:p>
    <w:p w14:paraId="2661CC70" w14:textId="77777777" w:rsidR="00486D14" w:rsidRDefault="00A475E0">
      <w:pPr>
        <w:pStyle w:val="ListParagraph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  <w:lang w:val="cs-CZ"/>
        </w:rPr>
        <w:t>Příjmy se zvýšily o více než 12 % na 3,5 mld. USD díky zacílení obchodního modelu na zákazníky z malých a středních podniků.</w:t>
      </w:r>
    </w:p>
    <w:p w14:paraId="10ECB3BD" w14:textId="77777777" w:rsidR="00486D14" w:rsidRDefault="00A475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Oblast zasilatelství se 17% růstem stála v čele všech jednotek díky lepším výnosům v důsledku zlepšení správ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cs-CZ"/>
        </w:rPr>
        <w:t xml:space="preserve"> příjmů a zacílení na vysoce ziskové produkty.</w:t>
      </w:r>
    </w:p>
    <w:p w14:paraId="63B82556" w14:textId="77777777" w:rsidR="00486D14" w:rsidRDefault="00A475E0">
      <w:pPr>
        <w:pStyle w:val="ListParagraph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  <w:lang w:val="cs-CZ"/>
        </w:rPr>
        <w:t>Příjmy v nákladní přepravě se zvýšily o 11 % díky navýšení cen a přepravě těžších zásilek.</w:t>
      </w:r>
    </w:p>
    <w:p w14:paraId="2A7D3F9E" w14:textId="77777777" w:rsidR="00486D14" w:rsidRDefault="00A475E0">
      <w:pPr>
        <w:pStyle w:val="ListParagraph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  <w:lang w:val="cs-CZ"/>
        </w:rPr>
        <w:t>Provozní marže ve 3. čtvrtletí byla 6,8 %; upravená provozní marže se zvýšila o 120 bazických bodů na 7,4 %.</w:t>
      </w:r>
    </w:p>
    <w:p w14:paraId="21FE4F0A" w14:textId="77777777" w:rsidR="00486D14" w:rsidRDefault="00A475E0">
      <w:pPr>
        <w:pStyle w:val="ListParagraph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  <w:lang w:val="cs-CZ"/>
        </w:rPr>
        <w:t>Provozní zisk vzrostl o 24 % na 242 mil. USD, upravený provozní zisk se zvýšil o 33 % na 260 mil. USD.</w:t>
      </w:r>
    </w:p>
    <w:p w14:paraId="342B06C7" w14:textId="77777777" w:rsidR="00486D14" w:rsidRDefault="00A475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Upravený provozní zisk nezahrnuje transformační náklady ve výši 18 mil. USD.</w:t>
      </w:r>
    </w:p>
    <w:p w14:paraId="71AFD974" w14:textId="77777777" w:rsidR="00486D14" w:rsidRDefault="00486D14">
      <w:pPr>
        <w:ind w:left="720" w:hanging="720"/>
        <w:rPr>
          <w:rFonts w:ascii="Arial" w:hAnsi="Arial" w:cs="Arial"/>
          <w:sz w:val="22"/>
          <w:szCs w:val="22"/>
          <w:lang w:val="cs-CZ"/>
        </w:rPr>
      </w:pPr>
    </w:p>
    <w:p w14:paraId="02363D31" w14:textId="77777777" w:rsidR="00486D14" w:rsidRDefault="00486D14">
      <w:pPr>
        <w:rPr>
          <w:rFonts w:ascii="Arial" w:hAnsi="Arial" w:cs="Arial"/>
          <w:sz w:val="22"/>
          <w:szCs w:val="22"/>
        </w:rPr>
      </w:pPr>
    </w:p>
    <w:p w14:paraId="75D632A0" w14:textId="77777777" w:rsidR="00486D14" w:rsidRDefault="00A475E0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>
        <w:rPr>
          <w:rFonts w:ascii="Arial" w:hAnsi="Arial" w:cs="Arial"/>
          <w:b/>
          <w:sz w:val="22"/>
          <w:szCs w:val="22"/>
          <w:u w:val="single"/>
          <w:lang w:val="cs-CZ"/>
        </w:rPr>
        <w:t>Výhled</w:t>
      </w:r>
    </w:p>
    <w:p w14:paraId="35611C50" w14:textId="77777777" w:rsidR="00486D14" w:rsidRDefault="00486D14">
      <w:pPr>
        <w:rPr>
          <w:rFonts w:ascii="Arial" w:hAnsi="Arial" w:cs="Arial"/>
          <w:sz w:val="22"/>
          <w:szCs w:val="22"/>
          <w:lang w:val="cs-CZ"/>
        </w:rPr>
      </w:pPr>
    </w:p>
    <w:p w14:paraId="6988011A" w14:textId="77777777" w:rsidR="00486D14" w:rsidRDefault="00A475E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>Společnost UPS poskytuje výhled na upravené bázi (neodpovídající účetním zásadám GAAP), není totiž možné předpovědět či odhadnout vliv budoucího tržního nacenění penzijních položek a dalších neočekávaných událostí. Ty jsou zahrnuty ve vykazovaných výsledcích podle GAAP a mohou být významné.</w:t>
      </w:r>
    </w:p>
    <w:p w14:paraId="219F2CB2" w14:textId="77777777" w:rsidR="00486D14" w:rsidRDefault="00486D14">
      <w:pPr>
        <w:rPr>
          <w:rFonts w:ascii="Arial" w:hAnsi="Arial" w:cs="Arial"/>
          <w:sz w:val="22"/>
          <w:szCs w:val="22"/>
          <w:lang w:val="cs-CZ"/>
        </w:rPr>
      </w:pPr>
    </w:p>
    <w:p w14:paraId="728271DE" w14:textId="77777777" w:rsidR="00486D14" w:rsidRDefault="00A475E0">
      <w:pPr>
        <w:rPr>
          <w:rFonts w:ascii="Arial" w:hAnsi="Arial" w:cs="Arial"/>
          <w:b/>
          <w:sz w:val="22"/>
          <w:vertAlign w:val="subscript"/>
          <w:lang w:val="cs-CZ"/>
        </w:rPr>
      </w:pPr>
      <w:r>
        <w:rPr>
          <w:rFonts w:ascii="Arial" w:hAnsi="Arial" w:cs="Arial"/>
          <w:b/>
          <w:sz w:val="22"/>
          <w:vertAlign w:val="subscript"/>
          <w:lang w:val="cs-CZ"/>
        </w:rPr>
        <w:t>* Informace o finančních opatřeních, které nepodléhají účetním standardům GAAP, jsou uvedeny v příloze.</w:t>
      </w:r>
    </w:p>
    <w:p w14:paraId="11573D40" w14:textId="77777777" w:rsidR="00486D14" w:rsidRDefault="00486D14">
      <w:pPr>
        <w:rPr>
          <w:rFonts w:ascii="Arial" w:hAnsi="Arial" w:cs="Arial"/>
          <w:sz w:val="22"/>
        </w:rPr>
      </w:pPr>
    </w:p>
    <w:p w14:paraId="5AD56D6E" w14:textId="77777777" w:rsidR="00486D14" w:rsidRDefault="00A475E0">
      <w:r>
        <w:rPr>
          <w:rFonts w:ascii="Arial" w:hAnsi="Arial" w:cs="Arial"/>
          <w:sz w:val="22"/>
          <w:szCs w:val="22"/>
          <w:lang w:val="cs-CZ"/>
        </w:rPr>
        <w:tab/>
        <w:t>„Věříme, že díky zlepšení kvality příjmů a novým, vysoce automatizovaným kapacitám bude vrchol sezony pro naše zákazníky i vlastníky akcií úspěšný,“ uvedl Richard Peretz, finanční ředitel UPS.</w:t>
      </w:r>
    </w:p>
    <w:p w14:paraId="48D4031B" w14:textId="77777777" w:rsidR="00486D14" w:rsidRDefault="00486D14">
      <w:pPr>
        <w:rPr>
          <w:rFonts w:ascii="Arial" w:hAnsi="Arial" w:cs="Arial"/>
          <w:sz w:val="22"/>
          <w:szCs w:val="22"/>
          <w:lang w:val="cs-CZ"/>
        </w:rPr>
      </w:pPr>
    </w:p>
    <w:p w14:paraId="0887FD1A" w14:textId="77777777" w:rsidR="00486D14" w:rsidRDefault="00A475E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Společnost UPS očekává celoroční upravený zředěný zisk na akcii pro rok 2018 v rozmezí 7,03 USD až 7,37 USD.</w:t>
      </w:r>
    </w:p>
    <w:p w14:paraId="64057D33" w14:textId="77777777" w:rsidR="00486D14" w:rsidRDefault="00A475E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Firma v letošním roce navýšila odhad volných peněžních toků na více než 5 mld. USD.</w:t>
      </w:r>
    </w:p>
    <w:p w14:paraId="41A0F48E" w14:textId="77777777" w:rsidR="00486D14" w:rsidRDefault="00A475E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Kapitálové výdaje v roce 2018 zůstanou dle očekávání mezi 6,5 mld. USD a 7,0 mld. USD.</w:t>
      </w:r>
    </w:p>
    <w:p w14:paraId="56D2BC0F" w14:textId="77777777" w:rsidR="00486D14" w:rsidRDefault="00A475E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V souladu s dřívějším oznámením UPS očekává v posledním kvartálu 2018 růst zisku na akcii o 15 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  <w:lang w:val="cs-CZ"/>
        </w:rPr>
        <w:t>, a to navzdory očekávaným měnovým výkyvům na rozvíjejících se trzích a zkrácení vrcholné sezony o jeden pracovní den.</w:t>
      </w:r>
    </w:p>
    <w:p w14:paraId="6D85686F" w14:textId="77777777" w:rsidR="00486D14" w:rsidRDefault="00A475E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Skutečná daňová sazba by se v posledním čtvrtletí měla pohybovat v rozmezí 23 až 24 %.</w:t>
      </w:r>
    </w:p>
    <w:p w14:paraId="32045420" w14:textId="77777777" w:rsidR="00486D14" w:rsidRDefault="00486D14">
      <w:pPr>
        <w:ind w:firstLine="360"/>
        <w:rPr>
          <w:rFonts w:ascii="Arial" w:hAnsi="Arial" w:cs="Arial"/>
          <w:sz w:val="22"/>
        </w:rPr>
      </w:pPr>
    </w:p>
    <w:p w14:paraId="6B1C1562" w14:textId="77777777" w:rsidR="00486D14" w:rsidRDefault="00486D14">
      <w:pPr>
        <w:jc w:val="center"/>
        <w:rPr>
          <w:rFonts w:ascii="Arial" w:hAnsi="Arial" w:cs="Arial"/>
          <w:color w:val="003436"/>
          <w:sz w:val="22"/>
          <w:szCs w:val="22"/>
        </w:rPr>
      </w:pPr>
    </w:p>
    <w:p w14:paraId="2F6D2E90" w14:textId="77777777" w:rsidR="00486D14" w:rsidRDefault="00A475E0">
      <w:pPr>
        <w:jc w:val="center"/>
        <w:rPr>
          <w:rFonts w:ascii="Arial" w:hAnsi="Arial" w:cs="Arial"/>
          <w:color w:val="003436"/>
          <w:sz w:val="22"/>
          <w:szCs w:val="22"/>
        </w:rPr>
      </w:pPr>
      <w:r>
        <w:rPr>
          <w:rFonts w:ascii="Arial" w:hAnsi="Arial" w:cs="Arial"/>
          <w:color w:val="003436"/>
          <w:sz w:val="22"/>
          <w:szCs w:val="22"/>
        </w:rPr>
        <w:t># # #</w:t>
      </w:r>
    </w:p>
    <w:p w14:paraId="0AA01BC3" w14:textId="77777777" w:rsidR="00486D14" w:rsidRDefault="00486D14">
      <w:pPr>
        <w:rPr>
          <w:rFonts w:ascii="Arial" w:hAnsi="Arial" w:cs="Arial"/>
          <w:color w:val="003436"/>
          <w:sz w:val="22"/>
          <w:szCs w:val="22"/>
        </w:rPr>
      </w:pPr>
    </w:p>
    <w:p w14:paraId="3B55CC53" w14:textId="77777777" w:rsidR="00486D14" w:rsidRDefault="00A475E0">
      <w:pPr>
        <w:pStyle w:val="BodyText"/>
        <w:spacing w:after="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14:paraId="658C66BD" w14:textId="77777777" w:rsidR="00486D14" w:rsidRDefault="00A475E0">
      <w:r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10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ups.com</w:t>
        </w:r>
      </w:hyperlink>
      <w:r>
        <w:rPr>
          <w:rFonts w:ascii="Arial" w:hAnsi="Arial" w:cs="Arial"/>
          <w:color w:val="0000FF"/>
          <w:sz w:val="22"/>
          <w:szCs w:val="22"/>
          <w:vertAlign w:val="superscript"/>
          <w:lang w:val="cs-CZ"/>
        </w:rPr>
        <w:t>®</w:t>
      </w:r>
      <w:r>
        <w:rPr>
          <w:rFonts w:ascii="Arial" w:hAnsi="Arial" w:cs="Arial"/>
          <w:sz w:val="22"/>
          <w:szCs w:val="22"/>
          <w:lang w:val="cs-CZ"/>
        </w:rPr>
        <w:t xml:space="preserve">, korporátní blog naleznete na </w:t>
      </w:r>
      <w:hyperlink r:id="rId11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longitudes.ups.com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. Novinky a zprávy UPS jsou k dispozici na </w:t>
      </w:r>
      <w:hyperlink r:id="rId12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pressroom.ups.com</w:t>
        </w:r>
      </w:hyperlink>
      <w:r>
        <w:rPr>
          <w:rFonts w:ascii="Arial" w:hAnsi="Arial" w:cs="Arial"/>
          <w:sz w:val="22"/>
          <w:szCs w:val="22"/>
          <w:lang w:val="cs-CZ"/>
        </w:rPr>
        <w:t>.</w:t>
      </w:r>
    </w:p>
    <w:p w14:paraId="564E51A7" w14:textId="77777777" w:rsidR="00486D14" w:rsidRDefault="00486D14">
      <w:pPr>
        <w:rPr>
          <w:rFonts w:ascii="Arial" w:hAnsi="Arial" w:cs="Arial"/>
          <w:color w:val="003436"/>
          <w:sz w:val="22"/>
          <w:szCs w:val="22"/>
          <w:lang w:val="cs-CZ"/>
        </w:rPr>
      </w:pPr>
    </w:p>
    <w:sectPr w:rsidR="00486D14" w:rsidSect="005F325C">
      <w:headerReference w:type="default" r:id="rId13"/>
      <w:footerReference w:type="default" r:id="rId14"/>
      <w:footerReference w:type="first" r:id="rId15"/>
      <w:pgSz w:w="12240" w:h="15840" w:code="1"/>
      <w:pgMar w:top="777" w:right="1440" w:bottom="777" w:left="144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3850" w14:textId="77777777" w:rsidR="007A2E98" w:rsidRDefault="00A475E0">
      <w:r>
        <w:separator/>
      </w:r>
    </w:p>
  </w:endnote>
  <w:endnote w:type="continuationSeparator" w:id="0">
    <w:p w14:paraId="2601DCF1" w14:textId="77777777" w:rsidR="007A2E98" w:rsidRDefault="00A4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7855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7F28E7" w14:textId="77777777" w:rsidR="00A475E0" w:rsidRPr="00A475E0" w:rsidRDefault="00A475E0" w:rsidP="00A475E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475E0">
          <w:rPr>
            <w:rFonts w:ascii="Arial" w:hAnsi="Arial" w:cs="Arial"/>
            <w:sz w:val="20"/>
            <w:szCs w:val="20"/>
          </w:rPr>
          <w:fldChar w:fldCharType="begin"/>
        </w:r>
        <w:r w:rsidRPr="00A475E0">
          <w:rPr>
            <w:rFonts w:ascii="Arial" w:hAnsi="Arial" w:cs="Arial"/>
            <w:sz w:val="20"/>
            <w:szCs w:val="20"/>
          </w:rPr>
          <w:instrText>PAGE   \* MERGEFORMAT</w:instrText>
        </w:r>
        <w:r w:rsidRPr="00A475E0">
          <w:rPr>
            <w:rFonts w:ascii="Arial" w:hAnsi="Arial" w:cs="Arial"/>
            <w:sz w:val="20"/>
            <w:szCs w:val="20"/>
          </w:rPr>
          <w:fldChar w:fldCharType="separate"/>
        </w:r>
        <w:r w:rsidR="000D25F2" w:rsidRPr="000D25F2">
          <w:rPr>
            <w:rFonts w:ascii="Arial" w:hAnsi="Arial" w:cs="Arial"/>
            <w:noProof/>
            <w:sz w:val="20"/>
            <w:szCs w:val="20"/>
            <w:lang w:val="cs-CZ"/>
          </w:rPr>
          <w:t>4</w:t>
        </w:r>
        <w:r w:rsidRPr="00A475E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3510AB3" w14:textId="77777777" w:rsidR="00486D14" w:rsidRDefault="00486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5421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D25FA3B" w14:textId="77777777" w:rsidR="005F325C" w:rsidRPr="005F325C" w:rsidRDefault="00ED578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14:paraId="14FD8812" w14:textId="77777777" w:rsidR="00486D14" w:rsidRDefault="00486D1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AE7A" w14:textId="77777777" w:rsidR="007A2E98" w:rsidRDefault="00A475E0">
      <w:r>
        <w:separator/>
      </w:r>
    </w:p>
  </w:footnote>
  <w:footnote w:type="continuationSeparator" w:id="0">
    <w:p w14:paraId="753AEE73" w14:textId="77777777" w:rsidR="007A2E98" w:rsidRDefault="00A4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8755" w14:textId="77777777" w:rsidR="00486D14" w:rsidRDefault="00486D14">
    <w:pPr>
      <w:pStyle w:val="Header"/>
      <w:tabs>
        <w:tab w:val="clear" w:pos="4320"/>
        <w:tab w:val="center" w:pos="0"/>
        <w:tab w:val="left" w:pos="4665"/>
      </w:tabs>
      <w:ind w:left="3240" w:hanging="3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397"/>
    <w:multiLevelType w:val="multilevel"/>
    <w:tmpl w:val="137CFC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A96733"/>
    <w:multiLevelType w:val="multilevel"/>
    <w:tmpl w:val="9758B1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8006E2"/>
    <w:multiLevelType w:val="multilevel"/>
    <w:tmpl w:val="6DF0F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F0F5C"/>
    <w:multiLevelType w:val="multilevel"/>
    <w:tmpl w:val="F306CD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72471B"/>
    <w:multiLevelType w:val="multilevel"/>
    <w:tmpl w:val="0EB6D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8A83C0D"/>
    <w:multiLevelType w:val="multilevel"/>
    <w:tmpl w:val="F2F64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B1181F"/>
    <w:multiLevelType w:val="multilevel"/>
    <w:tmpl w:val="39802C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956F5B"/>
    <w:multiLevelType w:val="multilevel"/>
    <w:tmpl w:val="9666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14"/>
    <w:rsid w:val="000D25F2"/>
    <w:rsid w:val="00486D14"/>
    <w:rsid w:val="005F325C"/>
    <w:rsid w:val="007A2E98"/>
    <w:rsid w:val="008954E4"/>
    <w:rsid w:val="00922F14"/>
    <w:rsid w:val="00976EE6"/>
    <w:rsid w:val="00A470B7"/>
    <w:rsid w:val="00A475E0"/>
    <w:rsid w:val="00AC1E19"/>
    <w:rsid w:val="00ED5789"/>
    <w:rsid w:val="00E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37C77"/>
  <w15:docId w15:val="{683A141A-FEBC-49E0-A210-18702C3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7241C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qFormat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qFormat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qFormat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qFormat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Internetovodkaz">
    <w:name w:val="Internetový odkaz"/>
    <w:basedOn w:val="DefaultParagraphFont"/>
    <w:uiPriority w:val="99"/>
    <w:rsid w:val="007B74B0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7241CD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7241CD"/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locked/>
    <w:rsid w:val="007241CD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7241CD"/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sid w:val="007241CD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7241CD"/>
    <w:rPr>
      <w:rFonts w:cs="Times New Roman"/>
      <w:sz w:val="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locked/>
    <w:rsid w:val="007241CD"/>
    <w:rPr>
      <w:rFonts w:cs="Times New Roman"/>
      <w:sz w:val="24"/>
      <w:szCs w:val="24"/>
    </w:rPr>
  </w:style>
  <w:style w:type="character" w:customStyle="1" w:styleId="Zdraznn">
    <w:name w:val="Zdůraznění"/>
    <w:basedOn w:val="DefaultParagraphFont"/>
    <w:uiPriority w:val="99"/>
    <w:qFormat/>
    <w:rsid w:val="007B74B0"/>
    <w:rPr>
      <w:rFonts w:cs="Times New Roman"/>
      <w:i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locked/>
    <w:rsid w:val="007241CD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qFormat/>
    <w:rsid w:val="005C7CBA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7241CD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7241CD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qFormat/>
    <w:rsid w:val="0069522D"/>
    <w:rPr>
      <w:rFonts w:cs="Times New Roman"/>
      <w:color w:val="800080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locked/>
    <w:rsid w:val="007241CD"/>
    <w:rPr>
      <w:rFonts w:cs="Times New Roman"/>
      <w:sz w:val="24"/>
      <w:szCs w:val="24"/>
    </w:rPr>
  </w:style>
  <w:style w:type="character" w:customStyle="1" w:styleId="DocID">
    <w:name w:val="DocID"/>
    <w:basedOn w:val="DefaultParagraphFont"/>
    <w:qFormat/>
    <w:rsid w:val="00DD386B"/>
    <w:rPr>
      <w:rFonts w:ascii="Times New Roman" w:hAnsi="Times New Roman" w:cs="Times New Roman"/>
      <w:b w:val="0"/>
      <w:i w:val="0"/>
      <w:caps w:val="0"/>
      <w:smallCaps w:val="0"/>
      <w:vanish w:val="0"/>
      <w:color w:val="000000"/>
      <w:sz w:val="16"/>
      <w:szCs w:val="20"/>
      <w:u w:val="none"/>
    </w:rPr>
  </w:style>
  <w:style w:type="character" w:styleId="PlaceholderText">
    <w:name w:val="Placeholder Text"/>
    <w:basedOn w:val="DefaultParagraphFont"/>
    <w:uiPriority w:val="99"/>
    <w:semiHidden/>
    <w:qFormat/>
    <w:rsid w:val="00DD386B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E18FB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E18FB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 w:cs="Arial"/>
      <w:sz w:val="20"/>
      <w:szCs w:val="20"/>
      <w:lang w:val="cs-CZ"/>
    </w:rPr>
  </w:style>
  <w:style w:type="character" w:customStyle="1" w:styleId="ListLabel23">
    <w:name w:val="ListLabel 23"/>
    <w:qFormat/>
    <w:rPr>
      <w:rFonts w:ascii="Arial" w:hAnsi="Arial" w:cs="Arial"/>
      <w:sz w:val="22"/>
      <w:szCs w:val="22"/>
      <w:lang w:val="cs-CZ"/>
    </w:rPr>
  </w:style>
  <w:style w:type="character" w:customStyle="1" w:styleId="ListLabel24">
    <w:name w:val="ListLabel 24"/>
    <w:qFormat/>
    <w:rPr>
      <w:rFonts w:ascii="Arial" w:hAnsi="Arial" w:cs="Arial"/>
      <w:b/>
      <w:bCs/>
      <w:color w:val="0070C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B74B0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7B7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74B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qFormat/>
    <w:rsid w:val="007B74B0"/>
    <w:pPr>
      <w:spacing w:after="120" w:line="480" w:lineRule="auto"/>
    </w:pPr>
  </w:style>
  <w:style w:type="paragraph" w:customStyle="1" w:styleId="DefaultText">
    <w:name w:val="Default Text"/>
    <w:basedOn w:val="Normal"/>
    <w:uiPriority w:val="99"/>
    <w:qFormat/>
    <w:rsid w:val="007B74B0"/>
    <w:pPr>
      <w:textAlignment w:val="baseline"/>
    </w:pPr>
    <w:rPr>
      <w:szCs w:val="20"/>
    </w:rPr>
  </w:style>
  <w:style w:type="paragraph" w:styleId="BodyText3">
    <w:name w:val="Body Text 3"/>
    <w:basedOn w:val="Normal"/>
    <w:link w:val="BodyText3Char"/>
    <w:uiPriority w:val="99"/>
    <w:qFormat/>
    <w:rsid w:val="007B74B0"/>
    <w:pPr>
      <w:jc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B74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B74B0"/>
    <w:pPr>
      <w:ind w:firstLine="720"/>
    </w:pPr>
    <w:rPr>
      <w:rFonts w:ascii="Arial" w:hAnsi="Arial" w:cs="Arial"/>
    </w:rPr>
  </w:style>
  <w:style w:type="paragraph" w:customStyle="1" w:styleId="Style">
    <w:name w:val="Style"/>
    <w:basedOn w:val="Normal"/>
    <w:uiPriority w:val="99"/>
    <w:qFormat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al"/>
    <w:uiPriority w:val="99"/>
    <w:qFormat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qFormat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5C7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5C7CBA"/>
    <w:rPr>
      <w:b/>
      <w:bCs/>
    </w:rPr>
  </w:style>
  <w:style w:type="paragraph" w:styleId="NormalWeb">
    <w:name w:val="Normal (Web)"/>
    <w:basedOn w:val="Normal"/>
    <w:uiPriority w:val="99"/>
    <w:qFormat/>
    <w:rsid w:val="00297BF7"/>
    <w:pPr>
      <w:spacing w:beforeAutospacing="1" w:afterAutospacing="1"/>
    </w:pPr>
  </w:style>
  <w:style w:type="paragraph" w:styleId="Date">
    <w:name w:val="Date"/>
    <w:basedOn w:val="Normal"/>
    <w:next w:val="Normal"/>
    <w:link w:val="DateChar"/>
    <w:uiPriority w:val="99"/>
    <w:qFormat/>
    <w:rsid w:val="006D2429"/>
  </w:style>
  <w:style w:type="paragraph" w:styleId="Revision">
    <w:name w:val="Revision"/>
    <w:uiPriority w:val="99"/>
    <w:semiHidden/>
    <w:qFormat/>
    <w:rsid w:val="009627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22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18FB"/>
    <w:rPr>
      <w:sz w:val="20"/>
      <w:szCs w:val="20"/>
    </w:rPr>
  </w:style>
  <w:style w:type="paragraph" w:customStyle="1" w:styleId="msonospacing0">
    <w:name w:val="msonospacing"/>
    <w:uiPriority w:val="99"/>
    <w:qFormat/>
    <w:rsid w:val="007E5A8D"/>
    <w:pPr>
      <w:suppressAutoHyphens/>
      <w:spacing w:line="100" w:lineRule="atLeast"/>
    </w:pPr>
    <w:rPr>
      <w:rFonts w:ascii="Calibri" w:hAnsi="Calibri" w:cs="Calibri"/>
      <w:kern w:val="2"/>
      <w:sz w:val="24"/>
      <w:lang w:eastAsia="zh-CN"/>
    </w:rPr>
  </w:style>
  <w:style w:type="table" w:styleId="TableGrid">
    <w:name w:val="Table Grid"/>
    <w:basedOn w:val="TableNormal"/>
    <w:rsid w:val="0060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ssroom.ups.com/R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ngitudes.up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ps.com/cz/cs/Home.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5D5B-17EA-44A7-92ED-0E809465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Keith A. (chi1kac)</dc:creator>
  <dc:description/>
  <cp:lastModifiedBy>Michal Donath</cp:lastModifiedBy>
  <cp:revision>3</cp:revision>
  <cp:lastPrinted>2018-10-24T00:27:00Z</cp:lastPrinted>
  <dcterms:created xsi:type="dcterms:W3CDTF">2018-10-26T09:13:00Z</dcterms:created>
  <dcterms:modified xsi:type="dcterms:W3CDTF">2018-10-26T09:14:00Z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