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5D" w:rsidRPr="00FA1F8F" w:rsidRDefault="004D4C99">
      <w:pPr>
        <w:pStyle w:val="Normal1"/>
        <w:spacing w:line="240" w:lineRule="auto"/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798830" cy="9023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45D" w:rsidRPr="00FA1F8F">
        <w:rPr>
          <w:lang w:val="cs-CZ"/>
        </w:rPr>
        <w:t>Kontakt:</w:t>
      </w:r>
      <w:r w:rsidR="0043545D" w:rsidRPr="00FA1F8F">
        <w:rPr>
          <w:lang w:val="cs-CZ"/>
        </w:rPr>
        <w:tab/>
        <w:t>Karla Krejčí, Donath Business &amp; Media</w:t>
      </w:r>
    </w:p>
    <w:p w:rsidR="0043545D" w:rsidRPr="00FA1F8F" w:rsidRDefault="0043545D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FA1F8F">
        <w:rPr>
          <w:rFonts w:ascii="Arial" w:hAnsi="Arial" w:cs="Arial"/>
          <w:sz w:val="20"/>
          <w:szCs w:val="20"/>
          <w:lang w:val="cs-CZ"/>
        </w:rPr>
        <w:t>+420 224 211 220</w:t>
      </w:r>
    </w:p>
    <w:p w:rsidR="0043545D" w:rsidRPr="00FA1F8F" w:rsidRDefault="001542FC">
      <w:pPr>
        <w:ind w:left="589" w:firstLine="851"/>
        <w:rPr>
          <w:lang w:val="cs-CZ"/>
        </w:rPr>
      </w:pPr>
      <w:hyperlink r:id="rId8">
        <w:r w:rsidR="0043545D" w:rsidRPr="00FA1F8F">
          <w:rPr>
            <w:rStyle w:val="WW-Internetovodkaz"/>
            <w:rFonts w:ascii="Arial" w:hAnsi="Arial"/>
            <w:sz w:val="20"/>
            <w:szCs w:val="20"/>
            <w:lang w:val="cs-CZ"/>
          </w:rPr>
          <w:t>karla.krejci@dbm.cz</w:t>
        </w:r>
      </w:hyperlink>
    </w:p>
    <w:p w:rsidR="0043545D" w:rsidRPr="00FA1F8F" w:rsidRDefault="0043545D">
      <w:pPr>
        <w:pStyle w:val="Normlnweb"/>
        <w:rPr>
          <w:rFonts w:ascii="Arial Bold" w:hAnsi="Arial Bold" w:cs="Arial"/>
          <w:b/>
          <w:caps/>
          <w:sz w:val="36"/>
          <w:szCs w:val="36"/>
          <w:lang w:val="cs-CZ"/>
        </w:rPr>
      </w:pPr>
    </w:p>
    <w:p w:rsidR="0043545D" w:rsidRPr="00FA1F8F" w:rsidRDefault="0043545D">
      <w:pPr>
        <w:pStyle w:val="Normlnweb"/>
        <w:rPr>
          <w:rFonts w:ascii="Arial Bold" w:hAnsi="Arial Bold" w:cs="Arial"/>
          <w:b/>
          <w:caps/>
          <w:sz w:val="36"/>
          <w:szCs w:val="36"/>
          <w:lang w:val="cs-CZ"/>
        </w:rPr>
      </w:pPr>
    </w:p>
    <w:p w:rsidR="0043545D" w:rsidRPr="00FA1F8F" w:rsidRDefault="0043545D">
      <w:pPr>
        <w:pStyle w:val="Normlnweb"/>
        <w:jc w:val="center"/>
        <w:rPr>
          <w:rFonts w:ascii="Arial" w:hAnsi="Arial" w:cs="Arial"/>
          <w:b/>
          <w:caps/>
          <w:sz w:val="36"/>
          <w:szCs w:val="36"/>
          <w:lang w:val="cs-CZ"/>
        </w:rPr>
      </w:pPr>
      <w:r w:rsidRPr="00FA1F8F">
        <w:rPr>
          <w:rFonts w:ascii="Arial" w:hAnsi="Arial" w:cs="Arial"/>
          <w:b/>
          <w:caps/>
          <w:sz w:val="36"/>
          <w:szCs w:val="36"/>
          <w:lang w:val="cs-CZ"/>
        </w:rPr>
        <w:t xml:space="preserve">UPS bude dodávat SVĚTU </w:t>
      </w:r>
    </w:p>
    <w:p w:rsidR="0043545D" w:rsidRPr="00FA1F8F" w:rsidRDefault="0043545D">
      <w:pPr>
        <w:pStyle w:val="Normlnweb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FA1F8F">
        <w:rPr>
          <w:rFonts w:ascii="Arial" w:hAnsi="Arial" w:cs="Arial"/>
          <w:b/>
          <w:caps/>
          <w:sz w:val="36"/>
          <w:szCs w:val="36"/>
          <w:lang w:val="cs-CZ"/>
        </w:rPr>
        <w:t xml:space="preserve">NEJLEPŠÍ EVROPSKÁ VÍNA </w:t>
      </w:r>
    </w:p>
    <w:p w:rsidR="0043545D" w:rsidRPr="00FA1F8F" w:rsidRDefault="0043545D">
      <w:pPr>
        <w:pStyle w:val="Normlnweb"/>
        <w:jc w:val="center"/>
        <w:rPr>
          <w:rFonts w:ascii="Arial" w:hAnsi="Arial" w:cs="Arial"/>
          <w:b/>
          <w:caps/>
          <w:sz w:val="36"/>
          <w:szCs w:val="36"/>
          <w:lang w:val="cs-CZ"/>
        </w:rPr>
      </w:pPr>
    </w:p>
    <w:p w:rsidR="0043545D" w:rsidRPr="00FA1F8F" w:rsidRDefault="0043545D">
      <w:pPr>
        <w:pStyle w:val="Normlnweb"/>
        <w:shd w:val="clear" w:color="auto" w:fill="FFFFFF"/>
        <w:jc w:val="center"/>
        <w:rPr>
          <w:lang w:val="cs-CZ"/>
        </w:rPr>
      </w:pPr>
      <w:r w:rsidRPr="00FA1F8F">
        <w:rPr>
          <w:rFonts w:ascii="Arial" w:hAnsi="Arial" w:cs="Arial"/>
          <w:i/>
          <w:lang w:val="cs-CZ"/>
        </w:rPr>
        <w:t>Víno nyní může být nyní doručeno přímo spotřebitelům v rostoucích ekonomikách mimo Evropu</w:t>
      </w:r>
    </w:p>
    <w:p w:rsidR="0043545D" w:rsidRPr="00FA1F8F" w:rsidRDefault="0043545D">
      <w:pPr>
        <w:pStyle w:val="Normlnweb"/>
        <w:shd w:val="clear" w:color="auto" w:fill="FFFFFF"/>
        <w:jc w:val="center"/>
        <w:rPr>
          <w:rFonts w:ascii="Arial" w:hAnsi="Arial" w:cs="Arial"/>
          <w:i/>
          <w:lang w:val="cs-CZ"/>
        </w:rPr>
      </w:pP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  <w:r w:rsidRPr="00FA1F8F">
        <w:rPr>
          <w:rFonts w:ascii="Arial" w:hAnsi="Arial"/>
          <w:b/>
          <w:sz w:val="24"/>
          <w:szCs w:val="24"/>
          <w:lang w:val="cs-CZ"/>
        </w:rPr>
        <w:t xml:space="preserve">BRUSEL 31. července 2017 </w:t>
      </w:r>
      <w:r w:rsidRPr="00FA1F8F">
        <w:rPr>
          <w:rFonts w:ascii="Arial" w:hAnsi="Arial"/>
          <w:sz w:val="24"/>
          <w:szCs w:val="24"/>
          <w:lang w:val="cs-CZ"/>
        </w:rPr>
        <w:t>– Společnost UPS (NYSE: UPS) rozšiřuje své přepravní služby u alkoholu, vína a piva zaměřené na spotřebitele na celém světě. S využitím některé z přepravních služeb UPS Express™ nebo Standard</w:t>
      </w:r>
      <w:bookmarkStart w:id="0" w:name="_GoBack"/>
      <w:bookmarkEnd w:id="0"/>
      <w:r w:rsidR="000A5B37" w:rsidRPr="000A5B37">
        <w:rPr>
          <w:rFonts w:ascii="Arial" w:hAnsi="Arial"/>
          <w:sz w:val="24"/>
          <w:szCs w:val="24"/>
          <w:vertAlign w:val="superscript"/>
          <w:lang w:val="cs-CZ"/>
        </w:rPr>
        <w:t>®</w:t>
      </w:r>
      <w:r w:rsidR="000A5B37" w:rsidRPr="000A5B37">
        <w:rPr>
          <w:rStyle w:val="Ukotvenpoznmkypodarou"/>
          <w:rFonts w:ascii="Arial" w:hAnsi="Arial"/>
          <w:sz w:val="24"/>
          <w:szCs w:val="24"/>
          <w:vertAlign w:val="baseline"/>
          <w:lang w:val="cs-CZ"/>
        </w:rPr>
        <w:t xml:space="preserve"> </w:t>
      </w:r>
      <w:r w:rsidRPr="00FA1F8F">
        <w:rPr>
          <w:rStyle w:val="Ukotvenpoznmkypodarou"/>
          <w:rFonts w:ascii="Arial" w:hAnsi="Arial"/>
          <w:sz w:val="24"/>
          <w:szCs w:val="24"/>
          <w:lang w:val="cs-CZ"/>
        </w:rPr>
        <w:footnoteReference w:id="1"/>
      </w:r>
      <w:r w:rsidRPr="00FA1F8F">
        <w:rPr>
          <w:rFonts w:ascii="Arial" w:hAnsi="Arial"/>
          <w:sz w:val="24"/>
          <w:szCs w:val="24"/>
          <w:lang w:val="cs-CZ"/>
        </w:rPr>
        <w:t xml:space="preserve"> si mohou znalci vína nechat své oblíbené kartony vína poslat domů přímo z vinice.</w:t>
      </w: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b/>
          <w:sz w:val="24"/>
          <w:szCs w:val="24"/>
          <w:lang w:val="cs-CZ"/>
        </w:rPr>
      </w:pPr>
    </w:p>
    <w:p w:rsidR="0043545D" w:rsidRPr="00FA1F8F" w:rsidRDefault="0043545D">
      <w:pPr>
        <w:spacing w:after="0" w:line="240" w:lineRule="auto"/>
        <w:ind w:firstLine="720"/>
        <w:rPr>
          <w:lang w:val="cs-CZ"/>
        </w:rPr>
      </w:pPr>
      <w:r w:rsidRPr="00FA1F8F">
        <w:rPr>
          <w:rFonts w:ascii="Arial" w:hAnsi="Arial"/>
          <w:sz w:val="24"/>
          <w:szCs w:val="24"/>
          <w:lang w:val="cs-CZ"/>
        </w:rPr>
        <w:t xml:space="preserve">Podle letošní globální studie </w:t>
      </w:r>
      <w:hyperlink r:id="rId9">
        <w:r w:rsidRPr="00FA1F8F">
          <w:rPr>
            <w:rStyle w:val="Internetovodkaz"/>
            <w:rFonts w:ascii="Arial" w:hAnsi="Arial"/>
            <w:sz w:val="24"/>
            <w:szCs w:val="24"/>
            <w:lang w:val="cs-CZ"/>
          </w:rPr>
          <w:t>VINEXPO/IWSR Global Study 2015-2020</w:t>
        </w:r>
      </w:hyperlink>
      <w:r w:rsidRPr="00FA1F8F">
        <w:rPr>
          <w:color w:val="0000FF"/>
          <w:lang w:val="cs-CZ"/>
        </w:rPr>
        <w:t xml:space="preserve"> </w:t>
      </w:r>
      <w:r w:rsidRPr="00FA1F8F">
        <w:rPr>
          <w:rFonts w:ascii="Arial" w:hAnsi="Arial"/>
          <w:sz w:val="24"/>
          <w:szCs w:val="24"/>
          <w:lang w:val="cs-CZ"/>
        </w:rPr>
        <w:t>se v rozmezí let 2016 až 2020 očekává téměř 80% nárůst dovozu vína do Číny. Ten je součástí celkového očekávaného růstu dovozu ve výši téměř 13 % pro celý asijsko-tichomořský region. V Itálii, Francii a Španělsku se vypěstuje 50 procent světové produkce vína, proto rostoucí spotřeba na trzích mimo Evropu představuje příležitost k dalšímu růstu i přes klesající spotřebu vína v Evropě.</w:t>
      </w:r>
      <w:r w:rsidRPr="00FA1F8F">
        <w:rPr>
          <w:rStyle w:val="Ukotvenpoznmkypodarou"/>
          <w:rFonts w:ascii="Arial" w:hAnsi="Arial"/>
          <w:sz w:val="24"/>
          <w:szCs w:val="24"/>
          <w:lang w:val="cs-CZ"/>
        </w:rPr>
        <w:footnoteReference w:id="2"/>
      </w: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  <w:r w:rsidRPr="00FA1F8F">
        <w:rPr>
          <w:rFonts w:ascii="Arial" w:hAnsi="Arial"/>
          <w:sz w:val="24"/>
          <w:szCs w:val="24"/>
          <w:lang w:val="cs-CZ"/>
        </w:rPr>
        <w:t>„Naší prioritou je zajistit, aby naši zákazníci, ať už spotřebitelé, drobní producenti vína, či představitelé obchodů s vínem, obdrželi své víno v požadovaném čase na určené místo a s garancí kvality, kterou zajišťuje přepravní služba UPS,“ uvedl Nando Cesarone, prezident společnosti UPS Europe.</w:t>
      </w: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  <w:r w:rsidRPr="00FA1F8F">
        <w:rPr>
          <w:rFonts w:ascii="Arial" w:hAnsi="Arial"/>
          <w:sz w:val="24"/>
          <w:szCs w:val="24"/>
          <w:lang w:val="cs-CZ"/>
        </w:rPr>
        <w:t>Společnost UPS nabízí přepravní službu spojenou s vývozem vína z vybraných zemí Evropské unie s doručením přímo zákazníkovi v Číně, Jižní Koreji a Japonsku a nyní také v Dominikánské republice, Hongkongu, Indii, Jižní Africe, Kanadě, Macau, Singapuru, Švýcarsku</w:t>
      </w:r>
      <w:r w:rsidR="00DA389E">
        <w:rPr>
          <w:rFonts w:ascii="Arial" w:hAnsi="Arial"/>
          <w:sz w:val="24"/>
          <w:szCs w:val="24"/>
          <w:lang w:val="cs-CZ"/>
        </w:rPr>
        <w:t xml:space="preserve"> a </w:t>
      </w:r>
      <w:r w:rsidRPr="00FA1F8F">
        <w:rPr>
          <w:rFonts w:ascii="Arial" w:hAnsi="Arial"/>
          <w:sz w:val="24"/>
          <w:szCs w:val="24"/>
          <w:lang w:val="cs-CZ"/>
        </w:rPr>
        <w:t xml:space="preserve">Thajsku a dále na Filipínách, Tchaj-wanu a Novém Zélandu. Služba business-to-consumer zaměřená na koncového zákazníka tak doplňuje již existující přepravní službu business-to-business s celosvětovým pokrytím, a to jak </w:t>
      </w:r>
      <w:r>
        <w:rPr>
          <w:rFonts w:ascii="Arial" w:hAnsi="Arial"/>
          <w:sz w:val="24"/>
          <w:szCs w:val="24"/>
          <w:lang w:val="cs-CZ"/>
        </w:rPr>
        <w:t>paletovou, tak i balíkovou</w:t>
      </w:r>
      <w:r w:rsidRPr="00FA1F8F">
        <w:rPr>
          <w:rFonts w:ascii="Arial" w:hAnsi="Arial"/>
          <w:sz w:val="24"/>
          <w:szCs w:val="24"/>
          <w:lang w:val="cs-CZ"/>
        </w:rPr>
        <w:t xml:space="preserve"> přepravu.</w:t>
      </w:r>
    </w:p>
    <w:p w:rsidR="0043545D" w:rsidRPr="00FA1F8F" w:rsidRDefault="0043545D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cs-CZ"/>
        </w:rPr>
      </w:pPr>
    </w:p>
    <w:p w:rsidR="0043545D" w:rsidRPr="00FA1F8F" w:rsidRDefault="0043545D">
      <w:pPr>
        <w:spacing w:after="0" w:line="240" w:lineRule="auto"/>
        <w:ind w:firstLine="720"/>
        <w:rPr>
          <w:lang w:val="cs-CZ"/>
        </w:rPr>
      </w:pPr>
      <w:r w:rsidRPr="00FA1F8F">
        <w:rPr>
          <w:rFonts w:ascii="Arial" w:hAnsi="Arial"/>
          <w:sz w:val="24"/>
          <w:szCs w:val="24"/>
          <w:lang w:val="cs-CZ"/>
        </w:rPr>
        <w:t>Služby UPS zaměřené na přepravu vína mohou nyní využívat také spotřebitelé v rámci Evropské unie. Oblíbené víno, které objevili na dovolené, si  teď mohou nechat bez obav poslat domů.</w:t>
      </w: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  <w:r w:rsidRPr="00FA1F8F">
        <w:rPr>
          <w:rFonts w:ascii="Arial" w:hAnsi="Arial"/>
          <w:sz w:val="24"/>
          <w:szCs w:val="24"/>
          <w:lang w:val="cs-CZ"/>
        </w:rPr>
        <w:t>U všech destinací společnost UPS nabízí certifikované a bezpečné balení speciálně navržené pro přepravu lahví vína (až 12 lahví na karton pro nešumivé víno a až 6 lahví pro šumivé víno), které lze objednat prostřednictvím call center UPS.</w:t>
      </w:r>
    </w:p>
    <w:p w:rsidR="0043545D" w:rsidRPr="00FA1F8F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</w:p>
    <w:p w:rsidR="0043545D" w:rsidRDefault="0043545D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  <w:r w:rsidRPr="00FA1F8F">
        <w:rPr>
          <w:rFonts w:ascii="Arial" w:hAnsi="Arial"/>
          <w:sz w:val="24"/>
          <w:szCs w:val="24"/>
          <w:lang w:val="cs-CZ"/>
        </w:rPr>
        <w:t>Při odesílání zásilky z Francie a Itálie mohou zákazníci využít také program Customized Declared Value for Wine. Při použití předem schváleného obalu mohou počítat s rychlým vypravením zásilky a její ochranou až do výše 500 EUR, kterou nabízí UPS Capital. Pokud je hodnota zásilky vyšší, mohou si zákazníci zakoupit dodatečné zajištění, a to až do výše celkových maloobchodních nákladů. Zákazníci se mohou spolehnout na to, že jejich víno bezpečně dorazí do místa určení. A pokud by víno bylo z nějakého důvodu během přepravy poškozeno, bude zákazníkovi uhrazena cena vína včetně nákladů na dopravu.</w:t>
      </w:r>
    </w:p>
    <w:p w:rsidR="00815222" w:rsidRDefault="00815222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</w:p>
    <w:p w:rsidR="00815222" w:rsidRPr="00FA1F8F" w:rsidRDefault="00815222">
      <w:pPr>
        <w:spacing w:after="0" w:line="240" w:lineRule="auto"/>
        <w:ind w:firstLine="720"/>
        <w:rPr>
          <w:rFonts w:ascii="Arial" w:hAnsi="Arial"/>
          <w:sz w:val="24"/>
          <w:szCs w:val="24"/>
          <w:lang w:val="cs-CZ"/>
        </w:rPr>
      </w:pPr>
      <w:r w:rsidRPr="00815222">
        <w:rPr>
          <w:rFonts w:ascii="Arial" w:hAnsi="Arial"/>
          <w:sz w:val="24"/>
          <w:szCs w:val="24"/>
          <w:lang w:val="cs-CZ"/>
        </w:rPr>
        <w:t xml:space="preserve">Odesílatel </w:t>
      </w:r>
      <w:r w:rsidR="000A5B37">
        <w:rPr>
          <w:rFonts w:ascii="Arial" w:hAnsi="Arial"/>
          <w:sz w:val="24"/>
          <w:szCs w:val="24"/>
          <w:lang w:val="cs-CZ"/>
        </w:rPr>
        <w:t>nese odpovědnost</w:t>
      </w:r>
      <w:r w:rsidRPr="00815222">
        <w:rPr>
          <w:rFonts w:ascii="Arial" w:hAnsi="Arial"/>
          <w:sz w:val="24"/>
          <w:szCs w:val="24"/>
          <w:lang w:val="cs-CZ"/>
        </w:rPr>
        <w:t xml:space="preserve"> za znalost a dodržování všech platných mezinárodních zákonů a předpisů</w:t>
      </w:r>
      <w:r w:rsidR="000A5B37">
        <w:rPr>
          <w:rFonts w:ascii="Arial" w:hAnsi="Arial"/>
          <w:sz w:val="24"/>
          <w:szCs w:val="24"/>
          <w:lang w:val="cs-CZ"/>
        </w:rPr>
        <w:t>.</w:t>
      </w:r>
    </w:p>
    <w:tbl>
      <w:tblPr>
        <w:tblW w:w="924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726"/>
        <w:gridCol w:w="1838"/>
        <w:gridCol w:w="1894"/>
        <w:gridCol w:w="1951"/>
        <w:gridCol w:w="1834"/>
      </w:tblGrid>
      <w:tr w:rsidR="0043545D" w:rsidRPr="00815222">
        <w:trPr>
          <w:trHeight w:val="259"/>
          <w:jc w:val="center"/>
        </w:trPr>
        <w:tc>
          <w:tcPr>
            <w:tcW w:w="9243" w:type="dxa"/>
            <w:gridSpan w:val="5"/>
            <w:shd w:val="clear" w:color="auto" w:fill="996600"/>
            <w:tcMar>
              <w:left w:w="98" w:type="dxa"/>
            </w:tcMar>
            <w:vAlign w:val="center"/>
          </w:tcPr>
          <w:p w:rsidR="0043545D" w:rsidRPr="00FA1F8F" w:rsidRDefault="0043545D">
            <w:pPr>
              <w:spacing w:afterAutospacing="1" w:line="240" w:lineRule="auto"/>
              <w:jc w:val="center"/>
              <w:rPr>
                <w:rFonts w:ascii="Arial" w:hAnsi="Arial"/>
                <w:b/>
                <w:sz w:val="26"/>
                <w:szCs w:val="26"/>
                <w:lang w:val="cs-CZ"/>
              </w:rPr>
            </w:pPr>
            <w:r w:rsidRPr="00FA1F8F">
              <w:rPr>
                <w:rFonts w:ascii="Arial" w:hAnsi="Arial"/>
                <w:b/>
                <w:sz w:val="26"/>
                <w:szCs w:val="26"/>
                <w:lang w:val="cs-CZ"/>
              </w:rPr>
              <w:t xml:space="preserve">Zásilky vína lze doručit do následujících zemí </w:t>
            </w:r>
          </w:p>
        </w:tc>
      </w:tr>
      <w:tr w:rsidR="0043545D" w:rsidRPr="00FA1F8F" w:rsidTr="0025770B">
        <w:trPr>
          <w:trHeight w:val="48"/>
          <w:jc w:val="center"/>
        </w:trPr>
        <w:tc>
          <w:tcPr>
            <w:tcW w:w="3564" w:type="dxa"/>
            <w:gridSpan w:val="2"/>
            <w:tcMar>
              <w:left w:w="98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MIMO EU*</w:t>
            </w:r>
          </w:p>
        </w:tc>
        <w:tc>
          <w:tcPr>
            <w:tcW w:w="5679" w:type="dxa"/>
            <w:gridSpan w:val="3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V RÁMCI EU</w:t>
            </w:r>
          </w:p>
        </w:tc>
      </w:tr>
      <w:tr w:rsidR="0043545D" w:rsidRPr="00FA1F8F" w:rsidTr="0025770B">
        <w:trPr>
          <w:trHeight w:val="250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Argentina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Macao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Litva***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 xml:space="preserve">Řecko </w:t>
            </w:r>
          </w:p>
        </w:tc>
      </w:tr>
      <w:tr w:rsidR="0043545D" w:rsidRPr="00FA1F8F" w:rsidTr="0025770B">
        <w:trPr>
          <w:trHeight w:val="259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Čína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Mexiko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Bulharsko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Lotyšsko***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Slovensko***</w:t>
            </w:r>
          </w:p>
        </w:tc>
      </w:tr>
      <w:tr w:rsidR="0043545D" w:rsidRPr="00FA1F8F" w:rsidTr="0025770B">
        <w:trPr>
          <w:trHeight w:val="160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 xml:space="preserve">Dominikánská </w:t>
            </w:r>
            <w:r w:rsidRPr="00FA1F8F">
              <w:rPr>
                <w:rFonts w:ascii="Arial" w:hAnsi="Arial"/>
                <w:sz w:val="20"/>
                <w:szCs w:val="20"/>
                <w:lang w:val="cs-CZ"/>
              </w:rPr>
              <w:br/>
              <w:t>republika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Monako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Česká republika***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Lucembursko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Slovinsko</w:t>
            </w:r>
          </w:p>
        </w:tc>
      </w:tr>
      <w:tr w:rsidR="0043545D" w:rsidRPr="00FA1F8F" w:rsidTr="0025770B">
        <w:trPr>
          <w:trHeight w:val="187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Filipíny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Norsko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Dánsko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Maďarsko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Spojené království</w:t>
            </w:r>
          </w:p>
        </w:tc>
      </w:tr>
      <w:tr w:rsidR="0043545D" w:rsidRPr="00FA1F8F" w:rsidTr="0025770B">
        <w:trPr>
          <w:trHeight w:val="48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Hongkong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Nový Zéland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Estonsko***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Malta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Španělsko***</w:t>
            </w:r>
          </w:p>
        </w:tc>
      </w:tr>
      <w:tr w:rsidR="0043545D" w:rsidRPr="00FA1F8F" w:rsidTr="0025770B">
        <w:trPr>
          <w:trHeight w:val="88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Indie**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Singapur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Finsko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Německo***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Švédsko</w:t>
            </w:r>
          </w:p>
        </w:tc>
      </w:tr>
      <w:tr w:rsidR="0043545D" w:rsidRPr="00FA1F8F" w:rsidTr="0025770B">
        <w:trPr>
          <w:trHeight w:val="48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Japonsko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Švýcarsko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Francie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Nizozemí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</w:tr>
      <w:tr w:rsidR="0043545D" w:rsidRPr="00FA1F8F" w:rsidTr="0025770B">
        <w:trPr>
          <w:trHeight w:val="151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 xml:space="preserve">Jižní Afrika 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Thajsko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Chorvatsko***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Polsko***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</w:tr>
      <w:tr w:rsidR="0043545D" w:rsidRPr="00FA1F8F" w:rsidTr="0025770B">
        <w:trPr>
          <w:trHeight w:val="151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 xml:space="preserve">Jižní Korea 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Tchaj-wan</w:t>
            </w: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Irsko***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Portugalsko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</w:tr>
      <w:tr w:rsidR="0043545D" w:rsidRPr="00FA1F8F" w:rsidTr="0025770B">
        <w:trPr>
          <w:trHeight w:val="151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Kanada**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Itálie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Rakousko***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</w:tr>
      <w:tr w:rsidR="0043545D" w:rsidRPr="00FA1F8F" w:rsidTr="0025770B">
        <w:trPr>
          <w:trHeight w:val="151"/>
          <w:jc w:val="center"/>
        </w:trPr>
        <w:tc>
          <w:tcPr>
            <w:tcW w:w="1726" w:type="dxa"/>
            <w:tcMar>
              <w:left w:w="98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Lichtenštejnsko</w:t>
            </w:r>
          </w:p>
        </w:tc>
        <w:tc>
          <w:tcPr>
            <w:tcW w:w="1838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  <w:tc>
          <w:tcPr>
            <w:tcW w:w="189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Kypr</w:t>
            </w:r>
          </w:p>
        </w:tc>
        <w:tc>
          <w:tcPr>
            <w:tcW w:w="1951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  <w:r w:rsidRPr="00FA1F8F">
              <w:rPr>
                <w:rFonts w:ascii="Arial" w:hAnsi="Arial"/>
                <w:sz w:val="20"/>
                <w:szCs w:val="20"/>
                <w:lang w:val="cs-CZ"/>
              </w:rPr>
              <w:t>Rumunsko</w:t>
            </w:r>
          </w:p>
        </w:tc>
        <w:tc>
          <w:tcPr>
            <w:tcW w:w="1834" w:type="dxa"/>
            <w:tcBorders>
              <w:left w:val="single" w:sz="8" w:space="0" w:color="00000A"/>
            </w:tcBorders>
            <w:tcMar>
              <w:left w:w="-10" w:type="dxa"/>
              <w:right w:w="0" w:type="dxa"/>
            </w:tcMar>
            <w:vAlign w:val="center"/>
          </w:tcPr>
          <w:p w:rsidR="0043545D" w:rsidRPr="00FA1F8F" w:rsidRDefault="0043545D">
            <w:pPr>
              <w:spacing w:after="0" w:line="240" w:lineRule="auto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</w:tr>
    </w:tbl>
    <w:p w:rsidR="0043545D" w:rsidRPr="00FA1F8F" w:rsidRDefault="0043545D">
      <w:pPr>
        <w:spacing w:after="0" w:line="240" w:lineRule="auto"/>
        <w:rPr>
          <w:rFonts w:ascii="Arial" w:hAnsi="Arial"/>
          <w:lang w:val="cs-CZ"/>
        </w:rPr>
      </w:pPr>
    </w:p>
    <w:p w:rsidR="0043545D" w:rsidRPr="00FA1F8F" w:rsidRDefault="0043545D">
      <w:pPr>
        <w:spacing w:after="0" w:line="240" w:lineRule="auto"/>
        <w:rPr>
          <w:rFonts w:ascii="Arial" w:hAnsi="Arial"/>
          <w:lang w:val="cs-CZ"/>
        </w:rPr>
      </w:pPr>
      <w:r w:rsidRPr="00FA1F8F">
        <w:rPr>
          <w:rFonts w:ascii="Arial" w:hAnsi="Arial"/>
          <w:lang w:val="cs-CZ"/>
        </w:rPr>
        <w:t>*) Dovoz je možný pouze z uvedených zemí mimo EU a vybraných zemí EU (Belgie, Bulharsko, Dánsko, Finsko, Francie, Itálie, Kypr, Lucembursko, Maďarsko, Malta, Nizozemsko, Portugalsko, Řecko).</w:t>
      </w:r>
    </w:p>
    <w:p w:rsidR="0043545D" w:rsidRPr="00FA1F8F" w:rsidRDefault="0043545D">
      <w:pPr>
        <w:spacing w:after="0" w:line="240" w:lineRule="auto"/>
        <w:rPr>
          <w:rFonts w:ascii="Arial" w:hAnsi="Arial"/>
          <w:lang w:val="cs-CZ"/>
        </w:rPr>
      </w:pPr>
      <w:r w:rsidRPr="00FA1F8F">
        <w:rPr>
          <w:rFonts w:ascii="Arial" w:hAnsi="Arial"/>
          <w:lang w:val="cs-CZ"/>
        </w:rPr>
        <w:t>**) Některé oblasti s omezením.</w:t>
      </w:r>
    </w:p>
    <w:p w:rsidR="0043545D" w:rsidRPr="00FA1F8F" w:rsidRDefault="0043545D">
      <w:pPr>
        <w:spacing w:after="0" w:line="240" w:lineRule="auto"/>
        <w:rPr>
          <w:rFonts w:ascii="Arial" w:hAnsi="Arial"/>
          <w:lang w:val="cs-CZ"/>
        </w:rPr>
      </w:pPr>
      <w:r w:rsidRPr="00FA1F8F">
        <w:rPr>
          <w:rFonts w:ascii="Arial" w:hAnsi="Arial"/>
          <w:lang w:val="cs-CZ"/>
        </w:rPr>
        <w:t>***) Přímý dovoz vína spotřebiteli je povolen pouze z jiných zemí EU.</w:t>
      </w:r>
    </w:p>
    <w:p w:rsidR="0043545D" w:rsidRPr="00FA1F8F" w:rsidRDefault="0043545D">
      <w:pPr>
        <w:spacing w:after="0" w:line="240" w:lineRule="auto"/>
        <w:rPr>
          <w:rFonts w:ascii="Arial" w:hAnsi="Arial"/>
          <w:lang w:val="cs-CZ"/>
        </w:rPr>
      </w:pPr>
    </w:p>
    <w:p w:rsidR="0043545D" w:rsidRPr="00FA1F8F" w:rsidRDefault="0043545D">
      <w:pPr>
        <w:spacing w:after="0" w:line="240" w:lineRule="auto"/>
        <w:rPr>
          <w:rFonts w:ascii="Arial" w:hAnsi="Arial"/>
          <w:sz w:val="24"/>
          <w:szCs w:val="24"/>
          <w:lang w:val="cs-CZ"/>
        </w:rPr>
      </w:pPr>
    </w:p>
    <w:p w:rsidR="0043545D" w:rsidRPr="00FA1F8F" w:rsidRDefault="0043545D">
      <w:pPr>
        <w:pStyle w:val="msolistparagraph0"/>
        <w:ind w:left="0"/>
        <w:rPr>
          <w:rFonts w:ascii="Arial" w:hAnsi="Arial" w:cs="Arial"/>
          <w:b/>
          <w:sz w:val="22"/>
          <w:szCs w:val="22"/>
          <w:lang w:val="cs-CZ"/>
        </w:rPr>
      </w:pPr>
      <w:r w:rsidRPr="00FA1F8F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:rsidR="0043545D" w:rsidRPr="00FA1F8F" w:rsidRDefault="0043545D">
      <w:pPr>
        <w:pStyle w:val="msolistparagraph0"/>
        <w:ind w:left="0"/>
        <w:rPr>
          <w:lang w:val="cs-CZ"/>
        </w:rPr>
      </w:pPr>
      <w:r w:rsidRPr="00FA1F8F"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 obchodním světě. Hlavní sídlo společnosti je v Atlantě, USA. UPS své služby poskytuje ve více než 220 zemích a teritoriích světa. Adresa internetových stránek společnosti je </w:t>
      </w:r>
      <w:hyperlink r:id="rId10">
        <w:r w:rsidRPr="00FA1F8F"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ups.com</w:t>
        </w:r>
      </w:hyperlink>
      <w:r w:rsidRPr="00FA1F8F"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1">
        <w:r w:rsidRPr="00FA1F8F"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longitudes.ups.com</w:t>
        </w:r>
      </w:hyperlink>
      <w:r w:rsidRPr="00FA1F8F">
        <w:rPr>
          <w:rFonts w:ascii="Arial" w:hAnsi="Arial" w:cs="Arial"/>
          <w:sz w:val="22"/>
          <w:szCs w:val="22"/>
          <w:lang w:val="cs-CZ"/>
        </w:rPr>
        <w:t xml:space="preserve">. Novinky a zprávy UPS jsou k dispozici prostřednictvím Twitteru na </w:t>
      </w:r>
      <w:hyperlink r:id="rId12">
        <w:r w:rsidRPr="00FA1F8F"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@UPS_News</w:t>
        </w:r>
      </w:hyperlink>
      <w:r w:rsidRPr="00FA1F8F">
        <w:rPr>
          <w:rFonts w:ascii="Arial" w:hAnsi="Arial" w:cs="Arial"/>
          <w:sz w:val="22"/>
          <w:szCs w:val="22"/>
          <w:lang w:val="cs-CZ"/>
        </w:rPr>
        <w:t>.</w:t>
      </w:r>
    </w:p>
    <w:p w:rsidR="0043545D" w:rsidRPr="00FA1F8F" w:rsidRDefault="0043545D">
      <w:pPr>
        <w:spacing w:after="0" w:line="240" w:lineRule="auto"/>
        <w:rPr>
          <w:rFonts w:ascii="Arial" w:hAnsi="Arial"/>
          <w:sz w:val="24"/>
          <w:szCs w:val="24"/>
          <w:lang w:val="cs-CZ"/>
        </w:rPr>
      </w:pPr>
    </w:p>
    <w:sectPr w:rsidR="0043545D" w:rsidRPr="00FA1F8F" w:rsidSect="0025770B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396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FC" w:rsidRDefault="001542FC">
      <w:pPr>
        <w:spacing w:after="0" w:line="240" w:lineRule="auto"/>
      </w:pPr>
      <w:r>
        <w:separator/>
      </w:r>
    </w:p>
  </w:endnote>
  <w:endnote w:type="continuationSeparator" w:id="0">
    <w:p w:rsidR="001542FC" w:rsidRDefault="0015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5D" w:rsidRPr="0025770B" w:rsidRDefault="0043545D" w:rsidP="00BE3846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25770B">
      <w:rPr>
        <w:rStyle w:val="slostrnky"/>
        <w:rFonts w:ascii="Arial" w:hAnsi="Arial" w:cs="Arial"/>
        <w:sz w:val="18"/>
        <w:szCs w:val="18"/>
      </w:rPr>
      <w:fldChar w:fldCharType="begin"/>
    </w:r>
    <w:r w:rsidRPr="0025770B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25770B">
      <w:rPr>
        <w:rStyle w:val="slostrnky"/>
        <w:rFonts w:ascii="Arial" w:hAnsi="Arial" w:cs="Arial"/>
        <w:sz w:val="18"/>
        <w:szCs w:val="18"/>
      </w:rPr>
      <w:fldChar w:fldCharType="separate"/>
    </w:r>
    <w:r w:rsidR="004D4C99">
      <w:rPr>
        <w:rStyle w:val="slostrnky"/>
        <w:rFonts w:ascii="Arial" w:hAnsi="Arial" w:cs="Arial"/>
        <w:noProof/>
        <w:sz w:val="18"/>
        <w:szCs w:val="18"/>
      </w:rPr>
      <w:t>2</w:t>
    </w:r>
    <w:r w:rsidRPr="0025770B">
      <w:rPr>
        <w:rStyle w:val="slostrnky"/>
        <w:rFonts w:ascii="Arial" w:hAnsi="Arial" w:cs="Arial"/>
        <w:sz w:val="18"/>
        <w:szCs w:val="18"/>
      </w:rPr>
      <w:fldChar w:fldCharType="end"/>
    </w:r>
  </w:p>
  <w:p w:rsidR="0043545D" w:rsidRDefault="004354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5D" w:rsidRDefault="0043545D" w:rsidP="00BE3846">
    <w:pPr>
      <w:pStyle w:val="Zpat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3</w:t>
    </w:r>
    <w:r>
      <w:rPr>
        <w:rStyle w:val="slostrnky"/>
        <w:rFonts w:cs="Arial"/>
      </w:rPr>
      <w:fldChar w:fldCharType="end"/>
    </w:r>
  </w:p>
  <w:p w:rsidR="0043545D" w:rsidRDefault="004354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FC" w:rsidRDefault="001542FC">
      <w:r>
        <w:separator/>
      </w:r>
    </w:p>
  </w:footnote>
  <w:footnote w:type="continuationSeparator" w:id="0">
    <w:p w:rsidR="001542FC" w:rsidRDefault="001542FC">
      <w:r>
        <w:continuationSeparator/>
      </w:r>
    </w:p>
  </w:footnote>
  <w:footnote w:id="1">
    <w:p w:rsidR="0043545D" w:rsidRPr="00DA389E" w:rsidRDefault="0043545D" w:rsidP="0025770B">
      <w:pPr>
        <w:pStyle w:val="Textpoznpodarou"/>
        <w:spacing w:after="0" w:line="240" w:lineRule="auto"/>
        <w:rPr>
          <w:lang w:val="fr-FR"/>
        </w:rPr>
      </w:pPr>
      <w:r>
        <w:rPr>
          <w:rStyle w:val="Znakapoznpodarou"/>
          <w:rFonts w:cs="Arial"/>
        </w:rPr>
        <w:footnoteRef/>
      </w:r>
      <w:r w:rsidRPr="00DA389E">
        <w:rPr>
          <w:lang w:val="fr-FR"/>
        </w:rPr>
        <w:t xml:space="preserve"> </w:t>
      </w:r>
      <w:r>
        <w:rPr>
          <w:lang w:val="cs-CZ"/>
        </w:rPr>
        <w:t xml:space="preserve">Pouze v rámci Evropské unie. </w:t>
      </w:r>
    </w:p>
  </w:footnote>
  <w:footnote w:id="2">
    <w:p w:rsidR="0043545D" w:rsidRPr="00DA389E" w:rsidRDefault="0043545D" w:rsidP="0025770B">
      <w:pPr>
        <w:pStyle w:val="Textpoznpodarou"/>
        <w:spacing w:after="0" w:line="240" w:lineRule="auto"/>
        <w:rPr>
          <w:lang w:val="fr-FR"/>
        </w:rPr>
      </w:pPr>
      <w:r>
        <w:rPr>
          <w:rStyle w:val="Znakapoznpodarou"/>
          <w:rFonts w:cs="Arial"/>
        </w:rPr>
        <w:footnoteRef/>
      </w:r>
      <w:r w:rsidRPr="00DA389E">
        <w:rPr>
          <w:lang w:val="fr-FR"/>
        </w:rPr>
        <w:t xml:space="preserve"> </w:t>
      </w:r>
      <w:r>
        <w:rPr>
          <w:lang w:val="cs-CZ"/>
        </w:rPr>
        <w:t>Zpráva Mezinárodní organizace pro víno a révu</w:t>
      </w:r>
      <w:r w:rsidRPr="00DA389E">
        <w:rPr>
          <w:lang w:val="fr-FR"/>
        </w:rPr>
        <w:t xml:space="preserve"> (</w:t>
      </w:r>
      <w:hyperlink r:id="rId1">
        <w:r>
          <w:rPr>
            <w:rStyle w:val="Internetovodkaz"/>
            <w:lang w:val="fr-FR"/>
          </w:rPr>
          <w:t>Organisation Internationale de la Vigne et du Vin, Global State of Conditions Report</w:t>
        </w:r>
      </w:hyperlink>
      <w:r w:rsidRPr="00DA389E">
        <w:rPr>
          <w:lang w:val="fr-FR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5D" w:rsidRDefault="0043545D">
    <w:pPr>
      <w:pStyle w:val="Zhlav"/>
      <w:rPr>
        <w:rFonts w:ascii="Arial" w:hAnsi="Arial"/>
        <w:sz w:val="20"/>
        <w:szCs w:val="20"/>
      </w:rPr>
    </w:pPr>
    <w:r>
      <w:rPr>
        <w:rFonts w:ascii="Arial" w:hAnsi="Arial"/>
      </w:rPr>
      <w:tab/>
    </w:r>
    <w:r>
      <w:rPr>
        <w:rFonts w:ascii="Arial" w:hAnsi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D"/>
    <w:rsid w:val="0000459D"/>
    <w:rsid w:val="000A5B37"/>
    <w:rsid w:val="001542FC"/>
    <w:rsid w:val="0025770B"/>
    <w:rsid w:val="003C508B"/>
    <w:rsid w:val="0043545D"/>
    <w:rsid w:val="004C1DD4"/>
    <w:rsid w:val="004D4C99"/>
    <w:rsid w:val="0066684D"/>
    <w:rsid w:val="007E3CDF"/>
    <w:rsid w:val="00815222"/>
    <w:rsid w:val="00883FF5"/>
    <w:rsid w:val="00A075C5"/>
    <w:rsid w:val="00B63CA2"/>
    <w:rsid w:val="00B800C8"/>
    <w:rsid w:val="00BE3846"/>
    <w:rsid w:val="00D306FA"/>
    <w:rsid w:val="00D87D2D"/>
    <w:rsid w:val="00DA389E"/>
    <w:rsid w:val="00EB5AF7"/>
    <w:rsid w:val="00EC7E41"/>
    <w:rsid w:val="00EF4F4D"/>
    <w:rsid w:val="00F2054A"/>
    <w:rsid w:val="00FA1F8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5">
    <w:name w:val="heading 5"/>
    <w:basedOn w:val="Normln"/>
    <w:link w:val="Nadpis5Char"/>
    <w:uiPriority w:val="99"/>
    <w:qFormat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Pr>
      <w:rFonts w:ascii="Times New Roman" w:hAnsi="Times New Roman"/>
      <w:b/>
      <w:sz w:val="20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locked/>
    <w:rPr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z w:val="20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/>
      <w:sz w:val="18"/>
    </w:rPr>
  </w:style>
  <w:style w:type="character" w:customStyle="1" w:styleId="ZhlavChar">
    <w:name w:val="Záhlaví Char"/>
    <w:link w:val="Zhlav"/>
    <w:uiPriority w:val="99"/>
    <w:locked/>
  </w:style>
  <w:style w:type="character" w:customStyle="1" w:styleId="ZpatChar">
    <w:name w:val="Zápatí Char"/>
    <w:link w:val="Zpat"/>
    <w:uiPriority w:val="99"/>
    <w:locked/>
  </w:style>
  <w:style w:type="character" w:styleId="Sledovanodkaz">
    <w:name w:val="FollowedHyperlink"/>
    <w:uiPriority w:val="99"/>
    <w:semiHidden/>
    <w:rPr>
      <w:rFonts w:cs="Times New Roman"/>
      <w:color w:val="954F72"/>
      <w:u w:val="single"/>
    </w:rPr>
  </w:style>
  <w:style w:type="character" w:customStyle="1" w:styleId="NormlnwebChar">
    <w:name w:val="Normální (web) Char"/>
    <w:link w:val="Normlnweb"/>
    <w:uiPriority w:val="99"/>
    <w:locked/>
    <w:rPr>
      <w:rFonts w:ascii="Times New Roman" w:hAnsi="Times New Roman"/>
      <w:sz w:val="24"/>
    </w:rPr>
  </w:style>
  <w:style w:type="character" w:styleId="Siln">
    <w:name w:val="Strong"/>
    <w:uiPriority w:val="99"/>
    <w:qFormat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99"/>
    <w:locked/>
  </w:style>
  <w:style w:type="character" w:customStyle="1" w:styleId="apple-converted-space">
    <w:name w:val="apple-converted-space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sz w:val="20"/>
    </w:rPr>
  </w:style>
  <w:style w:type="character" w:styleId="Znakapoznpodarou">
    <w:name w:val="footnote reference"/>
    <w:uiPriority w:val="99"/>
    <w:semiHidden/>
    <w:rPr>
      <w:rFonts w:cs="Times New Roman"/>
      <w:vertAlign w:val="superscript"/>
    </w:rPr>
  </w:style>
  <w:style w:type="character" w:customStyle="1" w:styleId="TextvysvtlivekChar">
    <w:name w:val="Text vysvětlivek Char"/>
    <w:link w:val="Textvysvtlivek"/>
    <w:uiPriority w:val="99"/>
    <w:semiHidden/>
    <w:locked/>
    <w:rPr>
      <w:sz w:val="20"/>
    </w:rPr>
  </w:style>
  <w:style w:type="character" w:styleId="Odkaznavysvtlivky">
    <w:name w:val="endnote reference"/>
    <w:uiPriority w:val="99"/>
    <w:semiHidden/>
    <w:rPr>
      <w:rFonts w:cs="Times New Roman"/>
      <w:vertAlign w:val="superscript"/>
    </w:rPr>
  </w:style>
  <w:style w:type="character" w:customStyle="1" w:styleId="WW-Internetovodkaz">
    <w:name w:val="WW-Internetový odkaz"/>
    <w:uiPriority w:val="99"/>
    <w:rPr>
      <w:rFonts w:ascii="Times New Roman" w:hAnsi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Znakypropoznmkupodarou">
    <w:name w:val="Znaky pro poznámku pod čarou"/>
    <w:uiPriority w:val="99"/>
  </w:style>
  <w:style w:type="character" w:customStyle="1" w:styleId="Ukotvenpoznmkypodarou">
    <w:name w:val="Ukotvení poznámky pod čarou"/>
    <w:uiPriority w:val="99"/>
    <w:rPr>
      <w:vertAlign w:val="superscript"/>
    </w:rPr>
  </w:style>
  <w:style w:type="character" w:customStyle="1" w:styleId="Ukotvenvysvtlivky">
    <w:name w:val="Ukotvení vysvětlivky"/>
    <w:uiPriority w:val="99"/>
    <w:rPr>
      <w:vertAlign w:val="superscript"/>
    </w:rPr>
  </w:style>
  <w:style w:type="character" w:customStyle="1" w:styleId="Znakyprovysvtlivky">
    <w:name w:val="Znaky pro vysvětlivky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val="en-US" w:eastAsia="en-US"/>
    </w:rPr>
  </w:style>
  <w:style w:type="paragraph" w:styleId="Seznam">
    <w:name w:val="List"/>
    <w:basedOn w:val="Zkladntext"/>
    <w:uiPriority w:val="99"/>
    <w:rPr>
      <w:rFonts w:cs="FreeSans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FreeSans"/>
    </w:rPr>
  </w:style>
  <w:style w:type="paragraph" w:styleId="Normlnweb">
    <w:name w:val="Normal (Web)"/>
    <w:basedOn w:val="Normln"/>
    <w:link w:val="Normlnweb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99"/>
    <w:qFormat/>
    <w:rPr>
      <w:rFonts w:cs="Times New Roman"/>
      <w:sz w:val="22"/>
      <w:szCs w:val="22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D2B38"/>
    <w:rPr>
      <w:sz w:val="20"/>
      <w:szCs w:val="20"/>
      <w:lang w:val="en-US" w:eastAsia="en-US"/>
    </w:rPr>
  </w:style>
  <w:style w:type="character" w:customStyle="1" w:styleId="CommentTextChar11">
    <w:name w:val="Comment Text Char11"/>
    <w:uiPriority w:val="99"/>
    <w:semiHidden/>
    <w:rPr>
      <w:sz w:val="20"/>
      <w:lang w:val="en-US" w:eastAsia="en-US"/>
    </w:rPr>
  </w:style>
  <w:style w:type="paragraph" w:styleId="Pedmtkomente">
    <w:name w:val="annotation subject"/>
    <w:basedOn w:val="Textkomente"/>
    <w:link w:val="PedmtkomenteChar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AD2B38"/>
    <w:rPr>
      <w:b/>
      <w:bCs/>
      <w:sz w:val="20"/>
      <w:szCs w:val="20"/>
      <w:lang w:val="en-US" w:eastAsia="en-US"/>
    </w:rPr>
  </w:style>
  <w:style w:type="character" w:customStyle="1" w:styleId="CommentSubjectChar11">
    <w:name w:val="Comment Subject Char11"/>
    <w:uiPriority w:val="99"/>
    <w:semiHidden/>
    <w:rPr>
      <w:b/>
      <w:sz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AD2B38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11">
    <w:name w:val="Balloon Text Char11"/>
    <w:uiPriority w:val="99"/>
    <w:semiHidden/>
    <w:rPr>
      <w:rFonts w:ascii="Segoe UI" w:hAnsi="Segoe UI"/>
      <w:sz w:val="18"/>
      <w:lang w:val="en-US"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AD2B38"/>
    <w:rPr>
      <w:lang w:val="en-US" w:eastAsia="en-US"/>
    </w:rPr>
  </w:style>
  <w:style w:type="character" w:customStyle="1" w:styleId="HeaderChar11">
    <w:name w:val="Header Char11"/>
    <w:uiPriority w:val="99"/>
    <w:semiHidden/>
    <w:rPr>
      <w:lang w:val="en-US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AD2B38"/>
    <w:rPr>
      <w:lang w:val="en-US" w:eastAsia="en-US"/>
    </w:rPr>
  </w:style>
  <w:style w:type="character" w:customStyle="1" w:styleId="FooterChar11">
    <w:name w:val="Footer Char11"/>
    <w:uiPriority w:val="99"/>
    <w:semiHidden/>
    <w:rPr>
      <w:lang w:val="en-US" w:eastAsia="en-US"/>
    </w:rPr>
  </w:style>
  <w:style w:type="paragraph" w:styleId="Revize">
    <w:name w:val="Revision"/>
    <w:uiPriority w:val="99"/>
    <w:semiHidden/>
    <w:rPr>
      <w:sz w:val="22"/>
      <w:szCs w:val="22"/>
      <w:lang w:val="en-US" w:eastAsia="en-US"/>
    </w:rPr>
  </w:style>
  <w:style w:type="paragraph" w:customStyle="1" w:styleId="Normal1">
    <w:name w:val="Normal1"/>
    <w:uiPriority w:val="99"/>
    <w:pPr>
      <w:widowControl w:val="0"/>
      <w:spacing w:line="276" w:lineRule="auto"/>
    </w:pPr>
    <w:rPr>
      <w:rFonts w:ascii="Arial" w:hAnsi="Arial"/>
      <w:color w:val="000000"/>
      <w:sz w:val="22"/>
      <w:szCs w:val="22"/>
      <w:lang w:val="fr-FR" w:eastAsia="fr-FR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FootnoteTextChar1">
    <w:name w:val="Footnote Text Char1"/>
    <w:uiPriority w:val="99"/>
    <w:semiHidden/>
    <w:rsid w:val="00AD2B38"/>
    <w:rPr>
      <w:sz w:val="20"/>
      <w:szCs w:val="20"/>
      <w:lang w:val="en-US" w:eastAsia="en-US"/>
    </w:rPr>
  </w:style>
  <w:style w:type="character" w:customStyle="1" w:styleId="FootnoteTextChar11">
    <w:name w:val="Footnote Text Char11"/>
    <w:uiPriority w:val="99"/>
    <w:semiHidden/>
    <w:rPr>
      <w:sz w:val="20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AD2B38"/>
    <w:rPr>
      <w:sz w:val="20"/>
      <w:szCs w:val="20"/>
      <w:lang w:val="en-US" w:eastAsia="en-US"/>
    </w:rPr>
  </w:style>
  <w:style w:type="character" w:customStyle="1" w:styleId="EndnoteTextChar11">
    <w:name w:val="Endnote Text Char11"/>
    <w:uiPriority w:val="99"/>
    <w:semiHidden/>
    <w:rPr>
      <w:sz w:val="20"/>
      <w:lang w:val="en-US" w:eastAsia="en-US"/>
    </w:rPr>
  </w:style>
  <w:style w:type="paragraph" w:customStyle="1" w:styleId="msonospacing0">
    <w:name w:val="msonospacing"/>
    <w:uiPriority w:val="99"/>
    <w:pPr>
      <w:suppressAutoHyphens/>
      <w:spacing w:line="100" w:lineRule="atLeast"/>
    </w:pPr>
    <w:rPr>
      <w:rFonts w:eastAsia="MS Mincho" w:cs="Calibri"/>
      <w:sz w:val="24"/>
      <w:szCs w:val="22"/>
      <w:lang w:val="en-US" w:eastAsia="zh-CN"/>
    </w:rPr>
  </w:style>
  <w:style w:type="paragraph" w:customStyle="1" w:styleId="msolistparagraph0">
    <w:name w:val="msolistparagraph"/>
    <w:basedOn w:val="Normln"/>
    <w:uiPriority w:val="9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uiPriority w:val="99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locked/>
    <w:rsid w:val="002577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5">
    <w:name w:val="heading 5"/>
    <w:basedOn w:val="Normln"/>
    <w:link w:val="Nadpis5Char"/>
    <w:uiPriority w:val="99"/>
    <w:qFormat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Pr>
      <w:rFonts w:ascii="Times New Roman" w:hAnsi="Times New Roman"/>
      <w:b/>
      <w:sz w:val="20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locked/>
    <w:rPr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z w:val="20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/>
      <w:sz w:val="18"/>
    </w:rPr>
  </w:style>
  <w:style w:type="character" w:customStyle="1" w:styleId="ZhlavChar">
    <w:name w:val="Záhlaví Char"/>
    <w:link w:val="Zhlav"/>
    <w:uiPriority w:val="99"/>
    <w:locked/>
  </w:style>
  <w:style w:type="character" w:customStyle="1" w:styleId="ZpatChar">
    <w:name w:val="Zápatí Char"/>
    <w:link w:val="Zpat"/>
    <w:uiPriority w:val="99"/>
    <w:locked/>
  </w:style>
  <w:style w:type="character" w:styleId="Sledovanodkaz">
    <w:name w:val="FollowedHyperlink"/>
    <w:uiPriority w:val="99"/>
    <w:semiHidden/>
    <w:rPr>
      <w:rFonts w:cs="Times New Roman"/>
      <w:color w:val="954F72"/>
      <w:u w:val="single"/>
    </w:rPr>
  </w:style>
  <w:style w:type="character" w:customStyle="1" w:styleId="NormlnwebChar">
    <w:name w:val="Normální (web) Char"/>
    <w:link w:val="Normlnweb"/>
    <w:uiPriority w:val="99"/>
    <w:locked/>
    <w:rPr>
      <w:rFonts w:ascii="Times New Roman" w:hAnsi="Times New Roman"/>
      <w:sz w:val="24"/>
    </w:rPr>
  </w:style>
  <w:style w:type="character" w:styleId="Siln">
    <w:name w:val="Strong"/>
    <w:uiPriority w:val="99"/>
    <w:qFormat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99"/>
    <w:locked/>
  </w:style>
  <w:style w:type="character" w:customStyle="1" w:styleId="apple-converted-space">
    <w:name w:val="apple-converted-space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sz w:val="20"/>
    </w:rPr>
  </w:style>
  <w:style w:type="character" w:styleId="Znakapoznpodarou">
    <w:name w:val="footnote reference"/>
    <w:uiPriority w:val="99"/>
    <w:semiHidden/>
    <w:rPr>
      <w:rFonts w:cs="Times New Roman"/>
      <w:vertAlign w:val="superscript"/>
    </w:rPr>
  </w:style>
  <w:style w:type="character" w:customStyle="1" w:styleId="TextvysvtlivekChar">
    <w:name w:val="Text vysvětlivek Char"/>
    <w:link w:val="Textvysvtlivek"/>
    <w:uiPriority w:val="99"/>
    <w:semiHidden/>
    <w:locked/>
    <w:rPr>
      <w:sz w:val="20"/>
    </w:rPr>
  </w:style>
  <w:style w:type="character" w:styleId="Odkaznavysvtlivky">
    <w:name w:val="endnote reference"/>
    <w:uiPriority w:val="99"/>
    <w:semiHidden/>
    <w:rPr>
      <w:rFonts w:cs="Times New Roman"/>
      <w:vertAlign w:val="superscript"/>
    </w:rPr>
  </w:style>
  <w:style w:type="character" w:customStyle="1" w:styleId="WW-Internetovodkaz">
    <w:name w:val="WW-Internetový odkaz"/>
    <w:uiPriority w:val="99"/>
    <w:rPr>
      <w:rFonts w:ascii="Times New Roman" w:hAnsi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Znakypropoznmkupodarou">
    <w:name w:val="Znaky pro poznámku pod čarou"/>
    <w:uiPriority w:val="99"/>
  </w:style>
  <w:style w:type="character" w:customStyle="1" w:styleId="Ukotvenpoznmkypodarou">
    <w:name w:val="Ukotvení poznámky pod čarou"/>
    <w:uiPriority w:val="99"/>
    <w:rPr>
      <w:vertAlign w:val="superscript"/>
    </w:rPr>
  </w:style>
  <w:style w:type="character" w:customStyle="1" w:styleId="Ukotvenvysvtlivky">
    <w:name w:val="Ukotvení vysvětlivky"/>
    <w:uiPriority w:val="99"/>
    <w:rPr>
      <w:vertAlign w:val="superscript"/>
    </w:rPr>
  </w:style>
  <w:style w:type="character" w:customStyle="1" w:styleId="Znakyprovysvtlivky">
    <w:name w:val="Znaky pro vysvětlivky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val="en-US" w:eastAsia="en-US"/>
    </w:rPr>
  </w:style>
  <w:style w:type="paragraph" w:styleId="Seznam">
    <w:name w:val="List"/>
    <w:basedOn w:val="Zkladntext"/>
    <w:uiPriority w:val="99"/>
    <w:rPr>
      <w:rFonts w:cs="FreeSans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FreeSans"/>
    </w:rPr>
  </w:style>
  <w:style w:type="paragraph" w:styleId="Normlnweb">
    <w:name w:val="Normal (Web)"/>
    <w:basedOn w:val="Normln"/>
    <w:link w:val="Normlnweb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99"/>
    <w:qFormat/>
    <w:rPr>
      <w:rFonts w:cs="Times New Roman"/>
      <w:sz w:val="22"/>
      <w:szCs w:val="22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D2B38"/>
    <w:rPr>
      <w:sz w:val="20"/>
      <w:szCs w:val="20"/>
      <w:lang w:val="en-US" w:eastAsia="en-US"/>
    </w:rPr>
  </w:style>
  <w:style w:type="character" w:customStyle="1" w:styleId="CommentTextChar11">
    <w:name w:val="Comment Text Char11"/>
    <w:uiPriority w:val="99"/>
    <w:semiHidden/>
    <w:rPr>
      <w:sz w:val="20"/>
      <w:lang w:val="en-US" w:eastAsia="en-US"/>
    </w:rPr>
  </w:style>
  <w:style w:type="paragraph" w:styleId="Pedmtkomente">
    <w:name w:val="annotation subject"/>
    <w:basedOn w:val="Textkomente"/>
    <w:link w:val="PedmtkomenteChar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AD2B38"/>
    <w:rPr>
      <w:b/>
      <w:bCs/>
      <w:sz w:val="20"/>
      <w:szCs w:val="20"/>
      <w:lang w:val="en-US" w:eastAsia="en-US"/>
    </w:rPr>
  </w:style>
  <w:style w:type="character" w:customStyle="1" w:styleId="CommentSubjectChar11">
    <w:name w:val="Comment Subject Char11"/>
    <w:uiPriority w:val="99"/>
    <w:semiHidden/>
    <w:rPr>
      <w:b/>
      <w:sz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AD2B38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11">
    <w:name w:val="Balloon Text Char11"/>
    <w:uiPriority w:val="99"/>
    <w:semiHidden/>
    <w:rPr>
      <w:rFonts w:ascii="Segoe UI" w:hAnsi="Segoe UI"/>
      <w:sz w:val="18"/>
      <w:lang w:val="en-US"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AD2B38"/>
    <w:rPr>
      <w:lang w:val="en-US" w:eastAsia="en-US"/>
    </w:rPr>
  </w:style>
  <w:style w:type="character" w:customStyle="1" w:styleId="HeaderChar11">
    <w:name w:val="Header Char11"/>
    <w:uiPriority w:val="99"/>
    <w:semiHidden/>
    <w:rPr>
      <w:lang w:val="en-US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AD2B38"/>
    <w:rPr>
      <w:lang w:val="en-US" w:eastAsia="en-US"/>
    </w:rPr>
  </w:style>
  <w:style w:type="character" w:customStyle="1" w:styleId="FooterChar11">
    <w:name w:val="Footer Char11"/>
    <w:uiPriority w:val="99"/>
    <w:semiHidden/>
    <w:rPr>
      <w:lang w:val="en-US" w:eastAsia="en-US"/>
    </w:rPr>
  </w:style>
  <w:style w:type="paragraph" w:styleId="Revize">
    <w:name w:val="Revision"/>
    <w:uiPriority w:val="99"/>
    <w:semiHidden/>
    <w:rPr>
      <w:sz w:val="22"/>
      <w:szCs w:val="22"/>
      <w:lang w:val="en-US" w:eastAsia="en-US"/>
    </w:rPr>
  </w:style>
  <w:style w:type="paragraph" w:customStyle="1" w:styleId="Normal1">
    <w:name w:val="Normal1"/>
    <w:uiPriority w:val="99"/>
    <w:pPr>
      <w:widowControl w:val="0"/>
      <w:spacing w:line="276" w:lineRule="auto"/>
    </w:pPr>
    <w:rPr>
      <w:rFonts w:ascii="Arial" w:hAnsi="Arial"/>
      <w:color w:val="000000"/>
      <w:sz w:val="22"/>
      <w:szCs w:val="22"/>
      <w:lang w:val="fr-FR" w:eastAsia="fr-FR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FootnoteTextChar1">
    <w:name w:val="Footnote Text Char1"/>
    <w:uiPriority w:val="99"/>
    <w:semiHidden/>
    <w:rsid w:val="00AD2B38"/>
    <w:rPr>
      <w:sz w:val="20"/>
      <w:szCs w:val="20"/>
      <w:lang w:val="en-US" w:eastAsia="en-US"/>
    </w:rPr>
  </w:style>
  <w:style w:type="character" w:customStyle="1" w:styleId="FootnoteTextChar11">
    <w:name w:val="Footnote Text Char11"/>
    <w:uiPriority w:val="99"/>
    <w:semiHidden/>
    <w:rPr>
      <w:sz w:val="20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AD2B38"/>
    <w:rPr>
      <w:sz w:val="20"/>
      <w:szCs w:val="20"/>
      <w:lang w:val="en-US" w:eastAsia="en-US"/>
    </w:rPr>
  </w:style>
  <w:style w:type="character" w:customStyle="1" w:styleId="EndnoteTextChar11">
    <w:name w:val="Endnote Text Char11"/>
    <w:uiPriority w:val="99"/>
    <w:semiHidden/>
    <w:rPr>
      <w:sz w:val="20"/>
      <w:lang w:val="en-US" w:eastAsia="en-US"/>
    </w:rPr>
  </w:style>
  <w:style w:type="paragraph" w:customStyle="1" w:styleId="msonospacing0">
    <w:name w:val="msonospacing"/>
    <w:uiPriority w:val="99"/>
    <w:pPr>
      <w:suppressAutoHyphens/>
      <w:spacing w:line="100" w:lineRule="atLeast"/>
    </w:pPr>
    <w:rPr>
      <w:rFonts w:eastAsia="MS Mincho" w:cs="Calibri"/>
      <w:sz w:val="24"/>
      <w:szCs w:val="22"/>
      <w:lang w:val="en-US" w:eastAsia="zh-CN"/>
    </w:rPr>
  </w:style>
  <w:style w:type="paragraph" w:customStyle="1" w:styleId="msolistparagraph0">
    <w:name w:val="msolistparagraph"/>
    <w:basedOn w:val="Normln"/>
    <w:uiPriority w:val="9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uiPriority w:val="99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locked/>
    <w:rsid w:val="002577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witter.com/ups_new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ngitudes.up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iwsr.com/iwsr_vinexpo_report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iv.int/public/medias/5251/en-communiqu-de-presse-2017-avr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2</cp:revision>
  <cp:lastPrinted>2017-07-25T09:21:00Z</cp:lastPrinted>
  <dcterms:created xsi:type="dcterms:W3CDTF">2017-07-30T08:42:00Z</dcterms:created>
  <dcterms:modified xsi:type="dcterms:W3CDTF">2017-07-30T08:42:00Z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