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0" w:hanging="1440"/>
        <w:rPr>
          <w:rFonts w:ascii="Tahoma" w:hAnsi="Tahoma" w:eastAsia="Times New Roman" w:cs="Tahoma"/>
          <w:sz w:val="22"/>
          <w:szCs w:val="22"/>
        </w:rPr>
      </w:pPr>
      <w:r>
        <w:rPr>
          <w:rFonts w:ascii="Tahoma" w:hAnsi="Tahoma" w:eastAsia="Calibri" w:cs="Tahoma"/>
          <w:b/>
          <w:bCs/>
          <w:sz w:val="22"/>
          <w:szCs w:val="22"/>
          <w:lang w:val="cs-CZ"/>
        </w:rPr>
        <w:t xml:space="preserve">Kontakt: </w:t>
      </w:r>
      <w:r>
        <w:rPr>
          <w:rFonts w:ascii="Tahoma" w:hAnsi="Tahoma" w:eastAsia="Calibri" w:cs="Tahoma"/>
          <w:sz w:val="22"/>
          <w:szCs w:val="22"/>
          <w:lang w:val="cs-CZ"/>
        </w:rPr>
        <w:tab/>
      </w:r>
      <w:r>
        <w:rPr>
          <w:rFonts w:ascii="Tahoma" w:hAnsi="Tahoma" w:eastAsia="Calibri" w:cs="Tahoma"/>
          <w:sz w:val="22"/>
          <w:szCs w:val="22"/>
          <w:lang w:val="cs-CZ"/>
        </w:rPr>
        <w:t>Karla Krejčí, Donath Business &amp; Media</w:t>
      </w:r>
      <w:r>
        <w:rPr>
          <w:rFonts w:ascii="Tahoma" w:hAnsi="Tahoma" w:eastAsia="Calibri" w:cs="Tahoma"/>
          <w:sz w:val="22"/>
          <w:szCs w:val="22"/>
          <w:lang w:val="cs-CZ"/>
        </w:rPr>
        <w:br w:type="textWrapping"/>
      </w:r>
      <w:r>
        <w:rPr>
          <w:rFonts w:ascii="Tahoma" w:hAnsi="Tahoma" w:eastAsia="Calibri" w:cs="Tahoma"/>
          <w:sz w:val="22"/>
          <w:szCs w:val="22"/>
        </w:rPr>
        <w:t>+420 224 211 220</w:t>
      </w:r>
      <w:r>
        <w:rPr>
          <w:rFonts w:ascii="Tahoma" w:hAnsi="Tahoma" w:eastAsia="Calibri" w:cs="Tahoma"/>
          <w:sz w:val="22"/>
          <w:szCs w:val="22"/>
        </w:rPr>
        <w:br w:type="textWrapping"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"mailto:karla.krejci@dbm.cz" </w:instrText>
      </w:r>
      <w:r>
        <w:rPr>
          <w:sz w:val="22"/>
          <w:szCs w:val="22"/>
        </w:rPr>
        <w:fldChar w:fldCharType="separate"/>
      </w:r>
      <w:r>
        <w:rPr>
          <w:rStyle w:val="49"/>
          <w:rFonts w:ascii="Tahoma" w:hAnsi="Tahoma" w:eastAsia="Calibri" w:cs="Tahoma"/>
          <w:sz w:val="22"/>
          <w:szCs w:val="22"/>
        </w:rPr>
        <w:t>karla.krejci@dbm.cz</w:t>
      </w:r>
      <w:r>
        <w:rPr>
          <w:rStyle w:val="49"/>
          <w:rFonts w:ascii="Tahoma" w:hAnsi="Tahoma" w:eastAsia="Calibri" w:cs="Tahoma"/>
          <w:sz w:val="22"/>
          <w:szCs w:val="22"/>
        </w:rPr>
        <w:fldChar w:fldCharType="end"/>
      </w:r>
    </w:p>
    <w:p>
      <w:pPr>
        <w:spacing w:after="160" w:line="240" w:lineRule="auto"/>
        <w:jc w:val="center"/>
        <w:rPr>
          <w:rFonts w:ascii="Calibri" w:hAnsi="Calibri" w:eastAsia="Calibri" w:cs="Calibri"/>
          <w:b/>
          <w:bCs/>
          <w:color w:val="auto"/>
          <w:sz w:val="28"/>
          <w:szCs w:val="28"/>
          <w:lang w:eastAsia="en-US"/>
        </w:rPr>
      </w:pPr>
    </w:p>
    <w:p>
      <w:pPr>
        <w:spacing w:after="160" w:line="240" w:lineRule="auto"/>
        <w:jc w:val="center"/>
        <w:rPr>
          <w:rFonts w:ascii="Calibri" w:hAnsi="Calibri" w:eastAsia="Calibri" w:cs="Calibri"/>
          <w:b/>
          <w:bCs/>
          <w:color w:val="auto"/>
          <w:sz w:val="28"/>
          <w:szCs w:val="28"/>
          <w:lang w:val="cs-CZ" w:eastAsia="en-US"/>
        </w:rPr>
      </w:pPr>
      <w:r>
        <w:rPr>
          <w:rFonts w:ascii="Calibri" w:hAnsi="Calibri" w:eastAsia="Calibri" w:cs="Calibri"/>
          <w:b/>
          <w:bCs/>
          <w:color w:val="auto"/>
          <w:sz w:val="28"/>
          <w:szCs w:val="28"/>
          <w:lang w:val="cs-CZ" w:eastAsia="en-US"/>
        </w:rPr>
        <w:t xml:space="preserve">Společnost UPS koupí skupinu Bomi Group, nadnárodního poskytovatele logistiky ve zdravotnictví </w:t>
      </w:r>
    </w:p>
    <w:p>
      <w:pPr>
        <w:spacing w:after="0" w:line="240" w:lineRule="auto"/>
        <w:jc w:val="center"/>
        <w:rPr>
          <w:rFonts w:ascii="Calibri" w:hAnsi="Calibri" w:eastAsia="Calibri" w:cs="Calibri"/>
          <w:i/>
          <w:iCs/>
          <w:color w:val="auto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i/>
          <w:iCs/>
          <w:color w:val="auto"/>
          <w:sz w:val="24"/>
          <w:szCs w:val="24"/>
          <w:lang w:val="cs-CZ" w:eastAsia="en-US"/>
        </w:rPr>
        <w:t xml:space="preserve">Akvizice rozšíří celkové globální logistické kapacity v oblasti zdravotnictví </w:t>
      </w:r>
    </w:p>
    <w:p>
      <w:pPr>
        <w:spacing w:after="0" w:line="240" w:lineRule="auto"/>
        <w:jc w:val="center"/>
        <w:rPr>
          <w:rFonts w:ascii="Calibri" w:hAnsi="Calibri" w:eastAsia="Calibri" w:cs="Calibri"/>
          <w:i/>
          <w:iCs/>
          <w:color w:val="auto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i/>
          <w:iCs/>
          <w:color w:val="auto"/>
          <w:sz w:val="24"/>
          <w:szCs w:val="24"/>
          <w:lang w:val="cs-CZ" w:eastAsia="en-US"/>
        </w:rPr>
        <w:t>a nabídne širší škálu služeb i odbornost v Evropě a Latinské Americe</w:t>
      </w:r>
    </w:p>
    <w:p>
      <w:pPr>
        <w:spacing w:after="160" w:line="240" w:lineRule="auto"/>
        <w:jc w:val="center"/>
        <w:rPr>
          <w:rFonts w:ascii="Calibri" w:hAnsi="Calibri" w:eastAsia="Calibri" w:cs="Calibri"/>
          <w:b/>
          <w:bCs/>
          <w:color w:val="auto"/>
          <w:sz w:val="28"/>
          <w:szCs w:val="28"/>
          <w:lang w:val="cs-CZ" w:eastAsia="en-US"/>
        </w:rPr>
      </w:pPr>
      <w:r>
        <w:rPr>
          <w:rFonts w:ascii="Calibri" w:hAnsi="Calibri" w:eastAsia="Calibri" w:cs="Calibri"/>
          <w:b/>
          <w:bCs/>
          <w:color w:val="auto"/>
          <w:sz w:val="28"/>
          <w:szCs w:val="28"/>
          <w:lang w:val="cs-CZ" w:eastAsia="en-US"/>
        </w:rPr>
        <w:t xml:space="preserve"> </w:t>
      </w:r>
    </w:p>
    <w:p>
      <w:pPr>
        <w:spacing w:after="0" w:line="240" w:lineRule="auto"/>
        <w:rPr>
          <w:rFonts w:ascii="Calibri" w:hAnsi="Calibri" w:eastAsia="Calibri" w:cs="Calibri"/>
          <w:b/>
          <w:bCs/>
          <w:color w:val="000000"/>
          <w:sz w:val="24"/>
          <w:szCs w:val="24"/>
          <w:lang w:eastAsia="en-US"/>
        </w:rPr>
      </w:pP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b/>
          <w:color w:val="000000"/>
          <w:sz w:val="24"/>
          <w:szCs w:val="24"/>
          <w:lang w:val="cs-CZ" w:eastAsia="en-US"/>
        </w:rPr>
        <w:t xml:space="preserve">ATLANTA, </w:t>
      </w:r>
      <w:r>
        <w:rPr>
          <w:rFonts w:hint="default" w:ascii="Calibri" w:hAnsi="Calibri" w:eastAsia="Calibri" w:cs="Calibri"/>
          <w:b/>
          <w:color w:val="000000"/>
          <w:sz w:val="24"/>
          <w:szCs w:val="24"/>
          <w:lang w:val="en-US" w:eastAsia="en-US"/>
        </w:rPr>
        <w:t>8</w:t>
      </w:r>
      <w:r>
        <w:rPr>
          <w:rFonts w:ascii="Calibri" w:hAnsi="Calibri" w:eastAsia="Calibri" w:cs="Calibri"/>
          <w:b/>
          <w:color w:val="000000"/>
          <w:sz w:val="24"/>
          <w:szCs w:val="24"/>
          <w:lang w:val="cs-CZ" w:eastAsia="en-US"/>
        </w:rPr>
        <w:t>. srpna 2022</w:t>
      </w: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 - Společnost UPS (NYSE: UPS) dnes oznámila plán zaměřený na akvizici skupiny Bomi Group, předního mezinárodního poskytovatele logistiky ve zdravotnictví. Transakce rozšíří síť UPS Healthcare v Evropě a Latinské Americe o logistická centra s řízenou teplotou ve 14 zemích a o téměř 3 tisíce kvalifikovaných odborníků z týmu Bomi Group. 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„Bomi jako přední světová logistická společnost v oblasti zdravotní péče </w:t>
      </w:r>
      <w:r>
        <w:rPr>
          <w:rFonts w:hint="default" w:ascii="Calibri" w:hAnsi="Calibri" w:eastAsia="Calibri" w:cs="Calibri"/>
          <w:color w:val="000000"/>
          <w:sz w:val="24"/>
          <w:szCs w:val="24"/>
          <w:lang w:val="en-US" w:eastAsia="en-US"/>
        </w:rPr>
        <w:t xml:space="preserve">vylepší </w:t>
      </w: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naše portfolio služeb a urychlí náš záměr stát se jedničkou v poskytování komplexní logistiky ve zdravotnictví,“ uvedla Kate Gutmann, výkonná viceprezidentka a prezidentka pro mezinárodní přepravu, zdravotnictví a řešení pro dodavatelské řetězce. „Zaměstnanci UPS Healthcare a Bomi Group sdílejí podobné hodnoty a naše firemní kultury jsou pevně zakořeněny v neúnavném 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 xml:space="preserve">cílení na kvalitu. Spojení našich dvou týmů umožní našim zákazníkům v oblasti zdravotní péče </w:t>
      </w:r>
      <w:r>
        <w:rPr>
          <w:rFonts w:hint="default"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>yyvíjet a dodávat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 xml:space="preserve"> inovac</w:t>
      </w:r>
      <w:r>
        <w:rPr>
          <w:rFonts w:hint="default"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>e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 xml:space="preserve">, které zachraňují životy.“ 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>Skupina Bomi Group poskytuje od roku 1985 služby s vysokou přidanou hodnotou pro odvětví Medtech a Pharma s přístupem , na míru šitým</w:t>
      </w:r>
      <w:r>
        <w:rPr>
          <w:rFonts w:hint="default" w:ascii="Calibri" w:hAnsi="Calibri" w:eastAsia="Calibri" w:cs="Calibri"/>
          <w:color w:val="000000"/>
          <w:sz w:val="24"/>
          <w:szCs w:val="24"/>
          <w:lang w:val="cs-CZ" w:eastAsia="en-US"/>
        </w:rPr>
        <w:t xml:space="preserve"> každému</w:t>
      </w: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 zákazníkovi. Je orientovaná na kvalitu, se zaměřením na sektor zdravotnictví. Během svého působení na trhu si vytvořila pevné a dlouhodobé obchodní vztahy s více než 150 nadnárodními zákazníky po celém světě.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Klíčoví představitelé skupiny Bomi Group, včetně generálního ředitele Marca Ruiniho, budou i po uzavření transakce pokračovat ve svých funkcích, aby zajistili kontinuitu služeb zákazníkům Bomi Group. Zaměstnanci skupiny Bomi Group budou hrát také zásadní roli ve sloučené organizaci. 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„Během více než 35 let fungování na trhu zdravotnické logistiky vyvinul náš tým špičkové služby v oboru, navržené tak, aby splňovaly a překonávaly potřeby našich zákazníků z oblasti zdravotnické techniky a léčiv,“ uvedl Ruini. „Připojení k týmu UPS umožní rozšířit nabídku služeb a posílit integraci a výkonnost globální sítě pro naše zákazníky.“  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>Akvizice rozšíří globální působnost UPS Healthcare o více než 350 vozidel s řízenou teplotou a 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>4 miliony ft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vertAlign w:val="superscript"/>
          <w:lang w:val="cs-CZ" w:eastAsia="en-US"/>
        </w:rPr>
        <w:t>2</w:t>
      </w:r>
      <w:r>
        <w:rPr>
          <w:rFonts w:hint="default" w:ascii="Calibri" w:hAnsi="Calibri" w:eastAsia="Calibri" w:cs="Calibri"/>
          <w:color w:val="000000"/>
          <w:sz w:val="24"/>
          <w:szCs w:val="24"/>
          <w:highlight w:val="none"/>
          <w:vertAlign w:val="superscript"/>
          <w:lang w:val="en-US" w:eastAsia="en-US"/>
        </w:rPr>
        <w:t xml:space="preserve"> </w:t>
      </w:r>
      <w:r>
        <w:rPr>
          <w:rFonts w:hint="default" w:ascii="Calibri" w:hAnsi="Calibri" w:eastAsia="Calibri" w:cs="Calibri"/>
          <w:color w:val="000000"/>
          <w:sz w:val="24"/>
          <w:szCs w:val="24"/>
          <w:highlight w:val="none"/>
          <w:lang w:val="en-US" w:eastAsia="en-US"/>
        </w:rPr>
        <w:t>(3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>91 tisíc m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vertAlign w:val="superscript"/>
          <w:lang w:val="cs-CZ" w:eastAsia="en-US"/>
        </w:rPr>
        <w:t>2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 xml:space="preserve">) </w:t>
      </w: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a zajistí zákazníkům rychlejší přepravní lhůty, větší flexibilitu výroby a širší nabídku, a tak i větší atraktivitu pro jejich nové zákazníky. Akvizice bude hrát klíčovou roli při dodávkách farmaceutické a biologické léčby nové generace vyžadující ve stále větší míře časově kritickou a teplotně citlivou logistiku. 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„Zaměřujeme se na budování logistických kapacit a služeb v oblasti zdravotnictví, které našim zákazníkům umožňují doručovat nejnovější inovace ve zdravotnictví,“ uvedl prezident UPS Healthcare Wes Wheeler. „Jsme nadšeni, že můžeme spojit talent, odborné znalosti a schopnosti skupiny Bomi se společností UPS Healthcare. Společně budeme našim zákazníkům poskytovat bezkonkurenční řešení, která budou podpořena integrovanou a inteligentní globální logistickou sítí UPS. “ 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>Akvizice skupiny Bomi je součástí pokračujícího rozšiřování sítě a služeb UPS Healthcare, které má uspokojit rostoucí poptávku. UPS Healthcare po zahrnutí této akvizice od roku 2020 zdvojnásobila svou globální působnost. Nedávná expanze zahrnuje nově vybudované a </w:t>
      </w:r>
      <w:r>
        <w:rPr>
          <w:rFonts w:hint="default" w:ascii="Calibri" w:hAnsi="Calibri" w:eastAsia="Calibri" w:cs="Calibri"/>
          <w:color w:val="000000"/>
          <w:sz w:val="24"/>
          <w:szCs w:val="24"/>
          <w:lang w:val="en-US" w:eastAsia="en-US"/>
        </w:rPr>
        <w:t xml:space="preserve">v dohledné době otevřené </w:t>
      </w: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specializované moderní logistické prostory zaměřené na zdravotnictví v Německu a Austrálii a rozšířené areály v Maďarsku a Nizozemsku. 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 xml:space="preserve">Společnost UPS Healthcare také nedávno vylepšila službu UPS Premier, která je založena na 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 xml:space="preserve">vyspělých technologiích a dokáže upřednostnit a sledovat kritické zásilky s přesností tři metry (10 stop) kdekoli v globální síti UPS. Služba UPS Premier přináší zákazníkům UPS Healthcare celosvětový přehled, kontrolu, spolehlivost a </w:t>
      </w:r>
      <w:r>
        <w:rPr>
          <w:rFonts w:hint="default"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>jistotu doručení</w:t>
      </w:r>
      <w:r>
        <w:rPr>
          <w:rFonts w:ascii="Calibri" w:hAnsi="Calibri" w:eastAsia="Calibri" w:cs="Calibri"/>
          <w:color w:val="000000"/>
          <w:sz w:val="24"/>
          <w:szCs w:val="24"/>
          <w:highlight w:val="none"/>
          <w:lang w:val="cs-CZ" w:eastAsia="en-US"/>
        </w:rPr>
        <w:t xml:space="preserve"> zásilek v přepravě.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>Tato vylepšení a nové služby umožňují splnit složité a různorodé potřeby zákazníků UPS Healthcare a pomáhají proměnit logistiku v jejich konkurenční výhodu.</w:t>
      </w:r>
    </w:p>
    <w:p>
      <w:pPr>
        <w:spacing w:after="160" w:line="240" w:lineRule="auto"/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</w:pPr>
      <w:r>
        <w:rPr>
          <w:rFonts w:ascii="Calibri" w:hAnsi="Calibri" w:eastAsia="Calibri" w:cs="Calibri"/>
          <w:color w:val="000000"/>
          <w:sz w:val="24"/>
          <w:szCs w:val="24"/>
          <w:lang w:val="cs-CZ" w:eastAsia="en-US"/>
        </w:rPr>
        <w:t>Transakce, která by podle očekávání měla být uzavřena do konce roku, podléhá schválení regulačních orgánů. Hodnota a podmínky transakce nebyly zveřejněny. Finančním poradcem společnosti UPS byla společnost J.P. Morgan Securities LLC.</w:t>
      </w:r>
    </w:p>
    <w:p>
      <w:pPr>
        <w:pStyle w:val="33"/>
        <w:spacing w:after="160" w:line="240" w:lineRule="auto"/>
        <w:ind w:left="0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Další informace o inovacích a prozákaznických řešeních společnosti UPS Healthcare najdete na </w:t>
      </w:r>
      <w:r>
        <w:fldChar w:fldCharType="begin"/>
      </w:r>
      <w:r>
        <w:instrText xml:space="preserve"> HYPERLINK "http://www.about.ups.com" \h </w:instrText>
      </w:r>
      <w:r>
        <w:fldChar w:fldCharType="separate"/>
      </w:r>
      <w:r>
        <w:rPr>
          <w:rFonts w:ascii="Calibri" w:hAnsi="Calibri" w:cs="Calibri"/>
          <w:color w:val="0E2554" w:themeColor="accent1"/>
          <w:sz w:val="24"/>
          <w:szCs w:val="24"/>
          <w:u w:val="single"/>
          <w:lang w:val="cs-CZ"/>
          <w14:textFill>
            <w14:solidFill>
              <w14:schemeClr w14:val="accent1"/>
            </w14:solidFill>
          </w14:textFill>
        </w:rPr>
        <w:t>healthcare.ups.com</w:t>
      </w:r>
      <w:r>
        <w:rPr>
          <w:rFonts w:ascii="Calibri" w:hAnsi="Calibri" w:cs="Calibri"/>
          <w:color w:val="0E2554" w:themeColor="accent1"/>
          <w:sz w:val="24"/>
          <w:szCs w:val="24"/>
          <w:u w:val="single"/>
          <w:lang w:val="cs-CZ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 a </w:t>
      </w:r>
      <w:r>
        <w:fldChar w:fldCharType="begin"/>
      </w:r>
      <w:r>
        <w:instrText xml:space="preserve"> HYPERLINK "http://about.ups.com" \h </w:instrText>
      </w:r>
      <w:r>
        <w:fldChar w:fldCharType="separate"/>
      </w:r>
      <w:r>
        <w:rPr>
          <w:rFonts w:ascii="Calibri" w:hAnsi="Calibri" w:cs="Calibri"/>
          <w:color w:val="0E2554" w:themeColor="accent1"/>
          <w:sz w:val="24"/>
          <w:szCs w:val="24"/>
          <w:u w:val="single"/>
          <w:lang w:val="cs-CZ"/>
          <w14:textFill>
            <w14:solidFill>
              <w14:schemeClr w14:val="accent1"/>
            </w14:solidFill>
          </w14:textFill>
        </w:rPr>
        <w:t>about.ups.com</w:t>
      </w:r>
      <w:r>
        <w:rPr>
          <w:rFonts w:ascii="Calibri" w:hAnsi="Calibri" w:cs="Calibri"/>
          <w:color w:val="0E2554" w:themeColor="accent1"/>
          <w:sz w:val="24"/>
          <w:szCs w:val="24"/>
          <w:u w:val="single"/>
          <w:lang w:val="cs-CZ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ascii="Calibri" w:hAnsi="Calibri" w:cs="Calibri"/>
          <w:color w:val="000000"/>
          <w:sz w:val="24"/>
          <w:szCs w:val="24"/>
          <w:lang w:val="cs-CZ"/>
        </w:rPr>
        <w:t>.</w:t>
      </w:r>
    </w:p>
    <w:p>
      <w:pPr>
        <w:pStyle w:val="33"/>
        <w:spacing w:after="160" w:line="240" w:lineRule="auto"/>
        <w:ind w:left="0"/>
        <w:rPr>
          <w:rFonts w:ascii="Calibri" w:hAnsi="Calibri" w:cs="Calibri"/>
          <w:b/>
          <w:color w:val="000000"/>
          <w:sz w:val="24"/>
          <w:szCs w:val="24"/>
          <w:lang w:val="cs-CZ"/>
        </w:rPr>
      </w:pPr>
    </w:p>
    <w:p>
      <w:pPr>
        <w:pStyle w:val="33"/>
        <w:spacing w:after="160" w:line="240" w:lineRule="auto"/>
        <w:ind w:left="0"/>
        <w:rPr>
          <w:rFonts w:hint="default" w:ascii="Calibri" w:hAnsi="Calibri" w:cs="Calibri"/>
          <w:b/>
          <w:color w:val="000000"/>
          <w:sz w:val="24"/>
          <w:szCs w:val="24"/>
          <w:lang w:val="cs-CZ"/>
        </w:rPr>
      </w:pPr>
      <w:r>
        <w:rPr>
          <w:rFonts w:hint="default" w:ascii="Calibri" w:hAnsi="Calibri" w:cs="Calibri"/>
          <w:b/>
          <w:color w:val="000000"/>
          <w:sz w:val="24"/>
          <w:szCs w:val="24"/>
          <w:lang w:val="cs-CZ"/>
        </w:rPr>
        <w:t>UPS</w:t>
      </w:r>
    </w:p>
    <w:p>
      <w:pPr>
        <w:pStyle w:val="33"/>
        <w:spacing w:after="160" w:line="240" w:lineRule="auto"/>
        <w:ind w:left="0"/>
        <w:rPr>
          <w:rFonts w:hint="default" w:ascii="Calibri" w:hAnsi="Calibri" w:cs="Calibri"/>
          <w:color w:val="000000"/>
          <w:sz w:val="24"/>
          <w:szCs w:val="24"/>
          <w:lang w:val="cs-CZ"/>
        </w:rPr>
      </w:pP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 xml:space="preserve">Společnost UPS (NYSE:UPS) je jedna z největších přepravních firem na světě, s příjmy ve výši 97,3 mld. USD (2021). Zákazníkům nabízí širokou škálu integrovaných logistických řešení ve více než 220 zemích a teritoriích světa. Cílem společnosti je „Posouvat svět kupředu doručováním toho, na čem záleží“. S přispěním 534 tisíc zaměstnanců UPS důsledně prosazuje jednoduchou firemní strategii: Se zákazníkem na prvním místě, vedená lidmi, poháněná inovacemi. UPS se zavázala snížit svůj dopad na životní prostředí a podporovat komunity na celém světě. Společnost zaujímá také pevný a nekompromisní postoj k podpoře diverzity, rovnosti a začleňování. Více Informací naleznete na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"https://www.ups.com/us/en/Home.page"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15"/>
          <w:rFonts w:hint="default" w:ascii="Calibri" w:hAnsi="Calibri" w:cs="Calibri"/>
          <w:sz w:val="24"/>
          <w:szCs w:val="24"/>
          <w:lang w:val="cs-CZ"/>
        </w:rPr>
        <w:t>ups.com</w:t>
      </w:r>
      <w:r>
        <w:rPr>
          <w:rStyle w:val="15"/>
          <w:rFonts w:hint="default" w:ascii="Calibri" w:hAnsi="Calibri" w:cs="Calibri"/>
          <w:sz w:val="24"/>
          <w:szCs w:val="24"/>
          <w:lang w:val="cs-CZ"/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 xml:space="preserve">,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"https://about.ups.com/us/en/home.html"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15"/>
          <w:rFonts w:hint="default" w:ascii="Calibri" w:hAnsi="Calibri" w:cs="Calibri"/>
          <w:sz w:val="24"/>
          <w:szCs w:val="24"/>
          <w:lang w:val="cs-CZ"/>
        </w:rPr>
        <w:t>about.ups.com</w:t>
      </w:r>
      <w:r>
        <w:rPr>
          <w:rStyle w:val="15"/>
          <w:rFonts w:hint="default" w:ascii="Calibri" w:hAnsi="Calibri" w:cs="Calibri"/>
          <w:sz w:val="24"/>
          <w:szCs w:val="24"/>
          <w:lang w:val="cs-CZ"/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 xml:space="preserve"> a 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"https://investors.ups.com/"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15"/>
          <w:rFonts w:hint="default" w:ascii="Calibri" w:hAnsi="Calibri" w:cs="Calibri"/>
          <w:sz w:val="24"/>
          <w:szCs w:val="24"/>
          <w:lang w:val="cs-CZ"/>
        </w:rPr>
        <w:t>investors.ups.com</w:t>
      </w:r>
      <w:r>
        <w:rPr>
          <w:rStyle w:val="15"/>
          <w:rFonts w:hint="default" w:ascii="Calibri" w:hAnsi="Calibri" w:cs="Calibri"/>
          <w:sz w:val="24"/>
          <w:szCs w:val="24"/>
          <w:lang w:val="cs-CZ"/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 xml:space="preserve">. </w:t>
      </w:r>
    </w:p>
    <w:p>
      <w:pPr>
        <w:spacing w:after="160" w:line="240" w:lineRule="auto"/>
        <w:rPr>
          <w:rFonts w:hint="default" w:ascii="Calibri" w:hAnsi="Calibri" w:cs="Calibri"/>
          <w:b/>
          <w:color w:val="000000"/>
          <w:sz w:val="24"/>
          <w:szCs w:val="24"/>
          <w:lang w:val="cs-CZ"/>
        </w:rPr>
      </w:pPr>
      <w:r>
        <w:rPr>
          <w:rFonts w:hint="default" w:ascii="Calibri" w:hAnsi="Calibri" w:cs="Calibri"/>
          <w:b/>
          <w:color w:val="000000"/>
          <w:sz w:val="24"/>
          <w:szCs w:val="24"/>
          <w:lang w:val="cs-CZ"/>
        </w:rPr>
        <w:t>UPS Healthcare</w:t>
      </w:r>
    </w:p>
    <w:p>
      <w:pPr>
        <w:pStyle w:val="33"/>
        <w:spacing w:after="160" w:line="240" w:lineRule="auto"/>
        <w:ind w:left="0"/>
        <w:rPr>
          <w:rFonts w:hint="default" w:ascii="Calibri" w:hAnsi="Calibri" w:cs="Calibri"/>
          <w:color w:val="000000"/>
          <w:sz w:val="24"/>
          <w:szCs w:val="24"/>
          <w:lang w:val="cs-CZ"/>
        </w:rPr>
      </w:pP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>Společnost UPS Healthcare poskytuje svým zákazníkům po celém světě jedinečné logistické znalosti v oblasti zdravotnictví. Firma má po celém světě více než 3,35 mil. m</w:t>
      </w:r>
      <w:r>
        <w:rPr>
          <w:rFonts w:hint="default" w:ascii="Calibri" w:hAnsi="Calibri" w:cs="Calibri"/>
          <w:color w:val="000000"/>
          <w:sz w:val="24"/>
          <w:szCs w:val="24"/>
          <w:vertAlign w:val="superscript"/>
          <w:lang w:val="cs-CZ"/>
        </w:rPr>
        <w:t>2</w:t>
      </w: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 xml:space="preserve"> (11 milionů ft</w:t>
      </w:r>
      <w:r>
        <w:rPr>
          <w:rFonts w:hint="default" w:ascii="Calibri" w:hAnsi="Calibri" w:cs="Calibri"/>
          <w:color w:val="000000"/>
          <w:sz w:val="24"/>
          <w:szCs w:val="24"/>
          <w:vertAlign w:val="superscript"/>
          <w:lang w:val="cs-CZ"/>
        </w:rPr>
        <w:t>2</w:t>
      </w: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 xml:space="preserve">) distribučních prostor pro zdravotnickou péči v souladu se standardy správné výrobní a distribuční praxe (cGMP a GDP). Služby zahrnují řízení zásob, balení a přepravu v chladírenském řetězci, skladování a dodávku zdravotnických prostředků a zajištění logistiky pro laboratorní a klinické studie. Globální infrastruktura společnosti UPS Healthcare, její služba UPS® Premier umožňující viditelnost zásilek, technologie pro sledování a dohledání zásilky a globální systém kvality jsou dobře uzpůsobené pro splnění dnešních složitých logistických požadavků odvětví farmacie, zdravotnických prostředků a laboratorní diagnostiky. Více informací nazleznete na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"http://www.about.ups.com/"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eastAsia="Calibri" w:cs="Calibri"/>
          <w:color w:val="4E7DE2" w:themeColor="text1" w:themeTint="80"/>
          <w:sz w:val="24"/>
          <w:szCs w:val="24"/>
          <w:lang w:eastAsia="en-US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healthcare.ups.com</w:t>
      </w:r>
      <w:r>
        <w:rPr>
          <w:rFonts w:hint="default" w:ascii="Calibri" w:hAnsi="Calibri" w:eastAsia="Calibri" w:cs="Calibri"/>
          <w:color w:val="4E7DE2" w:themeColor="text1" w:themeTint="80"/>
          <w:sz w:val="24"/>
          <w:szCs w:val="24"/>
          <w:lang w:eastAsia="en-US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>.</w:t>
      </w:r>
    </w:p>
    <w:p>
      <w:pPr>
        <w:spacing w:after="160" w:line="240" w:lineRule="auto"/>
        <w:rPr>
          <w:rFonts w:hint="default" w:ascii="Calibri" w:hAnsi="Calibri" w:cs="Calibri"/>
          <w:b/>
          <w:color w:val="000000"/>
          <w:sz w:val="24"/>
          <w:szCs w:val="24"/>
          <w:lang w:val="cs-CZ"/>
        </w:rPr>
      </w:pPr>
      <w:r>
        <w:rPr>
          <w:rFonts w:hint="default" w:ascii="Calibri" w:hAnsi="Calibri" w:cs="Calibri"/>
          <w:b/>
          <w:color w:val="000000"/>
          <w:sz w:val="24"/>
          <w:szCs w:val="24"/>
          <w:lang w:val="en-US"/>
        </w:rPr>
        <w:t>Skupina</w:t>
      </w:r>
      <w:r>
        <w:rPr>
          <w:rFonts w:hint="default" w:ascii="Calibri" w:hAnsi="Calibri" w:cs="Calibri"/>
          <w:b/>
          <w:color w:val="000000"/>
          <w:sz w:val="24"/>
          <w:szCs w:val="24"/>
          <w:lang w:val="cs-CZ"/>
        </w:rPr>
        <w:t xml:space="preserve"> Bomi Group</w:t>
      </w:r>
    </w:p>
    <w:p>
      <w:pPr>
        <w:pStyle w:val="33"/>
        <w:spacing w:after="160" w:line="240" w:lineRule="auto"/>
        <w:ind w:left="0"/>
        <w:rPr>
          <w:rFonts w:hint="default" w:ascii="Calibri" w:hAnsi="Calibri" w:cs="Calibri"/>
          <w:color w:val="000000"/>
          <w:sz w:val="24"/>
          <w:szCs w:val="24"/>
          <w:lang w:val="cs-CZ"/>
        </w:rPr>
      </w:pP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>BOMI GROUP je přední italská nadnárodní společnost v oblasti integrované logistiky pro zdravotnictví. Bomi je logistickým partnerem více než 150 zákazníků po celém světě, mezi které patří také význam</w:t>
      </w:r>
      <w:bookmarkStart w:id="0" w:name="_GoBack"/>
      <w:bookmarkEnd w:id="0"/>
      <w:r>
        <w:rPr>
          <w:rFonts w:hint="default" w:ascii="Calibri" w:hAnsi="Calibri" w:cs="Calibri"/>
          <w:color w:val="000000"/>
          <w:sz w:val="24"/>
          <w:szCs w:val="24"/>
          <w:lang w:val="cs-CZ"/>
        </w:rPr>
        <w:t xml:space="preserve">ní hráči v oblasti zdravotnických prostředků, diagnostiky in vitro, biomedicíny a farmacie. Skupina působí prostřednictvím svých dceřiných a přidružených společností ve 14 zemích světa, se zvláštním zaměřením na Evropu a Jižní Ameriku. Má přes 3 000 zaměstnanců a disponuje vlastním vozovým parkem pro každodenní dodávky do nemocnic, klinik, laboratoří, lékáren a domácím pacientům. Další informace naleznete na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"http://www.bomigroup.com"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Fonts w:hint="default" w:ascii="Calibri" w:hAnsi="Calibri" w:eastAsia="Calibri" w:cs="Calibri"/>
          <w:color w:val="4E7DE2" w:themeColor="text1" w:themeTint="80"/>
          <w:sz w:val="24"/>
          <w:szCs w:val="24"/>
          <w:lang w:eastAsia="en-US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bomigroup.com</w:t>
      </w:r>
      <w:r>
        <w:rPr>
          <w:rFonts w:hint="default" w:ascii="Calibri" w:hAnsi="Calibri" w:eastAsia="Calibri" w:cs="Calibri"/>
          <w:color w:val="4E7DE2" w:themeColor="text1" w:themeTint="80"/>
          <w:sz w:val="24"/>
          <w:szCs w:val="24"/>
          <w:lang w:eastAsia="en-US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end"/>
      </w:r>
      <w:r>
        <w:rPr>
          <w:rFonts w:hint="default" w:ascii="Calibri" w:hAnsi="Calibri" w:cs="Calibri"/>
          <w:color w:val="000000"/>
          <w:sz w:val="24"/>
          <w:szCs w:val="24"/>
          <w:lang w:val="cs-CZ"/>
        </w:rPr>
        <w:t>.</w:t>
      </w:r>
    </w:p>
    <w:sectPr>
      <w:footerReference r:id="rId6" w:type="first"/>
      <w:footerReference r:id="rId5" w:type="default"/>
      <w:pgSz w:w="12240" w:h="15840"/>
      <w:pgMar w:top="1080" w:right="1440" w:bottom="806" w:left="1440" w:header="2016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anklin Gothic Book">
    <w:altName w:val="Liberation Mono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HGｺﾞｼｯｸE">
    <w:altName w:val="MS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HGｺﾞｼｯｸE">
    <w:altName w:val="MS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HG創英角ｺﾞｼｯｸUB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(Headings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anklin Gothic Medium">
    <w:panose1 w:val="020B0603020102020204"/>
    <w:charset w:val="EE"/>
    <w:family w:val="swiss"/>
    <w:pitch w:val="default"/>
    <w:sig w:usb0="00000287" w:usb1="00000000" w:usb2="00000000" w:usb3="00000000" w:csb0="2000009F" w:csb1="DFD7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HGｺﾞｼｯｸE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ind w:left="0"/>
      <w:rPr>
        <w:rStyle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ind w:left="0"/>
      <w:rPr>
        <w:color w:val="416DA9" w:themeColor="hyperlink"/>
        <w14:textFill>
          <w14:solidFill>
            <w14:schemeClr w14:val="hlink"/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7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2359D0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1">
    <w:nsid w:val="6CA95284"/>
    <w:multiLevelType w:val="multilevel"/>
    <w:tmpl w:val="6CA95284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doNotDisplayPageBoundaries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0A"/>
    <w:rsid w:val="0000121E"/>
    <w:rsid w:val="000137AB"/>
    <w:rsid w:val="0001495E"/>
    <w:rsid w:val="0001626D"/>
    <w:rsid w:val="000259E2"/>
    <w:rsid w:val="000268F6"/>
    <w:rsid w:val="00032170"/>
    <w:rsid w:val="0003301E"/>
    <w:rsid w:val="00034780"/>
    <w:rsid w:val="00044045"/>
    <w:rsid w:val="00046B13"/>
    <w:rsid w:val="000519AC"/>
    <w:rsid w:val="00062C05"/>
    <w:rsid w:val="000655CA"/>
    <w:rsid w:val="00075002"/>
    <w:rsid w:val="00075A58"/>
    <w:rsid w:val="00076DD2"/>
    <w:rsid w:val="00080F42"/>
    <w:rsid w:val="000822B3"/>
    <w:rsid w:val="00084C78"/>
    <w:rsid w:val="00085C9F"/>
    <w:rsid w:val="00090A64"/>
    <w:rsid w:val="00090FC3"/>
    <w:rsid w:val="000926CA"/>
    <w:rsid w:val="000930B5"/>
    <w:rsid w:val="00094108"/>
    <w:rsid w:val="000B141D"/>
    <w:rsid w:val="000C01CA"/>
    <w:rsid w:val="000C3B8F"/>
    <w:rsid w:val="000D07B0"/>
    <w:rsid w:val="000D18D1"/>
    <w:rsid w:val="000E1942"/>
    <w:rsid w:val="000E3A43"/>
    <w:rsid w:val="000F0A73"/>
    <w:rsid w:val="000F751F"/>
    <w:rsid w:val="000F75D1"/>
    <w:rsid w:val="0012165D"/>
    <w:rsid w:val="0012184F"/>
    <w:rsid w:val="0013070D"/>
    <w:rsid w:val="00130CF9"/>
    <w:rsid w:val="00137BA2"/>
    <w:rsid w:val="001423FA"/>
    <w:rsid w:val="00146277"/>
    <w:rsid w:val="001617C9"/>
    <w:rsid w:val="001728A5"/>
    <w:rsid w:val="001730E6"/>
    <w:rsid w:val="001812D5"/>
    <w:rsid w:val="00182694"/>
    <w:rsid w:val="00185CC8"/>
    <w:rsid w:val="0019235A"/>
    <w:rsid w:val="001A6FBB"/>
    <w:rsid w:val="001B6071"/>
    <w:rsid w:val="001C14DC"/>
    <w:rsid w:val="001D0354"/>
    <w:rsid w:val="001D64E1"/>
    <w:rsid w:val="001E2E42"/>
    <w:rsid w:val="001E3637"/>
    <w:rsid w:val="001E3846"/>
    <w:rsid w:val="001E44DF"/>
    <w:rsid w:val="001E5408"/>
    <w:rsid w:val="001F0D22"/>
    <w:rsid w:val="001F52F5"/>
    <w:rsid w:val="001F6915"/>
    <w:rsid w:val="001F7180"/>
    <w:rsid w:val="002023A9"/>
    <w:rsid w:val="00204A67"/>
    <w:rsid w:val="002072D3"/>
    <w:rsid w:val="00235900"/>
    <w:rsid w:val="00240FBF"/>
    <w:rsid w:val="00246627"/>
    <w:rsid w:val="0025108A"/>
    <w:rsid w:val="00252524"/>
    <w:rsid w:val="00253EB3"/>
    <w:rsid w:val="002565E4"/>
    <w:rsid w:val="00256FA7"/>
    <w:rsid w:val="00260794"/>
    <w:rsid w:val="00262040"/>
    <w:rsid w:val="00263AE7"/>
    <w:rsid w:val="00264CA5"/>
    <w:rsid w:val="002735F6"/>
    <w:rsid w:val="0027368B"/>
    <w:rsid w:val="0028130D"/>
    <w:rsid w:val="00282AF7"/>
    <w:rsid w:val="00283AEC"/>
    <w:rsid w:val="00293F60"/>
    <w:rsid w:val="00297310"/>
    <w:rsid w:val="002A4307"/>
    <w:rsid w:val="002B1C2C"/>
    <w:rsid w:val="002B45F3"/>
    <w:rsid w:val="002B6C7F"/>
    <w:rsid w:val="002C1FBE"/>
    <w:rsid w:val="002C4E5D"/>
    <w:rsid w:val="002E6287"/>
    <w:rsid w:val="002F0942"/>
    <w:rsid w:val="002F3F07"/>
    <w:rsid w:val="00302B71"/>
    <w:rsid w:val="003042CC"/>
    <w:rsid w:val="00312976"/>
    <w:rsid w:val="00315784"/>
    <w:rsid w:val="00323971"/>
    <w:rsid w:val="00325353"/>
    <w:rsid w:val="00326580"/>
    <w:rsid w:val="0032726C"/>
    <w:rsid w:val="003304F6"/>
    <w:rsid w:val="00330721"/>
    <w:rsid w:val="00333339"/>
    <w:rsid w:val="00341A9A"/>
    <w:rsid w:val="00345146"/>
    <w:rsid w:val="00362CEC"/>
    <w:rsid w:val="003657E2"/>
    <w:rsid w:val="00372651"/>
    <w:rsid w:val="0037577F"/>
    <w:rsid w:val="00381901"/>
    <w:rsid w:val="00384BF0"/>
    <w:rsid w:val="00395473"/>
    <w:rsid w:val="003A0156"/>
    <w:rsid w:val="003A2977"/>
    <w:rsid w:val="003A3961"/>
    <w:rsid w:val="003A4C48"/>
    <w:rsid w:val="003A516D"/>
    <w:rsid w:val="003B1A30"/>
    <w:rsid w:val="003B44A7"/>
    <w:rsid w:val="003B6D93"/>
    <w:rsid w:val="003C45C2"/>
    <w:rsid w:val="003C520B"/>
    <w:rsid w:val="003C6CE8"/>
    <w:rsid w:val="003D1545"/>
    <w:rsid w:val="003D6A21"/>
    <w:rsid w:val="003D7A7D"/>
    <w:rsid w:val="003F135A"/>
    <w:rsid w:val="003F4368"/>
    <w:rsid w:val="003F52A2"/>
    <w:rsid w:val="003F72D8"/>
    <w:rsid w:val="003F7B08"/>
    <w:rsid w:val="003F7E9E"/>
    <w:rsid w:val="00400A51"/>
    <w:rsid w:val="00406965"/>
    <w:rsid w:val="00407240"/>
    <w:rsid w:val="00412E83"/>
    <w:rsid w:val="004144DA"/>
    <w:rsid w:val="00417A0E"/>
    <w:rsid w:val="0042034F"/>
    <w:rsid w:val="00426243"/>
    <w:rsid w:val="00426C0D"/>
    <w:rsid w:val="00437109"/>
    <w:rsid w:val="00441A01"/>
    <w:rsid w:val="00445D5B"/>
    <w:rsid w:val="00447224"/>
    <w:rsid w:val="00447B0E"/>
    <w:rsid w:val="0045130A"/>
    <w:rsid w:val="004544DC"/>
    <w:rsid w:val="0046573A"/>
    <w:rsid w:val="004701A6"/>
    <w:rsid w:val="00482BC2"/>
    <w:rsid w:val="00484C0A"/>
    <w:rsid w:val="00494CEB"/>
    <w:rsid w:val="004B13B1"/>
    <w:rsid w:val="004C0547"/>
    <w:rsid w:val="004C19CF"/>
    <w:rsid w:val="004C1A94"/>
    <w:rsid w:val="004D107A"/>
    <w:rsid w:val="004D476E"/>
    <w:rsid w:val="004D74F1"/>
    <w:rsid w:val="004F192F"/>
    <w:rsid w:val="004F2463"/>
    <w:rsid w:val="004F452E"/>
    <w:rsid w:val="00502C06"/>
    <w:rsid w:val="005070A2"/>
    <w:rsid w:val="005102B5"/>
    <w:rsid w:val="005116BD"/>
    <w:rsid w:val="00514543"/>
    <w:rsid w:val="00515B95"/>
    <w:rsid w:val="00524B92"/>
    <w:rsid w:val="00530319"/>
    <w:rsid w:val="00532911"/>
    <w:rsid w:val="00560F76"/>
    <w:rsid w:val="00563BE3"/>
    <w:rsid w:val="0056506E"/>
    <w:rsid w:val="0057301A"/>
    <w:rsid w:val="0058317D"/>
    <w:rsid w:val="0059190A"/>
    <w:rsid w:val="00593EDF"/>
    <w:rsid w:val="00595740"/>
    <w:rsid w:val="00596A74"/>
    <w:rsid w:val="005A1B84"/>
    <w:rsid w:val="005A2004"/>
    <w:rsid w:val="005A2073"/>
    <w:rsid w:val="005A796E"/>
    <w:rsid w:val="005B66C7"/>
    <w:rsid w:val="005C7C8A"/>
    <w:rsid w:val="005C7F2F"/>
    <w:rsid w:val="005D2048"/>
    <w:rsid w:val="005E1BCB"/>
    <w:rsid w:val="005E4DB7"/>
    <w:rsid w:val="005E73C6"/>
    <w:rsid w:val="005F6945"/>
    <w:rsid w:val="006037B0"/>
    <w:rsid w:val="00612D82"/>
    <w:rsid w:val="00615683"/>
    <w:rsid w:val="00615875"/>
    <w:rsid w:val="00615B47"/>
    <w:rsid w:val="0061603D"/>
    <w:rsid w:val="00632A0B"/>
    <w:rsid w:val="006352A7"/>
    <w:rsid w:val="00636633"/>
    <w:rsid w:val="00637DC8"/>
    <w:rsid w:val="00641583"/>
    <w:rsid w:val="0064202E"/>
    <w:rsid w:val="00644B2C"/>
    <w:rsid w:val="00654766"/>
    <w:rsid w:val="0065544D"/>
    <w:rsid w:val="0066165A"/>
    <w:rsid w:val="00665901"/>
    <w:rsid w:val="00667033"/>
    <w:rsid w:val="006720F4"/>
    <w:rsid w:val="00672746"/>
    <w:rsid w:val="00673810"/>
    <w:rsid w:val="006848F3"/>
    <w:rsid w:val="00684B97"/>
    <w:rsid w:val="006875C7"/>
    <w:rsid w:val="00693823"/>
    <w:rsid w:val="006971C2"/>
    <w:rsid w:val="006B0192"/>
    <w:rsid w:val="006B4EF3"/>
    <w:rsid w:val="006B7C5C"/>
    <w:rsid w:val="006C5553"/>
    <w:rsid w:val="006D3E89"/>
    <w:rsid w:val="006E4329"/>
    <w:rsid w:val="006F2A80"/>
    <w:rsid w:val="006F697F"/>
    <w:rsid w:val="00700213"/>
    <w:rsid w:val="00700CEB"/>
    <w:rsid w:val="007038AD"/>
    <w:rsid w:val="00706F3E"/>
    <w:rsid w:val="00710D3A"/>
    <w:rsid w:val="00711D37"/>
    <w:rsid w:val="00715BE0"/>
    <w:rsid w:val="007178B4"/>
    <w:rsid w:val="00720F6D"/>
    <w:rsid w:val="007318AC"/>
    <w:rsid w:val="00731F1D"/>
    <w:rsid w:val="00746B75"/>
    <w:rsid w:val="0074743A"/>
    <w:rsid w:val="007520BE"/>
    <w:rsid w:val="00757CF2"/>
    <w:rsid w:val="00764947"/>
    <w:rsid w:val="00772237"/>
    <w:rsid w:val="00773B0B"/>
    <w:rsid w:val="00776C7D"/>
    <w:rsid w:val="00781C15"/>
    <w:rsid w:val="007838F6"/>
    <w:rsid w:val="00792784"/>
    <w:rsid w:val="007941F9"/>
    <w:rsid w:val="007C0EA1"/>
    <w:rsid w:val="007C1507"/>
    <w:rsid w:val="007C64D7"/>
    <w:rsid w:val="007C7D46"/>
    <w:rsid w:val="007D0E0E"/>
    <w:rsid w:val="007D2CCB"/>
    <w:rsid w:val="007D2F42"/>
    <w:rsid w:val="007E29E0"/>
    <w:rsid w:val="007E3F11"/>
    <w:rsid w:val="007E4B15"/>
    <w:rsid w:val="007F0169"/>
    <w:rsid w:val="007F376F"/>
    <w:rsid w:val="007F4F70"/>
    <w:rsid w:val="007F635A"/>
    <w:rsid w:val="00803803"/>
    <w:rsid w:val="00821C17"/>
    <w:rsid w:val="0083619F"/>
    <w:rsid w:val="008373A1"/>
    <w:rsid w:val="008373E8"/>
    <w:rsid w:val="00845A3B"/>
    <w:rsid w:val="00853E9C"/>
    <w:rsid w:val="00855C21"/>
    <w:rsid w:val="0086444C"/>
    <w:rsid w:val="008666E0"/>
    <w:rsid w:val="008670B2"/>
    <w:rsid w:val="008672DF"/>
    <w:rsid w:val="008732CA"/>
    <w:rsid w:val="008802A7"/>
    <w:rsid w:val="00886F70"/>
    <w:rsid w:val="00887DAF"/>
    <w:rsid w:val="00891152"/>
    <w:rsid w:val="008921CA"/>
    <w:rsid w:val="008962D9"/>
    <w:rsid w:val="008A6BB5"/>
    <w:rsid w:val="008B4118"/>
    <w:rsid w:val="008B69AB"/>
    <w:rsid w:val="008C4485"/>
    <w:rsid w:val="008C76F1"/>
    <w:rsid w:val="008D22C8"/>
    <w:rsid w:val="008D56CF"/>
    <w:rsid w:val="008E3E6C"/>
    <w:rsid w:val="008F12F8"/>
    <w:rsid w:val="008F289F"/>
    <w:rsid w:val="008F7340"/>
    <w:rsid w:val="0090053F"/>
    <w:rsid w:val="0090471E"/>
    <w:rsid w:val="009125AC"/>
    <w:rsid w:val="009201A2"/>
    <w:rsid w:val="0092177E"/>
    <w:rsid w:val="00922C4E"/>
    <w:rsid w:val="0092391B"/>
    <w:rsid w:val="009302FF"/>
    <w:rsid w:val="00930B14"/>
    <w:rsid w:val="00934E1D"/>
    <w:rsid w:val="00945249"/>
    <w:rsid w:val="00953FA4"/>
    <w:rsid w:val="00964F4C"/>
    <w:rsid w:val="00973C6B"/>
    <w:rsid w:val="009755ED"/>
    <w:rsid w:val="009827F5"/>
    <w:rsid w:val="0098450B"/>
    <w:rsid w:val="009914DD"/>
    <w:rsid w:val="0099258B"/>
    <w:rsid w:val="009A3AB1"/>
    <w:rsid w:val="009B49FF"/>
    <w:rsid w:val="009B5F1B"/>
    <w:rsid w:val="009C1752"/>
    <w:rsid w:val="009C194F"/>
    <w:rsid w:val="009C3890"/>
    <w:rsid w:val="009C5D7F"/>
    <w:rsid w:val="009D6566"/>
    <w:rsid w:val="009E0E44"/>
    <w:rsid w:val="009E7191"/>
    <w:rsid w:val="00A00EEE"/>
    <w:rsid w:val="00A03C93"/>
    <w:rsid w:val="00A04A12"/>
    <w:rsid w:val="00A07B00"/>
    <w:rsid w:val="00A20B0C"/>
    <w:rsid w:val="00A2223C"/>
    <w:rsid w:val="00A306D6"/>
    <w:rsid w:val="00A3397F"/>
    <w:rsid w:val="00A42361"/>
    <w:rsid w:val="00A448C1"/>
    <w:rsid w:val="00A463DD"/>
    <w:rsid w:val="00A50D5A"/>
    <w:rsid w:val="00A56A16"/>
    <w:rsid w:val="00A570FC"/>
    <w:rsid w:val="00A60282"/>
    <w:rsid w:val="00A61516"/>
    <w:rsid w:val="00A626AF"/>
    <w:rsid w:val="00A63DD8"/>
    <w:rsid w:val="00A71E60"/>
    <w:rsid w:val="00A9155D"/>
    <w:rsid w:val="00A9459E"/>
    <w:rsid w:val="00A97CD8"/>
    <w:rsid w:val="00AA486C"/>
    <w:rsid w:val="00AA7AA0"/>
    <w:rsid w:val="00AB062E"/>
    <w:rsid w:val="00AB08C3"/>
    <w:rsid w:val="00AC2167"/>
    <w:rsid w:val="00AC4F60"/>
    <w:rsid w:val="00AC609D"/>
    <w:rsid w:val="00AD25EF"/>
    <w:rsid w:val="00AE2CD1"/>
    <w:rsid w:val="00AE735A"/>
    <w:rsid w:val="00AF2B56"/>
    <w:rsid w:val="00B01272"/>
    <w:rsid w:val="00B027E8"/>
    <w:rsid w:val="00B02F19"/>
    <w:rsid w:val="00B03676"/>
    <w:rsid w:val="00B05BB4"/>
    <w:rsid w:val="00B06D4A"/>
    <w:rsid w:val="00B12A14"/>
    <w:rsid w:val="00B15F99"/>
    <w:rsid w:val="00B179FA"/>
    <w:rsid w:val="00B2198A"/>
    <w:rsid w:val="00B34D04"/>
    <w:rsid w:val="00B54400"/>
    <w:rsid w:val="00B6005C"/>
    <w:rsid w:val="00B6261C"/>
    <w:rsid w:val="00B73D28"/>
    <w:rsid w:val="00B76C96"/>
    <w:rsid w:val="00B8712B"/>
    <w:rsid w:val="00BA5A83"/>
    <w:rsid w:val="00BB1809"/>
    <w:rsid w:val="00BB2447"/>
    <w:rsid w:val="00BB7792"/>
    <w:rsid w:val="00BC58DC"/>
    <w:rsid w:val="00BD0AF2"/>
    <w:rsid w:val="00BD331F"/>
    <w:rsid w:val="00BE34BE"/>
    <w:rsid w:val="00BE37D7"/>
    <w:rsid w:val="00BE5185"/>
    <w:rsid w:val="00BE7723"/>
    <w:rsid w:val="00BE7D3B"/>
    <w:rsid w:val="00BF2C2A"/>
    <w:rsid w:val="00C144BD"/>
    <w:rsid w:val="00C17699"/>
    <w:rsid w:val="00C253D2"/>
    <w:rsid w:val="00C254E8"/>
    <w:rsid w:val="00C2644A"/>
    <w:rsid w:val="00C36FB2"/>
    <w:rsid w:val="00C4247A"/>
    <w:rsid w:val="00C46856"/>
    <w:rsid w:val="00C47ADB"/>
    <w:rsid w:val="00C5462C"/>
    <w:rsid w:val="00C61C64"/>
    <w:rsid w:val="00C65F82"/>
    <w:rsid w:val="00C71F1A"/>
    <w:rsid w:val="00C822DC"/>
    <w:rsid w:val="00C85D54"/>
    <w:rsid w:val="00C871BC"/>
    <w:rsid w:val="00C952E1"/>
    <w:rsid w:val="00C97C26"/>
    <w:rsid w:val="00CA2341"/>
    <w:rsid w:val="00CA6B4F"/>
    <w:rsid w:val="00CB207B"/>
    <w:rsid w:val="00CB7EED"/>
    <w:rsid w:val="00CC03EE"/>
    <w:rsid w:val="00CD4D15"/>
    <w:rsid w:val="00CE3756"/>
    <w:rsid w:val="00CE57A2"/>
    <w:rsid w:val="00CE798E"/>
    <w:rsid w:val="00CE7AF3"/>
    <w:rsid w:val="00CF02A3"/>
    <w:rsid w:val="00CF4920"/>
    <w:rsid w:val="00CF64AE"/>
    <w:rsid w:val="00CF6AAB"/>
    <w:rsid w:val="00CF6E3C"/>
    <w:rsid w:val="00D0062C"/>
    <w:rsid w:val="00D05203"/>
    <w:rsid w:val="00D14F86"/>
    <w:rsid w:val="00D14FAE"/>
    <w:rsid w:val="00D16635"/>
    <w:rsid w:val="00D2263B"/>
    <w:rsid w:val="00D2521E"/>
    <w:rsid w:val="00D2578B"/>
    <w:rsid w:val="00D33616"/>
    <w:rsid w:val="00D33B89"/>
    <w:rsid w:val="00D37F4B"/>
    <w:rsid w:val="00D41191"/>
    <w:rsid w:val="00D42EB9"/>
    <w:rsid w:val="00D43DA0"/>
    <w:rsid w:val="00D45644"/>
    <w:rsid w:val="00D4790D"/>
    <w:rsid w:val="00D52DF3"/>
    <w:rsid w:val="00D63378"/>
    <w:rsid w:val="00D80DCC"/>
    <w:rsid w:val="00D85517"/>
    <w:rsid w:val="00D91C19"/>
    <w:rsid w:val="00D95298"/>
    <w:rsid w:val="00DA09EB"/>
    <w:rsid w:val="00DA2AF5"/>
    <w:rsid w:val="00DA4A43"/>
    <w:rsid w:val="00DB4940"/>
    <w:rsid w:val="00DB639E"/>
    <w:rsid w:val="00DC2A69"/>
    <w:rsid w:val="00DC4A9B"/>
    <w:rsid w:val="00DC64D8"/>
    <w:rsid w:val="00DE62D6"/>
    <w:rsid w:val="00DE7FD6"/>
    <w:rsid w:val="00DF03B6"/>
    <w:rsid w:val="00E04F9B"/>
    <w:rsid w:val="00E05CC1"/>
    <w:rsid w:val="00E11EC8"/>
    <w:rsid w:val="00E220F9"/>
    <w:rsid w:val="00E324A9"/>
    <w:rsid w:val="00E32CCB"/>
    <w:rsid w:val="00E34994"/>
    <w:rsid w:val="00E37225"/>
    <w:rsid w:val="00E37B3E"/>
    <w:rsid w:val="00E425EA"/>
    <w:rsid w:val="00E46168"/>
    <w:rsid w:val="00E462CD"/>
    <w:rsid w:val="00E46C61"/>
    <w:rsid w:val="00E51D9B"/>
    <w:rsid w:val="00E5332E"/>
    <w:rsid w:val="00E62A99"/>
    <w:rsid w:val="00E81885"/>
    <w:rsid w:val="00E8671F"/>
    <w:rsid w:val="00E93099"/>
    <w:rsid w:val="00E95B46"/>
    <w:rsid w:val="00EA577E"/>
    <w:rsid w:val="00EA6100"/>
    <w:rsid w:val="00EA6891"/>
    <w:rsid w:val="00EB00D0"/>
    <w:rsid w:val="00EB6C0B"/>
    <w:rsid w:val="00EC3458"/>
    <w:rsid w:val="00EC425E"/>
    <w:rsid w:val="00EC47B4"/>
    <w:rsid w:val="00EE0A79"/>
    <w:rsid w:val="00EE2E36"/>
    <w:rsid w:val="00EE6B0F"/>
    <w:rsid w:val="00F11F61"/>
    <w:rsid w:val="00F20A66"/>
    <w:rsid w:val="00F22C47"/>
    <w:rsid w:val="00F25064"/>
    <w:rsid w:val="00F27B78"/>
    <w:rsid w:val="00F36A5D"/>
    <w:rsid w:val="00F42B87"/>
    <w:rsid w:val="00F55D70"/>
    <w:rsid w:val="00F602DA"/>
    <w:rsid w:val="00F63CAA"/>
    <w:rsid w:val="00F65B35"/>
    <w:rsid w:val="00F70640"/>
    <w:rsid w:val="00F814ED"/>
    <w:rsid w:val="00F96E49"/>
    <w:rsid w:val="00FB50B2"/>
    <w:rsid w:val="00FC5CD7"/>
    <w:rsid w:val="00FD1900"/>
    <w:rsid w:val="00FE002D"/>
    <w:rsid w:val="00FE7936"/>
    <w:rsid w:val="00FF5E39"/>
    <w:rsid w:val="039E289C"/>
    <w:rsid w:val="088F6E80"/>
    <w:rsid w:val="10F64D07"/>
    <w:rsid w:val="1325D8DC"/>
    <w:rsid w:val="191A0692"/>
    <w:rsid w:val="19B110A8"/>
    <w:rsid w:val="2817EFF7"/>
    <w:rsid w:val="287BD5A5"/>
    <w:rsid w:val="2AA32EA3"/>
    <w:rsid w:val="3D2D99E7"/>
    <w:rsid w:val="4F9A08F7"/>
    <w:rsid w:val="5C8D05D5"/>
    <w:rsid w:val="5CE16E3E"/>
    <w:rsid w:val="6021A5C1"/>
    <w:rsid w:val="6328058A"/>
    <w:rsid w:val="641CD0E0"/>
    <w:rsid w:val="79FEDC84"/>
    <w:rsid w:val="FBB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4" w:semiHidden="0" w:name="heading 1"/>
    <w:lsdException w:qFormat="1" w:unhideWhenUsed="0" w:uiPriority="6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10" w:semiHidden="0" w:name="List Bullet"/>
    <w:lsdException w:qFormat="1" w:unhideWhenUsed="0" w:uiPriority="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5" w:name="Closing"/>
    <w:lsdException w:qFormat="1" w:uiPriority="6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qFormat="1" w:uiPriority="4" w:name="Salutation"/>
    <w:lsdException w:qFormat="1" w:uiPriority="2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288" w:lineRule="auto"/>
    </w:pPr>
    <w:rPr>
      <w:rFonts w:ascii="Verdana" w:hAnsi="Verdana" w:eastAsiaTheme="minorEastAsia" w:cstheme="minorBidi"/>
      <w:color w:val="595555" w:themeColor="text2"/>
      <w:sz w:val="22"/>
      <w:szCs w:val="20"/>
      <w:lang w:val="en-US" w:eastAsia="ja-JP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26"/>
    <w:qFormat/>
    <w:uiPriority w:val="4"/>
    <w:pPr>
      <w:keepNext/>
      <w:keepLines/>
      <w:spacing w:before="240" w:after="120"/>
      <w:outlineLvl w:val="0"/>
    </w:pPr>
    <w:rPr>
      <w:rFonts w:cs="Times New Roman (Headings CS)" w:eastAsiaTheme="majorEastAsia"/>
      <w:b/>
      <w:caps/>
      <w:color w:val="416DA9" w:themeColor="accent2"/>
      <w:sz w:val="28"/>
      <w:szCs w:val="30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27"/>
    <w:semiHidden/>
    <w:qFormat/>
    <w:uiPriority w:val="6"/>
    <w:pPr>
      <w:keepNext/>
      <w:keepLines/>
      <w:spacing w:before="200" w:after="80"/>
      <w:outlineLvl w:val="1"/>
    </w:pPr>
    <w:rPr>
      <w:rFonts w:asciiTheme="majorHAnsi" w:hAnsiTheme="majorHAnsi" w:eastAsiaTheme="majorEastAsia" w:cstheme="majorBidi"/>
      <w:color w:val="0E2554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34"/>
    <w:semiHidden/>
    <w:unhideWhenUsed/>
    <w:qFormat/>
    <w:uiPriority w:val="99"/>
    <w:pPr>
      <w:spacing w:line="240" w:lineRule="auto"/>
    </w:pPr>
  </w:style>
  <w:style w:type="paragraph" w:styleId="9">
    <w:name w:val="annotation subject"/>
    <w:basedOn w:val="8"/>
    <w:next w:val="8"/>
    <w:link w:val="35"/>
    <w:semiHidden/>
    <w:unhideWhenUsed/>
    <w:qFormat/>
    <w:uiPriority w:val="99"/>
    <w:rPr>
      <w:b/>
      <w:bCs/>
    </w:rPr>
  </w:style>
  <w:style w:type="character" w:styleId="10">
    <w:name w:val="FollowedHyperlink"/>
    <w:basedOn w:val="4"/>
    <w:semiHidden/>
    <w:unhideWhenUsed/>
    <w:uiPriority w:val="99"/>
    <w:rPr>
      <w:color w:val="416DA9" w:themeColor="followedHyperlink"/>
      <w:u w:val="single"/>
      <w14:textFill>
        <w14:solidFill>
          <w14:schemeClr w14:val="folHlink"/>
        </w14:solidFill>
      </w14:textFill>
    </w:rPr>
  </w:style>
  <w:style w:type="paragraph" w:styleId="11">
    <w:name w:val="footer"/>
    <w:basedOn w:val="1"/>
    <w:link w:val="28"/>
    <w:semiHidden/>
    <w:qFormat/>
    <w:uiPriority w:val="99"/>
    <w:pPr>
      <w:spacing w:after="0" w:line="240" w:lineRule="auto"/>
      <w:jc w:val="right"/>
    </w:pPr>
    <w:rPr>
      <w:color w:val="0E2554" w:themeColor="accent1"/>
      <w14:textFill>
        <w14:solidFill>
          <w14:schemeClr w14:val="accent1"/>
        </w14:solidFill>
      </w14:textFill>
    </w:rPr>
  </w:style>
  <w:style w:type="character" w:styleId="12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3">
    <w:name w:val="footnote text"/>
    <w:basedOn w:val="1"/>
    <w:link w:val="46"/>
    <w:semiHidden/>
    <w:unhideWhenUsed/>
    <w:qFormat/>
    <w:uiPriority w:val="99"/>
    <w:pPr>
      <w:spacing w:after="0" w:line="240" w:lineRule="auto"/>
    </w:pPr>
    <w:rPr>
      <w:rFonts w:ascii="Calibri" w:hAnsi="Calibri" w:cs="Calibri" w:eastAsiaTheme="minorHAnsi"/>
      <w:color w:val="auto"/>
      <w:sz w:val="20"/>
      <w:lang w:eastAsia="en-US"/>
    </w:rPr>
  </w:style>
  <w:style w:type="paragraph" w:styleId="14">
    <w:name w:val="header"/>
    <w:basedOn w:val="1"/>
    <w:link w:val="31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5">
    <w:name w:val="Hyperlink"/>
    <w:basedOn w:val="4"/>
    <w:unhideWhenUsed/>
    <w:uiPriority w:val="99"/>
    <w:rPr>
      <w:color w:val="416DA9" w:themeColor="hyperlink"/>
      <w:u w:val="none"/>
      <w14:textFill>
        <w14:solidFill>
          <w14:schemeClr w14:val="hlink"/>
        </w14:solidFill>
      </w14:textFill>
    </w:rPr>
  </w:style>
  <w:style w:type="paragraph" w:styleId="16">
    <w:name w:val="List Bullet"/>
    <w:basedOn w:val="1"/>
    <w:unhideWhenUsed/>
    <w:qFormat/>
    <w:uiPriority w:val="10"/>
    <w:pPr>
      <w:numPr>
        <w:ilvl w:val="0"/>
        <w:numId w:val="1"/>
      </w:numPr>
      <w:contextualSpacing/>
    </w:pPr>
    <w:rPr>
      <w:szCs w:val="21"/>
    </w:rPr>
  </w:style>
  <w:style w:type="paragraph" w:styleId="17">
    <w:name w:val="List Number"/>
    <w:basedOn w:val="1"/>
    <w:semiHidden/>
    <w:qFormat/>
    <w:uiPriority w:val="9"/>
    <w:pPr>
      <w:numPr>
        <w:ilvl w:val="0"/>
        <w:numId w:val="2"/>
      </w:numPr>
      <w:spacing w:after="200"/>
    </w:p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19">
    <w:name w:val="Strong"/>
    <w:basedOn w:val="4"/>
    <w:qFormat/>
    <w:uiPriority w:val="22"/>
    <w:rPr>
      <w:b/>
      <w:bCs/>
    </w:rPr>
  </w:style>
  <w:style w:type="table" w:styleId="20">
    <w:name w:val="Table Grid"/>
    <w:basedOn w:val="5"/>
    <w:qFormat/>
    <w:uiPriority w:val="0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itle"/>
    <w:basedOn w:val="1"/>
    <w:next w:val="1"/>
    <w:link w:val="22"/>
    <w:qFormat/>
    <w:uiPriority w:val="10"/>
    <w:pPr>
      <w:pBdr>
        <w:bottom w:val="dotted" w:color="595555" w:themeColor="text2" w:sz="12" w:space="1"/>
      </w:pBdr>
      <w:spacing w:after="480"/>
    </w:pPr>
    <w:rPr>
      <w:b/>
      <w:sz w:val="28"/>
    </w:rPr>
  </w:style>
  <w:style w:type="character" w:customStyle="1" w:styleId="22">
    <w:name w:val="Název Char"/>
    <w:basedOn w:val="4"/>
    <w:link w:val="21"/>
    <w:qFormat/>
    <w:uiPriority w:val="10"/>
    <w:rPr>
      <w:rFonts w:ascii="Verdana" w:hAnsi="Verdana"/>
      <w:b/>
      <w:color w:val="595555" w:themeColor="text2"/>
      <w:sz w:val="28"/>
      <w:szCs w:val="20"/>
      <w14:textFill>
        <w14:solidFill>
          <w14:schemeClr w14:val="tx2"/>
        </w14:solidFill>
      </w14:textFill>
    </w:rPr>
  </w:style>
  <w:style w:type="paragraph" w:customStyle="1" w:styleId="23">
    <w:name w:val="Row Heading"/>
    <w:basedOn w:val="1"/>
    <w:semiHidden/>
    <w:qFormat/>
    <w:uiPriority w:val="5"/>
    <w:rPr>
      <w:b/>
      <w:bCs/>
    </w:rPr>
  </w:style>
  <w:style w:type="paragraph" w:customStyle="1" w:styleId="24">
    <w:name w:val="Form Heading"/>
    <w:basedOn w:val="1"/>
    <w:semiHidden/>
    <w:qFormat/>
    <w:uiPriority w:val="3"/>
    <w:pPr>
      <w:spacing w:after="320"/>
      <w:ind w:right="288"/>
    </w:pPr>
    <w:rPr>
      <w:color w:val="2359D0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5">
    <w:name w:val="Table Text"/>
    <w:basedOn w:val="1"/>
    <w:semiHidden/>
    <w:qFormat/>
    <w:uiPriority w:val="3"/>
    <w:pPr>
      <w:spacing w:after="320"/>
    </w:pPr>
  </w:style>
  <w:style w:type="character" w:customStyle="1" w:styleId="26">
    <w:name w:val="Nadpis 1 Char"/>
    <w:basedOn w:val="4"/>
    <w:link w:val="2"/>
    <w:qFormat/>
    <w:uiPriority w:val="4"/>
    <w:rPr>
      <w:rFonts w:ascii="Verdana" w:hAnsi="Verdana" w:cs="Times New Roman (Headings CS)" w:eastAsiaTheme="majorEastAsia"/>
      <w:b/>
      <w:caps/>
      <w:color w:val="416DA9" w:themeColor="accent2"/>
      <w:sz w:val="28"/>
      <w:szCs w:val="30"/>
      <w14:textFill>
        <w14:solidFill>
          <w14:schemeClr w14:val="accent2"/>
        </w14:solidFill>
      </w14:textFill>
    </w:rPr>
  </w:style>
  <w:style w:type="character" w:customStyle="1" w:styleId="27">
    <w:name w:val="Nadpis 2 Char"/>
    <w:basedOn w:val="4"/>
    <w:link w:val="3"/>
    <w:semiHidden/>
    <w:qFormat/>
    <w:uiPriority w:val="6"/>
    <w:rPr>
      <w:rFonts w:asciiTheme="majorHAnsi" w:hAnsiTheme="majorHAnsi" w:eastAsiaTheme="majorEastAsia" w:cstheme="majorBidi"/>
      <w:color w:val="0E2554" w:themeColor="accent1"/>
      <w:szCs w:val="20"/>
      <w14:textFill>
        <w14:solidFill>
          <w14:schemeClr w14:val="accent1"/>
        </w14:solidFill>
      </w14:textFill>
    </w:rPr>
  </w:style>
  <w:style w:type="character" w:customStyle="1" w:styleId="28">
    <w:name w:val="Zápatí Char"/>
    <w:basedOn w:val="4"/>
    <w:link w:val="11"/>
    <w:semiHidden/>
    <w:qFormat/>
    <w:uiPriority w:val="99"/>
    <w:rPr>
      <w:color w:val="0E2554" w:themeColor="accent1"/>
      <w:szCs w:val="20"/>
      <w14:textFill>
        <w14:solidFill>
          <w14:schemeClr w14:val="accent1"/>
        </w14:solidFill>
      </w14:textFill>
    </w:rPr>
  </w:style>
  <w:style w:type="character" w:customStyle="1" w:styleId="29">
    <w:name w:val="Text bubliny Char"/>
    <w:basedOn w:val="4"/>
    <w:link w:val="6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30">
    <w:name w:val="List Table 6 Colorful"/>
    <w:basedOn w:val="5"/>
    <w:qFormat/>
    <w:uiPriority w:val="51"/>
    <w:pPr>
      <w:spacing w:before="100" w:after="100" w:line="240" w:lineRule="auto"/>
    </w:pPr>
    <w:rPr>
      <w:color w:val="0E2454" w:themeColor="text1"/>
      <w14:textFill>
        <w14:solidFill>
          <w14:schemeClr w14:val="tx1"/>
        </w14:solidFill>
      </w14:textFill>
    </w:rPr>
    <w:tblPr>
      <w:tblBorders>
        <w:top w:val="single" w:color="0E2454" w:themeColor="text1" w:sz="4" w:space="0"/>
        <w:bottom w:val="single" w:color="0E2454" w:themeColor="text1" w:sz="4" w:space="0"/>
      </w:tblBorders>
      <w:tblCellMar>
        <w:left w:w="115" w:type="dxa"/>
        <w:right w:w="115" w:type="dxa"/>
      </w:tblCellMar>
    </w:tblPr>
    <w:tblStylePr w:type="firstRow">
      <w:rPr>
        <w:b/>
        <w:bCs/>
      </w:rPr>
      <w:tcPr>
        <w:tcBorders>
          <w:bottom w:val="single" w:color="0E2454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E2454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8CAF3" w:themeFill="text1" w:themeFillTint="33"/>
      </w:tcPr>
    </w:tblStylePr>
    <w:tblStylePr w:type="band1Horz">
      <w:tcPr>
        <w:shd w:val="clear" w:color="auto" w:fill="B8CAF3" w:themeFill="text1" w:themeFillTint="33"/>
      </w:tcPr>
    </w:tblStylePr>
  </w:style>
  <w:style w:type="character" w:customStyle="1" w:styleId="31">
    <w:name w:val="Záhlaví Char"/>
    <w:basedOn w:val="4"/>
    <w:link w:val="14"/>
    <w:qFormat/>
    <w:uiPriority w:val="99"/>
    <w:rPr>
      <w:szCs w:val="20"/>
    </w:rPr>
  </w:style>
  <w:style w:type="character" w:styleId="32">
    <w:name w:val="Placeholder Text"/>
    <w:basedOn w:val="4"/>
    <w:semiHidden/>
    <w:qFormat/>
    <w:uiPriority w:val="99"/>
    <w:rPr>
      <w:color w:val="808080"/>
    </w:rPr>
  </w:style>
  <w:style w:type="paragraph" w:styleId="33">
    <w:name w:val="List Paragraph"/>
    <w:basedOn w:val="1"/>
    <w:link w:val="42"/>
    <w:unhideWhenUsed/>
    <w:qFormat/>
    <w:uiPriority w:val="34"/>
    <w:pPr>
      <w:ind w:left="720"/>
      <w:contextualSpacing/>
    </w:pPr>
  </w:style>
  <w:style w:type="character" w:customStyle="1" w:styleId="34">
    <w:name w:val="Text komentáře Char"/>
    <w:basedOn w:val="4"/>
    <w:link w:val="8"/>
    <w:semiHidden/>
    <w:qFormat/>
    <w:uiPriority w:val="99"/>
    <w:rPr>
      <w:rFonts w:ascii="Verdana" w:hAnsi="Verdana"/>
      <w:sz w:val="20"/>
      <w:szCs w:val="20"/>
    </w:rPr>
  </w:style>
  <w:style w:type="character" w:customStyle="1" w:styleId="35">
    <w:name w:val="Předmět komentáře Char"/>
    <w:basedOn w:val="34"/>
    <w:link w:val="9"/>
    <w:semiHidden/>
    <w:qFormat/>
    <w:uiPriority w:val="99"/>
    <w:rPr>
      <w:rFonts w:ascii="Verdana" w:hAnsi="Verdana"/>
      <w:b/>
      <w:bCs/>
      <w:sz w:val="20"/>
      <w:szCs w:val="20"/>
    </w:rPr>
  </w:style>
  <w:style w:type="paragraph" w:customStyle="1" w:styleId="36">
    <w:name w:val="Footer Contact Info"/>
    <w:basedOn w:val="1"/>
    <w:qFormat/>
    <w:uiPriority w:val="0"/>
    <w:pPr>
      <w:spacing w:after="0" w:line="360" w:lineRule="auto"/>
      <w:ind w:left="432"/>
      <w:contextualSpacing/>
    </w:pPr>
    <w:rPr>
      <w:rFonts w:cs="Times New Roman (Body CS)"/>
      <w:color w:val="416DA9" w:themeColor="accent2"/>
      <w:sz w:val="18"/>
      <w:szCs w:val="18"/>
      <w14:textFill>
        <w14:solidFill>
          <w14:schemeClr w14:val="accent2"/>
        </w14:solidFill>
      </w14:textFill>
    </w:rPr>
  </w:style>
  <w:style w:type="paragraph" w:customStyle="1" w:styleId="37">
    <w:name w:val="Big top Margin"/>
    <w:basedOn w:val="1"/>
    <w:qFormat/>
    <w:uiPriority w:val="0"/>
    <w:pPr>
      <w:spacing w:before="800" w:after="180" w:line="240" w:lineRule="auto"/>
    </w:pPr>
    <w:rPr>
      <w:bCs/>
      <w:szCs w:val="18"/>
    </w:rPr>
  </w:style>
  <w:style w:type="character" w:customStyle="1" w:styleId="38">
    <w:name w:val="Bold"/>
    <w:basedOn w:val="4"/>
    <w:qFormat/>
    <w:uiPriority w:val="1"/>
    <w:rPr>
      <w:rFonts w:ascii="Verdana" w:hAnsi="Verdana"/>
      <w:b/>
      <w:color w:val="595555" w:themeColor="text2"/>
      <w14:textFill>
        <w14:solidFill>
          <w14:schemeClr w14:val="tx2"/>
        </w14:solidFill>
      </w14:textFill>
    </w:rPr>
  </w:style>
  <w:style w:type="paragraph" w:styleId="39">
    <w:name w:val="No Spacing"/>
    <w:qFormat/>
    <w:uiPriority w:val="99"/>
    <w:pPr>
      <w:spacing w:after="0" w:line="288" w:lineRule="auto"/>
    </w:pPr>
    <w:rPr>
      <w:rFonts w:ascii="Verdana" w:hAnsi="Verdana" w:eastAsiaTheme="minorEastAsia" w:cstheme="minorBidi"/>
      <w:color w:val="595555" w:themeColor="text2"/>
      <w:sz w:val="22"/>
      <w:szCs w:val="20"/>
      <w:lang w:val="en-US" w:eastAsia="ja-JP" w:bidi="ar-SA"/>
      <w14:textFill>
        <w14:solidFill>
          <w14:schemeClr w14:val="tx2"/>
        </w14:solidFill>
      </w14:textFill>
    </w:rPr>
  </w:style>
  <w:style w:type="character" w:customStyle="1" w:styleId="40">
    <w:name w:val="Unresolved Mention1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1">
    <w:name w:val="Big Top Margin"/>
    <w:basedOn w:val="1"/>
    <w:qFormat/>
    <w:uiPriority w:val="0"/>
    <w:pPr>
      <w:spacing w:before="800" w:after="180" w:line="240" w:lineRule="auto"/>
    </w:pPr>
    <w:rPr>
      <w:bCs/>
      <w:szCs w:val="18"/>
    </w:rPr>
  </w:style>
  <w:style w:type="character" w:customStyle="1" w:styleId="42">
    <w:name w:val="Odstavec se seznamem Char"/>
    <w:basedOn w:val="4"/>
    <w:link w:val="33"/>
    <w:qFormat/>
    <w:locked/>
    <w:uiPriority w:val="34"/>
    <w:rPr>
      <w:rFonts w:ascii="Verdana" w:hAnsi="Verdana"/>
      <w:color w:val="595555" w:themeColor="text2"/>
      <w:szCs w:val="20"/>
      <w14:textFill>
        <w14:solidFill>
          <w14:schemeClr w14:val="tx2"/>
        </w14:solidFill>
      </w14:textFill>
    </w:rPr>
  </w:style>
  <w:style w:type="paragraph" w:customStyle="1" w:styleId="43">
    <w:name w:val="Body"/>
    <w:basedOn w:val="1"/>
    <w:qFormat/>
    <w:uiPriority w:val="0"/>
    <w:pPr>
      <w:spacing w:after="0"/>
    </w:pPr>
    <w:rPr>
      <w:rFonts w:ascii="Helvetica Neue" w:hAnsi="Helvetica Neue" w:eastAsia="Arial Unicode MS" w:cs="Arial Unicode MS"/>
      <w:color w:val="000000"/>
    </w:rPr>
  </w:style>
  <w:style w:type="paragraph" w:customStyle="1" w:styleId="44">
    <w:name w:val="addressee"/>
    <w:basedOn w:val="1"/>
    <w:qFormat/>
    <w:uiPriority w:val="0"/>
    <w:rPr>
      <w:rFonts w:ascii="Arial" w:hAnsi="Arial" w:eastAsia="Times New Roman" w:cs="Times New Roman"/>
      <w:sz w:val="18"/>
      <w:szCs w:val="18"/>
    </w:rPr>
  </w:style>
  <w:style w:type="character" w:customStyle="1" w:styleId="45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6">
    <w:name w:val="Text pozn. pod čarou Char"/>
    <w:basedOn w:val="4"/>
    <w:link w:val="13"/>
    <w:semiHidden/>
    <w:uiPriority w:val="99"/>
    <w:rPr>
      <w:rFonts w:ascii="Calibri" w:hAnsi="Calibri" w:cs="Calibri" w:eastAsiaTheme="minorHAnsi"/>
      <w:color w:val="auto"/>
      <w:sz w:val="20"/>
      <w:szCs w:val="20"/>
      <w:lang w:eastAsia="en-US"/>
    </w:rPr>
  </w:style>
  <w:style w:type="paragraph" w:customStyle="1" w:styleId="47">
    <w:name w:val="x_msonormal"/>
    <w:basedOn w:val="1"/>
    <w:qFormat/>
    <w:uiPriority w:val="0"/>
    <w:pPr>
      <w:spacing w:after="0" w:line="240" w:lineRule="auto"/>
    </w:pPr>
    <w:rPr>
      <w:rFonts w:ascii="Calibri" w:hAnsi="Calibri" w:cs="Calibri" w:eastAsiaTheme="minorHAnsi"/>
      <w:color w:val="auto"/>
      <w:szCs w:val="22"/>
      <w:lang w:eastAsia="en-US"/>
    </w:rPr>
  </w:style>
  <w:style w:type="paragraph" w:customStyle="1" w:styleId="48">
    <w:name w:val="x_xmsonormal"/>
    <w:basedOn w:val="1"/>
    <w:qFormat/>
    <w:uiPriority w:val="0"/>
    <w:pPr>
      <w:spacing w:after="0" w:line="240" w:lineRule="auto"/>
    </w:pPr>
    <w:rPr>
      <w:rFonts w:ascii="Calibri" w:hAnsi="Calibri" w:cs="Calibri" w:eastAsiaTheme="minorHAnsi"/>
      <w:color w:val="auto"/>
      <w:szCs w:val="22"/>
      <w:lang w:eastAsia="en-US"/>
    </w:rPr>
  </w:style>
  <w:style w:type="character" w:customStyle="1" w:styleId="49">
    <w:name w:val="15"/>
    <w:basedOn w:val="4"/>
    <w:qFormat/>
    <w:uiPriority w:val="0"/>
    <w:rPr>
      <w:rFonts w:hint="default" w:ascii="Calibri" w:hAnsi="Calibri" w:cs="Calibri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UPS Healthcare 2020">
      <a:dk1>
        <a:srgbClr val="0E2454"/>
      </a:dk1>
      <a:lt1>
        <a:srgbClr val="FFFFFF"/>
      </a:lt1>
      <a:dk2>
        <a:srgbClr val="595555"/>
      </a:dk2>
      <a:lt2>
        <a:srgbClr val="DFDBD7"/>
      </a:lt2>
      <a:accent1>
        <a:srgbClr val="0E2554"/>
      </a:accent1>
      <a:accent2>
        <a:srgbClr val="416DA9"/>
      </a:accent2>
      <a:accent3>
        <a:srgbClr val="00857D"/>
      </a:accent3>
      <a:accent4>
        <a:srgbClr val="595555"/>
      </a:accent4>
      <a:accent5>
        <a:srgbClr val="DFDBD7"/>
      </a:accent5>
      <a:accent6>
        <a:srgbClr val="FFFFFF"/>
      </a:accent6>
      <a:hlink>
        <a:srgbClr val="416DA9"/>
      </a:hlink>
      <a:folHlink>
        <a:srgbClr val="416DA9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1993</Words>
  <Characters>11764</Characters>
  <Lines>98</Lines>
  <Paragraphs>27</Paragraphs>
  <TotalTime>4</TotalTime>
  <ScaleCrop>false</ScaleCrop>
  <LinksUpToDate>false</LinksUpToDate>
  <CharactersWithSpaces>13730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2022-08-06T14:11:00Z</dcterms:created>
  <dc:creator>Rachel Egger</dc:creator>
  <cp:lastModifiedBy>karla.krejci</cp:lastModifiedBy>
  <cp:lastPrinted>2022-08-02T18:29:00Z</cp:lastPrinted>
  <dcterms:modified xsi:type="dcterms:W3CDTF">2022-08-08T09:59:51Z</dcterms:modified>
  <dc:title>UPS Healthcare Letterhead Template_Oct2021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0x0101004C8A04DFC0CD5E48B4A888A93E3BA797</vt:lpwstr>
  </property>
  <property fmtid="{D5CDD505-2E9C-101B-9397-08002B2CF9AE}" pid="3" name="Order">
    <vt:r8>4800</vt:r8>
  </property>
  <property fmtid="{D5CDD505-2E9C-101B-9397-08002B2CF9AE}" pid="4" name="KSOProductBuildVer">
    <vt:lpwstr>1033-11.2.0.11191</vt:lpwstr>
  </property>
  <property fmtid="{D5CDD505-2E9C-101B-9397-08002B2CF9AE}" pid="5" name="ICV">
    <vt:lpwstr>260AA85BDB5A43B091731EDD36705777</vt:lpwstr>
  </property>
</Properties>
</file>