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rPr>
          <w:rFonts w:ascii="Arial" w:hAnsi="Arial" w:eastAsia="Arial" w:cs="Arial"/>
          <w:sz w:val="22"/>
          <w:u w:val="single"/>
        </w:rPr>
      </w:pPr>
      <w:bookmarkStart w:id="0" w:name="Section1"/>
      <w:bookmarkEnd w:id="0"/>
      <w:r>
        <w:rPr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5098415</wp:posOffset>
            </wp:positionH>
            <wp:positionV relativeFrom="paragraph">
              <wp:posOffset>156845</wp:posOffset>
            </wp:positionV>
            <wp:extent cx="828675" cy="936625"/>
            <wp:effectExtent l="0" t="0" r="11430" b="6350"/>
            <wp:wrapTight wrapText="bothSides">
              <wp:wrapPolygon>
                <wp:start x="0" y="0"/>
                <wp:lineTo x="0" y="20956"/>
                <wp:lineTo x="21004" y="20956"/>
                <wp:lineTo x="21004" y="0"/>
                <wp:lineTo x="0" y="0"/>
              </wp:wrapPolygon>
            </wp:wrapTight>
            <wp:docPr id="1" name="Picture 2" descr="1187734~UPS_Flat_Shield_2Color_RGB-1080.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1187734~UPS_Flat_Shield_2Color_RGB-1080.108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Kontakty: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UPS Media Relations</w:t>
      </w:r>
    </w:p>
    <w:p>
      <w:pPr>
        <w:ind w:left="720" w:firstLine="720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"tel:+14048287123" \h </w:instrText>
      </w:r>
      <w:r>
        <w:fldChar w:fldCharType="separate"/>
      </w:r>
      <w:r>
        <w:rPr>
          <w:rFonts w:ascii="Arial" w:hAnsi="Arial" w:cs="Arial"/>
          <w:sz w:val="20"/>
          <w:szCs w:val="20"/>
        </w:rPr>
        <w:t>+1 404 828 7123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>
      <w:pPr>
        <w:ind w:left="720" w:firstLine="720"/>
        <w:rPr>
          <w:rFonts w:ascii="Arial" w:hAnsi="Arial" w:cs="Arial"/>
          <w:sz w:val="20"/>
          <w:szCs w:val="20"/>
          <w:lang w:val="da-DK"/>
        </w:rPr>
      </w:pPr>
      <w:r>
        <w:fldChar w:fldCharType="begin"/>
      </w:r>
      <w:r>
        <w:instrText xml:space="preserve"> HYPERLINK "mailto:pr@ups.com" \h </w:instrText>
      </w:r>
      <w:r>
        <w:fldChar w:fldCharType="separate"/>
      </w:r>
      <w:r>
        <w:rPr>
          <w:rStyle w:val="7"/>
          <w:rFonts w:ascii="Arial" w:hAnsi="Arial" w:cs="Arial"/>
          <w:sz w:val="20"/>
          <w:szCs w:val="20"/>
          <w:lang w:val="da-DK"/>
        </w:rPr>
        <w:t>pr@ups.com</w:t>
      </w:r>
      <w:r>
        <w:rPr>
          <w:rStyle w:val="7"/>
          <w:rFonts w:ascii="Arial" w:hAnsi="Arial" w:cs="Arial"/>
          <w:sz w:val="20"/>
          <w:szCs w:val="20"/>
          <w:lang w:val="da-DK"/>
        </w:rPr>
        <w:fldChar w:fldCharType="end"/>
      </w:r>
      <w:r>
        <w:rPr>
          <w:rFonts w:ascii="Arial" w:hAnsi="Arial" w:cs="Arial"/>
          <w:sz w:val="20"/>
          <w:szCs w:val="20"/>
          <w:lang w:val="da-DK"/>
        </w:rPr>
        <w:t xml:space="preserve"> </w:t>
      </w:r>
    </w:p>
    <w:p>
      <w:pPr>
        <w:rPr>
          <w:rFonts w:ascii="Arial" w:hAnsi="Arial" w:cs="Arial"/>
          <w:sz w:val="20"/>
          <w:szCs w:val="20"/>
          <w:lang w:val="da-DK"/>
        </w:rPr>
      </w:pPr>
    </w:p>
    <w:p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UPS Investor Relations</w:t>
      </w:r>
    </w:p>
    <w:p>
      <w:pPr>
        <w:ind w:left="720" w:firstLine="720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"tel:+14048286059" \h </w:instrText>
      </w:r>
      <w:r>
        <w:fldChar w:fldCharType="separate"/>
      </w:r>
      <w:r>
        <w:rPr>
          <w:rFonts w:ascii="Arial" w:hAnsi="Arial" w:cs="Arial"/>
          <w:sz w:val="20"/>
          <w:szCs w:val="20"/>
        </w:rPr>
        <w:t>+1 404 828 6059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>
      <w:pPr>
        <w:ind w:left="720" w:firstLine="720"/>
        <w:rPr>
          <w:rStyle w:val="7"/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"mailto:investor@ups.com" \h </w:instrText>
      </w:r>
      <w:r>
        <w:fldChar w:fldCharType="separate"/>
      </w:r>
      <w:r>
        <w:rPr>
          <w:rStyle w:val="7"/>
          <w:rFonts w:ascii="Arial" w:hAnsi="Arial" w:cs="Arial"/>
          <w:sz w:val="20"/>
          <w:szCs w:val="20"/>
        </w:rPr>
        <w:t>investor@ups.com</w:t>
      </w:r>
      <w:r>
        <w:rPr>
          <w:rStyle w:val="7"/>
          <w:rFonts w:ascii="Arial" w:hAnsi="Arial" w:cs="Arial"/>
          <w:sz w:val="20"/>
          <w:szCs w:val="20"/>
        </w:rPr>
        <w:fldChar w:fldCharType="end"/>
      </w:r>
    </w:p>
    <w:p>
      <w:pPr>
        <w:ind w:left="720" w:firstLine="720"/>
        <w:rPr>
          <w:rFonts w:ascii="Arial" w:hAnsi="Arial" w:cs="Arial"/>
          <w:sz w:val="20"/>
          <w:szCs w:val="20"/>
          <w:lang w:val="cs-CZ"/>
        </w:rPr>
      </w:pPr>
    </w:p>
    <w:p>
      <w:pPr>
        <w:ind w:left="720" w:firstLine="72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Karla Krejčí, Donath Business &amp; Media </w:t>
      </w:r>
    </w:p>
    <w:p>
      <w:pPr>
        <w:ind w:left="720" w:firstLine="72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+420 224 211 220</w:t>
      </w:r>
    </w:p>
    <w:p>
      <w:pPr>
        <w:ind w:left="1134" w:firstLine="306"/>
        <w:rPr>
          <w:rFonts w:ascii="Arial" w:hAnsi="Arial" w:cs="Arial"/>
          <w:sz w:val="20"/>
          <w:szCs w:val="20"/>
          <w:lang w:val="cs-CZ"/>
        </w:rPr>
      </w:pPr>
      <w:r>
        <w:fldChar w:fldCharType="begin"/>
      </w:r>
      <w:r>
        <w:instrText xml:space="preserve"> HYPERLINK "mailto:karla.krejci@dbm.cz" \h </w:instrText>
      </w:r>
      <w:r>
        <w:fldChar w:fldCharType="separate"/>
      </w:r>
      <w:r>
        <w:rPr>
          <w:rStyle w:val="7"/>
          <w:rFonts w:ascii="Arial" w:hAnsi="Arial" w:cs="Arial"/>
          <w:sz w:val="20"/>
          <w:szCs w:val="20"/>
          <w:lang w:val="cs-CZ"/>
        </w:rPr>
        <w:t>karla.krejci@dbm.cz</w:t>
      </w:r>
      <w:r>
        <w:rPr>
          <w:rStyle w:val="7"/>
          <w:rFonts w:ascii="Arial" w:hAnsi="Arial" w:cs="Arial"/>
          <w:sz w:val="20"/>
          <w:szCs w:val="20"/>
          <w:lang w:val="cs-CZ"/>
        </w:rPr>
        <w:fldChar w:fldCharType="end"/>
      </w:r>
    </w:p>
    <w:p>
      <w:pPr>
        <w:spacing w:line="288" w:lineRule="auto"/>
        <w:rPr>
          <w:rFonts w:ascii="Arial" w:hAnsi="Arial" w:eastAsia="Arial" w:cs="Arial"/>
          <w:sz w:val="22"/>
          <w:u w:val="single"/>
          <w:lang w:val="cs-CZ"/>
        </w:rPr>
      </w:pPr>
    </w:p>
    <w:p>
      <w:pPr>
        <w:spacing w:line="238" w:lineRule="auto"/>
        <w:jc w:val="center"/>
        <w:outlineLvl w:val="0"/>
        <w:rPr>
          <w:rFonts w:ascii="Arial" w:hAnsi="Arial" w:eastAsia="Arial" w:cs="Arial"/>
          <w:b/>
          <w:sz w:val="32"/>
        </w:rPr>
      </w:pPr>
    </w:p>
    <w:p>
      <w:pPr>
        <w:spacing w:line="238" w:lineRule="auto"/>
        <w:jc w:val="center"/>
        <w:outlineLvl w:val="0"/>
        <w:rPr>
          <w:rFonts w:ascii="Arial" w:hAnsi="Arial" w:eastAsia="Arial" w:cs="Arial"/>
          <w:b/>
          <w:sz w:val="32"/>
        </w:rPr>
      </w:pPr>
      <w:r>
        <w:rPr>
          <w:rFonts w:ascii="Arial" w:hAnsi="Arial" w:eastAsia="Arial" w:cs="Arial"/>
          <w:b/>
          <w:sz w:val="32"/>
        </w:rPr>
        <w:t>SPOLEČNOST UPS ZVEŘEJ</w:t>
      </w:r>
      <w:r>
        <w:rPr>
          <w:rFonts w:hint="default" w:ascii="Arial" w:hAnsi="Arial" w:eastAsia="Arial" w:cs="Arial"/>
          <w:b/>
          <w:sz w:val="32"/>
          <w:lang w:val="en-US"/>
        </w:rPr>
        <w:t>NILA</w:t>
      </w:r>
      <w:r>
        <w:rPr>
          <w:rFonts w:ascii="Arial" w:hAnsi="Arial" w:eastAsia="Arial" w:cs="Arial"/>
          <w:b/>
          <w:sz w:val="32"/>
        </w:rPr>
        <w:t xml:space="preserve"> VÝSLEDKY ZA 2Q 2022</w:t>
      </w:r>
    </w:p>
    <w:p/>
    <w:p>
      <w:pPr>
        <w:numPr>
          <w:ilvl w:val="0"/>
          <w:numId w:val="1"/>
        </w:numPr>
        <w:spacing w:line="276" w:lineRule="auto"/>
        <w:rPr>
          <w:rFonts w:ascii="Arial" w:hAnsi="Arial" w:eastAsia="Arial" w:cs="Arial"/>
          <w:b/>
          <w:i/>
          <w:sz w:val="22"/>
        </w:rPr>
      </w:pPr>
      <w:r>
        <w:rPr>
          <w:rFonts w:ascii="Arial" w:hAnsi="Arial" w:eastAsia="Arial" w:cs="Arial"/>
          <w:b/>
          <w:i/>
          <w:sz w:val="22"/>
        </w:rPr>
        <w:t xml:space="preserve">Konsolidované tržby ve výši 24,8 </w:t>
      </w:r>
      <w:r>
        <w:rPr>
          <w:rFonts w:hint="default" w:ascii="Arial" w:hAnsi="Arial" w:eastAsia="Arial" w:cs="Arial"/>
          <w:b/>
          <w:i/>
          <w:sz w:val="22"/>
          <w:lang w:val="en-US"/>
        </w:rPr>
        <w:t>mld. USD</w:t>
      </w:r>
      <w:r>
        <w:rPr>
          <w:rFonts w:ascii="Arial" w:hAnsi="Arial" w:eastAsia="Arial" w:cs="Arial"/>
          <w:b/>
          <w:i/>
          <w:sz w:val="22"/>
        </w:rPr>
        <w:t>, což je o 5,7 % více než v loňském roce</w:t>
      </w:r>
    </w:p>
    <w:p>
      <w:pPr>
        <w:numPr>
          <w:ilvl w:val="0"/>
          <w:numId w:val="1"/>
        </w:numPr>
        <w:spacing w:line="276" w:lineRule="auto"/>
        <w:rPr>
          <w:rFonts w:ascii="Arial" w:hAnsi="Arial" w:eastAsia="Arial" w:cs="Arial"/>
          <w:b/>
          <w:i/>
          <w:sz w:val="22"/>
        </w:rPr>
      </w:pPr>
      <w:r>
        <w:rPr>
          <w:rFonts w:ascii="Arial" w:hAnsi="Arial" w:eastAsia="Arial" w:cs="Arial"/>
          <w:b/>
          <w:i/>
          <w:sz w:val="22"/>
        </w:rPr>
        <w:t xml:space="preserve">Konsolidovaný provozní zisk 3,5 </w:t>
      </w:r>
      <w:r>
        <w:rPr>
          <w:rFonts w:hint="default" w:ascii="Arial" w:hAnsi="Arial" w:eastAsia="Arial" w:cs="Arial"/>
          <w:b/>
          <w:i/>
          <w:sz w:val="22"/>
          <w:lang w:val="en-US"/>
        </w:rPr>
        <w:t>mld. USD</w:t>
      </w:r>
      <w:r>
        <w:rPr>
          <w:rFonts w:ascii="Arial" w:hAnsi="Arial" w:eastAsia="Arial" w:cs="Arial"/>
          <w:b/>
          <w:i/>
          <w:sz w:val="22"/>
        </w:rPr>
        <w:t xml:space="preserve">, o 8,5 % více než </w:t>
      </w:r>
      <w:r>
        <w:rPr>
          <w:rFonts w:hint="default" w:ascii="Arial" w:hAnsi="Arial" w:eastAsia="Arial" w:cs="Arial"/>
          <w:b/>
          <w:i/>
          <w:sz w:val="22"/>
          <w:lang w:val="en-US"/>
        </w:rPr>
        <w:t>v loňském roce</w:t>
      </w:r>
      <w:r>
        <w:rPr>
          <w:rFonts w:ascii="Arial" w:hAnsi="Arial" w:eastAsia="Arial" w:cs="Arial"/>
          <w:b/>
          <w:i/>
          <w:sz w:val="22"/>
        </w:rPr>
        <w:t>; o 9,3 % více na upraveném* základě</w:t>
      </w:r>
    </w:p>
    <w:p>
      <w:pPr>
        <w:numPr>
          <w:ilvl w:val="0"/>
          <w:numId w:val="1"/>
        </w:numPr>
        <w:spacing w:line="276" w:lineRule="auto"/>
        <w:rPr>
          <w:rFonts w:ascii="Arial" w:hAnsi="Arial" w:eastAsia="Arial" w:cs="Arial"/>
          <w:b/>
          <w:i/>
          <w:sz w:val="22"/>
        </w:rPr>
      </w:pPr>
      <w:r>
        <w:rPr>
          <w:rFonts w:ascii="Arial" w:hAnsi="Arial" w:eastAsia="Arial" w:cs="Arial"/>
          <w:b/>
          <w:i/>
          <w:sz w:val="22"/>
        </w:rPr>
        <w:t>Zředěný zisk na akcii ve výši 3,25 USD; upravený zředěný zisk na akcii vzrostl oproti loňskému roku o 7,5 % na 3,29 USD</w:t>
      </w:r>
    </w:p>
    <w:p>
      <w:pPr>
        <w:numPr>
          <w:ilvl w:val="0"/>
          <w:numId w:val="1"/>
        </w:numPr>
        <w:spacing w:line="276" w:lineRule="auto"/>
        <w:rPr>
          <w:rFonts w:ascii="Arial" w:hAnsi="Arial" w:eastAsia="Arial" w:cs="Arial"/>
          <w:b/>
          <w:i/>
          <w:sz w:val="22"/>
        </w:rPr>
      </w:pPr>
      <w:r>
        <w:rPr>
          <w:rFonts w:hint="default" w:ascii="Arial" w:hAnsi="Arial" w:eastAsia="Arial" w:cs="Arial"/>
          <w:b/>
          <w:i/>
          <w:sz w:val="22"/>
          <w:lang w:val="en-US"/>
        </w:rPr>
        <w:t xml:space="preserve">Společnost znovu </w:t>
      </w:r>
      <w:r>
        <w:rPr>
          <w:rFonts w:ascii="Arial" w:hAnsi="Arial" w:eastAsia="Arial" w:cs="Arial"/>
          <w:b/>
          <w:i/>
          <w:sz w:val="22"/>
        </w:rPr>
        <w:t xml:space="preserve">potvrzuje finanční výhled na celý rok 2022; zvyšuje cílový objem zpětného odkupu akcií na 3 </w:t>
      </w:r>
      <w:r>
        <w:rPr>
          <w:rFonts w:hint="default" w:ascii="Arial" w:hAnsi="Arial" w:eastAsia="Arial" w:cs="Arial"/>
          <w:b/>
          <w:i/>
          <w:sz w:val="22"/>
          <w:lang w:val="en-US"/>
        </w:rPr>
        <w:t xml:space="preserve">mld. USD </w:t>
      </w:r>
      <w:r>
        <w:rPr>
          <w:rFonts w:ascii="Arial" w:hAnsi="Arial" w:eastAsia="Arial" w:cs="Arial"/>
          <w:b/>
          <w:i/>
          <w:sz w:val="22"/>
        </w:rPr>
        <w:t>v roce 2022</w:t>
      </w:r>
    </w:p>
    <w:p>
      <w:pPr>
        <w:spacing w:line="238" w:lineRule="auto"/>
        <w:jc w:val="center"/>
        <w:outlineLvl w:val="0"/>
        <w:rPr>
          <w:rFonts w:ascii="Arial" w:hAnsi="Arial" w:eastAsia="Arial" w:cs="Arial"/>
          <w:b/>
          <w:sz w:val="32"/>
        </w:rPr>
      </w:pPr>
    </w:p>
    <w:p>
      <w:pPr>
        <w:spacing w:line="288" w:lineRule="auto"/>
        <w:rPr>
          <w:b/>
          <w:i/>
          <w:sz w:val="22"/>
        </w:rPr>
      </w:pPr>
    </w:p>
    <w:p>
      <w:pPr>
        <w:spacing w:line="288" w:lineRule="auto"/>
        <w:rPr>
          <w:rFonts w:hint="default" w:ascii="Arial" w:hAnsi="Arial" w:eastAsia="Arial"/>
          <w:sz w:val="22"/>
        </w:rPr>
      </w:pPr>
      <w:r>
        <w:rPr>
          <w:rFonts w:hint="default" w:ascii="Arial" w:hAnsi="Arial" w:eastAsia="Arial"/>
          <w:b/>
          <w:bCs/>
          <w:sz w:val="22"/>
        </w:rPr>
        <w:t>ATLANTA</w:t>
      </w:r>
      <w:r>
        <w:rPr>
          <w:rFonts w:hint="default" w:ascii="Arial" w:hAnsi="Arial" w:eastAsia="Arial"/>
          <w:b/>
          <w:bCs/>
          <w:sz w:val="22"/>
          <w:lang w:val="en-US"/>
        </w:rPr>
        <w:t>,</w:t>
      </w:r>
      <w:r>
        <w:rPr>
          <w:rFonts w:hint="default" w:ascii="Arial" w:hAnsi="Arial" w:eastAsia="Arial"/>
          <w:b/>
          <w:bCs/>
          <w:sz w:val="22"/>
        </w:rPr>
        <w:t xml:space="preserve"> 26. července 2022</w:t>
      </w:r>
      <w:r>
        <w:rPr>
          <w:rFonts w:hint="default" w:ascii="Arial" w:hAnsi="Arial" w:eastAsia="Arial"/>
          <w:sz w:val="22"/>
        </w:rPr>
        <w:t xml:space="preserve"> - Společnost</w:t>
      </w:r>
      <w:r>
        <w:rPr>
          <w:rFonts w:hint="default" w:ascii="Arial" w:hAnsi="Arial" w:eastAsia="Arial"/>
          <w:sz w:val="22"/>
          <w:lang w:val="en-US"/>
        </w:rPr>
        <w:t xml:space="preserve"> </w:t>
      </w:r>
      <w:r>
        <w:rPr>
          <w:rFonts w:hint="default" w:ascii="Arial" w:hAnsi="Arial" w:eastAsia="Arial"/>
          <w:sz w:val="22"/>
        </w:rPr>
        <w:t xml:space="preserve">UPS (NYSE:UPS) dnes oznámila konsolidované tržby za druhé čtvrtletí roku 2022 ve výši 24,8 </w:t>
      </w:r>
      <w:r>
        <w:rPr>
          <w:rFonts w:hint="default" w:ascii="Arial" w:hAnsi="Arial" w:eastAsia="Arial"/>
          <w:sz w:val="22"/>
          <w:lang w:val="en-US"/>
        </w:rPr>
        <w:t xml:space="preserve">mld. </w:t>
      </w:r>
      <w:r>
        <w:rPr>
          <w:rFonts w:hint="default" w:ascii="Arial" w:hAnsi="Arial" w:eastAsia="Arial"/>
          <w:sz w:val="22"/>
        </w:rPr>
        <w:t xml:space="preserve">USD, což představuje 5,7% nárůst oproti </w:t>
      </w:r>
      <w:r>
        <w:rPr>
          <w:rFonts w:hint="default" w:ascii="Arial" w:hAnsi="Arial" w:eastAsia="Arial"/>
          <w:sz w:val="22"/>
          <w:lang w:val="en-US"/>
        </w:rPr>
        <w:t xml:space="preserve">druhému </w:t>
      </w:r>
      <w:r>
        <w:rPr>
          <w:rFonts w:hint="default" w:ascii="Arial" w:hAnsi="Arial" w:eastAsia="Arial"/>
          <w:sz w:val="22"/>
        </w:rPr>
        <w:t xml:space="preserve">čtvrtletí roku 2021. Konsolidovaný provozní zisk činil 3,5 </w:t>
      </w:r>
      <w:r>
        <w:rPr>
          <w:rFonts w:hint="default" w:ascii="Arial" w:hAnsi="Arial" w:eastAsia="Arial"/>
          <w:sz w:val="22"/>
          <w:lang w:val="en-US"/>
        </w:rPr>
        <w:t>mld. USD</w:t>
      </w:r>
      <w:r>
        <w:rPr>
          <w:rFonts w:hint="default" w:ascii="Arial" w:hAnsi="Arial" w:eastAsia="Arial"/>
          <w:sz w:val="22"/>
        </w:rPr>
        <w:t xml:space="preserve">, což je o 8,5 % více než ve druhém čtvrtletí roku 2021 a o 9,3 % více na upravené bázi. Zředěný zisk na akcii činil v tomto čtvrtletí 3,25 USD; upravený zředěný zisk na akcii ve výši 3,29 USD byl o 7,5 % vyšší než ve stejném období roku 2021. </w:t>
      </w:r>
    </w:p>
    <w:p>
      <w:pPr>
        <w:spacing w:line="288" w:lineRule="auto"/>
        <w:rPr>
          <w:rFonts w:hint="default" w:ascii="Arial" w:hAnsi="Arial" w:eastAsia="Arial"/>
          <w:sz w:val="22"/>
        </w:rPr>
      </w:pPr>
    </w:p>
    <w:p>
      <w:pPr>
        <w:spacing w:line="288" w:lineRule="auto"/>
        <w:rPr>
          <w:rFonts w:hint="default" w:ascii="Arial" w:hAnsi="Arial" w:eastAsia="Arial"/>
          <w:sz w:val="22"/>
        </w:rPr>
      </w:pPr>
      <w:r>
        <w:rPr>
          <w:rFonts w:hint="default" w:ascii="Arial" w:hAnsi="Arial" w:eastAsia="Arial"/>
          <w:sz w:val="22"/>
        </w:rPr>
        <w:t xml:space="preserve">Ve druhém čtvrtletí roku 2022 zahrnovaly výsledky podle </w:t>
      </w:r>
      <w:r>
        <w:rPr>
          <w:rFonts w:hint="default" w:ascii="Arial" w:hAnsi="Arial" w:eastAsia="Arial"/>
          <w:sz w:val="22"/>
          <w:lang w:val="en-US"/>
        </w:rPr>
        <w:t xml:space="preserve">účetních zásad </w:t>
      </w:r>
      <w:r>
        <w:rPr>
          <w:rFonts w:hint="default" w:ascii="Arial" w:hAnsi="Arial" w:eastAsia="Arial"/>
          <w:sz w:val="22"/>
        </w:rPr>
        <w:t xml:space="preserve">GAAP transformační a jiné náklady po zdanění ve výši 31 </w:t>
      </w:r>
      <w:r>
        <w:rPr>
          <w:rFonts w:hint="default" w:ascii="Arial" w:hAnsi="Arial" w:eastAsia="Arial"/>
          <w:sz w:val="22"/>
          <w:lang w:val="en-US"/>
        </w:rPr>
        <w:t xml:space="preserve">mil. </w:t>
      </w:r>
      <w:r>
        <w:rPr>
          <w:rFonts w:hint="default" w:ascii="Arial" w:hAnsi="Arial" w:eastAsia="Arial"/>
          <w:sz w:val="22"/>
        </w:rPr>
        <w:t>USD, tj. 0,04 USD na zředěnou akcii.</w:t>
      </w:r>
    </w:p>
    <w:p>
      <w:pPr>
        <w:spacing w:line="288" w:lineRule="auto"/>
        <w:rPr>
          <w:rFonts w:hint="default" w:ascii="Arial" w:hAnsi="Arial" w:eastAsia="Arial"/>
          <w:sz w:val="22"/>
        </w:rPr>
      </w:pPr>
    </w:p>
    <w:p>
      <w:pPr>
        <w:spacing w:line="288" w:lineRule="auto"/>
        <w:rPr>
          <w:rFonts w:hint="default" w:ascii="Arial" w:hAnsi="Arial" w:eastAsia="Arial"/>
          <w:sz w:val="22"/>
        </w:rPr>
      </w:pPr>
      <w:r>
        <w:rPr>
          <w:rFonts w:hint="default" w:ascii="Arial" w:hAnsi="Arial" w:eastAsia="Arial"/>
          <w:sz w:val="22"/>
        </w:rPr>
        <w:t xml:space="preserve">„Chci poděkovat zaměstnancům UPS po celém světě za poskytování vynikajících služeb našim zákazníkům,“ </w:t>
      </w:r>
      <w:r>
        <w:rPr>
          <w:rFonts w:hint="default" w:ascii="Arial" w:hAnsi="Arial" w:eastAsia="Arial"/>
          <w:sz w:val="22"/>
          <w:lang w:val="en-US"/>
        </w:rPr>
        <w:t xml:space="preserve">uvedla </w:t>
      </w:r>
      <w:r>
        <w:rPr>
          <w:rFonts w:hint="default" w:ascii="Arial" w:hAnsi="Arial" w:eastAsia="Arial"/>
          <w:sz w:val="22"/>
        </w:rPr>
        <w:t xml:space="preserve">Carol Tomé, výkonná ředitelka UPS.  „I když se vnější prostředí neustále mění, náš strategický rámec </w:t>
      </w:r>
      <w:r>
        <w:rPr>
          <w:rFonts w:hint="default" w:ascii="Arial" w:hAnsi="Arial" w:eastAsia="Arial"/>
          <w:sz w:val="22"/>
          <w:lang w:val="en-US"/>
        </w:rPr>
        <w:t>“b</w:t>
      </w:r>
      <w:r>
        <w:rPr>
          <w:rFonts w:hint="default" w:ascii="Arial" w:hAnsi="Arial" w:eastAsia="Arial"/>
          <w:sz w:val="22"/>
        </w:rPr>
        <w:t>etter not bigger</w:t>
      </w:r>
      <w:r>
        <w:rPr>
          <w:rFonts w:hint="default" w:ascii="Arial" w:hAnsi="Arial" w:eastAsia="Arial"/>
          <w:sz w:val="22"/>
          <w:lang w:val="en-US"/>
        </w:rPr>
        <w:t>”</w:t>
      </w:r>
      <w:r>
        <w:rPr>
          <w:rFonts w:hint="default" w:ascii="Arial" w:hAnsi="Arial" w:eastAsia="Arial"/>
          <w:sz w:val="22"/>
        </w:rPr>
        <w:t xml:space="preserve"> zásadně zlepšil téměř všechny aspekty našeho podnikání, což umožňuje větší agilitu a dobré finanční výsledky.“  </w:t>
      </w:r>
    </w:p>
    <w:p>
      <w:pPr>
        <w:spacing w:line="288" w:lineRule="auto"/>
        <w:rPr>
          <w:rFonts w:hint="default" w:ascii="Arial" w:hAnsi="Arial" w:eastAsia="Arial"/>
          <w:sz w:val="22"/>
        </w:rPr>
      </w:pPr>
      <w:r>
        <w:rPr>
          <w:rFonts w:hint="default" w:ascii="Arial" w:hAnsi="Arial" w:eastAsia="Arial"/>
          <w:sz w:val="22"/>
        </w:rPr>
        <w:t xml:space="preserve"> </w:t>
      </w:r>
    </w:p>
    <w:p>
      <w:pPr>
        <w:spacing w:line="288" w:lineRule="auto"/>
        <w:rPr>
          <w:rFonts w:hint="default" w:ascii="Arial" w:hAnsi="Arial" w:eastAsia="Arial"/>
          <w:b/>
          <w:bCs/>
          <w:sz w:val="22"/>
        </w:rPr>
      </w:pPr>
      <w:r>
        <w:rPr>
          <w:rFonts w:hint="default" w:ascii="Arial" w:hAnsi="Arial" w:eastAsia="Arial"/>
          <w:b/>
          <w:bCs/>
          <w:sz w:val="22"/>
          <w:lang w:val="en-US"/>
        </w:rPr>
        <w:t xml:space="preserve">Domácí trh </w:t>
      </w:r>
      <w:r>
        <w:rPr>
          <w:rFonts w:hint="default" w:ascii="Arial" w:hAnsi="Arial" w:eastAsia="Arial"/>
          <w:b/>
          <w:bCs/>
          <w:sz w:val="22"/>
        </w:rPr>
        <w:t>v USA</w:t>
      </w:r>
    </w:p>
    <w:tbl>
      <w:tblPr>
        <w:tblStyle w:val="3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1545"/>
        <w:gridCol w:w="1545"/>
        <w:gridCol w:w="1545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</w:trPr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/>
            </w:pPr>
          </w:p>
        </w:tc>
        <w:tc>
          <w:tcPr>
            <w:tcW w:w="1545" w:type="dxa"/>
            <w:tcBorders>
              <w:top w:val="single" w:color="000000" w:sz="8" w:space="0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>
            <w:pPr>
              <w:keepNext/>
              <w:spacing w:before="33" w:line="276" w:lineRule="auto"/>
              <w:jc w:val="right"/>
              <w:rPr>
                <w:b/>
                <w:u w:val="single"/>
              </w:rPr>
            </w:pPr>
          </w:p>
          <w:p>
            <w:pPr>
              <w:spacing w:after="30" w:line="276" w:lineRule="auto"/>
              <w:jc w:val="right"/>
              <w:rPr>
                <w:b/>
                <w:u w:val="single"/>
              </w:rPr>
            </w:pPr>
            <w:r>
              <w:rPr>
                <w:rFonts w:ascii="Arial" w:hAnsi="Arial" w:eastAsia="Arial" w:cs="Arial"/>
                <w:b/>
                <w:sz w:val="20"/>
                <w:u w:val="single"/>
              </w:rPr>
              <w:t>2Q 2022</w:t>
            </w:r>
          </w:p>
        </w:tc>
        <w:tc>
          <w:tcPr>
            <w:tcW w:w="1545" w:type="dxa"/>
            <w:tcBorders>
              <w:top w:val="single" w:color="000000" w:sz="8" w:space="0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>
            <w:pPr>
              <w:keepNext/>
              <w:spacing w:before="33" w:line="276" w:lineRule="auto"/>
              <w:jc w:val="right"/>
              <w:rPr>
                <w:rFonts w:hint="default"/>
                <w:b/>
                <w:u w:val="single"/>
                <w:lang w:val="en-US"/>
              </w:rPr>
            </w:pPr>
            <w:r>
              <w:rPr>
                <w:rFonts w:hint="default" w:ascii="Arial" w:hAnsi="Arial" w:eastAsia="Arial" w:cs="Arial"/>
                <w:b/>
                <w:sz w:val="20"/>
                <w:u w:val="single"/>
                <w:lang w:val="en-US"/>
              </w:rPr>
              <w:t>Upravené</w:t>
            </w:r>
          </w:p>
          <w:p>
            <w:pPr>
              <w:spacing w:after="30" w:line="276" w:lineRule="auto"/>
              <w:jc w:val="right"/>
              <w:rPr>
                <w:b/>
                <w:u w:val="single"/>
              </w:rPr>
            </w:pPr>
            <w:r>
              <w:rPr>
                <w:rFonts w:ascii="Arial" w:hAnsi="Arial" w:eastAsia="Arial" w:cs="Arial"/>
                <w:b/>
                <w:sz w:val="20"/>
                <w:u w:val="single"/>
              </w:rPr>
              <w:t>2Q 2022</w:t>
            </w:r>
          </w:p>
        </w:tc>
        <w:tc>
          <w:tcPr>
            <w:tcW w:w="1545" w:type="dxa"/>
            <w:tcBorders>
              <w:top w:val="single" w:color="000000" w:sz="8" w:space="0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>
            <w:pPr>
              <w:keepNext/>
              <w:spacing w:before="33" w:line="276" w:lineRule="auto"/>
              <w:jc w:val="right"/>
              <w:rPr>
                <w:b/>
                <w:u w:val="single"/>
              </w:rPr>
            </w:pPr>
          </w:p>
          <w:p>
            <w:pPr>
              <w:spacing w:after="30" w:line="276" w:lineRule="auto"/>
              <w:jc w:val="right"/>
              <w:rPr>
                <w:b/>
                <w:u w:val="single"/>
              </w:rPr>
            </w:pPr>
            <w:r>
              <w:rPr>
                <w:rFonts w:ascii="Arial" w:hAnsi="Arial" w:eastAsia="Arial" w:cs="Arial"/>
                <w:b/>
                <w:sz w:val="20"/>
                <w:u w:val="single"/>
              </w:rPr>
              <w:t>2Q 2021</w:t>
            </w:r>
          </w:p>
        </w:tc>
        <w:tc>
          <w:tcPr>
            <w:tcW w:w="154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>
            <w:pPr>
              <w:keepNext/>
              <w:spacing w:before="33" w:line="276" w:lineRule="auto"/>
              <w:jc w:val="right"/>
              <w:rPr>
                <w:rFonts w:hint="default"/>
                <w:b/>
                <w:u w:val="single"/>
                <w:lang w:val="en-US"/>
              </w:rPr>
            </w:pPr>
            <w:r>
              <w:rPr>
                <w:rFonts w:hint="default" w:ascii="Arial" w:hAnsi="Arial" w:eastAsia="Arial" w:cs="Arial"/>
                <w:b/>
                <w:sz w:val="20"/>
                <w:u w:val="single"/>
                <w:lang w:val="en-US"/>
              </w:rPr>
              <w:t>Upravené</w:t>
            </w:r>
          </w:p>
          <w:p>
            <w:pPr>
              <w:spacing w:after="30" w:line="276" w:lineRule="auto"/>
              <w:jc w:val="right"/>
              <w:rPr>
                <w:b/>
                <w:u w:val="single"/>
              </w:rPr>
            </w:pPr>
            <w:r>
              <w:rPr>
                <w:rFonts w:ascii="Arial" w:hAnsi="Arial" w:eastAsia="Arial" w:cs="Arial"/>
                <w:b/>
                <w:sz w:val="20"/>
                <w:u w:val="single"/>
              </w:rPr>
              <w:t>2Q 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exact"/>
        </w:trPr>
        <w:tc>
          <w:tcPr>
            <w:tcW w:w="2850" w:type="dxa"/>
            <w:tcBorders>
              <w:top w:val="nil"/>
              <w:left w:val="single" w:color="000000" w:sz="8" w:space="0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>
            <w:pPr>
              <w:keepNext/>
              <w:spacing w:before="53" w:after="30" w:line="276" w:lineRule="auto"/>
              <w:rPr>
                <w:rFonts w:hint="default"/>
                <w:lang w:val="en-US"/>
              </w:rPr>
            </w:pPr>
            <w:r>
              <w:rPr>
                <w:rFonts w:hint="default" w:ascii="Arial" w:hAnsi="Arial" w:eastAsia="Arial" w:cs="Arial"/>
                <w:sz w:val="20"/>
                <w:lang w:val="en-US"/>
              </w:rPr>
              <w:t xml:space="preserve">Příjmy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3" w:type="dxa"/>
            </w:tcMar>
          </w:tcPr>
          <w:p>
            <w:pPr>
              <w:keepNext/>
              <w:wordWrap w:val="0"/>
              <w:spacing w:before="53" w:after="30" w:line="276" w:lineRule="auto"/>
              <w:jc w:val="right"/>
              <w:rPr>
                <w:rFonts w:hint="default"/>
                <w:lang w:val="en-US"/>
              </w:rPr>
            </w:pPr>
            <w:r>
              <w:rPr>
                <w:rFonts w:ascii="Arial" w:hAnsi="Arial" w:eastAsia="Arial" w:cs="Arial"/>
                <w:color w:val="000000"/>
                <w:sz w:val="20"/>
              </w:rPr>
              <w:t>15</w:t>
            </w:r>
            <w:r>
              <w:rPr>
                <w:rFonts w:hint="default" w:ascii="Arial" w:hAnsi="Arial" w:eastAsia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hAnsi="Arial" w:eastAsia="Arial" w:cs="Arial"/>
                <w:color w:val="000000"/>
                <w:sz w:val="20"/>
              </w:rPr>
              <w:t xml:space="preserve">459 </w:t>
            </w:r>
            <w:r>
              <w:rPr>
                <w:rFonts w:hint="default" w:ascii="Arial" w:hAnsi="Arial" w:eastAsia="Arial" w:cs="Arial"/>
                <w:color w:val="000000"/>
                <w:sz w:val="20"/>
                <w:lang w:val="en-US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3" w:type="dxa"/>
            </w:tcMar>
          </w:tcPr>
          <w:p>
            <w:pPr>
              <w:keepNext/>
              <w:spacing w:before="53" w:after="30" w:line="276" w:lineRule="auto"/>
              <w:jc w:val="right"/>
            </w:pPr>
            <w:r>
              <w:rPr>
                <w:rFonts w:ascii="Arial" w:hAnsi="Arial" w:eastAsia="Arial" w:cs="Arial"/>
                <w:color w:val="000000"/>
                <w:sz w:val="20"/>
              </w:rPr>
              <w:t>14</w:t>
            </w:r>
            <w:r>
              <w:rPr>
                <w:rFonts w:hint="default" w:ascii="Arial" w:hAnsi="Arial" w:eastAsia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hAnsi="Arial" w:eastAsia="Arial" w:cs="Arial"/>
                <w:color w:val="000000"/>
                <w:sz w:val="20"/>
              </w:rPr>
              <w:t xml:space="preserve">402 </w:t>
            </w:r>
            <w:r>
              <w:rPr>
                <w:rFonts w:hint="default" w:ascii="Arial" w:hAnsi="Arial" w:eastAsia="Arial" w:cs="Arial"/>
                <w:color w:val="000000"/>
                <w:sz w:val="20"/>
                <w:lang w:val="en-US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exact"/>
        </w:trPr>
        <w:tc>
          <w:tcPr>
            <w:tcW w:w="285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>
            <w:pPr>
              <w:spacing w:before="53" w:after="30" w:line="276" w:lineRule="auto"/>
              <w:rPr>
                <w:rFonts w:hint="default"/>
                <w:lang w:val="en-US"/>
              </w:rPr>
            </w:pPr>
            <w:r>
              <w:rPr>
                <w:rFonts w:hint="default" w:ascii="Arial" w:hAnsi="Arial" w:eastAsia="Arial" w:cs="Arial"/>
                <w:sz w:val="20"/>
                <w:lang w:val="en-US"/>
              </w:rPr>
              <w:t>Provozní zisk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0" w:type="dxa"/>
              <w:left w:w="0" w:type="dxa"/>
              <w:bottom w:w="0" w:type="dxa"/>
              <w:right w:w="53" w:type="dxa"/>
            </w:tcMar>
          </w:tcPr>
          <w:p>
            <w:pPr>
              <w:spacing w:before="53" w:after="30" w:line="276" w:lineRule="auto"/>
              <w:jc w:val="right"/>
            </w:pPr>
            <w:r>
              <w:rPr>
                <w:rFonts w:ascii="Arial" w:hAnsi="Arial" w:eastAsia="Arial" w:cs="Arial"/>
                <w:color w:val="000000"/>
                <w:sz w:val="20"/>
              </w:rPr>
              <w:t>1</w:t>
            </w:r>
            <w:r>
              <w:rPr>
                <w:rFonts w:hint="default" w:ascii="Arial" w:hAnsi="Arial" w:eastAsia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hAnsi="Arial" w:eastAsia="Arial" w:cs="Arial"/>
                <w:color w:val="000000"/>
                <w:sz w:val="20"/>
              </w:rPr>
              <w:t xml:space="preserve">829 </w:t>
            </w:r>
            <w:r>
              <w:rPr>
                <w:rFonts w:hint="default" w:ascii="Arial" w:hAnsi="Arial" w:eastAsia="Arial" w:cs="Arial"/>
                <w:color w:val="000000"/>
                <w:sz w:val="20"/>
                <w:lang w:val="en-US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0" w:type="dxa"/>
              <w:left w:w="0" w:type="dxa"/>
              <w:bottom w:w="0" w:type="dxa"/>
              <w:right w:w="53" w:type="dxa"/>
            </w:tcMar>
          </w:tcPr>
          <w:p>
            <w:pPr>
              <w:spacing w:before="53" w:after="30" w:line="276" w:lineRule="auto"/>
              <w:jc w:val="right"/>
            </w:pPr>
            <w:r>
              <w:rPr>
                <w:rFonts w:ascii="Arial" w:hAnsi="Arial" w:eastAsia="Arial" w:cs="Arial"/>
                <w:color w:val="000000"/>
                <w:sz w:val="20"/>
              </w:rPr>
              <w:t>1</w:t>
            </w:r>
            <w:r>
              <w:rPr>
                <w:rFonts w:hint="default" w:ascii="Arial" w:hAnsi="Arial" w:eastAsia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hAnsi="Arial" w:eastAsia="Arial" w:cs="Arial"/>
                <w:color w:val="000000"/>
                <w:sz w:val="20"/>
              </w:rPr>
              <w:t xml:space="preserve">855 </w:t>
            </w:r>
            <w:r>
              <w:rPr>
                <w:rFonts w:hint="default" w:ascii="Arial" w:hAnsi="Arial" w:eastAsia="Arial" w:cs="Arial"/>
                <w:color w:val="000000"/>
                <w:sz w:val="20"/>
                <w:lang w:val="en-US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0" w:type="dxa"/>
              <w:left w:w="0" w:type="dxa"/>
              <w:bottom w:w="0" w:type="dxa"/>
              <w:right w:w="53" w:type="dxa"/>
            </w:tcMar>
          </w:tcPr>
          <w:p>
            <w:pPr>
              <w:spacing w:before="53" w:after="30" w:line="276" w:lineRule="auto"/>
              <w:jc w:val="right"/>
            </w:pPr>
            <w:r>
              <w:rPr>
                <w:rFonts w:ascii="Arial" w:hAnsi="Arial" w:eastAsia="Arial" w:cs="Arial"/>
                <w:color w:val="000000"/>
                <w:sz w:val="20"/>
              </w:rPr>
              <w:t>1</w:t>
            </w:r>
            <w:r>
              <w:rPr>
                <w:rFonts w:hint="default" w:ascii="Arial" w:hAnsi="Arial" w:eastAsia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hAnsi="Arial" w:eastAsia="Arial" w:cs="Arial"/>
                <w:color w:val="000000"/>
                <w:sz w:val="20"/>
              </w:rPr>
              <w:t xml:space="preserve">567 </w:t>
            </w:r>
            <w:r>
              <w:rPr>
                <w:rFonts w:hint="default" w:ascii="Arial" w:hAnsi="Arial" w:eastAsia="Arial" w:cs="Arial"/>
                <w:color w:val="000000"/>
                <w:sz w:val="20"/>
                <w:lang w:val="en-US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53" w:type="dxa"/>
            </w:tcMar>
          </w:tcPr>
          <w:p>
            <w:pPr>
              <w:spacing w:before="53" w:after="30" w:line="276" w:lineRule="auto"/>
              <w:jc w:val="right"/>
            </w:pPr>
            <w:r>
              <w:rPr>
                <w:rFonts w:ascii="Arial" w:hAnsi="Arial" w:eastAsia="Arial" w:cs="Arial"/>
                <w:color w:val="000000"/>
                <w:sz w:val="20"/>
              </w:rPr>
              <w:t>1</w:t>
            </w:r>
            <w:r>
              <w:rPr>
                <w:rFonts w:hint="default" w:ascii="Arial" w:hAnsi="Arial" w:eastAsia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hAnsi="Arial" w:eastAsia="Arial" w:cs="Arial"/>
                <w:color w:val="000000"/>
                <w:sz w:val="20"/>
              </w:rPr>
              <w:t xml:space="preserve">675 </w:t>
            </w:r>
            <w:r>
              <w:rPr>
                <w:rFonts w:hint="default" w:ascii="Arial" w:hAnsi="Arial" w:eastAsia="Arial" w:cs="Arial"/>
                <w:color w:val="000000"/>
                <w:sz w:val="20"/>
                <w:lang w:val="en-US"/>
              </w:rPr>
              <w:t>mil. USD</w:t>
            </w:r>
          </w:p>
        </w:tc>
      </w:tr>
    </w:tbl>
    <w:p>
      <w:pPr>
        <w:spacing w:line="276" w:lineRule="auto"/>
        <w:rPr>
          <w:rFonts w:ascii="Arial" w:hAnsi="Arial" w:eastAsia="Arial" w:cs="Arial"/>
        </w:rPr>
      </w:pPr>
    </w:p>
    <w:p>
      <w:pPr>
        <w:numPr>
          <w:ilvl w:val="0"/>
          <w:numId w:val="2"/>
        </w:numPr>
        <w:spacing w:line="269" w:lineRule="auto"/>
        <w:rPr>
          <w:rFonts w:hint="default" w:ascii="Arial" w:hAnsi="Arial" w:eastAsia="Arial" w:cs="Arial"/>
          <w:color w:val="auto"/>
          <w:sz w:val="22"/>
        </w:rPr>
      </w:pPr>
      <w:r>
        <w:rPr>
          <w:rFonts w:hint="default" w:ascii="Arial" w:hAnsi="Arial" w:eastAsia="Arial" w:cs="Arial"/>
          <w:color w:val="auto"/>
          <w:sz w:val="22"/>
        </w:rPr>
        <w:t xml:space="preserve">Tržby vzrostly o 7,3 % díky 11,9% nárůstu tržeb </w:t>
      </w:r>
      <w:r>
        <w:rPr>
          <w:rFonts w:hint="default" w:ascii="Arial" w:hAnsi="Arial" w:eastAsia="Arial" w:cs="Arial"/>
          <w:color w:val="auto"/>
          <w:sz w:val="22"/>
          <w:lang w:val="en-US"/>
        </w:rPr>
        <w:t>na zásilku</w:t>
      </w:r>
      <w:r>
        <w:rPr>
          <w:rFonts w:hint="default" w:ascii="Arial" w:hAnsi="Arial" w:eastAsia="Arial" w:cs="Arial"/>
          <w:color w:val="auto"/>
          <w:sz w:val="22"/>
        </w:rPr>
        <w:t>.</w:t>
      </w:r>
    </w:p>
    <w:p>
      <w:pPr>
        <w:numPr>
          <w:ilvl w:val="0"/>
          <w:numId w:val="2"/>
        </w:numPr>
        <w:spacing w:line="269" w:lineRule="auto"/>
        <w:rPr>
          <w:rFonts w:hint="default" w:ascii="Arial" w:hAnsi="Arial" w:eastAsia="Arial" w:cs="Arial"/>
          <w:color w:val="auto"/>
          <w:sz w:val="22"/>
        </w:rPr>
      </w:pPr>
      <w:r>
        <w:rPr>
          <w:rFonts w:hint="default" w:ascii="Arial" w:hAnsi="Arial" w:eastAsia="Arial" w:cs="Arial"/>
          <w:color w:val="auto"/>
          <w:sz w:val="22"/>
        </w:rPr>
        <w:t xml:space="preserve">Provozní marže </w:t>
      </w:r>
      <w:r>
        <w:rPr>
          <w:rFonts w:hint="default" w:ascii="Arial" w:hAnsi="Arial" w:eastAsia="Arial" w:cs="Arial"/>
          <w:color w:val="auto"/>
          <w:sz w:val="22"/>
          <w:lang w:val="en-US"/>
        </w:rPr>
        <w:t xml:space="preserve">dosáhla </w:t>
      </w:r>
      <w:r>
        <w:rPr>
          <w:rFonts w:hint="default" w:ascii="Arial" w:hAnsi="Arial" w:eastAsia="Arial" w:cs="Arial"/>
          <w:color w:val="auto"/>
          <w:sz w:val="22"/>
        </w:rPr>
        <w:t xml:space="preserve">11,8 %; upravená provozní marže </w:t>
      </w:r>
      <w:r>
        <w:rPr>
          <w:rFonts w:hint="default" w:ascii="Arial" w:hAnsi="Arial" w:eastAsia="Arial" w:cs="Arial"/>
          <w:color w:val="auto"/>
          <w:sz w:val="22"/>
          <w:lang w:val="en-US"/>
        </w:rPr>
        <w:t>činila</w:t>
      </w:r>
      <w:r>
        <w:rPr>
          <w:rFonts w:hint="default" w:ascii="Arial" w:hAnsi="Arial" w:eastAsia="Arial" w:cs="Arial"/>
          <w:color w:val="auto"/>
          <w:sz w:val="22"/>
        </w:rPr>
        <w:t xml:space="preserve"> 12,0 %.</w:t>
      </w:r>
    </w:p>
    <w:p>
      <w:pPr>
        <w:spacing w:line="238" w:lineRule="auto"/>
        <w:rPr>
          <w:rFonts w:ascii="Arial" w:hAnsi="Arial" w:eastAsia="Arial" w:cs="Arial"/>
          <w:b/>
        </w:rPr>
      </w:pPr>
    </w:p>
    <w:p>
      <w:pPr>
        <w:spacing w:line="238" w:lineRule="auto"/>
        <w:rPr>
          <w:rFonts w:ascii="Arial" w:hAnsi="Arial" w:eastAsia="Arial" w:cs="Arial"/>
          <w:b/>
        </w:rPr>
      </w:pPr>
    </w:p>
    <w:p>
      <w:pPr>
        <w:spacing w:line="238" w:lineRule="auto"/>
        <w:rPr>
          <w:rFonts w:ascii="Arial" w:hAnsi="Arial" w:eastAsia="Arial" w:cs="Arial"/>
          <w:b/>
        </w:rPr>
      </w:pPr>
      <w:r>
        <w:rPr>
          <w:rFonts w:hint="default" w:ascii="Arial" w:hAnsi="Arial" w:eastAsia="Arial" w:cs="Arial"/>
          <w:b/>
          <w:lang w:val="en-US"/>
        </w:rPr>
        <w:t>Mezinárodní přeprava</w:t>
      </w:r>
    </w:p>
    <w:tbl>
      <w:tblPr>
        <w:tblStyle w:val="3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1545"/>
        <w:gridCol w:w="1545"/>
        <w:gridCol w:w="1545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/>
            </w:pPr>
          </w:p>
        </w:tc>
        <w:tc>
          <w:tcPr>
            <w:tcW w:w="1545" w:type="dxa"/>
            <w:tcBorders>
              <w:top w:val="single" w:color="000000" w:sz="8" w:space="0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>
            <w:pPr>
              <w:keepNext/>
              <w:spacing w:before="33" w:line="276" w:lineRule="auto"/>
              <w:jc w:val="right"/>
              <w:rPr>
                <w:b/>
                <w:u w:val="single"/>
              </w:rPr>
            </w:pPr>
          </w:p>
          <w:p>
            <w:pPr>
              <w:spacing w:after="30" w:line="276" w:lineRule="auto"/>
              <w:jc w:val="right"/>
              <w:rPr>
                <w:rFonts w:ascii="Arial" w:hAnsi="Arial" w:eastAsia="Arial" w:cs="Arial"/>
                <w:b/>
                <w:sz w:val="20"/>
                <w:u w:val="single"/>
              </w:rPr>
            </w:pPr>
            <w:r>
              <w:rPr>
                <w:rFonts w:ascii="Arial" w:hAnsi="Arial" w:eastAsia="Arial" w:cs="Arial"/>
                <w:b/>
                <w:sz w:val="20"/>
                <w:u w:val="single"/>
              </w:rPr>
              <w:t>2Q 2022</w:t>
            </w:r>
          </w:p>
        </w:tc>
        <w:tc>
          <w:tcPr>
            <w:tcW w:w="1545" w:type="dxa"/>
            <w:tcBorders>
              <w:top w:val="single" w:color="000000" w:sz="8" w:space="0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>
            <w:pPr>
              <w:keepNext/>
              <w:spacing w:before="33" w:line="276" w:lineRule="auto"/>
              <w:jc w:val="right"/>
              <w:rPr>
                <w:rFonts w:hint="default"/>
                <w:b/>
                <w:u w:val="single"/>
                <w:lang w:val="en-US"/>
              </w:rPr>
            </w:pPr>
            <w:r>
              <w:rPr>
                <w:rFonts w:hint="default" w:ascii="Arial" w:hAnsi="Arial" w:eastAsia="Arial" w:cs="Arial"/>
                <w:b/>
                <w:sz w:val="20"/>
                <w:u w:val="single"/>
                <w:lang w:val="en-US"/>
              </w:rPr>
              <w:t>Upravené</w:t>
            </w:r>
          </w:p>
          <w:p>
            <w:pPr>
              <w:spacing w:after="30" w:line="276" w:lineRule="auto"/>
              <w:jc w:val="right"/>
              <w:rPr>
                <w:b/>
                <w:u w:val="single"/>
              </w:rPr>
            </w:pPr>
            <w:r>
              <w:rPr>
                <w:rFonts w:ascii="Arial" w:hAnsi="Arial" w:eastAsia="Arial" w:cs="Arial"/>
                <w:b/>
                <w:sz w:val="20"/>
                <w:u w:val="single"/>
              </w:rPr>
              <w:t>2Q 2022</w:t>
            </w:r>
          </w:p>
        </w:tc>
        <w:tc>
          <w:tcPr>
            <w:tcW w:w="1545" w:type="dxa"/>
            <w:tcBorders>
              <w:top w:val="single" w:color="000000" w:sz="8" w:space="0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>
            <w:pPr>
              <w:keepNext/>
              <w:spacing w:before="33" w:line="276" w:lineRule="auto"/>
              <w:jc w:val="right"/>
              <w:rPr>
                <w:b/>
                <w:u w:val="single"/>
              </w:rPr>
            </w:pPr>
          </w:p>
          <w:p>
            <w:pPr>
              <w:spacing w:after="30" w:line="276" w:lineRule="auto"/>
              <w:jc w:val="right"/>
              <w:rPr>
                <w:b/>
                <w:u w:val="single"/>
              </w:rPr>
            </w:pPr>
            <w:r>
              <w:rPr>
                <w:rFonts w:ascii="Arial" w:hAnsi="Arial" w:eastAsia="Arial" w:cs="Arial"/>
                <w:b/>
                <w:sz w:val="20"/>
                <w:u w:val="single"/>
              </w:rPr>
              <w:t>2Q 2021</w:t>
            </w:r>
          </w:p>
        </w:tc>
        <w:tc>
          <w:tcPr>
            <w:tcW w:w="154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>
            <w:pPr>
              <w:keepNext/>
              <w:spacing w:before="33" w:line="276" w:lineRule="auto"/>
              <w:jc w:val="right"/>
              <w:rPr>
                <w:rFonts w:hint="default"/>
                <w:b/>
                <w:u w:val="single"/>
                <w:lang w:val="en-US"/>
              </w:rPr>
            </w:pPr>
            <w:r>
              <w:rPr>
                <w:rFonts w:hint="default" w:ascii="Arial" w:hAnsi="Arial" w:eastAsia="Arial" w:cs="Arial"/>
                <w:b/>
                <w:sz w:val="20"/>
                <w:u w:val="single"/>
                <w:lang w:val="en-US"/>
              </w:rPr>
              <w:t>Upravené</w:t>
            </w:r>
          </w:p>
          <w:p>
            <w:pPr>
              <w:spacing w:after="30" w:line="276" w:lineRule="auto"/>
              <w:jc w:val="right"/>
              <w:rPr>
                <w:b/>
                <w:u w:val="single"/>
              </w:rPr>
            </w:pPr>
            <w:r>
              <w:rPr>
                <w:rFonts w:ascii="Arial" w:hAnsi="Arial" w:eastAsia="Arial" w:cs="Arial"/>
                <w:b/>
                <w:sz w:val="20"/>
                <w:u w:val="single"/>
              </w:rPr>
              <w:t>2Q 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exact"/>
        </w:trPr>
        <w:tc>
          <w:tcPr>
            <w:tcW w:w="2850" w:type="dxa"/>
            <w:tcBorders>
              <w:top w:val="nil"/>
              <w:left w:val="single" w:color="000000" w:sz="8" w:space="0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>
            <w:pPr>
              <w:keepNext/>
              <w:spacing w:before="53" w:after="30" w:line="276" w:lineRule="auto"/>
              <w:rPr>
                <w:rFonts w:hint="default"/>
                <w:lang w:val="en-US"/>
              </w:rPr>
            </w:pPr>
            <w:r>
              <w:rPr>
                <w:rFonts w:hint="default" w:ascii="Arial" w:hAnsi="Arial" w:eastAsia="Arial" w:cs="Arial"/>
                <w:sz w:val="20"/>
                <w:lang w:val="en-US"/>
              </w:rPr>
              <w:t>Příjmy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3" w:type="dxa"/>
            </w:tcMar>
          </w:tcPr>
          <w:p>
            <w:pPr>
              <w:keepNext/>
              <w:spacing w:before="53" w:after="30" w:line="276" w:lineRule="auto"/>
              <w:jc w:val="right"/>
            </w:pPr>
            <w:r>
              <w:rPr>
                <w:rFonts w:ascii="Arial" w:hAnsi="Arial" w:eastAsia="Arial" w:cs="Arial"/>
                <w:color w:val="000000"/>
                <w:sz w:val="20"/>
              </w:rPr>
              <w:t>5</w:t>
            </w:r>
            <w:r>
              <w:rPr>
                <w:rFonts w:hint="default" w:ascii="Arial" w:hAnsi="Arial" w:eastAsia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hAnsi="Arial" w:eastAsia="Arial" w:cs="Arial"/>
                <w:color w:val="000000"/>
                <w:sz w:val="20"/>
              </w:rPr>
              <w:t xml:space="preserve">073 </w:t>
            </w:r>
            <w:r>
              <w:rPr>
                <w:rFonts w:hint="default" w:ascii="Arial" w:hAnsi="Arial" w:eastAsia="Arial" w:cs="Arial"/>
                <w:color w:val="000000"/>
                <w:sz w:val="20"/>
                <w:lang w:val="en-US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3" w:type="dxa"/>
            </w:tcMar>
          </w:tcPr>
          <w:p>
            <w:pPr>
              <w:keepNext/>
              <w:spacing w:before="53" w:after="30" w:line="276" w:lineRule="auto"/>
              <w:jc w:val="right"/>
            </w:pPr>
            <w:r>
              <w:rPr>
                <w:rFonts w:ascii="Arial" w:hAnsi="Arial" w:eastAsia="Arial" w:cs="Arial"/>
                <w:color w:val="000000"/>
                <w:sz w:val="20"/>
              </w:rPr>
              <w:t>4</w:t>
            </w:r>
            <w:r>
              <w:rPr>
                <w:rFonts w:hint="default" w:ascii="Arial" w:hAnsi="Arial" w:eastAsia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hAnsi="Arial" w:eastAsia="Arial" w:cs="Arial"/>
                <w:color w:val="000000"/>
                <w:sz w:val="20"/>
              </w:rPr>
              <w:t xml:space="preserve">817 </w:t>
            </w:r>
            <w:r>
              <w:rPr>
                <w:rFonts w:hint="default" w:ascii="Arial" w:hAnsi="Arial" w:eastAsia="Arial" w:cs="Arial"/>
                <w:color w:val="000000"/>
                <w:sz w:val="20"/>
                <w:lang w:val="en-US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exact"/>
        </w:trPr>
        <w:tc>
          <w:tcPr>
            <w:tcW w:w="285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>
            <w:pPr>
              <w:spacing w:before="53" w:after="30" w:line="276" w:lineRule="auto"/>
              <w:rPr>
                <w:rFonts w:hint="default"/>
                <w:lang w:val="en-US"/>
              </w:rPr>
            </w:pPr>
            <w:r>
              <w:rPr>
                <w:rFonts w:hint="default" w:ascii="Arial" w:hAnsi="Arial" w:eastAsia="Arial" w:cs="Arial"/>
                <w:sz w:val="20"/>
                <w:lang w:val="en-US"/>
              </w:rPr>
              <w:t>Provozní zisk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0" w:type="dxa"/>
              <w:left w:w="0" w:type="dxa"/>
              <w:bottom w:w="0" w:type="dxa"/>
              <w:right w:w="53" w:type="dxa"/>
            </w:tcMar>
          </w:tcPr>
          <w:p>
            <w:pPr>
              <w:spacing w:before="53" w:after="30" w:line="276" w:lineRule="auto"/>
              <w:jc w:val="right"/>
            </w:pPr>
            <w:r>
              <w:rPr>
                <w:rFonts w:ascii="Arial" w:hAnsi="Arial" w:eastAsia="Arial" w:cs="Arial"/>
                <w:color w:val="000000"/>
                <w:sz w:val="20"/>
              </w:rPr>
              <w:t>1</w:t>
            </w:r>
            <w:r>
              <w:rPr>
                <w:rFonts w:hint="default" w:ascii="Arial" w:hAnsi="Arial" w:eastAsia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hAnsi="Arial" w:eastAsia="Arial" w:cs="Arial"/>
                <w:color w:val="000000"/>
                <w:sz w:val="20"/>
              </w:rPr>
              <w:t xml:space="preserve">193 </w:t>
            </w:r>
            <w:r>
              <w:rPr>
                <w:rFonts w:hint="default" w:ascii="Arial" w:hAnsi="Arial" w:eastAsia="Arial" w:cs="Arial"/>
                <w:color w:val="000000"/>
                <w:sz w:val="20"/>
                <w:lang w:val="en-US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0" w:type="dxa"/>
              <w:left w:w="0" w:type="dxa"/>
              <w:bottom w:w="0" w:type="dxa"/>
              <w:right w:w="53" w:type="dxa"/>
            </w:tcMar>
          </w:tcPr>
          <w:p>
            <w:pPr>
              <w:spacing w:before="53" w:after="30" w:line="276" w:lineRule="auto"/>
              <w:jc w:val="right"/>
            </w:pPr>
            <w:r>
              <w:rPr>
                <w:rFonts w:ascii="Arial" w:hAnsi="Arial" w:eastAsia="Arial" w:cs="Arial"/>
                <w:color w:val="000000"/>
                <w:sz w:val="20"/>
              </w:rPr>
              <w:t>1</w:t>
            </w:r>
            <w:r>
              <w:rPr>
                <w:rFonts w:hint="default" w:ascii="Arial" w:hAnsi="Arial" w:eastAsia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hAnsi="Arial" w:eastAsia="Arial" w:cs="Arial"/>
                <w:color w:val="000000"/>
                <w:sz w:val="20"/>
              </w:rPr>
              <w:t xml:space="preserve">204 </w:t>
            </w:r>
            <w:r>
              <w:rPr>
                <w:rFonts w:hint="default" w:ascii="Arial" w:hAnsi="Arial" w:eastAsia="Arial" w:cs="Arial"/>
                <w:color w:val="000000"/>
                <w:sz w:val="20"/>
                <w:lang w:val="en-US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0" w:type="dxa"/>
              <w:left w:w="0" w:type="dxa"/>
              <w:bottom w:w="0" w:type="dxa"/>
              <w:right w:w="53" w:type="dxa"/>
            </w:tcMar>
          </w:tcPr>
          <w:p>
            <w:pPr>
              <w:spacing w:before="53" w:after="30" w:line="276" w:lineRule="auto"/>
              <w:jc w:val="right"/>
            </w:pPr>
            <w:r>
              <w:rPr>
                <w:rFonts w:ascii="Arial" w:hAnsi="Arial" w:eastAsia="Arial" w:cs="Arial"/>
                <w:color w:val="000000"/>
                <w:sz w:val="20"/>
              </w:rPr>
              <w:t>1</w:t>
            </w:r>
            <w:r>
              <w:rPr>
                <w:rFonts w:hint="default" w:ascii="Arial" w:hAnsi="Arial" w:eastAsia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hAnsi="Arial" w:eastAsia="Arial" w:cs="Arial"/>
                <w:color w:val="000000"/>
                <w:sz w:val="20"/>
              </w:rPr>
              <w:t xml:space="preserve">184 </w:t>
            </w:r>
            <w:r>
              <w:rPr>
                <w:rFonts w:hint="default" w:ascii="Arial" w:hAnsi="Arial" w:eastAsia="Arial" w:cs="Arial"/>
                <w:color w:val="000000"/>
                <w:sz w:val="20"/>
                <w:lang w:val="en-US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53" w:type="dxa"/>
            </w:tcMar>
          </w:tcPr>
          <w:p>
            <w:pPr>
              <w:spacing w:before="53" w:after="30" w:line="276" w:lineRule="auto"/>
              <w:jc w:val="right"/>
            </w:pPr>
            <w:r>
              <w:rPr>
                <w:rFonts w:ascii="Arial" w:hAnsi="Arial" w:eastAsia="Arial" w:cs="Arial"/>
                <w:color w:val="000000"/>
                <w:sz w:val="20"/>
              </w:rPr>
              <w:t>1</w:t>
            </w:r>
            <w:r>
              <w:rPr>
                <w:rFonts w:hint="default" w:ascii="Arial" w:hAnsi="Arial" w:eastAsia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hAnsi="Arial" w:eastAsia="Arial" w:cs="Arial"/>
                <w:color w:val="000000"/>
                <w:sz w:val="20"/>
              </w:rPr>
              <w:t xml:space="preserve">190 </w:t>
            </w:r>
            <w:r>
              <w:rPr>
                <w:rFonts w:hint="default" w:ascii="Arial" w:hAnsi="Arial" w:eastAsia="Arial" w:cs="Arial"/>
                <w:color w:val="000000"/>
                <w:sz w:val="20"/>
                <w:lang w:val="en-US"/>
              </w:rPr>
              <w:t>mil. USD</w:t>
            </w:r>
          </w:p>
        </w:tc>
      </w:tr>
    </w:tbl>
    <w:p>
      <w:pPr>
        <w:spacing w:line="276" w:lineRule="auto"/>
        <w:rPr>
          <w:rFonts w:ascii="Arial" w:hAnsi="Arial" w:eastAsia="Arial" w:cs="Arial"/>
          <w:sz w:val="22"/>
        </w:rPr>
      </w:pPr>
    </w:p>
    <w:p>
      <w:pPr>
        <w:numPr>
          <w:ilvl w:val="0"/>
          <w:numId w:val="2"/>
        </w:numPr>
        <w:spacing w:line="269" w:lineRule="auto"/>
        <w:rPr>
          <w:rFonts w:hint="default" w:ascii="Arial" w:hAnsi="Arial" w:eastAsia="Arial" w:cs="Arial"/>
          <w:color w:val="auto"/>
          <w:sz w:val="22"/>
        </w:rPr>
      </w:pPr>
      <w:r>
        <w:rPr>
          <w:rFonts w:hint="default" w:ascii="Arial" w:hAnsi="Arial" w:eastAsia="Arial" w:cs="Arial"/>
          <w:color w:val="auto"/>
          <w:sz w:val="22"/>
        </w:rPr>
        <w:t xml:space="preserve">Tržby vzrostly o 5,3 % díky 14,8% nárůstu tržeb na </w:t>
      </w:r>
      <w:r>
        <w:rPr>
          <w:rFonts w:hint="default" w:ascii="Arial" w:hAnsi="Arial" w:eastAsia="Arial" w:cs="Arial"/>
          <w:color w:val="auto"/>
          <w:sz w:val="22"/>
          <w:lang w:val="en-US"/>
        </w:rPr>
        <w:t>zásilku</w:t>
      </w:r>
      <w:r>
        <w:rPr>
          <w:rFonts w:hint="default" w:ascii="Arial" w:hAnsi="Arial" w:eastAsia="Arial" w:cs="Arial"/>
          <w:color w:val="auto"/>
          <w:sz w:val="22"/>
        </w:rPr>
        <w:t>.</w:t>
      </w:r>
    </w:p>
    <w:p>
      <w:pPr>
        <w:numPr>
          <w:ilvl w:val="0"/>
          <w:numId w:val="2"/>
        </w:numPr>
        <w:spacing w:line="269" w:lineRule="auto"/>
        <w:rPr>
          <w:rFonts w:hint="default" w:ascii="Arial" w:hAnsi="Arial" w:eastAsia="Arial" w:cs="Arial"/>
          <w:color w:val="auto"/>
          <w:sz w:val="22"/>
        </w:rPr>
      </w:pPr>
      <w:r>
        <w:rPr>
          <w:rFonts w:hint="default" w:ascii="Arial" w:hAnsi="Arial" w:eastAsia="Arial" w:cs="Arial"/>
          <w:color w:val="auto"/>
          <w:sz w:val="22"/>
        </w:rPr>
        <w:t>Provozní marže činila 23,5 %; upravená provozní marže byla 23,7 %.</w:t>
      </w:r>
    </w:p>
    <w:p>
      <w:pPr>
        <w:numPr>
          <w:numId w:val="0"/>
        </w:numPr>
        <w:tabs>
          <w:tab w:val="left" w:pos="720"/>
        </w:tabs>
        <w:spacing w:line="288" w:lineRule="auto"/>
        <w:rPr>
          <w:rFonts w:ascii="Arial" w:hAnsi="Arial" w:eastAsia="Arial" w:cs="Arial"/>
          <w:sz w:val="22"/>
        </w:rPr>
      </w:pPr>
    </w:p>
    <w:p>
      <w:pPr>
        <w:numPr>
          <w:numId w:val="0"/>
        </w:numPr>
        <w:tabs>
          <w:tab w:val="left" w:pos="720"/>
        </w:tabs>
        <w:spacing w:line="288" w:lineRule="auto"/>
        <w:rPr>
          <w:rFonts w:ascii="Arial" w:hAnsi="Arial" w:eastAsia="Arial" w:cs="Arial"/>
          <w:sz w:val="22"/>
        </w:rPr>
      </w:pPr>
    </w:p>
    <w:p>
      <w:pPr>
        <w:spacing w:line="238" w:lineRule="auto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lang w:val="en-US"/>
        </w:rPr>
        <w:t>Ř</w:t>
      </w:r>
      <w:r>
        <w:rPr>
          <w:rFonts w:hint="default" w:ascii="Arial" w:hAnsi="Arial" w:eastAsia="Arial" w:cs="Arial"/>
          <w:b/>
          <w:lang w:val="en-US"/>
        </w:rPr>
        <w:t>ešení pro dodavatelské řetězce</w:t>
      </w:r>
      <w:r>
        <w:rPr>
          <w:rFonts w:ascii="Arial" w:hAnsi="Arial" w:eastAsia="Arial" w:cs="Arial"/>
          <w:b/>
          <w:vertAlign w:val="superscript"/>
        </w:rPr>
        <w:t>1</w:t>
      </w:r>
      <w:r>
        <w:rPr>
          <w:rFonts w:ascii="Arial" w:hAnsi="Arial" w:eastAsia="Arial" w:cs="Arial"/>
          <w:b/>
        </w:rPr>
        <w:t xml:space="preserve"> </w:t>
      </w:r>
    </w:p>
    <w:tbl>
      <w:tblPr>
        <w:tblStyle w:val="3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1545"/>
        <w:gridCol w:w="1545"/>
        <w:gridCol w:w="1545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</w:trPr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/>
            </w:pPr>
          </w:p>
        </w:tc>
        <w:tc>
          <w:tcPr>
            <w:tcW w:w="1545" w:type="dxa"/>
            <w:tcBorders>
              <w:top w:val="single" w:color="000000" w:sz="8" w:space="0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>
            <w:pPr>
              <w:keepNext/>
              <w:spacing w:before="33" w:line="276" w:lineRule="auto"/>
              <w:jc w:val="right"/>
              <w:rPr>
                <w:b/>
                <w:u w:val="single"/>
              </w:rPr>
            </w:pPr>
          </w:p>
          <w:p>
            <w:pPr>
              <w:spacing w:after="30" w:line="276" w:lineRule="auto"/>
              <w:jc w:val="right"/>
              <w:rPr>
                <w:b/>
                <w:u w:val="single"/>
              </w:rPr>
            </w:pPr>
            <w:r>
              <w:rPr>
                <w:rFonts w:ascii="Arial" w:hAnsi="Arial" w:eastAsia="Arial" w:cs="Arial"/>
                <w:b/>
                <w:sz w:val="20"/>
                <w:u w:val="single"/>
              </w:rPr>
              <w:t>2Q 2022</w:t>
            </w:r>
          </w:p>
        </w:tc>
        <w:tc>
          <w:tcPr>
            <w:tcW w:w="1545" w:type="dxa"/>
            <w:tcBorders>
              <w:top w:val="single" w:color="000000" w:sz="8" w:space="0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>
            <w:pPr>
              <w:keepNext/>
              <w:spacing w:before="33" w:line="276" w:lineRule="auto"/>
              <w:jc w:val="right"/>
              <w:rPr>
                <w:rFonts w:hint="default"/>
                <w:b/>
                <w:u w:val="single"/>
                <w:lang w:val="en-US"/>
              </w:rPr>
            </w:pPr>
            <w:r>
              <w:rPr>
                <w:rFonts w:hint="default" w:ascii="Arial" w:hAnsi="Arial" w:eastAsia="Arial" w:cs="Arial"/>
                <w:b/>
                <w:sz w:val="20"/>
                <w:u w:val="single"/>
                <w:lang w:val="en-US"/>
              </w:rPr>
              <w:t>Upravené</w:t>
            </w:r>
          </w:p>
          <w:p>
            <w:pPr>
              <w:spacing w:after="30" w:line="276" w:lineRule="auto"/>
              <w:jc w:val="right"/>
              <w:rPr>
                <w:b/>
                <w:u w:val="single"/>
              </w:rPr>
            </w:pPr>
            <w:r>
              <w:rPr>
                <w:rFonts w:ascii="Arial" w:hAnsi="Arial" w:eastAsia="Arial" w:cs="Arial"/>
                <w:b/>
                <w:sz w:val="20"/>
                <w:u w:val="single"/>
              </w:rPr>
              <w:t>2Q 2022</w:t>
            </w:r>
          </w:p>
        </w:tc>
        <w:tc>
          <w:tcPr>
            <w:tcW w:w="1545" w:type="dxa"/>
            <w:tcBorders>
              <w:top w:val="single" w:color="000000" w:sz="8" w:space="0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>
            <w:pPr>
              <w:keepNext/>
              <w:spacing w:before="33" w:line="276" w:lineRule="auto"/>
              <w:jc w:val="right"/>
              <w:rPr>
                <w:b/>
                <w:u w:val="single"/>
              </w:rPr>
            </w:pPr>
          </w:p>
          <w:p>
            <w:pPr>
              <w:spacing w:after="30" w:line="276" w:lineRule="auto"/>
              <w:jc w:val="right"/>
              <w:rPr>
                <w:b/>
                <w:u w:val="single"/>
              </w:rPr>
            </w:pPr>
            <w:r>
              <w:rPr>
                <w:rFonts w:ascii="Arial" w:hAnsi="Arial" w:eastAsia="Arial" w:cs="Arial"/>
                <w:b/>
                <w:sz w:val="20"/>
                <w:u w:val="single"/>
              </w:rPr>
              <w:t>2Q 2021</w:t>
            </w:r>
          </w:p>
        </w:tc>
        <w:tc>
          <w:tcPr>
            <w:tcW w:w="154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>
            <w:pPr>
              <w:keepNext/>
              <w:spacing w:before="33" w:line="276" w:lineRule="auto"/>
              <w:jc w:val="right"/>
              <w:rPr>
                <w:rFonts w:hint="default"/>
                <w:b/>
                <w:u w:val="single"/>
                <w:lang w:val="en-US"/>
              </w:rPr>
            </w:pPr>
            <w:r>
              <w:rPr>
                <w:rFonts w:hint="default" w:ascii="Arial" w:hAnsi="Arial" w:eastAsia="Arial" w:cs="Arial"/>
                <w:b/>
                <w:sz w:val="20"/>
                <w:u w:val="single"/>
                <w:lang w:val="en-US"/>
              </w:rPr>
              <w:t>Upravené</w:t>
            </w:r>
          </w:p>
          <w:p>
            <w:pPr>
              <w:spacing w:after="30" w:line="276" w:lineRule="auto"/>
              <w:jc w:val="right"/>
              <w:rPr>
                <w:b/>
                <w:u w:val="single"/>
              </w:rPr>
            </w:pPr>
            <w:r>
              <w:rPr>
                <w:rFonts w:ascii="Arial" w:hAnsi="Arial" w:eastAsia="Arial" w:cs="Arial"/>
                <w:b/>
                <w:sz w:val="20"/>
                <w:u w:val="single"/>
              </w:rPr>
              <w:t>2Q 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exact"/>
        </w:trPr>
        <w:tc>
          <w:tcPr>
            <w:tcW w:w="2850" w:type="dxa"/>
            <w:tcBorders>
              <w:top w:val="nil"/>
              <w:left w:val="single" w:color="000000" w:sz="8" w:space="0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>
            <w:pPr>
              <w:keepNext/>
              <w:spacing w:before="53" w:after="30" w:line="276" w:lineRule="auto"/>
              <w:rPr>
                <w:rFonts w:hint="default"/>
                <w:lang w:val="en-US"/>
              </w:rPr>
            </w:pPr>
            <w:r>
              <w:rPr>
                <w:rFonts w:hint="default" w:ascii="Arial" w:hAnsi="Arial" w:eastAsia="Arial" w:cs="Arial"/>
                <w:sz w:val="20"/>
                <w:lang w:val="en-US"/>
              </w:rPr>
              <w:t>Příjmy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3" w:type="dxa"/>
            </w:tcMar>
          </w:tcPr>
          <w:p>
            <w:pPr>
              <w:keepNext/>
              <w:spacing w:before="53" w:after="30" w:line="276" w:lineRule="auto"/>
              <w:jc w:val="right"/>
            </w:pPr>
            <w:r>
              <w:rPr>
                <w:rFonts w:ascii="Arial" w:hAnsi="Arial" w:eastAsia="Arial" w:cs="Arial"/>
                <w:color w:val="000000"/>
                <w:sz w:val="20"/>
              </w:rPr>
              <w:t>4</w:t>
            </w:r>
            <w:r>
              <w:rPr>
                <w:rFonts w:hint="default" w:ascii="Arial" w:hAnsi="Arial" w:eastAsia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hAnsi="Arial" w:eastAsia="Arial" w:cs="Arial"/>
                <w:color w:val="000000"/>
                <w:sz w:val="20"/>
              </w:rPr>
              <w:t xml:space="preserve">234 </w:t>
            </w:r>
            <w:r>
              <w:rPr>
                <w:rFonts w:hint="default" w:ascii="Arial" w:hAnsi="Arial" w:eastAsia="Arial" w:cs="Arial"/>
                <w:color w:val="000000"/>
                <w:sz w:val="20"/>
                <w:lang w:val="en-US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3" w:type="dxa"/>
            </w:tcMar>
          </w:tcPr>
          <w:p>
            <w:pPr>
              <w:keepNext/>
              <w:spacing w:before="53" w:after="30" w:line="276" w:lineRule="auto"/>
              <w:jc w:val="right"/>
            </w:pPr>
            <w:r>
              <w:rPr>
                <w:rFonts w:ascii="Arial" w:hAnsi="Arial" w:eastAsia="Arial" w:cs="Arial"/>
                <w:color w:val="000000"/>
                <w:sz w:val="20"/>
              </w:rPr>
              <w:t>4</w:t>
            </w:r>
            <w:r>
              <w:rPr>
                <w:rFonts w:hint="default" w:ascii="Arial" w:hAnsi="Arial" w:eastAsia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hAnsi="Arial" w:eastAsia="Arial" w:cs="Arial"/>
                <w:color w:val="000000"/>
                <w:sz w:val="20"/>
              </w:rPr>
              <w:t xml:space="preserve">205 </w:t>
            </w:r>
            <w:r>
              <w:rPr>
                <w:rFonts w:hint="default" w:ascii="Arial" w:hAnsi="Arial" w:eastAsia="Arial" w:cs="Arial"/>
                <w:color w:val="000000"/>
                <w:sz w:val="20"/>
                <w:lang w:val="en-US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exact"/>
        </w:trPr>
        <w:tc>
          <w:tcPr>
            <w:tcW w:w="285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>
            <w:pPr>
              <w:spacing w:before="53" w:after="30" w:line="276" w:lineRule="auto"/>
              <w:rPr>
                <w:rFonts w:hint="default"/>
                <w:lang w:val="en-US"/>
              </w:rPr>
            </w:pPr>
            <w:r>
              <w:rPr>
                <w:rFonts w:hint="default" w:ascii="Arial" w:hAnsi="Arial" w:eastAsia="Arial" w:cs="Arial"/>
                <w:sz w:val="20"/>
                <w:lang w:val="en-US"/>
              </w:rPr>
              <w:t>Provozní zisk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0" w:type="dxa"/>
              <w:left w:w="0" w:type="dxa"/>
              <w:bottom w:w="0" w:type="dxa"/>
              <w:right w:w="53" w:type="dxa"/>
            </w:tcMar>
          </w:tcPr>
          <w:p>
            <w:pPr>
              <w:spacing w:before="53" w:after="30" w:line="276" w:lineRule="auto"/>
              <w:jc w:val="right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513 </w:t>
            </w:r>
            <w:r>
              <w:rPr>
                <w:rFonts w:hint="default" w:ascii="Arial" w:hAnsi="Arial" w:eastAsia="Arial" w:cs="Arial"/>
                <w:color w:val="000000"/>
                <w:sz w:val="20"/>
                <w:lang w:val="en-US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0" w:type="dxa"/>
              <w:left w:w="0" w:type="dxa"/>
              <w:bottom w:w="0" w:type="dxa"/>
              <w:right w:w="53" w:type="dxa"/>
            </w:tcMar>
          </w:tcPr>
          <w:p>
            <w:pPr>
              <w:spacing w:before="53" w:after="30" w:line="276" w:lineRule="auto"/>
              <w:jc w:val="right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517 </w:t>
            </w:r>
            <w:r>
              <w:rPr>
                <w:rFonts w:hint="default" w:ascii="Arial" w:hAnsi="Arial" w:eastAsia="Arial" w:cs="Arial"/>
                <w:color w:val="000000"/>
                <w:sz w:val="20"/>
                <w:lang w:val="en-US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0" w:type="dxa"/>
              <w:left w:w="0" w:type="dxa"/>
              <w:bottom w:w="0" w:type="dxa"/>
              <w:right w:w="53" w:type="dxa"/>
            </w:tcMar>
          </w:tcPr>
          <w:p>
            <w:pPr>
              <w:spacing w:before="53" w:after="30" w:line="276" w:lineRule="auto"/>
              <w:jc w:val="right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507 </w:t>
            </w:r>
            <w:r>
              <w:rPr>
                <w:rFonts w:hint="default" w:ascii="Arial" w:hAnsi="Arial" w:eastAsia="Arial" w:cs="Arial"/>
                <w:color w:val="000000"/>
                <w:sz w:val="20"/>
                <w:lang w:val="en-US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53" w:type="dxa"/>
            </w:tcMar>
          </w:tcPr>
          <w:p>
            <w:pPr>
              <w:spacing w:before="53" w:after="30" w:line="276" w:lineRule="auto"/>
              <w:jc w:val="right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408 </w:t>
            </w:r>
            <w:r>
              <w:rPr>
                <w:rFonts w:hint="default" w:ascii="Arial" w:hAnsi="Arial" w:eastAsia="Arial" w:cs="Arial"/>
                <w:color w:val="000000"/>
                <w:sz w:val="20"/>
                <w:lang w:val="en-US"/>
              </w:rPr>
              <w:t>mil. USD</w:t>
            </w:r>
          </w:p>
        </w:tc>
      </w:tr>
    </w:tbl>
    <w:p>
      <w:pPr>
        <w:spacing w:line="288" w:lineRule="auto"/>
        <w:rPr>
          <w:rFonts w:hint="default" w:ascii="Arial" w:hAnsi="Arial" w:eastAsia="Arial"/>
          <w:i w:val="0"/>
          <w:iCs w:val="0"/>
          <w:sz w:val="13"/>
          <w:szCs w:val="13"/>
        </w:rPr>
      </w:pPr>
      <w:r>
        <w:rPr>
          <w:rFonts w:hint="default" w:ascii="Arial" w:hAnsi="Arial" w:eastAsia="Arial"/>
          <w:i w:val="0"/>
          <w:iCs w:val="0"/>
          <w:sz w:val="13"/>
          <w:szCs w:val="13"/>
          <w:vertAlign w:val="superscript"/>
        </w:rPr>
        <w:t xml:space="preserve">1 </w:t>
      </w:r>
      <w:r>
        <w:rPr>
          <w:rFonts w:hint="default" w:ascii="Arial" w:hAnsi="Arial" w:eastAsia="Arial"/>
          <w:i w:val="0"/>
          <w:iCs w:val="0"/>
          <w:sz w:val="13"/>
          <w:szCs w:val="13"/>
        </w:rPr>
        <w:t xml:space="preserve">Zahrnuje provozní segmenty, které nesplňují kritéria vykazovaného segmentu podle </w:t>
      </w:r>
      <w:r>
        <w:rPr>
          <w:rFonts w:hint="default" w:ascii="Arial" w:hAnsi="Arial" w:eastAsia="Arial"/>
          <w:i w:val="0"/>
          <w:iCs w:val="0"/>
          <w:sz w:val="13"/>
          <w:szCs w:val="13"/>
          <w:lang w:val="en-US"/>
        </w:rPr>
        <w:t xml:space="preserve">účetních standardů </w:t>
      </w:r>
      <w:r>
        <w:rPr>
          <w:rFonts w:hint="default" w:ascii="Arial" w:hAnsi="Arial" w:eastAsia="Arial"/>
          <w:i w:val="0"/>
          <w:iCs w:val="0"/>
          <w:sz w:val="13"/>
          <w:szCs w:val="13"/>
        </w:rPr>
        <w:t>ASC Topic 280 - Vykazování podle segmentů.</w:t>
      </w:r>
    </w:p>
    <w:p>
      <w:pPr>
        <w:spacing w:line="288" w:lineRule="auto"/>
        <w:rPr>
          <w:rFonts w:hint="default" w:ascii="Arial" w:hAnsi="Arial" w:eastAsia="Arial"/>
          <w:sz w:val="16"/>
          <w:szCs w:val="16"/>
        </w:rPr>
      </w:pPr>
    </w:p>
    <w:p>
      <w:pPr>
        <w:numPr>
          <w:ilvl w:val="0"/>
          <w:numId w:val="2"/>
        </w:numPr>
        <w:spacing w:line="269" w:lineRule="auto"/>
        <w:rPr>
          <w:rFonts w:hint="default" w:ascii="Arial" w:hAnsi="Arial" w:eastAsia="Arial" w:cs="Arial"/>
          <w:color w:val="auto"/>
          <w:sz w:val="22"/>
        </w:rPr>
      </w:pPr>
      <w:r>
        <w:rPr>
          <w:rFonts w:hint="default" w:ascii="Arial" w:hAnsi="Arial" w:eastAsia="Arial" w:cs="Arial"/>
          <w:color w:val="auto"/>
          <w:sz w:val="22"/>
        </w:rPr>
        <w:t>Tržby vzrostly o 0,7 %, k čemuž přispěl</w:t>
      </w:r>
      <w:r>
        <w:rPr>
          <w:rFonts w:hint="default" w:ascii="Arial" w:hAnsi="Arial" w:eastAsia="Arial" w:cs="Arial"/>
          <w:color w:val="auto"/>
          <w:sz w:val="22"/>
          <w:lang w:val="en-US"/>
        </w:rPr>
        <w:t>y</w:t>
      </w:r>
      <w:r>
        <w:rPr>
          <w:rFonts w:hint="default" w:ascii="Arial" w:hAnsi="Arial" w:eastAsia="Arial" w:cs="Arial"/>
          <w:color w:val="auto"/>
          <w:sz w:val="22"/>
        </w:rPr>
        <w:t xml:space="preserve"> </w:t>
      </w:r>
      <w:r>
        <w:rPr>
          <w:rFonts w:hint="default" w:ascii="Arial" w:hAnsi="Arial" w:eastAsia="Arial" w:cs="Arial"/>
          <w:color w:val="auto"/>
          <w:sz w:val="22"/>
          <w:lang w:val="en-US"/>
        </w:rPr>
        <w:t xml:space="preserve">segmentem spedice </w:t>
      </w:r>
      <w:r>
        <w:rPr>
          <w:rFonts w:hint="default" w:ascii="Arial" w:hAnsi="Arial" w:eastAsia="Arial" w:cs="Arial"/>
          <w:color w:val="auto"/>
          <w:sz w:val="22"/>
        </w:rPr>
        <w:t>a zdravotnic</w:t>
      </w:r>
      <w:r>
        <w:rPr>
          <w:rFonts w:hint="default" w:ascii="Arial" w:hAnsi="Arial" w:eastAsia="Arial" w:cs="Arial"/>
          <w:color w:val="auto"/>
          <w:sz w:val="22"/>
          <w:lang w:val="en-US"/>
        </w:rPr>
        <w:t>tví</w:t>
      </w:r>
      <w:r>
        <w:rPr>
          <w:rFonts w:hint="default" w:ascii="Arial" w:hAnsi="Arial" w:eastAsia="Arial" w:cs="Arial"/>
          <w:color w:val="auto"/>
          <w:sz w:val="22"/>
        </w:rPr>
        <w:t>.</w:t>
      </w:r>
    </w:p>
    <w:p>
      <w:pPr>
        <w:numPr>
          <w:ilvl w:val="0"/>
          <w:numId w:val="2"/>
        </w:numPr>
        <w:spacing w:line="269" w:lineRule="auto"/>
        <w:rPr>
          <w:rFonts w:hint="default" w:ascii="Arial" w:hAnsi="Arial" w:eastAsia="Arial" w:cs="Arial"/>
          <w:color w:val="auto"/>
          <w:sz w:val="22"/>
        </w:rPr>
      </w:pPr>
      <w:r>
        <w:rPr>
          <w:rFonts w:hint="default" w:ascii="Arial" w:hAnsi="Arial" w:eastAsia="Arial" w:cs="Arial"/>
          <w:color w:val="auto"/>
          <w:sz w:val="22"/>
        </w:rPr>
        <w:t>Provozní marže činila 12,1 %; upravená provozní marže byla 12,2 %.</w:t>
      </w:r>
    </w:p>
    <w:p>
      <w:pPr>
        <w:spacing w:line="288" w:lineRule="auto"/>
        <w:rPr>
          <w:rFonts w:ascii="Arial" w:hAnsi="Arial" w:eastAsia="Arial" w:cs="Arial"/>
          <w:sz w:val="22"/>
        </w:rPr>
      </w:pPr>
    </w:p>
    <w:p>
      <w:pPr>
        <w:spacing w:line="288" w:lineRule="auto"/>
        <w:rPr>
          <w:rFonts w:ascii="Arial" w:hAnsi="Arial" w:eastAsia="Arial" w:cs="Arial"/>
          <w:sz w:val="22"/>
        </w:rPr>
      </w:pPr>
      <w:bookmarkStart w:id="1" w:name="_GoBack"/>
      <w:bookmarkEnd w:id="1"/>
    </w:p>
    <w:p>
      <w:pPr>
        <w:spacing w:line="288" w:lineRule="auto"/>
        <w:rPr>
          <w:rFonts w:hint="default" w:ascii="Arial" w:hAnsi="Arial" w:eastAsia="Arial" w:cs="Arial"/>
          <w:sz w:val="22"/>
          <w:lang w:val="en-US"/>
        </w:rPr>
      </w:pPr>
      <w:r>
        <w:rPr>
          <w:rFonts w:hint="default" w:ascii="Arial" w:hAnsi="Arial" w:eastAsia="Arial" w:cs="Arial"/>
          <w:b/>
          <w:bCs/>
          <w:sz w:val="22"/>
          <w:u w:val="single"/>
          <w:lang w:val="en-US"/>
        </w:rPr>
        <w:t>Výhled na rok 2022</w:t>
      </w:r>
    </w:p>
    <w:p>
      <w:pPr>
        <w:spacing w:line="288" w:lineRule="auto"/>
        <w:rPr>
          <w:rFonts w:hint="default" w:ascii="Arial" w:hAnsi="Arial" w:eastAsia="Arial"/>
          <w:b w:val="0"/>
          <w:bCs/>
          <w:sz w:val="22"/>
          <w:u w:val="none"/>
        </w:rPr>
      </w:pPr>
      <w:r>
        <w:rPr>
          <w:rFonts w:hint="default" w:ascii="Arial" w:hAnsi="Arial" w:eastAsia="Arial"/>
          <w:b w:val="0"/>
          <w:bCs/>
          <w:sz w:val="22"/>
          <w:u w:val="none"/>
        </w:rPr>
        <w:t xml:space="preserve">Společnost </w:t>
      </w:r>
      <w:r>
        <w:rPr>
          <w:rFonts w:hint="default" w:ascii="Arial" w:hAnsi="Arial" w:eastAsia="Arial"/>
          <w:b w:val="0"/>
          <w:bCs/>
          <w:sz w:val="22"/>
          <w:u w:val="none"/>
          <w:lang w:val="en-US"/>
        </w:rPr>
        <w:t xml:space="preserve">UPS </w:t>
      </w:r>
      <w:r>
        <w:rPr>
          <w:rFonts w:hint="default" w:ascii="Arial" w:hAnsi="Arial" w:eastAsia="Arial"/>
          <w:b w:val="0"/>
          <w:bCs/>
          <w:sz w:val="22"/>
          <w:u w:val="none"/>
        </w:rPr>
        <w:t xml:space="preserve">poskytuje </w:t>
      </w:r>
      <w:r>
        <w:rPr>
          <w:rFonts w:hint="default" w:ascii="Arial" w:hAnsi="Arial" w:eastAsia="Arial"/>
          <w:b w:val="0"/>
          <w:bCs/>
          <w:sz w:val="22"/>
          <w:u w:val="none"/>
          <w:lang w:val="en-US"/>
        </w:rPr>
        <w:t xml:space="preserve">výhled </w:t>
      </w:r>
      <w:r>
        <w:rPr>
          <w:rFonts w:hint="default" w:ascii="Arial" w:hAnsi="Arial" w:eastAsia="Arial"/>
          <w:b w:val="0"/>
          <w:bCs/>
          <w:sz w:val="22"/>
          <w:u w:val="none"/>
        </w:rPr>
        <w:t>na základě upravených výsledků</w:t>
      </w:r>
      <w:r>
        <w:rPr>
          <w:rFonts w:hint="default" w:ascii="Arial" w:hAnsi="Arial" w:eastAsia="Arial"/>
          <w:b w:val="0"/>
          <w:bCs/>
          <w:sz w:val="22"/>
          <w:u w:val="none"/>
          <w:lang w:val="en-US"/>
        </w:rPr>
        <w:t xml:space="preserve"> (bez ohledu na účetní zásady GAAP)</w:t>
      </w:r>
      <w:r>
        <w:rPr>
          <w:rFonts w:hint="default" w:ascii="Arial" w:hAnsi="Arial" w:eastAsia="Arial"/>
          <w:b w:val="0"/>
          <w:bCs/>
          <w:sz w:val="22"/>
          <w:u w:val="none"/>
        </w:rPr>
        <w:t>, protože není možné předvídat nebo poskytnout odsouhlasen</w:t>
      </w:r>
      <w:r>
        <w:rPr>
          <w:rFonts w:hint="default" w:ascii="Arial" w:hAnsi="Arial" w:eastAsia="Arial"/>
          <w:b w:val="0"/>
          <w:bCs/>
          <w:sz w:val="22"/>
          <w:u w:val="none"/>
          <w:lang w:val="en-US"/>
        </w:rPr>
        <w:t xml:space="preserve">ý odhad </w:t>
      </w:r>
      <w:r>
        <w:rPr>
          <w:rFonts w:hint="default" w:ascii="Arial" w:hAnsi="Arial" w:eastAsia="Arial"/>
          <w:b w:val="0"/>
          <w:bCs/>
          <w:sz w:val="22"/>
          <w:u w:val="none"/>
        </w:rPr>
        <w:t>dopad</w:t>
      </w:r>
      <w:r>
        <w:rPr>
          <w:rFonts w:hint="default" w:ascii="Arial" w:hAnsi="Arial" w:eastAsia="Arial"/>
          <w:b w:val="0"/>
          <w:bCs/>
          <w:sz w:val="22"/>
          <w:u w:val="none"/>
          <w:lang w:val="en-US"/>
        </w:rPr>
        <w:t>u</w:t>
      </w:r>
      <w:r>
        <w:rPr>
          <w:rFonts w:hint="default" w:ascii="Arial" w:hAnsi="Arial" w:eastAsia="Arial"/>
          <w:b w:val="0"/>
          <w:bCs/>
          <w:sz w:val="22"/>
          <w:u w:val="none"/>
        </w:rPr>
        <w:t xml:space="preserve"> budoucích úprav </w:t>
      </w:r>
      <w:r>
        <w:rPr>
          <w:rFonts w:hint="default" w:ascii="Arial" w:hAnsi="Arial" w:eastAsia="Arial"/>
          <w:b w:val="0"/>
          <w:bCs/>
          <w:sz w:val="22"/>
          <w:u w:val="none"/>
          <w:lang w:val="en-US"/>
        </w:rPr>
        <w:t xml:space="preserve">penzijního připojištění </w:t>
      </w:r>
      <w:r>
        <w:rPr>
          <w:rFonts w:hint="default" w:ascii="Arial" w:hAnsi="Arial" w:eastAsia="Arial"/>
          <w:b w:val="0"/>
          <w:bCs/>
          <w:sz w:val="22"/>
          <w:u w:val="none"/>
        </w:rPr>
        <w:t>nebo jiných neočekávaných událostí, které by byly zahrnuty do vykazovaných (GAAP) výsledků a mohly by být významné.</w:t>
      </w:r>
    </w:p>
    <w:p>
      <w:pPr>
        <w:spacing w:line="288" w:lineRule="auto"/>
        <w:rPr>
          <w:rFonts w:hint="default" w:ascii="Arial" w:hAnsi="Arial" w:eastAsia="Arial"/>
          <w:b w:val="0"/>
          <w:bCs/>
          <w:sz w:val="22"/>
          <w:u w:val="none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88" w:lineRule="auto"/>
        <w:ind w:left="0" w:right="0"/>
        <w:jc w:val="left"/>
        <w:rPr>
          <w:rFonts w:hint="default" w:ascii="Arial" w:hAnsi="Arial" w:eastAsia="Arial" w:cs="Arial"/>
          <w:sz w:val="22"/>
          <w:szCs w:val="24"/>
          <w:lang/>
        </w:rPr>
      </w:pPr>
      <w:r>
        <w:rPr>
          <w:rFonts w:hint="default" w:ascii="Arial" w:hAnsi="Arial" w:eastAsia="Arial" w:cs="Arial"/>
          <w:kern w:val="16"/>
          <w:sz w:val="22"/>
          <w:szCs w:val="24"/>
          <w:lang w:eastAsia="zh-CN" w:bidi="ar"/>
        </w:rPr>
        <w:t>Společnost UPS potvrzuje své finanční cíle pro celý rok 2022:</w:t>
      </w:r>
    </w:p>
    <w:p>
      <w:pPr>
        <w:numPr>
          <w:ilvl w:val="0"/>
          <w:numId w:val="2"/>
        </w:numPr>
        <w:spacing w:line="269" w:lineRule="auto"/>
        <w:rPr>
          <w:rFonts w:hint="default" w:ascii="Arial" w:hAnsi="Arial" w:eastAsia="Arial" w:cs="Arial"/>
          <w:color w:val="auto"/>
          <w:sz w:val="22"/>
        </w:rPr>
      </w:pPr>
      <w:r>
        <w:rPr>
          <w:rFonts w:hint="default" w:ascii="Arial" w:hAnsi="Arial" w:eastAsia="Arial" w:cs="Arial"/>
          <w:color w:val="auto"/>
          <w:sz w:val="22"/>
        </w:rPr>
        <w:t xml:space="preserve">Konsolidované tržby ve výši přibližně 102 </w:t>
      </w:r>
      <w:r>
        <w:rPr>
          <w:rFonts w:hint="default" w:ascii="Arial" w:hAnsi="Arial" w:eastAsia="Arial" w:cs="Arial"/>
          <w:color w:val="auto"/>
          <w:sz w:val="22"/>
          <w:lang w:val="en-US"/>
        </w:rPr>
        <w:t>mld. USD</w:t>
      </w:r>
      <w:r>
        <w:rPr>
          <w:rFonts w:hint="default" w:ascii="Arial" w:hAnsi="Arial" w:eastAsia="Arial" w:cs="Arial"/>
          <w:color w:val="auto"/>
          <w:sz w:val="22"/>
        </w:rPr>
        <w:t xml:space="preserve"> </w:t>
      </w:r>
    </w:p>
    <w:p>
      <w:pPr>
        <w:numPr>
          <w:ilvl w:val="0"/>
          <w:numId w:val="2"/>
        </w:numPr>
        <w:spacing w:line="269" w:lineRule="auto"/>
        <w:rPr>
          <w:rFonts w:hint="default" w:ascii="Arial" w:hAnsi="Arial" w:eastAsia="Arial" w:cs="Arial"/>
          <w:color w:val="auto"/>
          <w:sz w:val="22"/>
        </w:rPr>
      </w:pPr>
      <w:r>
        <w:rPr>
          <w:rFonts w:hint="default" w:ascii="Arial" w:hAnsi="Arial" w:eastAsia="Arial" w:cs="Arial"/>
          <w:color w:val="auto"/>
          <w:sz w:val="22"/>
          <w:lang w:val="en-US"/>
        </w:rPr>
        <w:t>K</w:t>
      </w:r>
      <w:r>
        <w:rPr>
          <w:rFonts w:hint="default" w:ascii="Arial" w:hAnsi="Arial" w:eastAsia="Arial" w:cs="Arial"/>
          <w:color w:val="auto"/>
          <w:sz w:val="22"/>
        </w:rPr>
        <w:t>onsolidovaná upravená provozní marže přibližně 13,7 %</w:t>
      </w:r>
    </w:p>
    <w:p>
      <w:pPr>
        <w:numPr>
          <w:ilvl w:val="0"/>
          <w:numId w:val="2"/>
        </w:numPr>
        <w:spacing w:line="269" w:lineRule="auto"/>
        <w:rPr>
          <w:rFonts w:hint="default" w:ascii="Arial" w:hAnsi="Arial" w:eastAsia="Arial" w:cs="Arial"/>
          <w:color w:val="auto"/>
          <w:sz w:val="22"/>
        </w:rPr>
      </w:pPr>
      <w:r>
        <w:rPr>
          <w:rFonts w:hint="default" w:ascii="Arial" w:hAnsi="Arial" w:eastAsia="Arial" w:cs="Arial"/>
          <w:color w:val="auto"/>
          <w:sz w:val="22"/>
          <w:lang w:val="en-US"/>
        </w:rPr>
        <w:t>U</w:t>
      </w:r>
      <w:r>
        <w:rPr>
          <w:rFonts w:hint="default" w:ascii="Arial" w:hAnsi="Arial" w:eastAsia="Arial" w:cs="Arial"/>
          <w:color w:val="auto"/>
          <w:sz w:val="22"/>
        </w:rPr>
        <w:t>pravená návratnost investovaného kapitálu nad 30 %</w:t>
      </w:r>
    </w:p>
    <w:p>
      <w:pPr>
        <w:numPr>
          <w:ilvl w:val="0"/>
          <w:numId w:val="2"/>
        </w:numPr>
        <w:spacing w:line="269" w:lineRule="auto"/>
        <w:rPr>
          <w:rFonts w:hint="default" w:ascii="Arial" w:hAnsi="Arial" w:eastAsia="Arial" w:cs="Arial"/>
          <w:color w:val="auto"/>
          <w:sz w:val="22"/>
        </w:rPr>
      </w:pPr>
      <w:r>
        <w:rPr>
          <w:rFonts w:hint="default" w:ascii="Arial" w:hAnsi="Arial" w:eastAsia="Arial" w:cs="Arial"/>
          <w:color w:val="auto"/>
          <w:sz w:val="22"/>
        </w:rPr>
        <w:t xml:space="preserve">Kapitálové výdaje ve výši 5,4 % příjmů, tj. přibližně 5,5 </w:t>
      </w:r>
      <w:r>
        <w:rPr>
          <w:rFonts w:hint="default" w:ascii="Arial" w:hAnsi="Arial" w:eastAsia="Arial" w:cs="Arial"/>
          <w:color w:val="auto"/>
          <w:sz w:val="22"/>
          <w:lang w:val="en-US"/>
        </w:rPr>
        <w:t xml:space="preserve">mld. </w:t>
      </w:r>
      <w:r>
        <w:rPr>
          <w:rFonts w:hint="default" w:ascii="Arial" w:hAnsi="Arial" w:eastAsia="Arial" w:cs="Arial"/>
          <w:color w:val="auto"/>
          <w:sz w:val="22"/>
        </w:rPr>
        <w:t>USD</w:t>
      </w:r>
    </w:p>
    <w:p>
      <w:pPr>
        <w:numPr>
          <w:ilvl w:val="0"/>
          <w:numId w:val="2"/>
        </w:numPr>
        <w:spacing w:line="269" w:lineRule="auto"/>
        <w:rPr>
          <w:rFonts w:hint="default" w:ascii="Arial" w:hAnsi="Arial" w:eastAsia="Arial" w:cs="Arial"/>
          <w:color w:val="auto"/>
          <w:sz w:val="22"/>
        </w:rPr>
      </w:pPr>
      <w:r>
        <w:rPr>
          <w:rFonts w:hint="default" w:ascii="Arial" w:hAnsi="Arial" w:eastAsia="Arial" w:cs="Arial"/>
          <w:color w:val="auto"/>
          <w:sz w:val="22"/>
        </w:rPr>
        <w:t xml:space="preserve">Výplaty dividend, které podléhají schválení představenstvem, ve výši přibližně 5,2 </w:t>
      </w:r>
      <w:r>
        <w:rPr>
          <w:rFonts w:hint="default" w:ascii="Arial" w:hAnsi="Arial" w:eastAsia="Arial" w:cs="Arial"/>
          <w:color w:val="auto"/>
          <w:sz w:val="22"/>
          <w:lang w:val="en-US"/>
        </w:rPr>
        <w:t xml:space="preserve">mld. </w:t>
      </w:r>
      <w:r>
        <w:rPr>
          <w:rFonts w:hint="default" w:ascii="Arial" w:hAnsi="Arial" w:eastAsia="Arial" w:cs="Arial"/>
          <w:color w:val="auto"/>
          <w:sz w:val="22"/>
        </w:rPr>
        <w:t xml:space="preserve">USD </w:t>
      </w:r>
    </w:p>
    <w:p>
      <w:pPr>
        <w:spacing w:line="288" w:lineRule="auto"/>
        <w:rPr>
          <w:rFonts w:hint="default" w:ascii="Arial" w:hAnsi="Arial" w:eastAsia="Arial"/>
          <w:b w:val="0"/>
          <w:bCs/>
          <w:sz w:val="22"/>
          <w:u w:val="none"/>
        </w:rPr>
      </w:pPr>
    </w:p>
    <w:p>
      <w:pPr>
        <w:spacing w:line="288" w:lineRule="auto"/>
        <w:rPr>
          <w:rFonts w:hint="default" w:ascii="Arial" w:hAnsi="Arial" w:eastAsia="Arial"/>
          <w:b w:val="0"/>
          <w:bCs/>
          <w:sz w:val="22"/>
          <w:u w:val="none"/>
        </w:rPr>
      </w:pPr>
      <w:r>
        <w:rPr>
          <w:rFonts w:hint="default" w:ascii="Arial" w:hAnsi="Arial" w:eastAsia="Arial"/>
          <w:b w:val="0"/>
          <w:bCs/>
          <w:sz w:val="22"/>
          <w:u w:val="none"/>
        </w:rPr>
        <w:t xml:space="preserve">A konečně, </w:t>
      </w:r>
      <w:r>
        <w:rPr>
          <w:rFonts w:hint="default" w:ascii="Arial" w:hAnsi="Arial" w:eastAsia="Arial"/>
          <w:b w:val="0"/>
          <w:bCs/>
          <w:sz w:val="22"/>
          <w:u w:val="none"/>
          <w:lang w:val="en-US"/>
        </w:rPr>
        <w:t xml:space="preserve">společnost </w:t>
      </w:r>
      <w:r>
        <w:rPr>
          <w:rFonts w:hint="default" w:ascii="Arial" w:hAnsi="Arial" w:eastAsia="Arial"/>
          <w:b w:val="0"/>
          <w:bCs/>
          <w:sz w:val="22"/>
          <w:u w:val="none"/>
        </w:rPr>
        <w:t xml:space="preserve">UPS </w:t>
      </w:r>
      <w:r>
        <w:rPr>
          <w:rFonts w:hint="default" w:ascii="Arial" w:hAnsi="Arial" w:eastAsia="Arial"/>
          <w:b w:val="0"/>
          <w:bCs/>
          <w:sz w:val="22"/>
          <w:u w:val="none"/>
          <w:lang w:val="en-US"/>
        </w:rPr>
        <w:t xml:space="preserve">navýší objem </w:t>
      </w:r>
      <w:r>
        <w:rPr>
          <w:rFonts w:hint="default" w:ascii="Arial" w:hAnsi="Arial" w:eastAsia="Arial"/>
          <w:b w:val="0"/>
          <w:bCs/>
          <w:sz w:val="22"/>
          <w:u w:val="none"/>
        </w:rPr>
        <w:t xml:space="preserve">zpětného odkupu akcií pro rok 2022, čímž se cílová částka pro tento rok zvýší na 3 </w:t>
      </w:r>
      <w:r>
        <w:rPr>
          <w:rFonts w:hint="default" w:ascii="Arial" w:hAnsi="Arial" w:eastAsia="Arial"/>
          <w:b w:val="0"/>
          <w:bCs/>
          <w:sz w:val="22"/>
          <w:u w:val="none"/>
          <w:lang w:val="en-US"/>
        </w:rPr>
        <w:t xml:space="preserve">mld. </w:t>
      </w:r>
      <w:r>
        <w:rPr>
          <w:rFonts w:hint="default" w:ascii="Arial" w:hAnsi="Arial" w:eastAsia="Arial"/>
          <w:b w:val="0"/>
          <w:bCs/>
          <w:sz w:val="22"/>
          <w:u w:val="none"/>
        </w:rPr>
        <w:t>USD.</w:t>
      </w:r>
    </w:p>
    <w:p>
      <w:pPr>
        <w:spacing w:line="269" w:lineRule="auto"/>
        <w:rPr>
          <w:rFonts w:ascii="Arial" w:hAnsi="Arial" w:eastAsia="Arial" w:cs="Arial"/>
          <w:sz w:val="22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192" w:lineRule="auto"/>
        <w:ind w:left="0" w:right="0"/>
        <w:jc w:val="left"/>
        <w:rPr>
          <w:rFonts w:hint="default" w:ascii="Arial" w:hAnsi="Arial" w:eastAsia="Arial" w:cs="Arial"/>
          <w:bCs/>
          <w:sz w:val="20"/>
          <w:szCs w:val="24"/>
          <w:vertAlign w:val="subscript"/>
          <w:lang/>
        </w:rPr>
      </w:pPr>
      <w:r>
        <w:rPr>
          <w:rFonts w:hint="default" w:ascii="Arial" w:hAnsi="Arial" w:eastAsia="Arial" w:cs="Arial"/>
          <w:bCs/>
          <w:kern w:val="16"/>
          <w:sz w:val="20"/>
          <w:szCs w:val="24"/>
          <w:vertAlign w:val="subscript"/>
          <w:lang w:eastAsia="zh-CN" w:bidi="ar"/>
        </w:rPr>
        <w:t>* "Upravené" částky jsou finanční</w:t>
      </w:r>
      <w:r>
        <w:rPr>
          <w:rFonts w:hint="default" w:ascii="Arial" w:hAnsi="Arial" w:eastAsia="Arial" w:cs="Arial"/>
          <w:bCs/>
          <w:kern w:val="16"/>
          <w:sz w:val="20"/>
          <w:szCs w:val="24"/>
          <w:vertAlign w:val="subscript"/>
          <w:lang w:val="en-US" w:eastAsia="zh-CN" w:bidi="ar"/>
        </w:rPr>
        <w:t>mi</w:t>
      </w:r>
      <w:r>
        <w:rPr>
          <w:rFonts w:hint="default" w:ascii="Arial" w:hAnsi="Arial" w:eastAsia="Arial" w:cs="Arial"/>
          <w:bCs/>
          <w:kern w:val="16"/>
          <w:sz w:val="20"/>
          <w:szCs w:val="24"/>
          <w:vertAlign w:val="subscript"/>
          <w:lang w:eastAsia="zh-CN" w:bidi="ar"/>
        </w:rPr>
        <w:t xml:space="preserve"> ukazatel</w:t>
      </w:r>
      <w:r>
        <w:rPr>
          <w:rFonts w:hint="default" w:ascii="Arial" w:hAnsi="Arial" w:eastAsia="Arial" w:cs="Arial"/>
          <w:bCs/>
          <w:kern w:val="16"/>
          <w:sz w:val="20"/>
          <w:szCs w:val="24"/>
          <w:vertAlign w:val="subscript"/>
          <w:lang w:val="en-US" w:eastAsia="zh-CN" w:bidi="ar"/>
        </w:rPr>
        <w:t>i</w:t>
      </w:r>
      <w:r>
        <w:rPr>
          <w:rFonts w:hint="default" w:ascii="Arial" w:hAnsi="Arial" w:eastAsia="Arial" w:cs="Arial"/>
          <w:bCs/>
          <w:kern w:val="16"/>
          <w:sz w:val="20"/>
          <w:szCs w:val="24"/>
          <w:vertAlign w:val="subscript"/>
          <w:lang w:eastAsia="zh-CN" w:bidi="ar"/>
        </w:rPr>
        <w:t>, které nejsou v souladu s účetními zásadami GAAP. Pojednání o finančních ukazatelích jiných než GAAP, včetně sladění s nejblíže odpovídajícím ukazatelem GAAP, naleznete v příloze této zprávy.</w:t>
      </w:r>
    </w:p>
    <w:p>
      <w:pPr>
        <w:rPr>
          <w:rFonts w:hint="default" w:ascii="Arial" w:hAnsi="Arial" w:cs="Arial"/>
          <w:b/>
          <w:bCs w:val="0"/>
          <w:color w:val="000000"/>
          <w:sz w:val="22"/>
          <w:szCs w:val="22"/>
          <w:u w:val="single"/>
          <w:lang/>
        </w:rPr>
      </w:pPr>
      <w:r>
        <w:rPr>
          <w:rFonts w:hint="default" w:ascii="Arial" w:hAnsi="Arial" w:cs="Arial"/>
          <w:b/>
          <w:bCs w:val="0"/>
          <w:color w:val="000000"/>
          <w:sz w:val="22"/>
          <w:szCs w:val="22"/>
          <w:u w:val="single"/>
          <w:lang/>
        </w:rPr>
        <w:br w:type="page"/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ind w:left="0"/>
        <w:contextualSpacing/>
        <w:textAlignment w:val="auto"/>
        <w:rPr>
          <w:rFonts w:hint="default" w:ascii="Arial" w:hAnsi="Arial" w:cs="Arial"/>
          <w:b/>
          <w:bCs w:val="0"/>
          <w:color w:val="000000"/>
          <w:sz w:val="22"/>
          <w:szCs w:val="22"/>
          <w:u w:val="single"/>
          <w:lang/>
        </w:rPr>
      </w:pPr>
      <w:r>
        <w:rPr>
          <w:rFonts w:hint="default" w:ascii="Arial" w:hAnsi="Arial" w:cs="Arial"/>
          <w:b/>
          <w:bCs w:val="0"/>
          <w:color w:val="000000"/>
          <w:sz w:val="22"/>
          <w:szCs w:val="22"/>
          <w:u w:val="single"/>
          <w:lang/>
        </w:rPr>
        <w:t>UPS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ind w:left="0"/>
        <w:contextualSpacing/>
        <w:textAlignment w:val="auto"/>
        <w:rPr>
          <w:rFonts w:hint="default" w:ascii="Arial" w:hAnsi="Arial" w:cs="Arial"/>
          <w:b/>
          <w:bCs w:val="0"/>
          <w:color w:val="000000"/>
          <w:sz w:val="22"/>
          <w:szCs w:val="22"/>
          <w:lang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ind w:left="0"/>
        <w:contextualSpacing/>
        <w:textAlignment w:val="auto"/>
        <w:rPr>
          <w:rFonts w:hint="default" w:ascii="Arial" w:hAnsi="Arial" w:cs="Arial"/>
          <w:color w:val="000000"/>
          <w:sz w:val="22"/>
          <w:szCs w:val="22"/>
          <w:lang/>
        </w:rPr>
      </w:pPr>
      <w:r>
        <w:rPr>
          <w:rFonts w:hint="default" w:ascii="Arial" w:hAnsi="Arial" w:eastAsia="Arial" w:cs="Times New Roman"/>
          <w:b w:val="0"/>
          <w:bCs/>
          <w:kern w:val="16"/>
          <w:sz w:val="22"/>
          <w:szCs w:val="24"/>
          <w:u w:val="none"/>
          <w:lang w:eastAsia="en-US" w:bidi="ar-SA"/>
        </w:rPr>
        <w:t xml:space="preserve">Společnost UPS (NYSE:UPS) je jedna z největších přepravních firem na světě, s příjmy ve výši 97,3 mld. USD (2021). Zákazníkům nabízí širokou škálu integrovaných logistických řešení ve více než 220 zemích a teritoriích světa. Cílem společnosti je „Posouvat svět kupředu doručováním toho, na čem záleží“. S přispěním 534 tisíc zaměstnanců UPS důsledně prosazuje jednoduchou firemní strategii: Se zákazníkem na prvním místě, vedená lidmi, poháněná inovacemi. UPS se zavázala snížit svůj dopad na životní prostředí a podporovat komunity na celém světě. Společnost zaujímá také pevný a nekompromisní postoj k podpoře diverzity, rovnosti a začleňování. Více Informací </w:t>
      </w:r>
      <w:r>
        <w:rPr>
          <w:rFonts w:hint="default" w:ascii="Arial" w:hAnsi="Arial" w:cs="Arial"/>
          <w:color w:val="000000"/>
          <w:sz w:val="22"/>
          <w:szCs w:val="22"/>
          <w:lang/>
        </w:rPr>
        <w:t xml:space="preserve">naleznete na </w:t>
      </w:r>
      <w:r>
        <w:rPr>
          <w:rFonts w:hint="default" w:ascii="Arial" w:hAnsi="Arial" w:cs="Arial"/>
          <w:sz w:val="22"/>
          <w:szCs w:val="22"/>
          <w:lang w:val="en-US"/>
        </w:rPr>
        <w:fldChar w:fldCharType="begin"/>
      </w:r>
      <w:r>
        <w:rPr>
          <w:rFonts w:hint="default" w:ascii="Arial" w:hAnsi="Arial" w:cs="Arial"/>
          <w:sz w:val="22"/>
          <w:szCs w:val="22"/>
          <w:lang w:val="en-US"/>
        </w:rPr>
        <w:instrText xml:space="preserve"> HYPERLINK "https://www.ups.com/us/en/Home.page" </w:instrText>
      </w:r>
      <w:r>
        <w:rPr>
          <w:rFonts w:hint="default" w:ascii="Arial" w:hAnsi="Arial" w:cs="Arial"/>
          <w:sz w:val="22"/>
          <w:szCs w:val="22"/>
          <w:lang w:val="en-US"/>
        </w:rPr>
        <w:fldChar w:fldCharType="separate"/>
      </w:r>
      <w:r>
        <w:rPr>
          <w:rStyle w:val="5"/>
          <w:rFonts w:hint="default" w:ascii="Arial" w:hAnsi="Arial" w:cs="Arial"/>
          <w:sz w:val="22"/>
          <w:szCs w:val="22"/>
          <w:u w:val="single"/>
          <w:lang/>
        </w:rPr>
        <w:t>ups.com</w:t>
      </w:r>
      <w:r>
        <w:rPr>
          <w:rFonts w:hint="default" w:ascii="Arial" w:hAnsi="Arial" w:cs="Arial"/>
          <w:sz w:val="22"/>
          <w:szCs w:val="22"/>
          <w:lang w:val="en-US"/>
        </w:rPr>
        <w:fldChar w:fldCharType="end"/>
      </w:r>
      <w:r>
        <w:rPr>
          <w:rFonts w:hint="default" w:ascii="Arial" w:hAnsi="Arial" w:cs="Arial"/>
          <w:color w:val="000000"/>
          <w:sz w:val="22"/>
          <w:szCs w:val="22"/>
          <w:lang/>
        </w:rPr>
        <w:t xml:space="preserve">, </w:t>
      </w:r>
      <w:r>
        <w:rPr>
          <w:rFonts w:hint="default" w:ascii="Arial" w:hAnsi="Arial" w:cs="Arial"/>
          <w:sz w:val="22"/>
          <w:szCs w:val="22"/>
          <w:lang w:val="en-US"/>
        </w:rPr>
        <w:fldChar w:fldCharType="begin"/>
      </w:r>
      <w:r>
        <w:rPr>
          <w:rFonts w:hint="default" w:ascii="Arial" w:hAnsi="Arial" w:cs="Arial"/>
          <w:sz w:val="22"/>
          <w:szCs w:val="22"/>
          <w:lang w:val="en-US"/>
        </w:rPr>
        <w:instrText xml:space="preserve"> HYPERLINK "https://about.ups.com/us/en/home.html" </w:instrText>
      </w:r>
      <w:r>
        <w:rPr>
          <w:rFonts w:hint="default" w:ascii="Arial" w:hAnsi="Arial" w:cs="Arial"/>
          <w:sz w:val="22"/>
          <w:szCs w:val="22"/>
          <w:lang w:val="en-US"/>
        </w:rPr>
        <w:fldChar w:fldCharType="separate"/>
      </w:r>
      <w:r>
        <w:rPr>
          <w:rStyle w:val="5"/>
          <w:rFonts w:hint="default" w:ascii="Arial" w:hAnsi="Arial" w:cs="Arial"/>
          <w:sz w:val="22"/>
          <w:szCs w:val="22"/>
          <w:u w:val="single"/>
          <w:lang/>
        </w:rPr>
        <w:t>about.ups.com</w:t>
      </w:r>
      <w:r>
        <w:rPr>
          <w:rFonts w:hint="default" w:ascii="Arial" w:hAnsi="Arial" w:cs="Arial"/>
          <w:sz w:val="22"/>
          <w:szCs w:val="22"/>
          <w:lang w:val="en-US"/>
        </w:rPr>
        <w:fldChar w:fldCharType="end"/>
      </w:r>
      <w:r>
        <w:rPr>
          <w:rFonts w:hint="default" w:ascii="Arial" w:hAnsi="Arial" w:cs="Arial"/>
          <w:color w:val="000000"/>
          <w:sz w:val="22"/>
          <w:szCs w:val="22"/>
          <w:lang/>
        </w:rPr>
        <w:t xml:space="preserve"> a </w:t>
      </w:r>
      <w:r>
        <w:rPr>
          <w:rFonts w:hint="default" w:ascii="Arial" w:hAnsi="Arial" w:cs="Arial"/>
          <w:sz w:val="22"/>
          <w:szCs w:val="22"/>
          <w:lang w:val="en-US"/>
        </w:rPr>
        <w:fldChar w:fldCharType="begin"/>
      </w:r>
      <w:r>
        <w:rPr>
          <w:rFonts w:hint="default" w:ascii="Arial" w:hAnsi="Arial" w:cs="Arial"/>
          <w:sz w:val="22"/>
          <w:szCs w:val="22"/>
          <w:lang w:val="en-US"/>
        </w:rPr>
        <w:instrText xml:space="preserve"> HYPERLINK "https://investors.ups.com/" </w:instrText>
      </w:r>
      <w:r>
        <w:rPr>
          <w:rFonts w:hint="default" w:ascii="Arial" w:hAnsi="Arial" w:cs="Arial"/>
          <w:sz w:val="22"/>
          <w:szCs w:val="22"/>
          <w:lang w:val="en-US"/>
        </w:rPr>
        <w:fldChar w:fldCharType="separate"/>
      </w:r>
      <w:r>
        <w:rPr>
          <w:rStyle w:val="5"/>
          <w:rFonts w:hint="default" w:ascii="Arial" w:hAnsi="Arial" w:cs="Arial"/>
          <w:sz w:val="22"/>
          <w:szCs w:val="22"/>
          <w:u w:val="single"/>
          <w:lang/>
        </w:rPr>
        <w:t>investors.ups.com</w:t>
      </w:r>
      <w:r>
        <w:rPr>
          <w:rFonts w:hint="default" w:ascii="Arial" w:hAnsi="Arial" w:cs="Arial"/>
          <w:sz w:val="22"/>
          <w:szCs w:val="22"/>
          <w:lang w:val="en-US"/>
        </w:rPr>
        <w:fldChar w:fldCharType="end"/>
      </w:r>
      <w:r>
        <w:rPr>
          <w:rFonts w:hint="default" w:ascii="Arial" w:hAnsi="Arial" w:cs="Arial"/>
          <w:color w:val="000000"/>
          <w:sz w:val="22"/>
          <w:szCs w:val="22"/>
          <w:lang/>
        </w:rPr>
        <w:t xml:space="preserve">. </w:t>
      </w:r>
    </w:p>
    <w:p>
      <w:pPr>
        <w:spacing w:line="288" w:lineRule="auto"/>
        <w:rPr>
          <w:rFonts w:ascii="Arial" w:hAnsi="Arial" w:eastAsia="Arial" w:cs="Arial"/>
          <w:sz w:val="22"/>
        </w:rPr>
      </w:pPr>
    </w:p>
    <w:sectPr>
      <w:headerReference r:id="rId3" w:type="default"/>
      <w:footerReference r:id="rId4" w:type="default"/>
      <w:pgSz w:w="12240" w:h="15840"/>
      <w:pgMar w:top="1440" w:right="1170" w:bottom="1440" w:left="1170" w:header="270" w:footer="27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erif;Times New Roma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CJK SC Regular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FreeSans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2"/>
    <w:family w:val="auto"/>
    <w:pitch w:val="default"/>
    <w:sig w:usb0="800000AF" w:usb1="1001ECEA" w:usb2="00000000" w:usb3="00000000" w:csb0="00000001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Noto Sans">
    <w:panose1 w:val="020B0502040504020204"/>
    <w:charset w:val="00"/>
    <w:family w:val="auto"/>
    <w:pitch w:val="default"/>
    <w:sig w:usb0="E00002FF" w:usb1="4000001F" w:usb2="08000029" w:usb3="00100000" w:csb0="00000000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Calibri">
    <w:panose1 w:val="020F0502020204030204"/>
    <w:charset w:val="EE"/>
    <w:family w:val="auto"/>
    <w:pitch w:val="variable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88" w:lineRule="auto"/>
      <w:rPr>
        <w:rFonts w:ascii="Arial" w:hAnsi="Arial" w:eastAsia="Arial" w:cs="Arial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88" w:lineRule="auto"/>
      <w:rPr>
        <w:rFonts w:ascii="Arial" w:hAnsi="Arial" w:eastAsia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D"/>
    <w:multiLevelType w:val="multilevel"/>
    <w:tmpl w:val="0000000D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eastAsia="Arial" w:cs="Arial"/>
        <w:b w:val="0"/>
        <w:i w:val="0"/>
        <w:strike w:val="0"/>
        <w:sz w:val="22"/>
        <w:u w:val="none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11"/>
    <w:multiLevelType w:val="multilevel"/>
    <w:tmpl w:val="00000011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eastAsia="Arial" w:cs="Arial"/>
        <w:b w:val="0"/>
        <w:i w:val="0"/>
        <w:strike w:val="0"/>
        <w:sz w:val="22"/>
        <w:u w:val="none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isplayHorizontalDrawingGridEvery w:val="1"/>
  <w:displayVerticalDrawingGridEvery w:val="1"/>
  <w:characterSpacingControl w:val="doNotCompress"/>
  <w:compat>
    <w:doNotExpandShiftReturn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A0400"/>
    <w:rsid w:val="00A77B3E"/>
    <w:rsid w:val="00C641CD"/>
    <w:rsid w:val="00CA2A55"/>
    <w:rsid w:val="00CE6613"/>
    <w:rsid w:val="06C9323D"/>
    <w:rsid w:val="207114D6"/>
    <w:rsid w:val="216C1B04"/>
    <w:rsid w:val="2ABD4C84"/>
    <w:rsid w:val="2F9B4741"/>
    <w:rsid w:val="438104A3"/>
    <w:rsid w:val="45CE05B5"/>
    <w:rsid w:val="6DB97970"/>
    <w:rsid w:val="75317234"/>
    <w:rsid w:val="7A0F14BB"/>
    <w:rsid w:val="7CA6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kern w:val="16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Times New Roman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4">
    <w:name w:val="FollowedHyperlink"/>
    <w:semiHidden/>
    <w:unhideWhenUsed/>
    <w:uiPriority w:val="0"/>
    <w:rPr>
      <w:color w:val="954F72"/>
      <w:u w:val="single"/>
    </w:rPr>
  </w:style>
  <w:style w:type="character" w:styleId="5">
    <w:name w:val="Hyperlink"/>
    <w:basedOn w:val="2"/>
    <w:semiHidden/>
    <w:unhideWhenUsed/>
    <w:qFormat/>
    <w:uiPriority w:val="99"/>
    <w:rPr>
      <w:color w:val="0563C1"/>
      <w:u w:val="single"/>
    </w:rPr>
  </w:style>
  <w:style w:type="paragraph" w:styleId="6">
    <w:name w:val="Normal (Web)"/>
    <w:semiHidden/>
    <w:unhideWhenUsed/>
    <w:uiPriority w:val="0"/>
    <w:pPr>
      <w:spacing w:before="0" w:beforeAutospacing="1" w:after="0" w:afterAutospacing="1" w:line="240" w:lineRule="auto"/>
      <w:ind w:left="0" w:right="0"/>
      <w:jc w:val="left"/>
    </w:pPr>
    <w:rPr>
      <w:rFonts w:ascii="SimSun" w:hAnsi="SimSun" w:eastAsia="SimSun" w:cs="SimSun"/>
      <w:kern w:val="0"/>
      <w:sz w:val="24"/>
      <w:szCs w:val="24"/>
      <w:lang w:val="en-US" w:eastAsia="zh-CN" w:bidi="ar"/>
    </w:rPr>
  </w:style>
  <w:style w:type="character" w:customStyle="1" w:styleId="7">
    <w:name w:val="Internetový odkaz"/>
    <w:basedOn w:val="2"/>
    <w:semiHidden/>
    <w:unhideWhenUsed/>
    <w:qFormat/>
    <w:uiPriority w:val="99"/>
    <w:rPr>
      <w:color w:val="0563C1"/>
      <w:u w:val="single"/>
    </w:rPr>
  </w:style>
  <w:style w:type="character" w:customStyle="1" w:styleId="8">
    <w:name w:val="List Paragraph Char"/>
    <w:uiPriority w:val="0"/>
    <w:rPr>
      <w:rFonts w:ascii="Calibri" w:hAnsi="Calibri" w:cs="Calibri"/>
      <w:sz w:val="22"/>
      <w:szCs w:val="22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3608</Words>
  <Characters>20567</Characters>
  <Lines>171</Lines>
  <Paragraphs>48</Paragraphs>
  <TotalTime>38</TotalTime>
  <ScaleCrop>false</ScaleCrop>
  <LinksUpToDate>false</LinksUpToDate>
  <CharactersWithSpaces>24127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2022-07-25T21:43:00Z</dcterms:created>
  <dc:creator>karla.krejci</dc:creator>
  <cp:lastModifiedBy>karla.krejci</cp:lastModifiedBy>
  <dcterms:modified xsi:type="dcterms:W3CDTF">2022-07-26T12:07:10Z</dcterms:modified>
  <dc:title>2Q-2022 Earnings Release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B55665F17F9A4C3FA415BD57C2B2044E</vt:lpwstr>
  </property>
</Properties>
</file>