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6F1" w:rsidRDefault="00E10673">
      <w:pPr>
        <w:rPr>
          <w:rFonts w:ascii="Arial" w:hAnsi="Arial" w:cs="Arial"/>
          <w:sz w:val="20"/>
          <w:szCs w:val="20"/>
          <w:lang w:val="cs-CZ"/>
        </w:rPr>
      </w:pPr>
      <w:r>
        <w:rPr>
          <w:noProof/>
        </w:rPr>
        <w:drawing>
          <wp:anchor distT="0" distB="0" distL="114300" distR="0" simplePos="0" relativeHeight="2" behindDoc="0" locked="0" layoutInCell="1" allowOverlap="1">
            <wp:simplePos x="0" y="0"/>
            <wp:positionH relativeFrom="margin">
              <wp:align>right</wp:align>
            </wp:positionH>
            <wp:positionV relativeFrom="paragraph">
              <wp:posOffset>635</wp:posOffset>
            </wp:positionV>
            <wp:extent cx="5715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571500" cy="685800"/>
                    </a:xfrm>
                    <a:prstGeom prst="rect">
                      <a:avLst/>
                    </a:prstGeom>
                  </pic:spPr>
                </pic:pic>
              </a:graphicData>
            </a:graphic>
          </wp:anchor>
        </w:drawing>
      </w:r>
      <w:r>
        <w:rPr>
          <w:rFonts w:ascii="Arial" w:hAnsi="Arial" w:cs="Arial"/>
          <w:sz w:val="20"/>
          <w:szCs w:val="20"/>
          <w:lang w:val="cs-CZ"/>
        </w:rPr>
        <w:t>Kontakt:</w:t>
      </w:r>
      <w:r>
        <w:rPr>
          <w:rFonts w:ascii="Arial" w:hAnsi="Arial" w:cs="Arial"/>
          <w:sz w:val="16"/>
          <w:lang w:val="cs-CZ"/>
        </w:rPr>
        <w:tab/>
      </w:r>
      <w:r>
        <w:rPr>
          <w:rFonts w:ascii="Arial" w:hAnsi="Arial" w:cs="Arial"/>
          <w:sz w:val="20"/>
          <w:szCs w:val="20"/>
          <w:lang w:val="cs-CZ"/>
        </w:rPr>
        <w:t xml:space="preserve">Steve </w:t>
      </w:r>
      <w:proofErr w:type="spellStart"/>
      <w:r>
        <w:rPr>
          <w:rFonts w:ascii="Arial" w:hAnsi="Arial" w:cs="Arial"/>
          <w:sz w:val="20"/>
          <w:szCs w:val="20"/>
          <w:lang w:val="cs-CZ"/>
        </w:rPr>
        <w:t>Gaut</w:t>
      </w:r>
      <w:proofErr w:type="spellEnd"/>
      <w:r>
        <w:rPr>
          <w:rFonts w:ascii="Arial" w:hAnsi="Arial" w:cs="Arial"/>
          <w:sz w:val="20"/>
          <w:szCs w:val="20"/>
          <w:lang w:val="cs-CZ"/>
        </w:rPr>
        <w:t>, Public Relations</w:t>
      </w:r>
    </w:p>
    <w:p w:rsidR="00A336F1" w:rsidRDefault="00E10673">
      <w:pPr>
        <w:ind w:left="720" w:firstLine="720"/>
        <w:rPr>
          <w:rFonts w:ascii="Arial" w:hAnsi="Arial" w:cs="Arial"/>
          <w:sz w:val="20"/>
          <w:szCs w:val="20"/>
        </w:rPr>
      </w:pPr>
      <w:r>
        <w:rPr>
          <w:rFonts w:ascii="Arial" w:hAnsi="Arial" w:cs="Arial"/>
          <w:sz w:val="20"/>
          <w:szCs w:val="20"/>
        </w:rPr>
        <w:t>+ 1 404-828-8787</w:t>
      </w:r>
    </w:p>
    <w:p w:rsidR="00A336F1" w:rsidRDefault="00A336F1">
      <w:pPr>
        <w:pStyle w:val="Heading4"/>
        <w:spacing w:before="0" w:after="0"/>
        <w:rPr>
          <w:rFonts w:ascii="Arial" w:hAnsi="Arial" w:cs="Arial"/>
          <w:b w:val="0"/>
          <w:sz w:val="16"/>
          <w:szCs w:val="16"/>
        </w:rPr>
      </w:pPr>
    </w:p>
    <w:p w:rsidR="00A336F1" w:rsidRDefault="00E10673">
      <w:pPr>
        <w:pStyle w:val="Heading4"/>
        <w:spacing w:before="0" w:after="0"/>
        <w:ind w:left="720" w:firstLine="720"/>
        <w:rPr>
          <w:rFonts w:ascii="Arial" w:hAnsi="Arial" w:cs="Arial"/>
          <w:b w:val="0"/>
          <w:sz w:val="20"/>
          <w:szCs w:val="20"/>
        </w:rPr>
      </w:pPr>
      <w:bookmarkStart w:id="0" w:name="_GoBack"/>
      <w:bookmarkEnd w:id="0"/>
      <w:r>
        <w:rPr>
          <w:rFonts w:ascii="Arial" w:hAnsi="Arial" w:cs="Arial"/>
          <w:b w:val="0"/>
          <w:sz w:val="20"/>
          <w:szCs w:val="20"/>
        </w:rPr>
        <w:t>Scott Childress, Investor Relations</w:t>
      </w:r>
    </w:p>
    <w:p w:rsidR="00A336F1" w:rsidRDefault="00E10673">
      <w:pPr>
        <w:rPr>
          <w:rFonts w:ascii="Arial" w:hAnsi="Arial" w:cs="Arial"/>
          <w:sz w:val="20"/>
          <w:szCs w:val="20"/>
        </w:rPr>
      </w:pPr>
      <w:r>
        <w:rPr>
          <w:rFonts w:ascii="Arial" w:hAnsi="Arial" w:cs="Arial"/>
          <w:sz w:val="20"/>
          <w:szCs w:val="20"/>
        </w:rPr>
        <w:tab/>
      </w:r>
      <w:r>
        <w:rPr>
          <w:rFonts w:ascii="Arial" w:hAnsi="Arial" w:cs="Arial"/>
          <w:sz w:val="20"/>
          <w:szCs w:val="20"/>
        </w:rPr>
        <w:tab/>
        <w:t>+1 404-828-7957</w:t>
      </w:r>
    </w:p>
    <w:p w:rsidR="00A336F1" w:rsidRDefault="00A336F1">
      <w:pPr>
        <w:rPr>
          <w:rFonts w:ascii="Arial" w:hAnsi="Arial" w:cs="Arial"/>
          <w:sz w:val="16"/>
          <w:szCs w:val="16"/>
        </w:rPr>
      </w:pPr>
    </w:p>
    <w:p w:rsidR="00A336F1" w:rsidRDefault="00E10673">
      <w:pPr>
        <w:pStyle w:val="msonospacing0"/>
        <w:ind w:left="720" w:firstLine="720"/>
        <w:rPr>
          <w:rFonts w:ascii="Arial" w:hAnsi="Arial" w:cs="Arial"/>
          <w:sz w:val="20"/>
          <w:szCs w:val="20"/>
        </w:rPr>
      </w:pPr>
      <w:r>
        <w:rPr>
          <w:rFonts w:ascii="Arial" w:hAnsi="Arial" w:cs="Arial"/>
          <w:sz w:val="20"/>
          <w:szCs w:val="20"/>
        </w:rPr>
        <w:t xml:space="preserve">Karla </w:t>
      </w:r>
      <w:proofErr w:type="spellStart"/>
      <w:r>
        <w:rPr>
          <w:rFonts w:ascii="Arial" w:hAnsi="Arial" w:cs="Arial"/>
          <w:sz w:val="20"/>
          <w:szCs w:val="20"/>
        </w:rPr>
        <w:t>Krejčí</w:t>
      </w:r>
      <w:proofErr w:type="spellEnd"/>
      <w:r>
        <w:rPr>
          <w:rFonts w:ascii="Arial" w:hAnsi="Arial" w:cs="Arial"/>
          <w:sz w:val="20"/>
          <w:szCs w:val="20"/>
        </w:rPr>
        <w:t>, Donath Business &amp; Media</w:t>
      </w:r>
    </w:p>
    <w:p w:rsidR="00A336F1" w:rsidRDefault="00E10673">
      <w:pPr>
        <w:pStyle w:val="Heading4"/>
        <w:keepNext w:val="0"/>
        <w:spacing w:before="0" w:after="0"/>
        <w:ind w:left="1440"/>
        <w:rPr>
          <w:rFonts w:ascii="Arial" w:hAnsi="Arial" w:cs="Arial"/>
          <w:sz w:val="20"/>
          <w:szCs w:val="20"/>
        </w:rPr>
      </w:pPr>
      <w:r>
        <w:rPr>
          <w:rFonts w:ascii="Arial" w:hAnsi="Arial" w:cs="Arial"/>
          <w:b w:val="0"/>
          <w:sz w:val="20"/>
          <w:szCs w:val="20"/>
          <w:lang w:val="cs-CZ"/>
        </w:rPr>
        <w:t>+420 224 211 220</w:t>
      </w:r>
    </w:p>
    <w:p w:rsidR="00A336F1" w:rsidRDefault="00F576DE">
      <w:pPr>
        <w:ind w:left="589" w:firstLine="851"/>
      </w:pPr>
      <w:hyperlink r:id="rId9">
        <w:r w:rsidR="00E10673">
          <w:rPr>
            <w:rStyle w:val="Internetovodkaz"/>
            <w:rFonts w:ascii="Arial" w:hAnsi="Arial" w:cs="Arial"/>
            <w:sz w:val="20"/>
            <w:szCs w:val="20"/>
          </w:rPr>
          <w:t>karla.krejci@dbm.cz</w:t>
        </w:r>
      </w:hyperlink>
    </w:p>
    <w:p w:rsidR="00A336F1" w:rsidRDefault="00A336F1">
      <w:pPr>
        <w:rPr>
          <w:rFonts w:ascii="Arial" w:hAnsi="Arial" w:cs="Arial"/>
          <w:szCs w:val="20"/>
        </w:rPr>
      </w:pPr>
    </w:p>
    <w:p w:rsidR="00A336F1" w:rsidRDefault="00A336F1">
      <w:pPr>
        <w:rPr>
          <w:rFonts w:ascii="Arial" w:hAnsi="Arial" w:cs="Arial"/>
          <w:szCs w:val="20"/>
        </w:rPr>
      </w:pPr>
    </w:p>
    <w:p w:rsidR="00A336F1" w:rsidRPr="00F576DE" w:rsidRDefault="00A336F1">
      <w:pPr>
        <w:rPr>
          <w:rFonts w:ascii="Arial" w:hAnsi="Arial" w:cs="Arial"/>
          <w:sz w:val="16"/>
          <w:szCs w:val="16"/>
        </w:rPr>
      </w:pPr>
    </w:p>
    <w:p w:rsidR="00A336F1" w:rsidRDefault="00E10673">
      <w:pPr>
        <w:pStyle w:val="ListParagraph"/>
        <w:jc w:val="center"/>
        <w:rPr>
          <w:rFonts w:ascii="Arial" w:hAnsi="Arial" w:cs="Arial"/>
          <w:b/>
          <w:sz w:val="32"/>
          <w:szCs w:val="32"/>
          <w:lang w:val="cs-CZ"/>
        </w:rPr>
      </w:pPr>
      <w:r>
        <w:rPr>
          <w:rFonts w:ascii="Arial" w:hAnsi="Arial" w:cs="Arial"/>
          <w:b/>
          <w:sz w:val="32"/>
          <w:szCs w:val="32"/>
          <w:lang w:val="cs-CZ"/>
        </w:rPr>
        <w:t>UPS HLÁSÍ ZA ROK 2017 ZRYCHLENÍ RŮSTU</w:t>
      </w:r>
    </w:p>
    <w:p w:rsidR="00A336F1" w:rsidRDefault="00E10673">
      <w:pPr>
        <w:pStyle w:val="ListParagraph"/>
        <w:jc w:val="center"/>
        <w:rPr>
          <w:rFonts w:ascii="Arial" w:hAnsi="Arial" w:cs="Arial"/>
          <w:i/>
          <w:sz w:val="28"/>
          <w:szCs w:val="28"/>
          <w:lang w:val="cs-CZ"/>
        </w:rPr>
      </w:pPr>
      <w:r>
        <w:rPr>
          <w:rFonts w:ascii="Arial" w:hAnsi="Arial" w:cs="Arial"/>
          <w:i/>
          <w:sz w:val="28"/>
          <w:szCs w:val="28"/>
          <w:lang w:val="cs-CZ"/>
        </w:rPr>
        <w:t>Výhled na rok 2018 je pozitivní</w:t>
      </w:r>
    </w:p>
    <w:p w:rsidR="00A336F1" w:rsidRDefault="00A336F1">
      <w:pPr>
        <w:pStyle w:val="ListParagraph"/>
        <w:rPr>
          <w:rFonts w:ascii="Arial" w:hAnsi="Arial" w:cs="Arial"/>
          <w:sz w:val="22"/>
          <w:szCs w:val="22"/>
          <w:lang w:val="cs-CZ"/>
        </w:rPr>
      </w:pP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Nárůst příjmů ve 4. kvartále překročil 11 %, za celý rok 2017 dosáhl 8 %</w:t>
      </w: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Zisk na akcii ve 4. kvartále 2017 dosáhl 1,27 USD, upravený 1,67 USD</w:t>
      </w: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Objem mezinárodní exportní přepravy vzrostl ve 4. kvartále 2017 o 16 %, celoročně o 15 %</w:t>
      </w: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Zisk divize dodavatelských řetězců a nákladní přepravy narostl díky zvýšení úrovně příjmů o 21 %</w:t>
      </w: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 xml:space="preserve">Příjmy u zásilkové přepravy USA vzrostly o 8,4 % díky silnější poptávce a větším výnosům </w:t>
      </w: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Zisk na akcii za rok 2017 byl ve výši 5,61 USD, upravený zisk na akcii 6,01 USD</w:t>
      </w: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UPS v roce 2018 posílí investice do růstových programů</w:t>
      </w:r>
    </w:p>
    <w:p w:rsidR="00A336F1" w:rsidRDefault="00E10673">
      <w:pPr>
        <w:pStyle w:val="ListParagraph"/>
        <w:numPr>
          <w:ilvl w:val="0"/>
          <w:numId w:val="2"/>
        </w:numPr>
        <w:rPr>
          <w:rFonts w:ascii="Arial" w:hAnsi="Arial" w:cs="Arial"/>
          <w:sz w:val="22"/>
          <w:szCs w:val="22"/>
          <w:lang w:val="cs-CZ"/>
        </w:rPr>
      </w:pPr>
      <w:r>
        <w:rPr>
          <w:rFonts w:ascii="Arial" w:hAnsi="Arial" w:cs="Arial"/>
          <w:sz w:val="22"/>
          <w:szCs w:val="22"/>
          <w:lang w:val="cs-CZ"/>
        </w:rPr>
        <w:t xml:space="preserve">Firma očekává celoroční upravený zisk na akcii v rozmezí od 7,03 USD do 7,37 USD </w:t>
      </w:r>
    </w:p>
    <w:p w:rsidR="00A336F1" w:rsidRPr="00F576DE" w:rsidRDefault="00A336F1">
      <w:pPr>
        <w:ind w:left="720" w:hanging="720"/>
        <w:rPr>
          <w:rFonts w:ascii="Arial" w:hAnsi="Arial" w:cs="Arial"/>
          <w:sz w:val="22"/>
          <w:szCs w:val="22"/>
          <w:lang w:val="cs-CZ"/>
        </w:rPr>
      </w:pPr>
    </w:p>
    <w:p w:rsidR="00A336F1" w:rsidRDefault="00E10673">
      <w:pPr>
        <w:pStyle w:val="ListParagraph"/>
        <w:ind w:left="0" w:firstLine="720"/>
        <w:rPr>
          <w:rFonts w:ascii="Arial" w:hAnsi="Arial" w:cs="Arial"/>
          <w:sz w:val="22"/>
          <w:szCs w:val="22"/>
          <w:lang w:val="cs-CZ"/>
        </w:rPr>
      </w:pPr>
      <w:r>
        <w:rPr>
          <w:rFonts w:ascii="Arial" w:hAnsi="Arial" w:cs="Arial"/>
          <w:b/>
          <w:sz w:val="22"/>
          <w:szCs w:val="22"/>
          <w:lang w:val="cs-CZ"/>
        </w:rPr>
        <w:t>ATLANTA, 1. února 2018</w:t>
      </w:r>
      <w:r>
        <w:rPr>
          <w:rFonts w:ascii="Arial" w:hAnsi="Arial" w:cs="Arial"/>
          <w:sz w:val="22"/>
          <w:szCs w:val="22"/>
          <w:lang w:val="cs-CZ"/>
        </w:rPr>
        <w:t xml:space="preserve"> – Společnost UPS (</w:t>
      </w:r>
      <w:proofErr w:type="gramStart"/>
      <w:r>
        <w:rPr>
          <w:rFonts w:ascii="Arial" w:hAnsi="Arial" w:cs="Arial"/>
          <w:sz w:val="22"/>
          <w:szCs w:val="22"/>
          <w:lang w:val="cs-CZ"/>
        </w:rPr>
        <w:t>NYSE:UPS</w:t>
      </w:r>
      <w:proofErr w:type="gramEnd"/>
      <w:r>
        <w:rPr>
          <w:rFonts w:ascii="Arial" w:hAnsi="Arial" w:cs="Arial"/>
          <w:sz w:val="22"/>
          <w:szCs w:val="22"/>
          <w:lang w:val="cs-CZ"/>
        </w:rPr>
        <w:t xml:space="preserve">) dnes oznámila výši příjmů za 4. kvartál 2017. „Za rok 2017 jsme dosáhli cílené výše zisku na akcii díky výjimečně silné úrovni příjmů a růstu výnosů z investic, spolu s příznivými efekty investic do sítě a úprav portfolia,“ uvedl David </w:t>
      </w:r>
      <w:proofErr w:type="spellStart"/>
      <w:r>
        <w:rPr>
          <w:rFonts w:ascii="Arial" w:hAnsi="Arial" w:cs="Arial"/>
          <w:sz w:val="22"/>
          <w:szCs w:val="22"/>
          <w:lang w:val="cs-CZ"/>
        </w:rPr>
        <w:t>Abney</w:t>
      </w:r>
      <w:proofErr w:type="spellEnd"/>
      <w:r>
        <w:rPr>
          <w:rFonts w:ascii="Arial" w:hAnsi="Arial" w:cs="Arial"/>
          <w:sz w:val="22"/>
          <w:szCs w:val="22"/>
          <w:lang w:val="cs-CZ"/>
        </w:rPr>
        <w:t xml:space="preserve">, výkonný ředitel UPS. „V roce 2017 jsme učinili významný pokrok v investicích do kapacity sítě. Naše tempo, úpravy strategie a ekonomické vlivy úpravy daňových zákonů TCJA (Tax </w:t>
      </w:r>
      <w:proofErr w:type="spellStart"/>
      <w:r>
        <w:rPr>
          <w:rFonts w:ascii="Arial" w:hAnsi="Arial" w:cs="Arial"/>
          <w:sz w:val="22"/>
          <w:szCs w:val="22"/>
          <w:lang w:val="cs-CZ"/>
        </w:rPr>
        <w:t>Cuts</w:t>
      </w:r>
      <w:proofErr w:type="spellEnd"/>
      <w:r>
        <w:rPr>
          <w:rFonts w:ascii="Arial" w:hAnsi="Arial" w:cs="Arial"/>
          <w:sz w:val="22"/>
          <w:szCs w:val="22"/>
          <w:lang w:val="cs-CZ"/>
        </w:rPr>
        <w:t xml:space="preserve"> and </w:t>
      </w:r>
      <w:proofErr w:type="spellStart"/>
      <w:r>
        <w:rPr>
          <w:rFonts w:ascii="Arial" w:hAnsi="Arial" w:cs="Arial"/>
          <w:sz w:val="22"/>
          <w:szCs w:val="22"/>
          <w:lang w:val="cs-CZ"/>
        </w:rPr>
        <w:t>Jobs</w:t>
      </w:r>
      <w:proofErr w:type="spellEnd"/>
      <w:r>
        <w:rPr>
          <w:rFonts w:ascii="Arial" w:hAnsi="Arial" w:cs="Arial"/>
          <w:sz w:val="22"/>
          <w:szCs w:val="22"/>
          <w:lang w:val="cs-CZ"/>
        </w:rPr>
        <w:t xml:space="preserve"> </w:t>
      </w:r>
      <w:proofErr w:type="spellStart"/>
      <w:r>
        <w:rPr>
          <w:rFonts w:ascii="Arial" w:hAnsi="Arial" w:cs="Arial"/>
          <w:sz w:val="22"/>
          <w:szCs w:val="22"/>
          <w:lang w:val="cs-CZ"/>
        </w:rPr>
        <w:t>Act</w:t>
      </w:r>
      <w:proofErr w:type="spellEnd"/>
      <w:r>
        <w:rPr>
          <w:rFonts w:ascii="Arial" w:hAnsi="Arial" w:cs="Arial"/>
          <w:sz w:val="22"/>
          <w:szCs w:val="22"/>
          <w:lang w:val="cs-CZ"/>
        </w:rPr>
        <w:t>) jsou pro UPS předpokladem dalšího růstu v roce 2018 i dále do budoucna. Očekáváme, že tak budeme moci uvolnit významné zdroje pro zrychlení investic do sítě, a vytvořit tak pro naše zaměstnance nové pracovní příležitosti.“</w:t>
      </w:r>
    </w:p>
    <w:p w:rsidR="00A336F1" w:rsidRDefault="00A336F1">
      <w:pPr>
        <w:pStyle w:val="ListParagraph"/>
        <w:ind w:left="0"/>
        <w:rPr>
          <w:rFonts w:ascii="Arial" w:hAnsi="Arial" w:cs="Arial"/>
          <w:sz w:val="22"/>
          <w:szCs w:val="22"/>
          <w:lang w:val="cs-CZ"/>
        </w:rPr>
      </w:pPr>
    </w:p>
    <w:tbl>
      <w:tblPr>
        <w:tblW w:w="9852" w:type="dxa"/>
        <w:tblInd w:w="-90" w:type="dxa"/>
        <w:tblLook w:val="00A0" w:firstRow="1" w:lastRow="0" w:firstColumn="1" w:lastColumn="0" w:noHBand="0" w:noVBand="0"/>
      </w:tblPr>
      <w:tblGrid>
        <w:gridCol w:w="2937"/>
        <w:gridCol w:w="1785"/>
        <w:gridCol w:w="1672"/>
        <w:gridCol w:w="1785"/>
        <w:gridCol w:w="1673"/>
      </w:tblGrid>
      <w:tr w:rsidR="00A336F1">
        <w:tc>
          <w:tcPr>
            <w:tcW w:w="2937" w:type="dxa"/>
            <w:shd w:val="clear" w:color="auto" w:fill="auto"/>
          </w:tcPr>
          <w:p w:rsidR="00A336F1" w:rsidRDefault="00A336F1">
            <w:pPr>
              <w:rPr>
                <w:rFonts w:ascii="Arial" w:hAnsi="Arial" w:cs="Arial"/>
                <w:b/>
                <w:sz w:val="20"/>
                <w:u w:val="single"/>
                <w:lang w:val="cs-CZ"/>
              </w:rPr>
            </w:pPr>
          </w:p>
          <w:p w:rsidR="00A336F1" w:rsidRDefault="00E10673">
            <w:pPr>
              <w:rPr>
                <w:rFonts w:ascii="Arial" w:hAnsi="Arial" w:cs="Arial"/>
                <w:b/>
                <w:sz w:val="20"/>
                <w:u w:val="single"/>
                <w:lang w:val="cs-CZ"/>
              </w:rPr>
            </w:pPr>
            <w:r>
              <w:rPr>
                <w:rFonts w:ascii="Arial" w:hAnsi="Arial" w:cs="Arial"/>
                <w:b/>
                <w:sz w:val="20"/>
                <w:szCs w:val="22"/>
                <w:u w:val="single"/>
                <w:lang w:val="cs-CZ"/>
              </w:rPr>
              <w:t>Konsolidované výsledky</w:t>
            </w:r>
          </w:p>
        </w:tc>
        <w:tc>
          <w:tcPr>
            <w:tcW w:w="1785"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672"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785"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c>
          <w:tcPr>
            <w:tcW w:w="1673"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r>
      <w:tr w:rsidR="00A336F1">
        <w:tc>
          <w:tcPr>
            <w:tcW w:w="2937" w:type="dxa"/>
            <w:shd w:val="clear" w:color="auto" w:fill="auto"/>
          </w:tcPr>
          <w:p w:rsidR="00A336F1" w:rsidRDefault="00E10673">
            <w:pPr>
              <w:rPr>
                <w:rFonts w:ascii="Arial" w:hAnsi="Arial" w:cs="Arial"/>
                <w:sz w:val="20"/>
                <w:lang w:val="cs-CZ"/>
              </w:rPr>
            </w:pPr>
            <w:r>
              <w:rPr>
                <w:rFonts w:ascii="Arial" w:hAnsi="Arial" w:cs="Arial"/>
                <w:sz w:val="20"/>
                <w:szCs w:val="22"/>
                <w:lang w:val="cs-CZ"/>
              </w:rPr>
              <w:t>Příjmy</w:t>
            </w:r>
          </w:p>
        </w:tc>
        <w:tc>
          <w:tcPr>
            <w:tcW w:w="1785"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18 829 mil. USD</w:t>
            </w:r>
          </w:p>
        </w:tc>
        <w:tc>
          <w:tcPr>
            <w:tcW w:w="1672" w:type="dxa"/>
            <w:shd w:val="clear" w:color="auto" w:fill="auto"/>
          </w:tcPr>
          <w:p w:rsidR="00A336F1" w:rsidRDefault="00A336F1">
            <w:pPr>
              <w:jc w:val="right"/>
              <w:rPr>
                <w:rFonts w:ascii="Arial" w:hAnsi="Arial" w:cs="Arial"/>
                <w:sz w:val="20"/>
                <w:lang w:val="cs-CZ"/>
              </w:rPr>
            </w:pPr>
          </w:p>
        </w:tc>
        <w:tc>
          <w:tcPr>
            <w:tcW w:w="1785"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16 931 mil. USD</w:t>
            </w:r>
          </w:p>
        </w:tc>
        <w:tc>
          <w:tcPr>
            <w:tcW w:w="1673" w:type="dxa"/>
            <w:shd w:val="clear" w:color="auto" w:fill="auto"/>
          </w:tcPr>
          <w:p w:rsidR="00A336F1" w:rsidRDefault="00A336F1">
            <w:pPr>
              <w:jc w:val="right"/>
              <w:rPr>
                <w:rFonts w:ascii="Arial" w:hAnsi="Arial" w:cs="Arial"/>
                <w:sz w:val="20"/>
                <w:lang w:val="cs-CZ"/>
              </w:rPr>
            </w:pPr>
          </w:p>
        </w:tc>
      </w:tr>
      <w:tr w:rsidR="00A336F1">
        <w:tc>
          <w:tcPr>
            <w:tcW w:w="2937" w:type="dxa"/>
            <w:shd w:val="clear" w:color="auto" w:fill="auto"/>
          </w:tcPr>
          <w:p w:rsidR="00A336F1" w:rsidRDefault="00E10673">
            <w:pPr>
              <w:rPr>
                <w:rFonts w:ascii="Arial" w:hAnsi="Arial" w:cs="Arial"/>
                <w:sz w:val="20"/>
                <w:lang w:val="cs-CZ"/>
              </w:rPr>
            </w:pPr>
            <w:r>
              <w:rPr>
                <w:rFonts w:ascii="Arial" w:hAnsi="Arial" w:cs="Arial"/>
                <w:sz w:val="20"/>
                <w:szCs w:val="22"/>
                <w:lang w:val="cs-CZ"/>
              </w:rPr>
              <w:t>Provozní zisk (ztráta)</w:t>
            </w:r>
          </w:p>
        </w:tc>
        <w:tc>
          <w:tcPr>
            <w:tcW w:w="1785"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1 494 mil. USD</w:t>
            </w:r>
          </w:p>
        </w:tc>
        <w:tc>
          <w:tcPr>
            <w:tcW w:w="1672"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2 294 mil. USD</w:t>
            </w:r>
          </w:p>
        </w:tc>
        <w:tc>
          <w:tcPr>
            <w:tcW w:w="1785"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(428) mil. USD</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2 223 mil. USD</w:t>
            </w:r>
          </w:p>
        </w:tc>
      </w:tr>
      <w:tr w:rsidR="00A336F1">
        <w:tc>
          <w:tcPr>
            <w:tcW w:w="2937" w:type="dxa"/>
            <w:shd w:val="clear" w:color="auto" w:fill="auto"/>
          </w:tcPr>
          <w:p w:rsidR="00A336F1" w:rsidRDefault="00E10673">
            <w:pPr>
              <w:rPr>
                <w:rFonts w:ascii="Arial" w:hAnsi="Arial" w:cs="Arial"/>
                <w:sz w:val="20"/>
                <w:lang w:val="cs-CZ"/>
              </w:rPr>
            </w:pPr>
            <w:r>
              <w:rPr>
                <w:rFonts w:ascii="Arial" w:hAnsi="Arial" w:cs="Arial"/>
                <w:sz w:val="20"/>
                <w:szCs w:val="22"/>
                <w:lang w:val="cs-CZ"/>
              </w:rPr>
              <w:t>Upravený zisk (ztráta) na akcii</w:t>
            </w:r>
          </w:p>
        </w:tc>
        <w:tc>
          <w:tcPr>
            <w:tcW w:w="1785"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1,27 USD</w:t>
            </w:r>
          </w:p>
        </w:tc>
        <w:tc>
          <w:tcPr>
            <w:tcW w:w="1672"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1,67 USD</w:t>
            </w:r>
          </w:p>
        </w:tc>
        <w:tc>
          <w:tcPr>
            <w:tcW w:w="1785"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(0,27) USD</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1,63 USD</w:t>
            </w:r>
          </w:p>
        </w:tc>
      </w:tr>
    </w:tbl>
    <w:p w:rsidR="00A336F1" w:rsidRDefault="00A336F1">
      <w:pPr>
        <w:rPr>
          <w:rFonts w:ascii="Arial" w:hAnsi="Arial" w:cs="Arial"/>
          <w:sz w:val="22"/>
          <w:szCs w:val="22"/>
          <w:lang w:val="cs-CZ"/>
        </w:rPr>
      </w:pPr>
    </w:p>
    <w:p w:rsidR="00A336F1" w:rsidRPr="00BC3C4D" w:rsidRDefault="00E10673">
      <w:pPr>
        <w:pStyle w:val="ListParagraph"/>
        <w:ind w:left="0" w:firstLine="720"/>
        <w:rPr>
          <w:lang w:val="cs-CZ"/>
        </w:rPr>
      </w:pPr>
      <w:r>
        <w:rPr>
          <w:rFonts w:ascii="Arial" w:hAnsi="Arial" w:cs="Arial"/>
          <w:sz w:val="22"/>
          <w:szCs w:val="22"/>
          <w:lang w:val="cs-CZ"/>
        </w:rPr>
        <w:t>Výsledky za 4. kvartál 2017 podle všeobecně uznávaných účetních zásad (GAAP) zahrnují navýšení zisku na akcii 0,30 USD, které lze připsat TCJA. Výsledky navíc zahrnují tržně oceněné nepeněžní penzijní závazky ve výši 800 mil USD před zdaněním, které představují po zdanění závazek 0,70 USD na akcii. V předchozím roce firma oznámila tržně oceněné nepeněžní penzijní závazky po zdanění ve výši 1,90 USD na akcii.</w:t>
      </w:r>
    </w:p>
    <w:p w:rsidR="00A336F1" w:rsidRDefault="00A336F1">
      <w:pPr>
        <w:pStyle w:val="ListParagraph"/>
        <w:ind w:left="0" w:firstLine="540"/>
        <w:rPr>
          <w:rFonts w:ascii="Arial" w:hAnsi="Arial" w:cs="Arial"/>
          <w:sz w:val="22"/>
          <w:szCs w:val="22"/>
          <w:lang w:val="cs-CZ"/>
        </w:rPr>
      </w:pPr>
    </w:p>
    <w:p w:rsidR="00A336F1" w:rsidRDefault="00E10673">
      <w:pPr>
        <w:rPr>
          <w:rFonts w:ascii="Arial" w:hAnsi="Arial" w:cs="Arial"/>
          <w:sz w:val="22"/>
          <w:szCs w:val="22"/>
          <w:lang w:val="cs-CZ"/>
        </w:rPr>
      </w:pPr>
      <w:r>
        <w:rPr>
          <w:rFonts w:ascii="Arial" w:hAnsi="Arial" w:cs="Arial"/>
          <w:sz w:val="22"/>
          <w:szCs w:val="22"/>
          <w:lang w:val="cs-CZ"/>
        </w:rPr>
        <w:t>Za celý 4. kvartál 2017:</w:t>
      </w:r>
    </w:p>
    <w:p w:rsidR="00A336F1" w:rsidRDefault="00E10673">
      <w:pPr>
        <w:numPr>
          <w:ilvl w:val="0"/>
          <w:numId w:val="3"/>
        </w:numPr>
        <w:rPr>
          <w:rFonts w:ascii="Arial" w:hAnsi="Arial" w:cs="Arial"/>
          <w:sz w:val="22"/>
          <w:szCs w:val="22"/>
          <w:lang w:val="cs-CZ"/>
        </w:rPr>
      </w:pPr>
      <w:r>
        <w:rPr>
          <w:rFonts w:ascii="Arial" w:hAnsi="Arial" w:cs="Arial"/>
          <w:sz w:val="22"/>
          <w:szCs w:val="22"/>
          <w:lang w:val="cs-CZ"/>
        </w:rPr>
        <w:t>Příjmy vzrostly o 11,2 %, na měnově neutrální bázi o 10,9 %.</w:t>
      </w:r>
    </w:p>
    <w:p w:rsidR="00A336F1" w:rsidRDefault="00E10673">
      <w:pPr>
        <w:numPr>
          <w:ilvl w:val="0"/>
          <w:numId w:val="3"/>
        </w:numPr>
        <w:rPr>
          <w:rFonts w:ascii="Arial" w:hAnsi="Arial" w:cs="Arial"/>
          <w:sz w:val="22"/>
          <w:szCs w:val="22"/>
          <w:lang w:val="cs-CZ"/>
        </w:rPr>
      </w:pPr>
      <w:r>
        <w:rPr>
          <w:rFonts w:ascii="Arial" w:hAnsi="Arial" w:cs="Arial"/>
          <w:sz w:val="22"/>
          <w:szCs w:val="22"/>
          <w:lang w:val="cs-CZ"/>
        </w:rPr>
        <w:t>Zředěný zisk na akcii ve 4. kvartálu 2017 dosáhl 1,27 %, upravený zředěný zisk na akcii 1,67 USD.</w:t>
      </w:r>
    </w:p>
    <w:p w:rsidR="00A336F1" w:rsidRDefault="00E10673">
      <w:pPr>
        <w:numPr>
          <w:ilvl w:val="0"/>
          <w:numId w:val="3"/>
        </w:numPr>
        <w:rPr>
          <w:rFonts w:ascii="Arial" w:hAnsi="Arial" w:cs="Arial"/>
          <w:sz w:val="22"/>
          <w:szCs w:val="22"/>
          <w:lang w:val="cs-CZ"/>
        </w:rPr>
      </w:pPr>
      <w:r>
        <w:rPr>
          <w:rFonts w:ascii="Arial" w:hAnsi="Arial" w:cs="Arial"/>
          <w:sz w:val="22"/>
          <w:szCs w:val="22"/>
          <w:lang w:val="cs-CZ"/>
        </w:rPr>
        <w:t>V poledním kvartálu UPS přepravila 1,5 miliardy zásilek, což představuje navýšení o 5,7 % oproti předchozímu roku.</w:t>
      </w:r>
    </w:p>
    <w:p w:rsidR="00A336F1" w:rsidRDefault="00E10673">
      <w:pPr>
        <w:numPr>
          <w:ilvl w:val="0"/>
          <w:numId w:val="3"/>
        </w:numPr>
        <w:rPr>
          <w:rFonts w:ascii="Arial" w:hAnsi="Arial" w:cs="Arial"/>
          <w:sz w:val="22"/>
          <w:szCs w:val="22"/>
          <w:lang w:val="cs-CZ"/>
        </w:rPr>
      </w:pPr>
      <w:r>
        <w:rPr>
          <w:rFonts w:ascii="Arial" w:hAnsi="Arial" w:cs="Arial"/>
          <w:sz w:val="22"/>
          <w:szCs w:val="22"/>
          <w:lang w:val="cs-CZ"/>
        </w:rPr>
        <w:t>Během předvánoční špičky bylo přepraveno rekordních 762 milionů zásilek a byl tak překročen jak loňský, tak plánovaný objem.</w:t>
      </w:r>
    </w:p>
    <w:p w:rsidR="00A336F1" w:rsidRDefault="00A336F1">
      <w:pPr>
        <w:rPr>
          <w:rFonts w:ascii="Arial" w:hAnsi="Arial" w:cs="Arial"/>
          <w:sz w:val="22"/>
          <w:szCs w:val="22"/>
          <w:lang w:val="cs-CZ"/>
        </w:rPr>
      </w:pPr>
    </w:p>
    <w:p w:rsidR="00A336F1" w:rsidRDefault="00E10673">
      <w:pPr>
        <w:rPr>
          <w:rFonts w:ascii="Arial" w:hAnsi="Arial" w:cs="Arial"/>
          <w:b/>
          <w:sz w:val="22"/>
          <w:vertAlign w:val="subscript"/>
          <w:lang w:val="cs-CZ"/>
        </w:rPr>
      </w:pPr>
      <w:r>
        <w:rPr>
          <w:rFonts w:ascii="Arial" w:hAnsi="Arial" w:cs="Arial"/>
          <w:b/>
          <w:sz w:val="22"/>
          <w:vertAlign w:val="subscript"/>
          <w:lang w:val="cs-CZ"/>
        </w:rPr>
        <w:t>* Informace o finančních výsledcích zpracovaných bez ohledu na GAAP je přiložena.</w:t>
      </w:r>
    </w:p>
    <w:p w:rsidR="00A336F1" w:rsidRDefault="00A336F1">
      <w:pPr>
        <w:rPr>
          <w:rFonts w:ascii="Arial" w:hAnsi="Arial" w:cs="Arial"/>
          <w:sz w:val="22"/>
          <w:szCs w:val="22"/>
          <w:lang w:val="cs-CZ"/>
        </w:rPr>
      </w:pPr>
    </w:p>
    <w:p w:rsidR="00A336F1" w:rsidRDefault="00E10673">
      <w:pPr>
        <w:rPr>
          <w:rFonts w:ascii="Arial" w:hAnsi="Arial" w:cs="Arial"/>
          <w:b/>
          <w:sz w:val="22"/>
          <w:szCs w:val="22"/>
          <w:u w:val="single"/>
          <w:lang w:val="cs-CZ"/>
        </w:rPr>
      </w:pPr>
      <w:r>
        <w:rPr>
          <w:rFonts w:ascii="Arial" w:hAnsi="Arial" w:cs="Arial"/>
          <w:b/>
          <w:sz w:val="22"/>
          <w:szCs w:val="22"/>
          <w:u w:val="single"/>
          <w:lang w:val="cs-CZ"/>
        </w:rPr>
        <w:t>Přeprava na domácím trhu USA</w:t>
      </w:r>
    </w:p>
    <w:p w:rsidR="00A336F1" w:rsidRDefault="00A336F1">
      <w:pPr>
        <w:rPr>
          <w:rFonts w:ascii="Arial" w:hAnsi="Arial" w:cs="Arial"/>
          <w:sz w:val="22"/>
          <w:szCs w:val="22"/>
          <w:lang w:val="cs-CZ"/>
        </w:rPr>
      </w:pPr>
    </w:p>
    <w:p w:rsidR="00A336F1" w:rsidRDefault="00E10673">
      <w:pPr>
        <w:rPr>
          <w:rFonts w:ascii="Arial" w:hAnsi="Arial" w:cs="Arial"/>
          <w:sz w:val="22"/>
          <w:szCs w:val="22"/>
          <w:lang w:val="cs-CZ"/>
        </w:rPr>
      </w:pPr>
      <w:r>
        <w:rPr>
          <w:rFonts w:ascii="Arial" w:hAnsi="Arial" w:cs="Arial"/>
          <w:sz w:val="22"/>
          <w:szCs w:val="22"/>
          <w:lang w:val="cs-CZ"/>
        </w:rPr>
        <w:t xml:space="preserve">Segment přepravy na domácím trhu USA plně využívá strukturálních změn v přímém obchodování. Růst poptávky po službách pozemní přepravy (UPS </w:t>
      </w:r>
      <w:proofErr w:type="spellStart"/>
      <w:r>
        <w:rPr>
          <w:rFonts w:ascii="Arial" w:hAnsi="Arial" w:cs="Arial"/>
          <w:sz w:val="22"/>
          <w:szCs w:val="22"/>
          <w:lang w:val="cs-CZ"/>
        </w:rPr>
        <w:t>Ground</w:t>
      </w:r>
      <w:proofErr w:type="spellEnd"/>
      <w:r>
        <w:rPr>
          <w:rFonts w:ascii="Arial" w:hAnsi="Arial" w:cs="Arial"/>
          <w:sz w:val="22"/>
          <w:szCs w:val="22"/>
          <w:lang w:val="cs-CZ"/>
        </w:rPr>
        <w:t>) ve 4. kvartálu ovlivnil růst objemu přepravy o 5,7 % a příjmů o 9,3 %. Prémiová služba leteckého doručení do druhého dne (</w:t>
      </w:r>
      <w:proofErr w:type="spellStart"/>
      <w:r>
        <w:rPr>
          <w:rFonts w:ascii="Arial" w:hAnsi="Arial" w:cs="Arial"/>
          <w:sz w:val="22"/>
          <w:szCs w:val="22"/>
          <w:lang w:val="cs-CZ"/>
        </w:rPr>
        <w:t>Next</w:t>
      </w:r>
      <w:proofErr w:type="spellEnd"/>
      <w:r>
        <w:rPr>
          <w:rFonts w:ascii="Arial" w:hAnsi="Arial" w:cs="Arial"/>
          <w:sz w:val="22"/>
          <w:szCs w:val="22"/>
          <w:lang w:val="cs-CZ"/>
        </w:rPr>
        <w:t xml:space="preserve"> </w:t>
      </w:r>
      <w:proofErr w:type="spellStart"/>
      <w:r>
        <w:rPr>
          <w:rFonts w:ascii="Arial" w:hAnsi="Arial" w:cs="Arial"/>
          <w:sz w:val="22"/>
          <w:szCs w:val="22"/>
          <w:lang w:val="cs-CZ"/>
        </w:rPr>
        <w:t>Day</w:t>
      </w:r>
      <w:proofErr w:type="spellEnd"/>
      <w:r>
        <w:rPr>
          <w:rFonts w:ascii="Arial" w:hAnsi="Arial" w:cs="Arial"/>
          <w:sz w:val="22"/>
          <w:szCs w:val="22"/>
          <w:lang w:val="cs-CZ"/>
        </w:rPr>
        <w:t xml:space="preserve"> Air) pokračovala v silném růstu o 4,9 % díky vyššímu zájmu zákazníků o rychlejší možnosti přepravy. Finanční výsledky byly nicméně zhoršeny dodatečnými provozními náklady kvůli prudkému navýšení objemu přepravy během předvánoční sezóny</w:t>
      </w:r>
      <w:r w:rsidR="002B46AD">
        <w:rPr>
          <w:rFonts w:ascii="Arial" w:hAnsi="Arial" w:cs="Arial"/>
          <w:sz w:val="22"/>
          <w:szCs w:val="22"/>
          <w:lang w:val="cs-CZ"/>
        </w:rPr>
        <w:t xml:space="preserve"> (po Díkůvzdání)</w:t>
      </w:r>
      <w:r>
        <w:rPr>
          <w:rFonts w:ascii="Arial" w:hAnsi="Arial" w:cs="Arial"/>
          <w:sz w:val="22"/>
          <w:szCs w:val="22"/>
          <w:lang w:val="cs-CZ"/>
        </w:rPr>
        <w:t>, jakož i krátkodobými náklady v souvislosti s přechodem projektů zaměřených na zvýšení přepravní kapacity online.</w:t>
      </w:r>
    </w:p>
    <w:p w:rsidR="00A336F1" w:rsidRPr="00BC3C4D" w:rsidRDefault="00E10673">
      <w:pPr>
        <w:rPr>
          <w:rFonts w:ascii="Arial" w:hAnsi="Arial" w:cs="Arial"/>
          <w:sz w:val="22"/>
          <w:lang w:val="cs-CZ"/>
        </w:rPr>
      </w:pPr>
      <w:r w:rsidRPr="00BC3C4D">
        <w:rPr>
          <w:rFonts w:ascii="Arial" w:hAnsi="Arial" w:cs="Arial"/>
          <w:sz w:val="22"/>
          <w:lang w:val="cs-CZ"/>
        </w:rPr>
        <w:t xml:space="preserve"> </w:t>
      </w:r>
    </w:p>
    <w:tbl>
      <w:tblPr>
        <w:tblW w:w="9120" w:type="dxa"/>
        <w:tblInd w:w="-90" w:type="dxa"/>
        <w:tblLook w:val="00A0" w:firstRow="1" w:lastRow="0" w:firstColumn="1" w:lastColumn="0" w:noHBand="0" w:noVBand="0"/>
      </w:tblPr>
      <w:tblGrid>
        <w:gridCol w:w="2206"/>
        <w:gridCol w:w="1784"/>
        <w:gridCol w:w="1672"/>
        <w:gridCol w:w="1784"/>
        <w:gridCol w:w="1674"/>
      </w:tblGrid>
      <w:tr w:rsidR="00A336F1">
        <w:tc>
          <w:tcPr>
            <w:tcW w:w="2206" w:type="dxa"/>
            <w:shd w:val="clear" w:color="auto" w:fill="auto"/>
          </w:tcPr>
          <w:p w:rsidR="00A336F1" w:rsidRDefault="00A336F1">
            <w:pPr>
              <w:rPr>
                <w:rFonts w:ascii="Arial" w:hAnsi="Arial" w:cs="Arial"/>
                <w:b/>
                <w:sz w:val="20"/>
                <w:u w:val="single"/>
                <w:lang w:val="cs-CZ"/>
              </w:rPr>
            </w:pPr>
          </w:p>
          <w:p w:rsidR="00A336F1" w:rsidRDefault="00A336F1">
            <w:pPr>
              <w:rPr>
                <w:rFonts w:ascii="Arial" w:hAnsi="Arial" w:cs="Arial"/>
                <w:b/>
                <w:sz w:val="20"/>
                <w:u w:val="single"/>
                <w:lang w:val="cs-CZ"/>
              </w:rPr>
            </w:pPr>
          </w:p>
        </w:tc>
        <w:tc>
          <w:tcPr>
            <w:tcW w:w="1784"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672"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784"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c>
          <w:tcPr>
            <w:tcW w:w="1674"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r>
      <w:tr w:rsidR="00A336F1">
        <w:tc>
          <w:tcPr>
            <w:tcW w:w="2206" w:type="dxa"/>
            <w:shd w:val="clear" w:color="auto" w:fill="auto"/>
          </w:tcPr>
          <w:p w:rsidR="00A336F1" w:rsidRDefault="00E10673">
            <w:pPr>
              <w:rPr>
                <w:rFonts w:ascii="Arial" w:hAnsi="Arial" w:cs="Arial"/>
                <w:sz w:val="20"/>
                <w:lang w:val="cs-CZ"/>
              </w:rPr>
            </w:pPr>
            <w:r>
              <w:rPr>
                <w:rFonts w:ascii="Arial" w:hAnsi="Arial" w:cs="Arial"/>
                <w:sz w:val="20"/>
                <w:szCs w:val="22"/>
                <w:lang w:val="cs-CZ"/>
              </w:rPr>
              <w:t>Příjmy</w:t>
            </w:r>
          </w:p>
        </w:tc>
        <w:tc>
          <w:tcPr>
            <w:tcW w:w="1784"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11 835 mil. USD</w:t>
            </w:r>
          </w:p>
        </w:tc>
        <w:tc>
          <w:tcPr>
            <w:tcW w:w="1672" w:type="dxa"/>
            <w:shd w:val="clear" w:color="auto" w:fill="auto"/>
          </w:tcPr>
          <w:p w:rsidR="00A336F1" w:rsidRDefault="00A336F1">
            <w:pPr>
              <w:jc w:val="right"/>
              <w:rPr>
                <w:rFonts w:ascii="Arial" w:hAnsi="Arial" w:cs="Arial"/>
                <w:sz w:val="20"/>
                <w:lang w:val="cs-CZ"/>
              </w:rPr>
            </w:pPr>
          </w:p>
        </w:tc>
        <w:tc>
          <w:tcPr>
            <w:tcW w:w="1784"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10 913 mil. USD</w:t>
            </w:r>
          </w:p>
        </w:tc>
        <w:tc>
          <w:tcPr>
            <w:tcW w:w="1674" w:type="dxa"/>
            <w:shd w:val="clear" w:color="auto" w:fill="auto"/>
          </w:tcPr>
          <w:p w:rsidR="00A336F1" w:rsidRDefault="00A336F1">
            <w:pPr>
              <w:jc w:val="right"/>
              <w:rPr>
                <w:rFonts w:ascii="Arial" w:hAnsi="Arial" w:cs="Arial"/>
                <w:sz w:val="20"/>
                <w:lang w:val="cs-CZ"/>
              </w:rPr>
            </w:pPr>
          </w:p>
        </w:tc>
      </w:tr>
      <w:tr w:rsidR="00A336F1">
        <w:tc>
          <w:tcPr>
            <w:tcW w:w="2206" w:type="dxa"/>
            <w:shd w:val="clear" w:color="auto" w:fill="auto"/>
          </w:tcPr>
          <w:p w:rsidR="00A336F1" w:rsidRDefault="00E10673">
            <w:pPr>
              <w:rPr>
                <w:rFonts w:ascii="Arial" w:hAnsi="Arial" w:cs="Arial"/>
                <w:sz w:val="20"/>
                <w:lang w:val="cs-CZ"/>
              </w:rPr>
            </w:pPr>
            <w:r>
              <w:rPr>
                <w:rFonts w:ascii="Arial" w:hAnsi="Arial" w:cs="Arial"/>
                <w:sz w:val="20"/>
                <w:szCs w:val="22"/>
                <w:lang w:val="cs-CZ"/>
              </w:rPr>
              <w:t>Provozní zisk (ztráta)</w:t>
            </w:r>
          </w:p>
        </w:tc>
        <w:tc>
          <w:tcPr>
            <w:tcW w:w="1784"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627 mil. USD</w:t>
            </w:r>
          </w:p>
        </w:tc>
        <w:tc>
          <w:tcPr>
            <w:tcW w:w="1672"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1 264 mil. USD</w:t>
            </w:r>
          </w:p>
        </w:tc>
        <w:tc>
          <w:tcPr>
            <w:tcW w:w="1784"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(570) mil. USD</w:t>
            </w:r>
          </w:p>
        </w:tc>
        <w:tc>
          <w:tcPr>
            <w:tcW w:w="1674"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1 338 mil. USD</w:t>
            </w:r>
          </w:p>
        </w:tc>
      </w:tr>
    </w:tbl>
    <w:p w:rsidR="00A336F1" w:rsidRDefault="00A336F1">
      <w:pPr>
        <w:rPr>
          <w:rFonts w:ascii="Arial" w:hAnsi="Arial" w:cs="Arial"/>
          <w:sz w:val="22"/>
          <w:lang w:val="cs-CZ"/>
        </w:rPr>
      </w:pPr>
    </w:p>
    <w:p w:rsidR="00A336F1" w:rsidRDefault="00E10673">
      <w:pPr>
        <w:pStyle w:val="ListParagraph"/>
        <w:ind w:left="0"/>
        <w:rPr>
          <w:rFonts w:ascii="Arial" w:hAnsi="Arial" w:cs="Arial"/>
          <w:sz w:val="22"/>
          <w:szCs w:val="22"/>
          <w:lang w:val="cs-CZ"/>
        </w:rPr>
      </w:pPr>
      <w:r>
        <w:rPr>
          <w:rFonts w:ascii="Arial" w:hAnsi="Arial" w:cs="Arial"/>
          <w:sz w:val="22"/>
          <w:szCs w:val="22"/>
          <w:lang w:val="cs-CZ"/>
        </w:rPr>
        <w:t>Přeprava na domácím trhu USA ve 4. kvartálu 2017:</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 xml:space="preserve">Příjmy se oproti 4. kvartálu 2016 zvýšily o 922 mil. USD, tedy o 8,4 %, především díky službě </w:t>
      </w:r>
      <w:proofErr w:type="spellStart"/>
      <w:r>
        <w:rPr>
          <w:rFonts w:ascii="Arial" w:hAnsi="Arial" w:cs="Arial"/>
          <w:sz w:val="22"/>
          <w:szCs w:val="22"/>
          <w:lang w:val="cs-CZ"/>
        </w:rPr>
        <w:t>Deferred</w:t>
      </w:r>
      <w:proofErr w:type="spellEnd"/>
      <w:r>
        <w:rPr>
          <w:rFonts w:ascii="Arial" w:hAnsi="Arial" w:cs="Arial"/>
          <w:sz w:val="22"/>
          <w:szCs w:val="22"/>
          <w:lang w:val="cs-CZ"/>
        </w:rPr>
        <w:t xml:space="preserve"> Air a pozemní přepravě.</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Příjem na zásilku se zvýšil o 2,9 %, přičemž zvýšení základních sazeb a palivové příplatky vyrovnaly nepříznivé vlivy změn nabídky a poptávky.</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Objem přepravy během předvánoční sezóny převýšil kapacitu sítě, čímž vznikly dodatečné provozní náklady ve výši 125 mil USD.</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Sobotní provoz nabídl v průběhu kvartálu dodatečné navýšení kapacity a flexibility.</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Provozní zisk zahrnuje dodatečné náklady na investice do nových technologií, služby zákazníků a automatické navýšení kapacity ve výši zhruba 60 mil USD.</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Upravený provozní zisk nezahrnuje tržně oceněné penzijní závazky.</w:t>
      </w:r>
    </w:p>
    <w:p w:rsidR="00A336F1" w:rsidRPr="00F576DE" w:rsidRDefault="00A336F1">
      <w:pPr>
        <w:rPr>
          <w:rFonts w:ascii="Arial" w:hAnsi="Arial" w:cs="Arial"/>
          <w:sz w:val="22"/>
          <w:lang w:val="cs-CZ"/>
        </w:rPr>
      </w:pPr>
    </w:p>
    <w:p w:rsidR="00A336F1" w:rsidRDefault="00E10673">
      <w:pPr>
        <w:pStyle w:val="ListParagraph"/>
        <w:ind w:left="0"/>
        <w:rPr>
          <w:rFonts w:ascii="Arial" w:hAnsi="Arial" w:cs="Arial"/>
          <w:b/>
          <w:sz w:val="22"/>
          <w:szCs w:val="22"/>
          <w:u w:val="single"/>
          <w:lang w:val="cs-CZ"/>
        </w:rPr>
      </w:pPr>
      <w:r>
        <w:rPr>
          <w:rFonts w:ascii="Arial" w:hAnsi="Arial" w:cs="Arial"/>
          <w:b/>
          <w:sz w:val="22"/>
          <w:szCs w:val="22"/>
          <w:u w:val="single"/>
          <w:lang w:val="cs-CZ"/>
        </w:rPr>
        <w:t>Mezinárodní přeprava</w:t>
      </w:r>
    </w:p>
    <w:p w:rsidR="00A336F1" w:rsidRDefault="00A336F1">
      <w:pPr>
        <w:pStyle w:val="ListParagraph"/>
        <w:ind w:left="0"/>
        <w:rPr>
          <w:rFonts w:ascii="Arial" w:hAnsi="Arial" w:cs="Arial"/>
          <w:sz w:val="22"/>
          <w:szCs w:val="22"/>
          <w:lang w:val="cs-CZ"/>
        </w:rPr>
      </w:pPr>
    </w:p>
    <w:p w:rsidR="00A336F1" w:rsidRDefault="00E10673">
      <w:pPr>
        <w:pStyle w:val="ListParagraph"/>
        <w:ind w:left="0"/>
        <w:rPr>
          <w:rFonts w:ascii="Arial" w:hAnsi="Arial" w:cs="Arial"/>
          <w:sz w:val="22"/>
          <w:szCs w:val="22"/>
          <w:lang w:val="cs-CZ"/>
        </w:rPr>
      </w:pPr>
      <w:r>
        <w:rPr>
          <w:rFonts w:ascii="Arial" w:hAnsi="Arial" w:cs="Arial"/>
          <w:sz w:val="22"/>
          <w:szCs w:val="22"/>
          <w:lang w:val="cs-CZ"/>
        </w:rPr>
        <w:t xml:space="preserve"> „Náš mezinárodní segment generoval během posledních čtyř po sobě jdoucích kvartálů dvojciferný růst vývozu,“ uvedl </w:t>
      </w:r>
      <w:proofErr w:type="spellStart"/>
      <w:r>
        <w:rPr>
          <w:rFonts w:ascii="Arial" w:hAnsi="Arial" w:cs="Arial"/>
          <w:sz w:val="22"/>
          <w:szCs w:val="22"/>
          <w:lang w:val="cs-CZ"/>
        </w:rPr>
        <w:t>Abney</w:t>
      </w:r>
      <w:proofErr w:type="spellEnd"/>
      <w:r>
        <w:rPr>
          <w:rFonts w:ascii="Arial" w:hAnsi="Arial" w:cs="Arial"/>
          <w:sz w:val="22"/>
          <w:szCs w:val="22"/>
          <w:lang w:val="cs-CZ"/>
        </w:rPr>
        <w:t>. „Tento výkon spolu se strategií zaměřenou na růst a s investicemi realizovanými v posledních 3,5 letech přinesly výsledky, které překonaly očekávání.“</w:t>
      </w:r>
    </w:p>
    <w:p w:rsidR="00A336F1" w:rsidRDefault="00A336F1">
      <w:pPr>
        <w:pStyle w:val="ListParagraph"/>
        <w:ind w:left="0"/>
        <w:rPr>
          <w:rFonts w:ascii="Arial" w:hAnsi="Arial" w:cs="Arial"/>
          <w:sz w:val="22"/>
          <w:szCs w:val="22"/>
          <w:lang w:val="cs-CZ"/>
        </w:rPr>
      </w:pPr>
    </w:p>
    <w:tbl>
      <w:tblPr>
        <w:tblW w:w="8064" w:type="dxa"/>
        <w:tblInd w:w="-90" w:type="dxa"/>
        <w:tblLook w:val="00A0" w:firstRow="1" w:lastRow="0" w:firstColumn="1" w:lastColumn="0" w:noHBand="0" w:noVBand="0"/>
      </w:tblPr>
      <w:tblGrid>
        <w:gridCol w:w="1706"/>
        <w:gridCol w:w="1673"/>
        <w:gridCol w:w="1506"/>
        <w:gridCol w:w="1673"/>
        <w:gridCol w:w="1506"/>
      </w:tblGrid>
      <w:tr w:rsidR="00A336F1">
        <w:tc>
          <w:tcPr>
            <w:tcW w:w="1706" w:type="dxa"/>
            <w:shd w:val="clear" w:color="auto" w:fill="auto"/>
          </w:tcPr>
          <w:p w:rsidR="00A336F1" w:rsidRDefault="00A336F1">
            <w:pPr>
              <w:rPr>
                <w:rFonts w:ascii="Arial" w:hAnsi="Arial" w:cs="Arial"/>
                <w:b/>
                <w:sz w:val="20"/>
                <w:u w:val="single"/>
                <w:lang w:val="cs-CZ"/>
              </w:rPr>
            </w:pPr>
          </w:p>
          <w:p w:rsidR="00A336F1" w:rsidRDefault="00A336F1">
            <w:pPr>
              <w:rPr>
                <w:rFonts w:ascii="Arial" w:hAnsi="Arial" w:cs="Arial"/>
                <w:b/>
                <w:sz w:val="20"/>
                <w:u w:val="single"/>
                <w:lang w:val="cs-CZ"/>
              </w:rPr>
            </w:pPr>
          </w:p>
        </w:tc>
        <w:tc>
          <w:tcPr>
            <w:tcW w:w="1673"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506"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673"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c>
          <w:tcPr>
            <w:tcW w:w="1506"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r>
      <w:tr w:rsidR="00A336F1">
        <w:tc>
          <w:tcPr>
            <w:tcW w:w="1706" w:type="dxa"/>
            <w:shd w:val="clear" w:color="auto" w:fill="auto"/>
          </w:tcPr>
          <w:p w:rsidR="00A336F1" w:rsidRDefault="00E10673">
            <w:pPr>
              <w:rPr>
                <w:rFonts w:ascii="Arial" w:hAnsi="Arial" w:cs="Arial"/>
                <w:sz w:val="20"/>
                <w:lang w:val="cs-CZ"/>
              </w:rPr>
            </w:pPr>
            <w:r>
              <w:rPr>
                <w:rFonts w:ascii="Arial" w:hAnsi="Arial" w:cs="Arial"/>
                <w:sz w:val="20"/>
                <w:szCs w:val="22"/>
                <w:lang w:val="cs-CZ"/>
              </w:rPr>
              <w:t>Příjmy</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3 753 mil. USD</w:t>
            </w:r>
          </w:p>
        </w:tc>
        <w:tc>
          <w:tcPr>
            <w:tcW w:w="1506" w:type="dxa"/>
            <w:shd w:val="clear" w:color="auto" w:fill="auto"/>
          </w:tcPr>
          <w:p w:rsidR="00A336F1" w:rsidRDefault="00A336F1">
            <w:pPr>
              <w:jc w:val="right"/>
              <w:rPr>
                <w:rFonts w:ascii="Arial" w:hAnsi="Arial" w:cs="Arial"/>
                <w:sz w:val="20"/>
                <w:lang w:val="cs-CZ"/>
              </w:rPr>
            </w:pP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3 335 mil. USD</w:t>
            </w:r>
          </w:p>
        </w:tc>
        <w:tc>
          <w:tcPr>
            <w:tcW w:w="1506" w:type="dxa"/>
            <w:shd w:val="clear" w:color="auto" w:fill="auto"/>
          </w:tcPr>
          <w:p w:rsidR="00A336F1" w:rsidRDefault="00A336F1">
            <w:pPr>
              <w:jc w:val="right"/>
              <w:rPr>
                <w:rFonts w:ascii="Arial" w:hAnsi="Arial" w:cs="Arial"/>
                <w:sz w:val="20"/>
                <w:lang w:val="cs-CZ"/>
              </w:rPr>
            </w:pPr>
          </w:p>
        </w:tc>
      </w:tr>
      <w:tr w:rsidR="00A336F1">
        <w:tc>
          <w:tcPr>
            <w:tcW w:w="1706" w:type="dxa"/>
            <w:shd w:val="clear" w:color="auto" w:fill="auto"/>
          </w:tcPr>
          <w:p w:rsidR="00A336F1" w:rsidRDefault="00E10673">
            <w:pPr>
              <w:rPr>
                <w:rFonts w:ascii="Arial" w:hAnsi="Arial" w:cs="Arial"/>
                <w:sz w:val="20"/>
                <w:lang w:val="cs-CZ"/>
              </w:rPr>
            </w:pPr>
            <w:r>
              <w:rPr>
                <w:rFonts w:ascii="Arial" w:hAnsi="Arial" w:cs="Arial"/>
                <w:sz w:val="20"/>
                <w:szCs w:val="22"/>
                <w:lang w:val="cs-CZ"/>
              </w:rPr>
              <w:t>Provozní zisk</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725 mil. USD</w:t>
            </w:r>
          </w:p>
        </w:tc>
        <w:tc>
          <w:tcPr>
            <w:tcW w:w="1506"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760 mil. USD</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281 mil. USD</w:t>
            </w:r>
          </w:p>
        </w:tc>
        <w:tc>
          <w:tcPr>
            <w:tcW w:w="1506"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706 mil. USD</w:t>
            </w:r>
          </w:p>
        </w:tc>
      </w:tr>
    </w:tbl>
    <w:p w:rsidR="00A336F1" w:rsidRDefault="00A336F1">
      <w:pPr>
        <w:ind w:left="720" w:hanging="720"/>
        <w:rPr>
          <w:rFonts w:ascii="Arial" w:hAnsi="Arial" w:cs="Arial"/>
          <w:szCs w:val="22"/>
          <w:lang w:val="cs-CZ"/>
        </w:rPr>
      </w:pPr>
    </w:p>
    <w:p w:rsidR="00A336F1" w:rsidRDefault="00E10673">
      <w:pPr>
        <w:rPr>
          <w:rFonts w:ascii="Arial" w:hAnsi="Arial" w:cs="Arial"/>
          <w:sz w:val="22"/>
          <w:szCs w:val="22"/>
          <w:lang w:val="cs-CZ"/>
        </w:rPr>
      </w:pPr>
      <w:r>
        <w:rPr>
          <w:rFonts w:ascii="Arial" w:hAnsi="Arial" w:cs="Arial"/>
          <w:sz w:val="22"/>
          <w:szCs w:val="22"/>
          <w:lang w:val="cs-CZ"/>
        </w:rPr>
        <w:t xml:space="preserve">Mezinárodní přeprava ve 4. kvartálu 2017: </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Segment zaznamenal nárůst tržeb o 13 % způsobený prémiovými službami.</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Růst denní přepravy exportních zásilek prudce vzrostl o 16 %. K expanzi přispěly všechny regiony na celém světě.</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Provozní zisk za uplynulý kvartál dosáhl výše 725 mil. USD; upravený provozní zisk v tomto období vzrostl o 7,6 % na 760 mil. USD, což bylo způsobeno mimořádným zrychlením růstu spolu s růstem výnosů.</w:t>
      </w:r>
    </w:p>
    <w:p w:rsidR="00A336F1" w:rsidRDefault="00E10673">
      <w:pPr>
        <w:numPr>
          <w:ilvl w:val="0"/>
          <w:numId w:val="1"/>
        </w:numPr>
        <w:rPr>
          <w:rFonts w:ascii="Arial" w:hAnsi="Arial" w:cs="Arial"/>
          <w:sz w:val="22"/>
          <w:szCs w:val="22"/>
          <w:lang w:val="cs-CZ"/>
        </w:rPr>
      </w:pPr>
      <w:r>
        <w:rPr>
          <w:rFonts w:ascii="Arial" w:hAnsi="Arial" w:cs="Arial"/>
          <w:sz w:val="22"/>
          <w:szCs w:val="22"/>
          <w:lang w:val="cs-CZ"/>
        </w:rPr>
        <w:t>Upravený provozní zisk nezahrnuje tržně oceněné penzijní závazky.</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Provozní zisk na měnově neutrální bázi narostl o 19 % na upraveném základě.</w:t>
      </w:r>
    </w:p>
    <w:p w:rsidR="00A336F1" w:rsidRDefault="00A336F1">
      <w:pPr>
        <w:rPr>
          <w:rFonts w:ascii="Arial" w:hAnsi="Arial" w:cs="Arial"/>
          <w:b/>
          <w:sz w:val="22"/>
          <w:szCs w:val="22"/>
          <w:vertAlign w:val="subscript"/>
          <w:lang w:val="cs-CZ"/>
        </w:rPr>
      </w:pPr>
    </w:p>
    <w:p w:rsidR="00A336F1" w:rsidRDefault="00E10673">
      <w:pPr>
        <w:rPr>
          <w:rFonts w:ascii="Arial" w:hAnsi="Arial" w:cs="Arial"/>
          <w:b/>
          <w:sz w:val="22"/>
          <w:szCs w:val="22"/>
          <w:vertAlign w:val="subscript"/>
          <w:lang w:val="cs-CZ"/>
        </w:rPr>
      </w:pPr>
      <w:r>
        <w:rPr>
          <w:rFonts w:ascii="Arial" w:hAnsi="Arial" w:cs="Arial"/>
          <w:b/>
          <w:sz w:val="22"/>
          <w:szCs w:val="22"/>
          <w:vertAlign w:val="subscript"/>
          <w:lang w:val="cs-CZ"/>
        </w:rPr>
        <w:t>*) Informace o sladění měnově neutrálních příjmů a provozního zisku, které nepodléhají standardům GAAP, je přiložena.</w:t>
      </w:r>
    </w:p>
    <w:p w:rsidR="00A336F1" w:rsidRPr="00F576DE" w:rsidRDefault="00A336F1">
      <w:pPr>
        <w:jc w:val="center"/>
        <w:rPr>
          <w:rFonts w:ascii="Arial" w:hAnsi="Arial" w:cs="Arial"/>
          <w:sz w:val="22"/>
          <w:szCs w:val="20"/>
          <w:lang w:val="cs-CZ"/>
        </w:rPr>
      </w:pPr>
    </w:p>
    <w:p w:rsidR="00A336F1" w:rsidRDefault="00E10673">
      <w:pPr>
        <w:pStyle w:val="ListParagraph"/>
        <w:keepNext/>
        <w:ind w:left="0"/>
        <w:rPr>
          <w:rFonts w:ascii="Arial" w:hAnsi="Arial" w:cs="Arial"/>
          <w:b/>
          <w:sz w:val="22"/>
          <w:szCs w:val="22"/>
          <w:u w:val="single"/>
          <w:lang w:val="cs-CZ"/>
        </w:rPr>
      </w:pPr>
      <w:r>
        <w:rPr>
          <w:rFonts w:ascii="Arial" w:hAnsi="Arial" w:cs="Arial"/>
          <w:b/>
          <w:sz w:val="22"/>
          <w:szCs w:val="22"/>
          <w:u w:val="single"/>
          <w:lang w:val="cs-CZ"/>
        </w:rPr>
        <w:lastRenderedPageBreak/>
        <w:t>Dodavatelské řetězce a nákladní přeprava</w:t>
      </w:r>
    </w:p>
    <w:p w:rsidR="00A336F1" w:rsidRDefault="00A336F1">
      <w:pPr>
        <w:pStyle w:val="ListParagraph"/>
        <w:keepNext/>
        <w:rPr>
          <w:rFonts w:ascii="Arial" w:hAnsi="Arial" w:cs="Arial"/>
          <w:sz w:val="22"/>
          <w:szCs w:val="22"/>
          <w:lang w:val="cs-CZ"/>
        </w:rPr>
      </w:pPr>
    </w:p>
    <w:p w:rsidR="00A336F1" w:rsidRDefault="00E10673">
      <w:pPr>
        <w:pStyle w:val="ListParagraph"/>
        <w:keepNext/>
        <w:ind w:left="0"/>
        <w:rPr>
          <w:rFonts w:ascii="Arial" w:hAnsi="Arial" w:cs="Arial"/>
          <w:sz w:val="22"/>
          <w:szCs w:val="22"/>
          <w:lang w:val="cs-CZ"/>
        </w:rPr>
      </w:pPr>
      <w:r>
        <w:rPr>
          <w:rFonts w:ascii="Arial" w:hAnsi="Arial" w:cs="Arial"/>
          <w:sz w:val="22"/>
          <w:szCs w:val="22"/>
          <w:lang w:val="cs-CZ"/>
        </w:rPr>
        <w:t>Segment dodavatelských řetězců a nákladní přepravy vykázal rekordní výsledky za období celého uplynulého roku i posledního čtvrtletí s dvojciferným růstem příjmů a upraveným provozním ziskem. Příznivější tržní podmínky spolu se zlepšením kvality příjmů a programy na strukturální snížení nákladů vedly ke zvláště dobrým výsledkům.</w:t>
      </w:r>
    </w:p>
    <w:p w:rsidR="00A336F1" w:rsidRDefault="00A336F1">
      <w:pPr>
        <w:pStyle w:val="ListParagraph"/>
        <w:ind w:left="0"/>
        <w:rPr>
          <w:rFonts w:ascii="Arial" w:hAnsi="Arial" w:cs="Arial"/>
          <w:sz w:val="22"/>
          <w:szCs w:val="22"/>
          <w:lang w:val="cs-CZ"/>
        </w:rPr>
      </w:pPr>
    </w:p>
    <w:tbl>
      <w:tblPr>
        <w:tblW w:w="8564" w:type="dxa"/>
        <w:tblInd w:w="-90" w:type="dxa"/>
        <w:tblLook w:val="00A0" w:firstRow="1" w:lastRow="0" w:firstColumn="1" w:lastColumn="0" w:noHBand="0" w:noVBand="0"/>
      </w:tblPr>
      <w:tblGrid>
        <w:gridCol w:w="2206"/>
        <w:gridCol w:w="1673"/>
        <w:gridCol w:w="1506"/>
        <w:gridCol w:w="1673"/>
        <w:gridCol w:w="1506"/>
      </w:tblGrid>
      <w:tr w:rsidR="00A336F1">
        <w:tc>
          <w:tcPr>
            <w:tcW w:w="2206" w:type="dxa"/>
            <w:shd w:val="clear" w:color="auto" w:fill="auto"/>
          </w:tcPr>
          <w:p w:rsidR="00A336F1" w:rsidRDefault="00A336F1">
            <w:pPr>
              <w:rPr>
                <w:rFonts w:ascii="Arial" w:hAnsi="Arial" w:cs="Arial"/>
                <w:b/>
                <w:sz w:val="20"/>
                <w:u w:val="single"/>
                <w:lang w:val="cs-CZ"/>
              </w:rPr>
            </w:pPr>
          </w:p>
          <w:p w:rsidR="00A336F1" w:rsidRDefault="00A336F1">
            <w:pPr>
              <w:rPr>
                <w:rFonts w:ascii="Arial" w:hAnsi="Arial" w:cs="Arial"/>
                <w:b/>
                <w:sz w:val="20"/>
                <w:u w:val="single"/>
                <w:lang w:val="cs-CZ"/>
              </w:rPr>
            </w:pPr>
          </w:p>
        </w:tc>
        <w:tc>
          <w:tcPr>
            <w:tcW w:w="1673"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506"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2017</w:t>
            </w:r>
          </w:p>
        </w:tc>
        <w:tc>
          <w:tcPr>
            <w:tcW w:w="1673" w:type="dxa"/>
            <w:shd w:val="clear" w:color="auto" w:fill="auto"/>
          </w:tcPr>
          <w:p w:rsidR="00A336F1" w:rsidRDefault="00A336F1">
            <w:pPr>
              <w:jc w:val="right"/>
              <w:rPr>
                <w:rFonts w:ascii="Arial" w:hAnsi="Arial" w:cs="Arial"/>
                <w:b/>
                <w:sz w:val="20"/>
                <w:u w:val="single"/>
                <w:lang w:val="cs-CZ"/>
              </w:rPr>
            </w:pP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c>
          <w:tcPr>
            <w:tcW w:w="1506" w:type="dxa"/>
            <w:shd w:val="clear" w:color="auto" w:fill="auto"/>
          </w:tcPr>
          <w:p w:rsidR="00A336F1" w:rsidRDefault="00E10673">
            <w:pPr>
              <w:jc w:val="right"/>
              <w:rPr>
                <w:rFonts w:ascii="Arial" w:hAnsi="Arial" w:cs="Arial"/>
                <w:b/>
                <w:sz w:val="20"/>
                <w:u w:val="single"/>
                <w:lang w:val="cs-CZ"/>
              </w:rPr>
            </w:pPr>
            <w:r>
              <w:rPr>
                <w:rFonts w:ascii="Arial" w:hAnsi="Arial" w:cs="Arial"/>
                <w:b/>
                <w:sz w:val="20"/>
                <w:szCs w:val="22"/>
                <w:u w:val="single"/>
                <w:lang w:val="cs-CZ"/>
              </w:rPr>
              <w:t>Upravené</w:t>
            </w:r>
          </w:p>
          <w:p w:rsidR="00A336F1" w:rsidRDefault="00E10673">
            <w:pPr>
              <w:jc w:val="right"/>
              <w:rPr>
                <w:rFonts w:ascii="Arial" w:hAnsi="Arial" w:cs="Arial"/>
                <w:b/>
                <w:sz w:val="20"/>
                <w:u w:val="single"/>
                <w:lang w:val="cs-CZ"/>
              </w:rPr>
            </w:pPr>
            <w:r>
              <w:rPr>
                <w:rFonts w:ascii="Arial" w:hAnsi="Arial" w:cs="Arial"/>
                <w:b/>
                <w:sz w:val="20"/>
                <w:szCs w:val="22"/>
                <w:u w:val="single"/>
                <w:lang w:val="cs-CZ"/>
              </w:rPr>
              <w:t>4Q 2016</w:t>
            </w:r>
          </w:p>
        </w:tc>
      </w:tr>
      <w:tr w:rsidR="00A336F1">
        <w:tc>
          <w:tcPr>
            <w:tcW w:w="2206" w:type="dxa"/>
            <w:shd w:val="clear" w:color="auto" w:fill="auto"/>
          </w:tcPr>
          <w:p w:rsidR="00A336F1" w:rsidRDefault="00E10673">
            <w:pPr>
              <w:rPr>
                <w:rFonts w:ascii="Arial" w:hAnsi="Arial" w:cs="Arial"/>
                <w:sz w:val="20"/>
                <w:lang w:val="cs-CZ"/>
              </w:rPr>
            </w:pPr>
            <w:r>
              <w:rPr>
                <w:rFonts w:ascii="Arial" w:hAnsi="Arial" w:cs="Arial"/>
                <w:sz w:val="20"/>
                <w:szCs w:val="22"/>
                <w:lang w:val="cs-CZ"/>
              </w:rPr>
              <w:t>Příjmy</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3 241 mil. USD</w:t>
            </w:r>
          </w:p>
        </w:tc>
        <w:tc>
          <w:tcPr>
            <w:tcW w:w="1506" w:type="dxa"/>
            <w:shd w:val="clear" w:color="auto" w:fill="auto"/>
          </w:tcPr>
          <w:p w:rsidR="00A336F1" w:rsidRDefault="00A336F1">
            <w:pPr>
              <w:jc w:val="right"/>
              <w:rPr>
                <w:rFonts w:ascii="Arial" w:hAnsi="Arial" w:cs="Arial"/>
                <w:sz w:val="20"/>
                <w:lang w:val="cs-CZ"/>
              </w:rPr>
            </w:pP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2 683 mil. USD</w:t>
            </w:r>
          </w:p>
        </w:tc>
        <w:tc>
          <w:tcPr>
            <w:tcW w:w="1506" w:type="dxa"/>
            <w:shd w:val="clear" w:color="auto" w:fill="auto"/>
          </w:tcPr>
          <w:p w:rsidR="00A336F1" w:rsidRDefault="00A336F1">
            <w:pPr>
              <w:jc w:val="right"/>
              <w:rPr>
                <w:rFonts w:ascii="Arial" w:hAnsi="Arial" w:cs="Arial"/>
                <w:sz w:val="20"/>
                <w:lang w:val="cs-CZ"/>
              </w:rPr>
            </w:pPr>
          </w:p>
        </w:tc>
      </w:tr>
      <w:tr w:rsidR="00A336F1">
        <w:tc>
          <w:tcPr>
            <w:tcW w:w="2206" w:type="dxa"/>
            <w:shd w:val="clear" w:color="auto" w:fill="auto"/>
          </w:tcPr>
          <w:p w:rsidR="00A336F1" w:rsidRDefault="00E10673">
            <w:pPr>
              <w:rPr>
                <w:rFonts w:ascii="Arial" w:hAnsi="Arial" w:cs="Arial"/>
                <w:sz w:val="20"/>
                <w:lang w:val="cs-CZ"/>
              </w:rPr>
            </w:pPr>
            <w:r>
              <w:rPr>
                <w:rFonts w:ascii="Arial" w:hAnsi="Arial" w:cs="Arial"/>
                <w:sz w:val="20"/>
                <w:szCs w:val="22"/>
                <w:lang w:val="cs-CZ"/>
              </w:rPr>
              <w:t>Provozní zisk (ztráta)</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142 mil. USD</w:t>
            </w:r>
          </w:p>
        </w:tc>
        <w:tc>
          <w:tcPr>
            <w:tcW w:w="1506"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270 mil. USD</w:t>
            </w:r>
          </w:p>
        </w:tc>
        <w:tc>
          <w:tcPr>
            <w:tcW w:w="1673"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(139) mil. USD</w:t>
            </w:r>
          </w:p>
        </w:tc>
        <w:tc>
          <w:tcPr>
            <w:tcW w:w="1506" w:type="dxa"/>
            <w:shd w:val="clear" w:color="auto" w:fill="auto"/>
          </w:tcPr>
          <w:p w:rsidR="00A336F1" w:rsidRDefault="00E10673">
            <w:pPr>
              <w:jc w:val="right"/>
              <w:rPr>
                <w:rFonts w:ascii="Arial" w:hAnsi="Arial" w:cs="Arial"/>
                <w:sz w:val="20"/>
                <w:lang w:val="cs-CZ"/>
              </w:rPr>
            </w:pPr>
            <w:r>
              <w:rPr>
                <w:rFonts w:ascii="Arial" w:hAnsi="Arial" w:cs="Arial"/>
                <w:sz w:val="20"/>
                <w:szCs w:val="22"/>
                <w:lang w:val="cs-CZ"/>
              </w:rPr>
              <w:t>179 mil. USD</w:t>
            </w:r>
          </w:p>
        </w:tc>
      </w:tr>
    </w:tbl>
    <w:p w:rsidR="00A336F1" w:rsidRDefault="00A336F1">
      <w:pPr>
        <w:ind w:left="720" w:hanging="720"/>
        <w:rPr>
          <w:rFonts w:ascii="Arial" w:hAnsi="Arial" w:cs="Arial"/>
          <w:szCs w:val="22"/>
          <w:lang w:val="cs-CZ"/>
        </w:rPr>
      </w:pPr>
    </w:p>
    <w:p w:rsidR="00A336F1" w:rsidRDefault="00E10673">
      <w:pPr>
        <w:pStyle w:val="ListParagraph"/>
        <w:ind w:left="0"/>
        <w:rPr>
          <w:rFonts w:ascii="Arial" w:hAnsi="Arial" w:cs="Arial"/>
          <w:sz w:val="22"/>
          <w:szCs w:val="22"/>
          <w:lang w:val="cs-CZ"/>
        </w:rPr>
      </w:pPr>
      <w:r>
        <w:rPr>
          <w:rFonts w:ascii="Arial" w:hAnsi="Arial" w:cs="Arial"/>
          <w:sz w:val="22"/>
          <w:szCs w:val="22"/>
          <w:lang w:val="cs-CZ"/>
        </w:rPr>
        <w:t>Dodavatelské řetězce a nákladní přeprava ve 4. kvartálu 2017:</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Výnosy vzrostly o 21 % v porovnání s posledním čtvrtletím roku 2016, což bylo důsledkem výraznější orientace na klíčové zákazníky, posílení iniciativ zaměřených na řízení příjmů a příznivějších tržních podmínek.</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 xml:space="preserve">Zvýšení tonáže v segmentech </w:t>
      </w:r>
      <w:proofErr w:type="spellStart"/>
      <w:r>
        <w:rPr>
          <w:rFonts w:ascii="Arial" w:hAnsi="Arial" w:cs="Arial"/>
          <w:sz w:val="22"/>
          <w:szCs w:val="22"/>
          <w:lang w:val="cs-CZ"/>
        </w:rPr>
        <w:t>Freight</w:t>
      </w:r>
      <w:proofErr w:type="spellEnd"/>
      <w:r>
        <w:rPr>
          <w:rFonts w:ascii="Arial" w:hAnsi="Arial" w:cs="Arial"/>
          <w:sz w:val="22"/>
          <w:szCs w:val="22"/>
          <w:lang w:val="cs-CZ"/>
        </w:rPr>
        <w:t xml:space="preserve"> </w:t>
      </w:r>
      <w:proofErr w:type="spellStart"/>
      <w:r>
        <w:rPr>
          <w:rFonts w:ascii="Arial" w:hAnsi="Arial" w:cs="Arial"/>
          <w:sz w:val="22"/>
          <w:szCs w:val="22"/>
          <w:lang w:val="cs-CZ"/>
        </w:rPr>
        <w:t>Forwarding</w:t>
      </w:r>
      <w:proofErr w:type="spellEnd"/>
      <w:r>
        <w:rPr>
          <w:rFonts w:ascii="Arial" w:hAnsi="Arial" w:cs="Arial"/>
          <w:sz w:val="22"/>
          <w:szCs w:val="22"/>
          <w:lang w:val="cs-CZ"/>
        </w:rPr>
        <w:t xml:space="preserve">, UPS </w:t>
      </w:r>
      <w:proofErr w:type="spellStart"/>
      <w:r>
        <w:rPr>
          <w:rFonts w:ascii="Arial" w:hAnsi="Arial" w:cs="Arial"/>
          <w:sz w:val="22"/>
          <w:szCs w:val="22"/>
          <w:lang w:val="cs-CZ"/>
        </w:rPr>
        <w:t>Freight</w:t>
      </w:r>
      <w:proofErr w:type="spellEnd"/>
      <w:r>
        <w:rPr>
          <w:rFonts w:ascii="Arial" w:hAnsi="Arial" w:cs="Arial"/>
          <w:sz w:val="22"/>
          <w:szCs w:val="22"/>
          <w:lang w:val="cs-CZ"/>
        </w:rPr>
        <w:t xml:space="preserve"> a </w:t>
      </w:r>
      <w:proofErr w:type="spellStart"/>
      <w:r>
        <w:rPr>
          <w:rFonts w:ascii="Arial" w:hAnsi="Arial" w:cs="Arial"/>
          <w:sz w:val="22"/>
          <w:szCs w:val="22"/>
          <w:lang w:val="cs-CZ"/>
        </w:rPr>
        <w:t>Coyote</w:t>
      </w:r>
      <w:proofErr w:type="spellEnd"/>
      <w:r>
        <w:rPr>
          <w:rFonts w:ascii="Arial" w:hAnsi="Arial" w:cs="Arial"/>
          <w:sz w:val="22"/>
          <w:szCs w:val="22"/>
          <w:lang w:val="cs-CZ"/>
        </w:rPr>
        <w:t xml:space="preserve"> </w:t>
      </w:r>
      <w:proofErr w:type="spellStart"/>
      <w:r>
        <w:rPr>
          <w:rFonts w:ascii="Arial" w:hAnsi="Arial" w:cs="Arial"/>
          <w:sz w:val="22"/>
          <w:szCs w:val="22"/>
          <w:lang w:val="cs-CZ"/>
        </w:rPr>
        <w:t>Logistics</w:t>
      </w:r>
      <w:proofErr w:type="spellEnd"/>
      <w:r>
        <w:rPr>
          <w:rFonts w:ascii="Arial" w:hAnsi="Arial" w:cs="Arial"/>
          <w:sz w:val="22"/>
          <w:szCs w:val="22"/>
          <w:lang w:val="cs-CZ"/>
        </w:rPr>
        <w:t xml:space="preserve"> přispěly ke zlepšení mimořádně příznivých výsledků.</w:t>
      </w:r>
    </w:p>
    <w:p w:rsidR="00A336F1" w:rsidRDefault="00E10673">
      <w:pPr>
        <w:pStyle w:val="ListParagraph"/>
        <w:numPr>
          <w:ilvl w:val="0"/>
          <w:numId w:val="4"/>
        </w:numPr>
        <w:rPr>
          <w:rFonts w:ascii="Arial" w:hAnsi="Arial" w:cs="Arial"/>
          <w:sz w:val="22"/>
          <w:szCs w:val="22"/>
          <w:lang w:val="cs-CZ"/>
        </w:rPr>
      </w:pPr>
      <w:r>
        <w:rPr>
          <w:rFonts w:ascii="Arial" w:hAnsi="Arial" w:cs="Arial"/>
          <w:sz w:val="22"/>
          <w:szCs w:val="22"/>
          <w:lang w:val="cs-CZ"/>
        </w:rPr>
        <w:t>Provozní zisk za 4. kvartál 2017 dosáhl výše 142 mil. USD; upravený provozní zisk byl 270 mil. USD.</w:t>
      </w:r>
    </w:p>
    <w:p w:rsidR="00A336F1" w:rsidRDefault="00E10673">
      <w:pPr>
        <w:numPr>
          <w:ilvl w:val="0"/>
          <w:numId w:val="4"/>
        </w:numPr>
        <w:rPr>
          <w:rFonts w:ascii="Arial" w:hAnsi="Arial" w:cs="Arial"/>
          <w:sz w:val="22"/>
          <w:szCs w:val="22"/>
          <w:lang w:val="cs-CZ"/>
        </w:rPr>
      </w:pPr>
      <w:r>
        <w:rPr>
          <w:rFonts w:ascii="Arial" w:hAnsi="Arial" w:cs="Arial"/>
          <w:sz w:val="22"/>
          <w:szCs w:val="22"/>
          <w:lang w:val="cs-CZ"/>
        </w:rPr>
        <w:t>Upravený provozní zisk nezahrnuje tržně oceněné penzijní závazky.</w:t>
      </w:r>
    </w:p>
    <w:p w:rsidR="00A336F1" w:rsidRDefault="00A336F1">
      <w:pPr>
        <w:rPr>
          <w:rFonts w:ascii="Arial" w:hAnsi="Arial" w:cs="Arial"/>
          <w:b/>
          <w:sz w:val="22"/>
          <w:szCs w:val="22"/>
          <w:vertAlign w:val="subscript"/>
          <w:lang w:val="cs-CZ"/>
        </w:rPr>
      </w:pPr>
    </w:p>
    <w:p w:rsidR="00A336F1" w:rsidRDefault="00E10673">
      <w:pPr>
        <w:pStyle w:val="ListParagraph"/>
        <w:ind w:left="0"/>
        <w:rPr>
          <w:rFonts w:ascii="Arial" w:hAnsi="Arial" w:cs="Arial"/>
          <w:b/>
          <w:sz w:val="22"/>
          <w:szCs w:val="22"/>
          <w:u w:val="single"/>
          <w:lang w:val="cs-CZ"/>
        </w:rPr>
      </w:pPr>
      <w:r>
        <w:rPr>
          <w:rFonts w:ascii="Arial" w:hAnsi="Arial" w:cs="Arial"/>
          <w:b/>
          <w:sz w:val="22"/>
          <w:szCs w:val="22"/>
          <w:u w:val="single"/>
          <w:lang w:val="cs-CZ"/>
        </w:rPr>
        <w:t>Konsolidované výsledky za rok 2017</w:t>
      </w:r>
    </w:p>
    <w:p w:rsidR="00A336F1" w:rsidRDefault="00A336F1">
      <w:pPr>
        <w:pStyle w:val="ListParagraph"/>
        <w:ind w:left="0"/>
        <w:rPr>
          <w:rFonts w:ascii="Arial" w:hAnsi="Arial" w:cs="Arial"/>
          <w:b/>
          <w:sz w:val="22"/>
          <w:szCs w:val="22"/>
          <w:u w:val="single"/>
          <w:lang w:val="cs-CZ"/>
        </w:rPr>
      </w:pP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Celkové tržby vzrostly o 8,2 % na 65,9 mld. USD díky nárůstu přepravy a navýšení výnosů.</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Zředěný zisk na akcii za rok 2017 dosáhl výše 5,61 USD; upravený zředěný zisk na akcii byl 6,01 USD.</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Upravený zředěný zisk na akcii nezahrnuje vliv tržního přecenění penzijních závazků ani zvýhodnění u daně z příjmů podle daňových zákonů TCJA.</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Kapitálové výdaje firmy dosáhly v průběhu roku 5,2 mld. USD.</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Firma vyplatila dividendy ve výši 2,9 mld. USD, což je o 6,4 % na akcii více než v předchozím roce.</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UPS odkoupila 16,1 mil. akcií za přibližně 1,8 mld. USD.</w:t>
      </w:r>
    </w:p>
    <w:p w:rsidR="00A336F1" w:rsidRDefault="00A336F1">
      <w:pPr>
        <w:pStyle w:val="ListParagraph"/>
        <w:ind w:left="0" w:firstLine="720"/>
        <w:rPr>
          <w:rFonts w:ascii="Arial" w:hAnsi="Arial" w:cs="Arial"/>
          <w:sz w:val="22"/>
          <w:szCs w:val="22"/>
          <w:lang w:val="cs-CZ"/>
        </w:rPr>
      </w:pPr>
    </w:p>
    <w:p w:rsidR="00A336F1" w:rsidRDefault="00E10673">
      <w:pPr>
        <w:rPr>
          <w:rFonts w:ascii="Arial" w:hAnsi="Arial" w:cs="Arial"/>
          <w:b/>
          <w:u w:val="single"/>
          <w:lang w:val="cs-CZ"/>
        </w:rPr>
      </w:pPr>
      <w:r>
        <w:rPr>
          <w:rFonts w:ascii="Arial" w:hAnsi="Arial" w:cs="Arial"/>
          <w:b/>
          <w:u w:val="single"/>
          <w:lang w:val="cs-CZ"/>
        </w:rPr>
        <w:t xml:space="preserve">Výhled </w:t>
      </w:r>
    </w:p>
    <w:p w:rsidR="00A336F1" w:rsidRPr="00F576DE" w:rsidRDefault="00A336F1">
      <w:pPr>
        <w:pStyle w:val="ListParagraph"/>
        <w:ind w:left="0"/>
        <w:rPr>
          <w:rFonts w:ascii="Arial" w:hAnsi="Arial" w:cs="Arial"/>
          <w:sz w:val="22"/>
          <w:lang w:val="cs-CZ"/>
        </w:rPr>
      </w:pPr>
    </w:p>
    <w:p w:rsidR="00A336F1" w:rsidRDefault="00E10673">
      <w:pPr>
        <w:pStyle w:val="ListParagraph"/>
        <w:ind w:left="0" w:firstLine="720"/>
        <w:rPr>
          <w:rFonts w:ascii="Arial" w:hAnsi="Arial" w:cs="Arial"/>
          <w:sz w:val="22"/>
          <w:szCs w:val="22"/>
          <w:lang w:val="cs-CZ"/>
        </w:rPr>
      </w:pPr>
      <w:r>
        <w:rPr>
          <w:rFonts w:ascii="Arial" w:hAnsi="Arial" w:cs="Arial"/>
          <w:sz w:val="22"/>
          <w:szCs w:val="22"/>
          <w:lang w:val="cs-CZ"/>
        </w:rPr>
        <w:t>UPS poskytuje výhled na upravené bázi (neodpovídající účetním zásadám GAAP), není totiž možné předpovědět či odhadnout vliv budoucího tržního nacenění penzijních položek a dalších neočekávaných událostí. Ty jsou zahrnuty ve vykazovaných výsledcích podle GAAP a mohou být významné.</w:t>
      </w:r>
    </w:p>
    <w:p w:rsidR="00A336F1" w:rsidRDefault="00A336F1">
      <w:pPr>
        <w:pStyle w:val="ListParagraph"/>
        <w:ind w:left="0" w:firstLine="720"/>
        <w:rPr>
          <w:rFonts w:ascii="Arial" w:hAnsi="Arial" w:cs="Arial"/>
          <w:sz w:val="22"/>
          <w:szCs w:val="22"/>
          <w:lang w:val="cs-CZ"/>
        </w:rPr>
      </w:pPr>
    </w:p>
    <w:p w:rsidR="00A336F1" w:rsidRDefault="00E10673">
      <w:pPr>
        <w:pStyle w:val="ListParagraph"/>
        <w:ind w:left="0" w:firstLine="720"/>
        <w:rPr>
          <w:rFonts w:ascii="Arial" w:hAnsi="Arial" w:cs="Arial"/>
          <w:sz w:val="22"/>
          <w:szCs w:val="22"/>
          <w:lang w:val="cs-CZ"/>
        </w:rPr>
      </w:pPr>
      <w:r>
        <w:rPr>
          <w:rFonts w:ascii="Arial" w:hAnsi="Arial" w:cs="Arial"/>
          <w:sz w:val="22"/>
          <w:szCs w:val="22"/>
          <w:lang w:val="cs-CZ"/>
        </w:rPr>
        <w:t xml:space="preserve">„Příležitosti pro náš růst akcelerují,“ uvedl Richard </w:t>
      </w:r>
      <w:proofErr w:type="spellStart"/>
      <w:r>
        <w:rPr>
          <w:rFonts w:ascii="Arial" w:hAnsi="Arial" w:cs="Arial"/>
          <w:sz w:val="22"/>
          <w:szCs w:val="22"/>
          <w:lang w:val="cs-CZ"/>
        </w:rPr>
        <w:t>Peretz</w:t>
      </w:r>
      <w:proofErr w:type="spellEnd"/>
      <w:r>
        <w:rPr>
          <w:rFonts w:ascii="Arial" w:hAnsi="Arial" w:cs="Arial"/>
          <w:sz w:val="22"/>
          <w:szCs w:val="22"/>
          <w:lang w:val="cs-CZ"/>
        </w:rPr>
        <w:t>, finanční ředitel UPS. „Silný ekonomický výhled a vysoké zhodnocení investovaného kapitálu UPS vytvářejí jedinečnou příležitost pro přidanou dlouhodobou hodnotu navýšením kapitálových investic. Tyto investice umožňují UPS naplňovat svoji strategii a pro rok 2018 i navazující roky zaujímáme dobré postavení."</w:t>
      </w:r>
    </w:p>
    <w:p w:rsidR="00A336F1" w:rsidRDefault="00A336F1">
      <w:pPr>
        <w:pStyle w:val="ListParagraph"/>
        <w:ind w:left="0" w:firstLine="720"/>
        <w:rPr>
          <w:rFonts w:ascii="Arial" w:hAnsi="Arial" w:cs="Arial"/>
          <w:sz w:val="22"/>
          <w:szCs w:val="22"/>
          <w:lang w:val="cs-CZ"/>
        </w:rPr>
      </w:pP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UPS očekává celoroční upravený zředěný zisk na akcii pro rok 2018 v rozmezí od 7,03 USD do 7,37 USD, který zahrnuje dodatečné penzijní výdaje před zdaněním ve výši 200 mil. USD v důsledku nižších diskontních sazeb.</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t>Firemní výhled zahrnuje zvýhodnění plynoucí z daňových zákonů TCJA, která se odrazí ve zvýšení čistého příjmu a peněžních toků.</w:t>
      </w:r>
    </w:p>
    <w:p w:rsidR="00A336F1" w:rsidRDefault="00E10673">
      <w:pPr>
        <w:pStyle w:val="ListParagraph"/>
        <w:numPr>
          <w:ilvl w:val="0"/>
          <w:numId w:val="1"/>
        </w:numPr>
        <w:rPr>
          <w:rFonts w:ascii="Arial" w:hAnsi="Arial" w:cs="Arial"/>
          <w:sz w:val="22"/>
          <w:szCs w:val="22"/>
          <w:lang w:val="cs-CZ"/>
        </w:rPr>
      </w:pPr>
      <w:r>
        <w:rPr>
          <w:rFonts w:ascii="Arial" w:hAnsi="Arial" w:cs="Arial"/>
          <w:sz w:val="22"/>
          <w:szCs w:val="22"/>
          <w:lang w:val="cs-CZ"/>
        </w:rPr>
        <w:lastRenderedPageBreak/>
        <w:t>Kapitálové výdaje jsou plánované v rozmezí 6,5 mld. až 7,0 mld. USD a jsou zaměřené především na investice do nových technologií, letadel a automatického navýšení kapacity.</w:t>
      </w:r>
    </w:p>
    <w:p w:rsidR="00A336F1" w:rsidRDefault="00A336F1">
      <w:pPr>
        <w:pStyle w:val="ListParagraph"/>
        <w:ind w:left="0" w:firstLine="720"/>
        <w:rPr>
          <w:rFonts w:ascii="Arial" w:hAnsi="Arial" w:cs="Arial"/>
          <w:sz w:val="22"/>
          <w:szCs w:val="22"/>
          <w:lang w:val="cs-CZ"/>
        </w:rPr>
      </w:pPr>
    </w:p>
    <w:p w:rsidR="00A336F1" w:rsidRDefault="00A336F1">
      <w:pPr>
        <w:pStyle w:val="ListParagraph"/>
        <w:ind w:left="0" w:firstLine="720"/>
        <w:rPr>
          <w:rFonts w:ascii="Arial" w:hAnsi="Arial" w:cs="Arial"/>
          <w:sz w:val="22"/>
          <w:szCs w:val="22"/>
          <w:lang w:val="cs-CZ"/>
        </w:rPr>
      </w:pPr>
    </w:p>
    <w:p w:rsidR="00A336F1" w:rsidRDefault="00E10673">
      <w:pPr>
        <w:pStyle w:val="BodyText"/>
        <w:spacing w:after="0"/>
        <w:rPr>
          <w:rFonts w:ascii="Arial" w:hAnsi="Arial" w:cs="Arial"/>
          <w:b/>
          <w:sz w:val="22"/>
          <w:szCs w:val="22"/>
          <w:u w:val="single"/>
          <w:lang w:val="cs-CZ"/>
        </w:rPr>
      </w:pPr>
      <w:r>
        <w:rPr>
          <w:rFonts w:ascii="Arial" w:hAnsi="Arial" w:cs="Arial"/>
          <w:b/>
          <w:sz w:val="22"/>
          <w:szCs w:val="22"/>
          <w:u w:val="single"/>
          <w:lang w:val="cs-CZ"/>
        </w:rPr>
        <w:t>Společnost UPS</w:t>
      </w:r>
    </w:p>
    <w:p w:rsidR="00A336F1" w:rsidRDefault="00A336F1">
      <w:pPr>
        <w:rPr>
          <w:rFonts w:ascii="Arial" w:hAnsi="Arial" w:cs="Arial"/>
          <w:sz w:val="22"/>
          <w:szCs w:val="22"/>
          <w:lang w:val="cs-CZ"/>
        </w:rPr>
      </w:pPr>
    </w:p>
    <w:p w:rsidR="00A336F1" w:rsidRPr="00BC3C4D" w:rsidRDefault="00E10673">
      <w:pPr>
        <w:rPr>
          <w:lang w:val="cs-CZ"/>
        </w:rPr>
      </w:pPr>
      <w:r>
        <w:rPr>
          <w:rFonts w:ascii="Arial" w:hAnsi="Arial" w:cs="Arial"/>
          <w:sz w:val="22"/>
          <w:szCs w:val="22"/>
          <w:lang w:val="cs-CZ"/>
        </w:rPr>
        <w:t>UPS (</w:t>
      </w:r>
      <w:proofErr w:type="gramStart"/>
      <w:r>
        <w:rPr>
          <w:rFonts w:ascii="Arial" w:hAnsi="Arial" w:cs="Arial"/>
          <w:sz w:val="22"/>
          <w:szCs w:val="22"/>
          <w:lang w:val="cs-CZ"/>
        </w:rPr>
        <w:t>NYSE:UPS</w:t>
      </w:r>
      <w:proofErr w:type="gramEnd"/>
      <w:r>
        <w:rPr>
          <w:rFonts w:ascii="Arial" w:hAnsi="Arial" w:cs="Arial"/>
          <w:sz w:val="22"/>
          <w:szCs w:val="22"/>
          <w:lang w:val="cs-CZ"/>
        </w:rPr>
        <w:t xml:space="preserve">) je světový lídr v oblasti logistiky a nabízí širokou škálu řešení včetně přepravy balíků a nákladní přepravy, usnadnění mezinárodního obchodu a rozvoje pokročilých technologií, díky kterým lze efektivněji řídit dění v obchodním světě. Hlavní sídlo společnosti je v Atlantě, USA. UPS své služby poskytuje ve více než 220 zemích a teritoriích světa. Adresa internetových stránek společnosti je </w:t>
      </w:r>
      <w:hyperlink r:id="rId10">
        <w:r>
          <w:rPr>
            <w:rStyle w:val="Internetovodkaz"/>
            <w:rFonts w:ascii="Arial" w:hAnsi="Arial" w:cs="Arial"/>
            <w:color w:val="0070C0"/>
            <w:sz w:val="22"/>
            <w:szCs w:val="22"/>
            <w:lang w:val="cs-CZ"/>
          </w:rPr>
          <w:t>ups.com</w:t>
        </w:r>
      </w:hyperlink>
      <w:r>
        <w:rPr>
          <w:rFonts w:ascii="Arial" w:hAnsi="Arial" w:cs="Arial"/>
          <w:sz w:val="22"/>
          <w:szCs w:val="22"/>
          <w:lang w:val="cs-CZ"/>
        </w:rPr>
        <w:t xml:space="preserve">, korporátní blog naleznete na </w:t>
      </w:r>
      <w:hyperlink r:id="rId11">
        <w:r>
          <w:rPr>
            <w:rStyle w:val="Internetovodkaz"/>
            <w:rFonts w:ascii="Arial" w:hAnsi="Arial" w:cs="Arial"/>
            <w:sz w:val="22"/>
            <w:szCs w:val="22"/>
            <w:lang w:val="cs-CZ"/>
          </w:rPr>
          <w:t>longitudes.ups.com</w:t>
        </w:r>
      </w:hyperlink>
      <w:r>
        <w:rPr>
          <w:rFonts w:ascii="Arial" w:hAnsi="Arial" w:cs="Arial"/>
          <w:sz w:val="22"/>
          <w:szCs w:val="22"/>
          <w:lang w:val="cs-CZ"/>
        </w:rPr>
        <w:t xml:space="preserve">. Novinky a zprávy UPS jsou k dispozici prostřednictvím Twitteru na </w:t>
      </w:r>
      <w:hyperlink r:id="rId12">
        <w:r>
          <w:rPr>
            <w:rStyle w:val="Internetovodkaz"/>
            <w:rFonts w:ascii="Arial" w:hAnsi="Arial" w:cs="Arial"/>
            <w:bCs/>
            <w:sz w:val="22"/>
            <w:szCs w:val="22"/>
            <w:highlight w:val="white"/>
            <w:lang w:val="cs-CZ"/>
          </w:rPr>
          <w:t>@</w:t>
        </w:r>
        <w:proofErr w:type="spellStart"/>
        <w:r>
          <w:rPr>
            <w:rStyle w:val="Internetovodkaz"/>
            <w:rFonts w:ascii="Arial" w:hAnsi="Arial" w:cs="Arial"/>
            <w:bCs/>
            <w:sz w:val="22"/>
            <w:szCs w:val="22"/>
            <w:highlight w:val="white"/>
            <w:lang w:val="cs-CZ"/>
          </w:rPr>
          <w:t>UPS_News</w:t>
        </w:r>
        <w:proofErr w:type="spellEnd"/>
      </w:hyperlink>
      <w:r>
        <w:rPr>
          <w:rFonts w:ascii="Arial" w:hAnsi="Arial" w:cs="Arial"/>
          <w:sz w:val="22"/>
          <w:szCs w:val="22"/>
          <w:lang w:val="cs-CZ"/>
        </w:rPr>
        <w:t>.</w:t>
      </w:r>
    </w:p>
    <w:p w:rsidR="00A336F1" w:rsidRDefault="00A336F1">
      <w:pPr>
        <w:rPr>
          <w:rFonts w:ascii="Arial" w:hAnsi="Arial" w:cs="Arial"/>
          <w:sz w:val="22"/>
          <w:szCs w:val="22"/>
          <w:lang w:val="cs-CZ"/>
        </w:rPr>
      </w:pPr>
    </w:p>
    <w:p w:rsidR="00A336F1" w:rsidRPr="00BC3C4D" w:rsidRDefault="00A336F1">
      <w:pPr>
        <w:rPr>
          <w:lang w:val="cs-CZ"/>
        </w:rPr>
      </w:pPr>
    </w:p>
    <w:sectPr w:rsidR="00A336F1" w:rsidRPr="00BC3C4D">
      <w:headerReference w:type="default" r:id="rId13"/>
      <w:footerReference w:type="default" r:id="rId14"/>
      <w:pgSz w:w="12240" w:h="15840"/>
      <w:pgMar w:top="765" w:right="1440" w:bottom="765" w:left="144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C7" w:rsidRDefault="00E10673">
      <w:r>
        <w:separator/>
      </w:r>
    </w:p>
  </w:endnote>
  <w:endnote w:type="continuationSeparator" w:id="0">
    <w:p w:rsidR="00D774C7" w:rsidRDefault="00E1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F1" w:rsidRDefault="00E10673">
    <w:pPr>
      <w:pStyle w:val="Footer"/>
      <w:rPr>
        <w:rFonts w:ascii="Arial" w:hAnsi="Arial" w:cs="Arial"/>
      </w:rPr>
    </w:pPr>
    <w:r>
      <w:rPr>
        <w:rFonts w:ascii="Arial" w:hAnsi="Arial" w:cs="Arial"/>
      </w:rPr>
      <w:tab/>
    </w:r>
    <w:r>
      <w:rPr>
        <w:rFonts w:ascii="Arial" w:hAnsi="Arial" w:cs="Arial"/>
      </w:rPr>
      <w:tab/>
    </w:r>
    <w:r>
      <w:rPr>
        <w:noProof/>
      </w:rPr>
      <mc:AlternateContent>
        <mc:Choice Requires="wps">
          <w:drawing>
            <wp:anchor distT="0" distB="0" distL="0" distR="0" simplePos="0" relativeHeight="5"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2" name="Rámec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A336F1" w:rsidRPr="00F576DE" w:rsidRDefault="00E10673">
                          <w:pPr>
                            <w:pStyle w:val="Footer"/>
                            <w:rPr>
                              <w:rFonts w:ascii="Arial" w:hAnsi="Arial" w:cs="Arial"/>
                              <w:sz w:val="20"/>
                              <w:szCs w:val="20"/>
                            </w:rPr>
                          </w:pPr>
                          <w:r w:rsidRPr="00F576DE">
                            <w:rPr>
                              <w:rStyle w:val="PageNumber"/>
                              <w:rFonts w:ascii="Arial" w:hAnsi="Arial" w:cs="Arial"/>
                              <w:sz w:val="20"/>
                              <w:szCs w:val="20"/>
                            </w:rPr>
                            <w:fldChar w:fldCharType="begin"/>
                          </w:r>
                          <w:r w:rsidRPr="00F576DE">
                            <w:rPr>
                              <w:rFonts w:ascii="Arial" w:hAnsi="Arial" w:cs="Arial"/>
                              <w:sz w:val="20"/>
                              <w:szCs w:val="20"/>
                            </w:rPr>
                            <w:instrText>PAGE</w:instrText>
                          </w:r>
                          <w:r w:rsidRPr="00F576DE">
                            <w:rPr>
                              <w:rFonts w:ascii="Arial" w:hAnsi="Arial" w:cs="Arial"/>
                              <w:sz w:val="20"/>
                              <w:szCs w:val="20"/>
                            </w:rPr>
                            <w:fldChar w:fldCharType="separate"/>
                          </w:r>
                          <w:r w:rsidR="00F576DE">
                            <w:rPr>
                              <w:rFonts w:ascii="Arial" w:hAnsi="Arial" w:cs="Arial"/>
                              <w:noProof/>
                              <w:sz w:val="20"/>
                              <w:szCs w:val="20"/>
                            </w:rPr>
                            <w:t>4</w:t>
                          </w:r>
                          <w:r w:rsidRPr="00F576DE">
                            <w:rPr>
                              <w:rFonts w:ascii="Arial" w:hAnsi="Arial" w:cs="Arial"/>
                              <w:sz w:val="20"/>
                              <w:szCs w:val="20"/>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0;margin-top:.05pt;width:6.05pt;height:13.8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" stroked="f">
              <v:fill opacity="0"/>
              <v:textbox style="mso-fit-shape-to-text:t" inset="0,0,0,0">
                <w:txbxContent>
                  <w:p w:rsidR="00A336F1" w:rsidRPr="00F576DE" w:rsidRDefault="00E10673">
                    <w:pPr>
                      <w:pStyle w:val="Footer"/>
                      <w:rPr>
                        <w:rFonts w:ascii="Arial" w:hAnsi="Arial" w:cs="Arial"/>
                        <w:sz w:val="20"/>
                        <w:szCs w:val="20"/>
                      </w:rPr>
                    </w:pPr>
                    <w:r w:rsidRPr="00F576DE">
                      <w:rPr>
                        <w:rStyle w:val="PageNumber"/>
                        <w:rFonts w:ascii="Arial" w:hAnsi="Arial" w:cs="Arial"/>
                        <w:sz w:val="20"/>
                        <w:szCs w:val="20"/>
                      </w:rPr>
                      <w:fldChar w:fldCharType="begin"/>
                    </w:r>
                    <w:r w:rsidRPr="00F576DE">
                      <w:rPr>
                        <w:rFonts w:ascii="Arial" w:hAnsi="Arial" w:cs="Arial"/>
                        <w:sz w:val="20"/>
                        <w:szCs w:val="20"/>
                      </w:rPr>
                      <w:instrText>PAGE</w:instrText>
                    </w:r>
                    <w:r w:rsidRPr="00F576DE">
                      <w:rPr>
                        <w:rFonts w:ascii="Arial" w:hAnsi="Arial" w:cs="Arial"/>
                        <w:sz w:val="20"/>
                        <w:szCs w:val="20"/>
                      </w:rPr>
                      <w:fldChar w:fldCharType="separate"/>
                    </w:r>
                    <w:r w:rsidR="00F576DE">
                      <w:rPr>
                        <w:rFonts w:ascii="Arial" w:hAnsi="Arial" w:cs="Arial"/>
                        <w:noProof/>
                        <w:sz w:val="20"/>
                        <w:szCs w:val="20"/>
                      </w:rPr>
                      <w:t>4</w:t>
                    </w:r>
                    <w:r w:rsidRPr="00F576DE">
                      <w:rPr>
                        <w:rFonts w:ascii="Arial" w:hAnsi="Arial" w:cs="Arial"/>
                        <w:sz w:val="20"/>
                        <w:szCs w:val="20"/>
                      </w:rPr>
                      <w:fldChar w:fldCharType="end"/>
                    </w:r>
                  </w:p>
                </w:txbxContent>
              </v:textbox>
              <w10:wrap type="square" side="largest" anchorx="margin"/>
            </v:shape>
          </w:pict>
        </mc:Fallback>
      </mc:AlternateContent>
    </w:r>
  </w:p>
  <w:p w:rsidR="00A336F1" w:rsidRDefault="00A3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C7" w:rsidRDefault="00E10673">
      <w:r>
        <w:separator/>
      </w:r>
    </w:p>
  </w:footnote>
  <w:footnote w:type="continuationSeparator" w:id="0">
    <w:p w:rsidR="00D774C7" w:rsidRDefault="00E1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F1" w:rsidRDefault="00A336F1">
    <w:pPr>
      <w:pStyle w:val="Header"/>
      <w:tabs>
        <w:tab w:val="center" w:pos="0"/>
        <w:tab w:val="left" w:pos="4665"/>
      </w:tabs>
      <w:ind w:left="3240" w:hanging="3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81106"/>
    <w:multiLevelType w:val="multilevel"/>
    <w:tmpl w:val="9CC004C8"/>
    <w:lvl w:ilvl="0">
      <w:start w:val="1"/>
      <w:numFmt w:val="bullet"/>
      <w:lvlText w:val=""/>
      <w:lvlJc w:val="left"/>
      <w:pPr>
        <w:tabs>
          <w:tab w:val="num" w:pos="360"/>
        </w:tabs>
        <w:ind w:left="360" w:hanging="360"/>
      </w:pPr>
      <w:rPr>
        <w:rFonts w:ascii="Symbol" w:hAnsi="Symbol" w:cs="Symbol" w:hint="default"/>
        <w:color w:val="00000A"/>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167428E"/>
    <w:multiLevelType w:val="multilevel"/>
    <w:tmpl w:val="F7F626C6"/>
    <w:lvl w:ilvl="0">
      <w:start w:val="1"/>
      <w:numFmt w:val="bullet"/>
      <w:lvlText w:val=""/>
      <w:lvlJc w:val="left"/>
      <w:pPr>
        <w:tabs>
          <w:tab w:val="num" w:pos="360"/>
        </w:tabs>
        <w:ind w:left="360" w:hanging="360"/>
      </w:pPr>
      <w:rPr>
        <w:rFonts w:ascii="Symbol" w:hAnsi="Symbol" w:cs="Symbol" w:hint="default"/>
        <w:color w:val="00000A"/>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214671D"/>
    <w:multiLevelType w:val="multilevel"/>
    <w:tmpl w:val="2D6624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05379C5"/>
    <w:multiLevelType w:val="multilevel"/>
    <w:tmpl w:val="AEA467A0"/>
    <w:lvl w:ilvl="0">
      <w:start w:val="1"/>
      <w:numFmt w:val="bullet"/>
      <w:lvlText w:val=""/>
      <w:lvlJc w:val="left"/>
      <w:pPr>
        <w:tabs>
          <w:tab w:val="num" w:pos="360"/>
        </w:tabs>
        <w:ind w:left="360" w:hanging="360"/>
      </w:pPr>
      <w:rPr>
        <w:rFonts w:ascii="Symbol" w:hAnsi="Symbol" w:cs="Symbol" w:hint="default"/>
        <w:color w:val="00000A"/>
        <w:sz w:val="22"/>
      </w:rPr>
    </w:lvl>
    <w:lvl w:ilvl="1">
      <w:start w:val="1"/>
      <w:numFmt w:val="bullet"/>
      <w:lvlText w:val="•"/>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9300C1E"/>
    <w:multiLevelType w:val="multilevel"/>
    <w:tmpl w:val="06FA138C"/>
    <w:lvl w:ilvl="0">
      <w:start w:val="1"/>
      <w:numFmt w:val="bullet"/>
      <w:lvlText w:val=""/>
      <w:lvlJc w:val="left"/>
      <w:pPr>
        <w:tabs>
          <w:tab w:val="num" w:pos="360"/>
        </w:tabs>
        <w:ind w:left="360" w:hanging="360"/>
      </w:pPr>
      <w:rPr>
        <w:rFonts w:ascii="Symbol" w:hAnsi="Symbol" w:cs="Symbol" w:hint="default"/>
        <w:color w:val="00000A"/>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F1"/>
    <w:rsid w:val="002B46AD"/>
    <w:rsid w:val="00A336F1"/>
    <w:rsid w:val="00BC3C4D"/>
    <w:rsid w:val="00D774C7"/>
    <w:rsid w:val="00E10673"/>
    <w:rsid w:val="00F576D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C1983-138A-432C-B2EE-DC42E795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EB6"/>
    <w:rPr>
      <w:sz w:val="24"/>
      <w:szCs w:val="24"/>
      <w:lang w:val="en-US" w:eastAsia="en-US"/>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7241CD"/>
    <w:rPr>
      <w:rFonts w:ascii="Cambria" w:hAnsi="Cambria"/>
      <w:b/>
      <w:kern w:val="2"/>
      <w:sz w:val="32"/>
    </w:rPr>
  </w:style>
  <w:style w:type="character" w:customStyle="1" w:styleId="Heading2Char">
    <w:name w:val="Heading 2 Char"/>
    <w:basedOn w:val="DefaultParagraphFont"/>
    <w:link w:val="Heading2"/>
    <w:uiPriority w:val="99"/>
    <w:semiHidden/>
    <w:qFormat/>
    <w:locked/>
    <w:rsid w:val="007241CD"/>
    <w:rPr>
      <w:rFonts w:ascii="Cambria" w:hAnsi="Cambria"/>
      <w:b/>
      <w:i/>
      <w:sz w:val="28"/>
    </w:rPr>
  </w:style>
  <w:style w:type="character" w:customStyle="1" w:styleId="Heading3Char">
    <w:name w:val="Heading 3 Char"/>
    <w:basedOn w:val="DefaultParagraphFont"/>
    <w:link w:val="Heading3"/>
    <w:uiPriority w:val="99"/>
    <w:semiHidden/>
    <w:qFormat/>
    <w:locked/>
    <w:rsid w:val="007241CD"/>
    <w:rPr>
      <w:rFonts w:ascii="Cambria" w:hAnsi="Cambria"/>
      <w:b/>
      <w:sz w:val="26"/>
    </w:rPr>
  </w:style>
  <w:style w:type="character" w:customStyle="1" w:styleId="Heading4Char">
    <w:name w:val="Heading 4 Char"/>
    <w:basedOn w:val="DefaultParagraphFont"/>
    <w:link w:val="Heading4"/>
    <w:uiPriority w:val="99"/>
    <w:semiHidden/>
    <w:qFormat/>
    <w:locked/>
    <w:rsid w:val="007241CD"/>
    <w:rPr>
      <w:rFonts w:ascii="Calibri" w:hAnsi="Calibri"/>
      <w:b/>
      <w:sz w:val="28"/>
    </w:rPr>
  </w:style>
  <w:style w:type="character" w:customStyle="1" w:styleId="Heading5Char">
    <w:name w:val="Heading 5 Char"/>
    <w:basedOn w:val="DefaultParagraphFont"/>
    <w:link w:val="Heading5"/>
    <w:uiPriority w:val="99"/>
    <w:semiHidden/>
    <w:qFormat/>
    <w:locked/>
    <w:rsid w:val="007241CD"/>
    <w:rPr>
      <w:rFonts w:ascii="Calibri" w:hAnsi="Calibri"/>
      <w:b/>
      <w:i/>
      <w:sz w:val="26"/>
    </w:rPr>
  </w:style>
  <w:style w:type="character" w:customStyle="1" w:styleId="Internetovodkaz">
    <w:name w:val="Internetový odkaz"/>
    <w:basedOn w:val="DefaultParagraphFont"/>
    <w:uiPriority w:val="99"/>
    <w:rsid w:val="00A55E12"/>
    <w:rPr>
      <w:rFonts w:cs="Times New Roman"/>
      <w:color w:val="0000FF"/>
      <w:u w:val="single"/>
    </w:rPr>
  </w:style>
  <w:style w:type="character" w:customStyle="1" w:styleId="HeaderChar">
    <w:name w:val="Header Char"/>
    <w:basedOn w:val="DefaultParagraphFont"/>
    <w:link w:val="Header"/>
    <w:uiPriority w:val="99"/>
    <w:semiHidden/>
    <w:qFormat/>
    <w:locked/>
    <w:rsid w:val="007241CD"/>
    <w:rPr>
      <w:sz w:val="24"/>
    </w:rPr>
  </w:style>
  <w:style w:type="character" w:customStyle="1" w:styleId="FooterChar">
    <w:name w:val="Footer Char"/>
    <w:basedOn w:val="DefaultParagraphFont"/>
    <w:link w:val="Footer"/>
    <w:uiPriority w:val="99"/>
    <w:qFormat/>
    <w:locked/>
    <w:rsid w:val="007241CD"/>
    <w:rPr>
      <w:sz w:val="24"/>
    </w:rPr>
  </w:style>
  <w:style w:type="character" w:customStyle="1" w:styleId="BodyText2Char">
    <w:name w:val="Body Text 2 Char"/>
    <w:basedOn w:val="DefaultParagraphFont"/>
    <w:link w:val="BodyText2"/>
    <w:uiPriority w:val="99"/>
    <w:semiHidden/>
    <w:qFormat/>
    <w:locked/>
    <w:rsid w:val="007241CD"/>
    <w:rPr>
      <w:sz w:val="24"/>
    </w:rPr>
  </w:style>
  <w:style w:type="character" w:customStyle="1" w:styleId="BodyTextChar">
    <w:name w:val="Body Text Char"/>
    <w:basedOn w:val="DefaultParagraphFont"/>
    <w:link w:val="BodyText"/>
    <w:uiPriority w:val="99"/>
    <w:semiHidden/>
    <w:qFormat/>
    <w:locked/>
    <w:rsid w:val="007241CD"/>
    <w:rPr>
      <w:sz w:val="24"/>
    </w:rPr>
  </w:style>
  <w:style w:type="character" w:customStyle="1" w:styleId="BodyText3Char">
    <w:name w:val="Body Text 3 Char"/>
    <w:basedOn w:val="DefaultParagraphFont"/>
    <w:link w:val="BodyText3"/>
    <w:uiPriority w:val="99"/>
    <w:semiHidden/>
    <w:qFormat/>
    <w:locked/>
    <w:rsid w:val="007241CD"/>
    <w:rPr>
      <w:sz w:val="16"/>
    </w:rPr>
  </w:style>
  <w:style w:type="character" w:customStyle="1" w:styleId="BalloonTextChar">
    <w:name w:val="Balloon Text Char"/>
    <w:basedOn w:val="DefaultParagraphFont"/>
    <w:link w:val="BalloonText"/>
    <w:uiPriority w:val="99"/>
    <w:semiHidden/>
    <w:qFormat/>
    <w:locked/>
    <w:rsid w:val="007241CD"/>
    <w:rPr>
      <w:sz w:val="2"/>
    </w:rPr>
  </w:style>
  <w:style w:type="character" w:customStyle="1" w:styleId="BodyTextIndentChar">
    <w:name w:val="Body Text Indent Char"/>
    <w:basedOn w:val="DefaultParagraphFont"/>
    <w:link w:val="BodyTextIndent"/>
    <w:uiPriority w:val="99"/>
    <w:semiHidden/>
    <w:qFormat/>
    <w:locked/>
    <w:rsid w:val="007241CD"/>
    <w:rPr>
      <w:sz w:val="24"/>
    </w:rPr>
  </w:style>
  <w:style w:type="character" w:customStyle="1" w:styleId="Zdraznn">
    <w:name w:val="Zdůraznění"/>
    <w:basedOn w:val="DefaultParagraphFont"/>
    <w:uiPriority w:val="99"/>
    <w:qFormat/>
    <w:rsid w:val="007B74B0"/>
    <w:rPr>
      <w:rFonts w:cs="Times New Roman"/>
      <w:i/>
    </w:rPr>
  </w:style>
  <w:style w:type="character" w:customStyle="1" w:styleId="DocumentMapChar">
    <w:name w:val="Document Map Char"/>
    <w:basedOn w:val="DefaultParagraphFont"/>
    <w:link w:val="DocumentMap"/>
    <w:uiPriority w:val="99"/>
    <w:semiHidden/>
    <w:qFormat/>
    <w:locked/>
    <w:rsid w:val="007241CD"/>
    <w:rPr>
      <w:sz w:val="2"/>
    </w:rPr>
  </w:style>
  <w:style w:type="character" w:styleId="CommentReference">
    <w:name w:val="annotation reference"/>
    <w:basedOn w:val="DefaultParagraphFont"/>
    <w:uiPriority w:val="99"/>
    <w:semiHidden/>
    <w:qFormat/>
    <w:rsid w:val="005C7CBA"/>
    <w:rPr>
      <w:rFonts w:cs="Times New Roman"/>
      <w:sz w:val="16"/>
    </w:rPr>
  </w:style>
  <w:style w:type="character" w:customStyle="1" w:styleId="CommentTextChar">
    <w:name w:val="Comment Text Char"/>
    <w:basedOn w:val="DefaultParagraphFont"/>
    <w:link w:val="CommentText"/>
    <w:uiPriority w:val="99"/>
    <w:semiHidden/>
    <w:qFormat/>
    <w:locked/>
    <w:rsid w:val="007241CD"/>
    <w:rPr>
      <w:sz w:val="20"/>
    </w:rPr>
  </w:style>
  <w:style w:type="character" w:customStyle="1" w:styleId="CommentSubjectChar">
    <w:name w:val="Comment Subject Char"/>
    <w:basedOn w:val="CommentTextChar"/>
    <w:link w:val="CommentSubject"/>
    <w:uiPriority w:val="99"/>
    <w:semiHidden/>
    <w:qFormat/>
    <w:locked/>
    <w:rsid w:val="007241CD"/>
    <w:rPr>
      <w:b/>
      <w:sz w:val="20"/>
    </w:rPr>
  </w:style>
  <w:style w:type="character" w:styleId="FollowedHyperlink">
    <w:name w:val="FollowedHyperlink"/>
    <w:basedOn w:val="DefaultParagraphFont"/>
    <w:uiPriority w:val="99"/>
    <w:qFormat/>
    <w:rsid w:val="0069522D"/>
    <w:rPr>
      <w:rFonts w:cs="Times New Roman"/>
      <w:color w:val="800080"/>
      <w:u w:val="single"/>
    </w:rPr>
  </w:style>
  <w:style w:type="character" w:customStyle="1" w:styleId="DateChar">
    <w:name w:val="Date Char"/>
    <w:basedOn w:val="DefaultParagraphFont"/>
    <w:link w:val="Date"/>
    <w:uiPriority w:val="99"/>
    <w:semiHidden/>
    <w:qFormat/>
    <w:locked/>
    <w:rsid w:val="007241CD"/>
    <w:rPr>
      <w:sz w:val="24"/>
    </w:rPr>
  </w:style>
  <w:style w:type="character" w:customStyle="1" w:styleId="DocID">
    <w:name w:val="DocID"/>
    <w:uiPriority w:val="99"/>
    <w:qFormat/>
    <w:rsid w:val="00DD386B"/>
    <w:rPr>
      <w:rFonts w:ascii="Times New Roman" w:hAnsi="Times New Roman"/>
      <w:color w:val="000000"/>
      <w:sz w:val="20"/>
      <w:u w:val="none"/>
    </w:rPr>
  </w:style>
  <w:style w:type="character" w:styleId="PlaceholderText">
    <w:name w:val="Placeholder Text"/>
    <w:basedOn w:val="DefaultParagraphFont"/>
    <w:uiPriority w:val="99"/>
    <w:semiHidden/>
    <w:qFormat/>
    <w:rsid w:val="00DD386B"/>
    <w:rPr>
      <w:color w:val="808080"/>
    </w:rPr>
  </w:style>
  <w:style w:type="character" w:customStyle="1" w:styleId="FootnoteTextChar">
    <w:name w:val="Footnote Text Char"/>
    <w:basedOn w:val="DefaultParagraphFont"/>
    <w:link w:val="FootnoteText"/>
    <w:uiPriority w:val="99"/>
    <w:semiHidden/>
    <w:qFormat/>
    <w:locked/>
    <w:rsid w:val="00DE18FB"/>
    <w:rPr>
      <w:sz w:val="20"/>
    </w:rPr>
  </w:style>
  <w:style w:type="character" w:styleId="FootnoteReference">
    <w:name w:val="footnote reference"/>
    <w:basedOn w:val="DefaultParagraphFont"/>
    <w:uiPriority w:val="99"/>
    <w:semiHidden/>
    <w:qFormat/>
    <w:rsid w:val="00DE18FB"/>
    <w:rPr>
      <w:rFonts w:cs="Times New Roman"/>
      <w:vertAlign w:val="superscript"/>
    </w:rPr>
  </w:style>
  <w:style w:type="character" w:styleId="PageNumber">
    <w:name w:val="page number"/>
    <w:basedOn w:val="DefaultParagraphFont"/>
    <w:uiPriority w:val="99"/>
    <w:qFormat/>
    <w:locked/>
    <w:rsid w:val="00A55E12"/>
    <w:rPr>
      <w:rFonts w:cs="Times New Roman"/>
    </w:rPr>
  </w:style>
  <w:style w:type="character" w:styleId="EndnoteReference">
    <w:name w:val="endnote reference"/>
    <w:basedOn w:val="DefaultParagraphFont"/>
    <w:uiPriority w:val="99"/>
    <w:qFormat/>
    <w:locked/>
    <w:rsid w:val="00A55E12"/>
    <w:rPr>
      <w:rFonts w:cs="Times New Roman"/>
      <w:vertAlign w:val="superscript"/>
    </w:rPr>
  </w:style>
  <w:style w:type="character" w:customStyle="1" w:styleId="EndnoteTextChar">
    <w:name w:val="Endnote Text Char"/>
    <w:basedOn w:val="DefaultParagraphFont"/>
    <w:link w:val="EndnoteText"/>
    <w:uiPriority w:val="99"/>
    <w:semiHidden/>
    <w:qFormat/>
    <w:rsid w:val="00E24094"/>
    <w:rPr>
      <w:sz w:val="20"/>
      <w:szCs w:val="20"/>
      <w:lang w:val="en-US" w:eastAsia="en-US"/>
    </w:rPr>
  </w:style>
  <w:style w:type="character" w:customStyle="1" w:styleId="MacroTextChar">
    <w:name w:val="Macro Text Char"/>
    <w:basedOn w:val="DefaultParagraphFont"/>
    <w:link w:val="MacroText"/>
    <w:uiPriority w:val="99"/>
    <w:semiHidden/>
    <w:qFormat/>
    <w:rsid w:val="00E24094"/>
    <w:rPr>
      <w:rFonts w:ascii="Courier New" w:hAnsi="Courier New" w:cs="Courier New"/>
      <w:sz w:val="20"/>
      <w:szCs w:val="20"/>
      <w:lang w:val="en-US"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sz w:val="36"/>
    </w:rPr>
  </w:style>
  <w:style w:type="character" w:customStyle="1" w:styleId="ListLabel12">
    <w:name w:val="ListLabel 12"/>
    <w:qFormat/>
    <w:rPr>
      <w:rFonts w:ascii="Arial" w:hAnsi="Arial"/>
      <w:color w:val="00000A"/>
      <w:sz w:val="22"/>
    </w:rPr>
  </w:style>
  <w:style w:type="character" w:customStyle="1" w:styleId="ListLabel13">
    <w:name w:val="ListLabel 13"/>
    <w:qFormat/>
    <w:rPr>
      <w:rFonts w:ascii="Arial" w:hAnsi="Arial"/>
      <w:color w:val="00000A"/>
      <w:sz w:val="22"/>
    </w:rPr>
  </w:style>
  <w:style w:type="character" w:customStyle="1" w:styleId="ListLabel14">
    <w:name w:val="ListLabel 14"/>
    <w:qFormat/>
    <w:rPr>
      <w:rFonts w:ascii="Arial" w:hAnsi="Arial"/>
      <w:color w:val="00000A"/>
      <w:sz w:val="22"/>
    </w:rPr>
  </w:style>
  <w:style w:type="character" w:customStyle="1" w:styleId="ListLabel15">
    <w:name w:val="ListLabel 15"/>
    <w:qFormat/>
    <w:rPr>
      <w:rFonts w:ascii="Arial" w:hAnsi="Arial"/>
      <w:color w:val="00000A"/>
      <w:sz w:val="22"/>
    </w:rPr>
  </w:style>
  <w:style w:type="character" w:customStyle="1" w:styleId="ListLabel16">
    <w:name w:val="ListLabel 16"/>
    <w:qFormat/>
    <w:rPr>
      <w:rFonts w:eastAsia="Times New Roman"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customStyle="1" w:styleId="Nadpis">
    <w:name w:val="Nadpi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99"/>
    <w:rsid w:val="007B74B0"/>
    <w:pPr>
      <w:spacing w:after="120"/>
    </w:pPr>
  </w:style>
  <w:style w:type="paragraph" w:styleId="List">
    <w:name w:val="List"/>
    <w:basedOn w:val="BodyText"/>
    <w:rPr>
      <w:rFonts w:cs="FreeSans"/>
    </w:rPr>
  </w:style>
  <w:style w:type="paragraph" w:styleId="Caption">
    <w:name w:val="caption"/>
    <w:basedOn w:val="Normal"/>
    <w:next w:val="Normal"/>
    <w:uiPriority w:val="99"/>
    <w:qFormat/>
    <w:locked/>
    <w:rsid w:val="00A55E12"/>
    <w:rPr>
      <w:b/>
      <w:bCs/>
      <w:sz w:val="20"/>
    </w:rPr>
  </w:style>
  <w:style w:type="paragraph" w:customStyle="1" w:styleId="Rejstk">
    <w:name w:val="Rejstřík"/>
    <w:basedOn w:val="Normal"/>
    <w:qFormat/>
    <w:pPr>
      <w:suppressLineNumbers/>
    </w:pPr>
    <w:rPr>
      <w:rFonts w:cs="FreeSans"/>
    </w:rPr>
  </w:style>
  <w:style w:type="paragraph" w:styleId="Header">
    <w:name w:val="header"/>
    <w:basedOn w:val="Normal"/>
    <w:link w:val="HeaderChar"/>
    <w:uiPriority w:val="99"/>
    <w:rsid w:val="007B74B0"/>
    <w:pPr>
      <w:tabs>
        <w:tab w:val="center" w:pos="4320"/>
        <w:tab w:val="right" w:pos="8640"/>
      </w:tabs>
    </w:pPr>
  </w:style>
  <w:style w:type="paragraph" w:styleId="Footer">
    <w:name w:val="footer"/>
    <w:basedOn w:val="Normal"/>
    <w:link w:val="FooterChar"/>
    <w:uiPriority w:val="99"/>
    <w:rsid w:val="007B74B0"/>
    <w:pPr>
      <w:tabs>
        <w:tab w:val="center" w:pos="4320"/>
        <w:tab w:val="right" w:pos="8640"/>
      </w:tabs>
    </w:pPr>
  </w:style>
  <w:style w:type="paragraph" w:styleId="BodyText2">
    <w:name w:val="Body Text 2"/>
    <w:basedOn w:val="Normal"/>
    <w:link w:val="BodyText2Char"/>
    <w:uiPriority w:val="99"/>
    <w:qFormat/>
    <w:rsid w:val="007B74B0"/>
    <w:pPr>
      <w:spacing w:after="120" w:line="480" w:lineRule="auto"/>
    </w:pPr>
  </w:style>
  <w:style w:type="paragraph" w:customStyle="1" w:styleId="DefaultText">
    <w:name w:val="Default Text"/>
    <w:basedOn w:val="Normal"/>
    <w:uiPriority w:val="99"/>
    <w:qFormat/>
    <w:rsid w:val="007B74B0"/>
    <w:pPr>
      <w:textAlignment w:val="baseline"/>
    </w:pPr>
    <w:rPr>
      <w:szCs w:val="20"/>
    </w:rPr>
  </w:style>
  <w:style w:type="paragraph" w:styleId="BodyText3">
    <w:name w:val="Body Text 3"/>
    <w:basedOn w:val="Normal"/>
    <w:link w:val="BodyText3Char"/>
    <w:uiPriority w:val="99"/>
    <w:qFormat/>
    <w:rsid w:val="007B74B0"/>
    <w:pPr>
      <w:jc w:val="center"/>
    </w:pPr>
    <w:rPr>
      <w:rFonts w:ascii="Arial" w:hAnsi="Arial" w:cs="Arial"/>
      <w:color w:val="000000"/>
    </w:rPr>
  </w:style>
  <w:style w:type="paragraph" w:styleId="BalloonText">
    <w:name w:val="Balloon Text"/>
    <w:basedOn w:val="Normal"/>
    <w:link w:val="BalloonTextChar"/>
    <w:uiPriority w:val="99"/>
    <w:semiHidden/>
    <w:qFormat/>
    <w:rsid w:val="007B74B0"/>
    <w:rPr>
      <w:rFonts w:ascii="Tahoma" w:hAnsi="Tahoma" w:cs="Tahoma"/>
      <w:sz w:val="16"/>
      <w:szCs w:val="16"/>
    </w:rPr>
  </w:style>
  <w:style w:type="paragraph" w:styleId="BodyTextIndent">
    <w:name w:val="Body Text Indent"/>
    <w:basedOn w:val="Normal"/>
    <w:link w:val="BodyTextIndentChar"/>
    <w:uiPriority w:val="99"/>
    <w:rsid w:val="007B74B0"/>
    <w:pPr>
      <w:ind w:firstLine="720"/>
    </w:pPr>
    <w:rPr>
      <w:rFonts w:ascii="Arial" w:hAnsi="Arial" w:cs="Arial"/>
    </w:rPr>
  </w:style>
  <w:style w:type="paragraph" w:customStyle="1" w:styleId="Style">
    <w:name w:val="Style"/>
    <w:basedOn w:val="Normal"/>
    <w:uiPriority w:val="99"/>
    <w:qFormat/>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qFormat/>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qFormat/>
    <w:rsid w:val="007B74B0"/>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qFormat/>
    <w:rsid w:val="005C7CBA"/>
    <w:rPr>
      <w:sz w:val="20"/>
      <w:szCs w:val="20"/>
    </w:rPr>
  </w:style>
  <w:style w:type="paragraph" w:styleId="CommentSubject">
    <w:name w:val="annotation subject"/>
    <w:basedOn w:val="CommentText"/>
    <w:link w:val="CommentSubjectChar"/>
    <w:uiPriority w:val="99"/>
    <w:semiHidden/>
    <w:qFormat/>
    <w:rsid w:val="005C7CBA"/>
    <w:rPr>
      <w:b/>
      <w:bCs/>
    </w:rPr>
  </w:style>
  <w:style w:type="paragraph" w:styleId="NormalWeb">
    <w:name w:val="Normal (Web)"/>
    <w:basedOn w:val="Normal"/>
    <w:uiPriority w:val="99"/>
    <w:qFormat/>
    <w:rsid w:val="00297BF7"/>
    <w:pPr>
      <w:spacing w:beforeAutospacing="1" w:afterAutospacing="1"/>
    </w:pPr>
  </w:style>
  <w:style w:type="paragraph" w:styleId="Date">
    <w:name w:val="Date"/>
    <w:basedOn w:val="Normal"/>
    <w:next w:val="Normal"/>
    <w:link w:val="DateChar"/>
    <w:uiPriority w:val="99"/>
    <w:qFormat/>
    <w:rsid w:val="006D2429"/>
  </w:style>
  <w:style w:type="paragraph" w:styleId="Revision">
    <w:name w:val="Revision"/>
    <w:uiPriority w:val="99"/>
    <w:semiHidden/>
    <w:qFormat/>
    <w:rsid w:val="009627F7"/>
    <w:rPr>
      <w:sz w:val="24"/>
      <w:szCs w:val="24"/>
      <w:lang w:val="en-US" w:eastAsia="en-US"/>
    </w:rPr>
  </w:style>
  <w:style w:type="paragraph" w:styleId="ListParagraph">
    <w:name w:val="List Paragraph"/>
    <w:basedOn w:val="Normal"/>
    <w:uiPriority w:val="99"/>
    <w:qFormat/>
    <w:rsid w:val="001E2211"/>
    <w:pPr>
      <w:ind w:left="720"/>
      <w:contextualSpacing/>
    </w:pPr>
  </w:style>
  <w:style w:type="paragraph" w:styleId="FootnoteText">
    <w:name w:val="footnote text"/>
    <w:basedOn w:val="Normal"/>
    <w:link w:val="FootnoteTextChar"/>
    <w:uiPriority w:val="99"/>
    <w:semiHidden/>
    <w:qFormat/>
    <w:rsid w:val="00DE18FB"/>
    <w:rPr>
      <w:sz w:val="20"/>
      <w:szCs w:val="20"/>
    </w:rPr>
  </w:style>
  <w:style w:type="paragraph" w:customStyle="1" w:styleId="msonospacing0">
    <w:name w:val="msonospacing"/>
    <w:uiPriority w:val="99"/>
    <w:qFormat/>
    <w:rsid w:val="00EA4A59"/>
    <w:pPr>
      <w:suppressAutoHyphens/>
      <w:spacing w:line="100" w:lineRule="atLeast"/>
    </w:pPr>
    <w:rPr>
      <w:rFonts w:ascii="Calibri" w:hAnsi="Calibri" w:cs="Calibri"/>
      <w:kern w:val="2"/>
      <w:sz w:val="24"/>
      <w:lang w:val="en-US" w:eastAsia="zh-CN"/>
    </w:rPr>
  </w:style>
  <w:style w:type="paragraph" w:customStyle="1" w:styleId="Level1">
    <w:name w:val="Level 1"/>
    <w:basedOn w:val="Normal"/>
    <w:autoRedefine/>
    <w:uiPriority w:val="99"/>
    <w:qFormat/>
    <w:rsid w:val="00A55E12"/>
    <w:pPr>
      <w:spacing w:before="120" w:after="120"/>
    </w:pPr>
  </w:style>
  <w:style w:type="paragraph" w:customStyle="1" w:styleId="Level2">
    <w:name w:val="Level 2"/>
    <w:basedOn w:val="Normal"/>
    <w:next w:val="Normal"/>
    <w:autoRedefine/>
    <w:uiPriority w:val="99"/>
    <w:qFormat/>
    <w:rsid w:val="00A55E12"/>
    <w:pPr>
      <w:spacing w:before="120" w:after="120"/>
    </w:pPr>
  </w:style>
  <w:style w:type="paragraph" w:customStyle="1" w:styleId="Level2indent">
    <w:name w:val="Level 2 indent"/>
    <w:basedOn w:val="Normal"/>
    <w:autoRedefine/>
    <w:uiPriority w:val="99"/>
    <w:qFormat/>
    <w:rsid w:val="00A55E12"/>
    <w:pPr>
      <w:tabs>
        <w:tab w:val="left" w:pos="1276"/>
      </w:tabs>
      <w:spacing w:after="120"/>
    </w:pPr>
    <w:rPr>
      <w:color w:val="000000"/>
      <w:lang w:val="en-AU"/>
    </w:rPr>
  </w:style>
  <w:style w:type="paragraph" w:customStyle="1" w:styleId="Level2nopoint">
    <w:name w:val="Level 2 no point"/>
    <w:basedOn w:val="Level2"/>
    <w:autoRedefine/>
    <w:uiPriority w:val="99"/>
    <w:qFormat/>
    <w:rsid w:val="00A55E12"/>
  </w:style>
  <w:style w:type="paragraph" w:customStyle="1" w:styleId="Level2text">
    <w:name w:val="Level 2 text"/>
    <w:basedOn w:val="Normal"/>
    <w:autoRedefine/>
    <w:uiPriority w:val="99"/>
    <w:qFormat/>
    <w:rsid w:val="00A55E12"/>
    <w:pPr>
      <w:tabs>
        <w:tab w:val="left" w:pos="851"/>
      </w:tabs>
      <w:spacing w:after="120"/>
      <w:ind w:left="851"/>
    </w:pPr>
  </w:style>
  <w:style w:type="paragraph" w:customStyle="1" w:styleId="Divider">
    <w:name w:val="Divider"/>
    <w:basedOn w:val="Normal"/>
    <w:uiPriority w:val="99"/>
    <w:qFormat/>
    <w:rsid w:val="00A55E12"/>
    <w:pPr>
      <w:keepNext/>
      <w:keepLines/>
      <w:pBdr>
        <w:top w:val="dashed" w:sz="4" w:space="1" w:color="00000A"/>
      </w:pBdr>
      <w:tabs>
        <w:tab w:val="left" w:pos="1984"/>
        <w:tab w:val="left" w:pos="3118"/>
        <w:tab w:val="left" w:pos="4252"/>
      </w:tabs>
    </w:pPr>
    <w:rPr>
      <w:color w:val="000000"/>
      <w:sz w:val="16"/>
    </w:rPr>
  </w:style>
  <w:style w:type="paragraph" w:customStyle="1" w:styleId="Buletskostikou">
    <w:name w:val="Bulet s kostičkou"/>
    <w:basedOn w:val="Normal"/>
    <w:autoRedefine/>
    <w:uiPriority w:val="99"/>
    <w:qFormat/>
    <w:rsid w:val="00A55E12"/>
    <w:pPr>
      <w:tabs>
        <w:tab w:val="left" w:pos="1134"/>
        <w:tab w:val="left" w:pos="1440"/>
        <w:tab w:val="left" w:pos="1920"/>
        <w:tab w:val="left" w:pos="2400"/>
        <w:tab w:val="left" w:pos="2880"/>
        <w:tab w:val="left" w:pos="3360"/>
        <w:tab w:val="left" w:pos="3840"/>
        <w:tab w:val="left" w:pos="4320"/>
      </w:tabs>
      <w:spacing w:before="120" w:line="360" w:lineRule="auto"/>
    </w:pPr>
  </w:style>
  <w:style w:type="paragraph" w:styleId="EndnoteText">
    <w:name w:val="endnote text"/>
    <w:basedOn w:val="Normal"/>
    <w:link w:val="EndnoteTextChar"/>
    <w:uiPriority w:val="99"/>
    <w:qFormat/>
    <w:locked/>
    <w:rsid w:val="00A55E12"/>
    <w:rPr>
      <w:sz w:val="20"/>
    </w:rPr>
  </w:style>
  <w:style w:type="paragraph" w:styleId="Index1">
    <w:name w:val="index 1"/>
    <w:basedOn w:val="Normal"/>
    <w:next w:val="Normal"/>
    <w:autoRedefine/>
    <w:uiPriority w:val="99"/>
    <w:qFormat/>
    <w:locked/>
    <w:rsid w:val="00A55E12"/>
    <w:pPr>
      <w:ind w:left="220" w:hanging="220"/>
    </w:pPr>
  </w:style>
  <w:style w:type="paragraph" w:styleId="Index2">
    <w:name w:val="index 2"/>
    <w:basedOn w:val="Normal"/>
    <w:next w:val="Normal"/>
    <w:autoRedefine/>
    <w:uiPriority w:val="99"/>
    <w:qFormat/>
    <w:locked/>
    <w:rsid w:val="00A55E12"/>
    <w:pPr>
      <w:ind w:left="440" w:hanging="220"/>
    </w:pPr>
  </w:style>
  <w:style w:type="paragraph" w:styleId="Index3">
    <w:name w:val="index 3"/>
    <w:basedOn w:val="Normal"/>
    <w:next w:val="Normal"/>
    <w:autoRedefine/>
    <w:uiPriority w:val="99"/>
    <w:qFormat/>
    <w:locked/>
    <w:rsid w:val="00A55E12"/>
    <w:pPr>
      <w:ind w:left="660" w:hanging="220"/>
    </w:pPr>
  </w:style>
  <w:style w:type="paragraph" w:styleId="Index4">
    <w:name w:val="index 4"/>
    <w:basedOn w:val="Normal"/>
    <w:next w:val="Normal"/>
    <w:autoRedefine/>
    <w:uiPriority w:val="99"/>
    <w:qFormat/>
    <w:locked/>
    <w:rsid w:val="00A55E12"/>
    <w:pPr>
      <w:ind w:left="880" w:hanging="220"/>
    </w:pPr>
  </w:style>
  <w:style w:type="paragraph" w:styleId="Index5">
    <w:name w:val="index 5"/>
    <w:basedOn w:val="Normal"/>
    <w:next w:val="Normal"/>
    <w:autoRedefine/>
    <w:uiPriority w:val="99"/>
    <w:qFormat/>
    <w:locked/>
    <w:rsid w:val="00A55E12"/>
    <w:pPr>
      <w:ind w:left="1100" w:hanging="220"/>
    </w:pPr>
  </w:style>
  <w:style w:type="paragraph" w:styleId="Index6">
    <w:name w:val="index 6"/>
    <w:basedOn w:val="Normal"/>
    <w:next w:val="Normal"/>
    <w:autoRedefine/>
    <w:uiPriority w:val="99"/>
    <w:qFormat/>
    <w:locked/>
    <w:rsid w:val="00A55E12"/>
    <w:pPr>
      <w:ind w:left="1320" w:hanging="220"/>
    </w:pPr>
  </w:style>
  <w:style w:type="paragraph" w:styleId="Index7">
    <w:name w:val="index 7"/>
    <w:basedOn w:val="Normal"/>
    <w:next w:val="Normal"/>
    <w:autoRedefine/>
    <w:uiPriority w:val="99"/>
    <w:qFormat/>
    <w:locked/>
    <w:rsid w:val="00A55E12"/>
    <w:pPr>
      <w:ind w:left="1540" w:hanging="220"/>
    </w:pPr>
  </w:style>
  <w:style w:type="paragraph" w:styleId="Index8">
    <w:name w:val="index 8"/>
    <w:basedOn w:val="Normal"/>
    <w:next w:val="Normal"/>
    <w:autoRedefine/>
    <w:uiPriority w:val="99"/>
    <w:qFormat/>
    <w:locked/>
    <w:rsid w:val="00A55E12"/>
    <w:pPr>
      <w:ind w:left="1760" w:hanging="220"/>
    </w:pPr>
  </w:style>
  <w:style w:type="paragraph" w:styleId="Index9">
    <w:name w:val="index 9"/>
    <w:basedOn w:val="Normal"/>
    <w:next w:val="Normal"/>
    <w:autoRedefine/>
    <w:uiPriority w:val="99"/>
    <w:qFormat/>
    <w:locked/>
    <w:rsid w:val="00A55E12"/>
    <w:pPr>
      <w:ind w:left="1980" w:hanging="220"/>
    </w:pPr>
  </w:style>
  <w:style w:type="paragraph" w:styleId="IndexHeading">
    <w:name w:val="index heading"/>
    <w:basedOn w:val="Normal"/>
    <w:uiPriority w:val="99"/>
    <w:qFormat/>
    <w:locked/>
    <w:rsid w:val="00A55E12"/>
    <w:rPr>
      <w:rFonts w:ascii="Arial" w:hAnsi="Arial" w:cs="Arial"/>
      <w:b/>
      <w:bCs/>
    </w:rPr>
  </w:style>
  <w:style w:type="paragraph" w:styleId="MacroText">
    <w:name w:val="macro"/>
    <w:link w:val="MacroTextChar"/>
    <w:uiPriority w:val="99"/>
    <w:qFormat/>
    <w:locked/>
    <w:rsid w:val="00A55E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Cs w:val="20"/>
    </w:rPr>
  </w:style>
  <w:style w:type="paragraph" w:styleId="TableofAuthorities">
    <w:name w:val="table of authorities"/>
    <w:basedOn w:val="Normal"/>
    <w:next w:val="Normal"/>
    <w:uiPriority w:val="99"/>
    <w:qFormat/>
    <w:locked/>
    <w:rsid w:val="00A55E12"/>
    <w:pPr>
      <w:ind w:left="220" w:hanging="220"/>
    </w:pPr>
  </w:style>
  <w:style w:type="paragraph" w:styleId="TableofFigures">
    <w:name w:val="table of figures"/>
    <w:basedOn w:val="Normal"/>
    <w:next w:val="Normal"/>
    <w:uiPriority w:val="99"/>
    <w:qFormat/>
    <w:locked/>
    <w:rsid w:val="00A55E12"/>
  </w:style>
  <w:style w:type="paragraph" w:styleId="TOAHeading">
    <w:name w:val="toa heading"/>
    <w:basedOn w:val="Normal"/>
    <w:next w:val="Normal"/>
    <w:uiPriority w:val="99"/>
    <w:qFormat/>
    <w:locked/>
    <w:rsid w:val="00A55E12"/>
    <w:pPr>
      <w:spacing w:before="120"/>
    </w:pPr>
    <w:rPr>
      <w:rFonts w:ascii="Arial" w:hAnsi="Arial" w:cs="Arial"/>
      <w:b/>
      <w:bCs/>
    </w:rPr>
  </w:style>
  <w:style w:type="paragraph" w:styleId="TOC1">
    <w:name w:val="toc 1"/>
    <w:basedOn w:val="Normal"/>
    <w:next w:val="Normal"/>
    <w:autoRedefine/>
    <w:uiPriority w:val="99"/>
    <w:locked/>
    <w:rsid w:val="00A55E12"/>
  </w:style>
  <w:style w:type="paragraph" w:styleId="TOC2">
    <w:name w:val="toc 2"/>
    <w:basedOn w:val="Normal"/>
    <w:next w:val="Normal"/>
    <w:autoRedefine/>
    <w:uiPriority w:val="99"/>
    <w:locked/>
    <w:rsid w:val="00A55E12"/>
    <w:pPr>
      <w:ind w:left="220"/>
    </w:pPr>
  </w:style>
  <w:style w:type="paragraph" w:styleId="TOC3">
    <w:name w:val="toc 3"/>
    <w:basedOn w:val="Normal"/>
    <w:next w:val="Normal"/>
    <w:autoRedefine/>
    <w:uiPriority w:val="99"/>
    <w:locked/>
    <w:rsid w:val="00A55E12"/>
    <w:pPr>
      <w:ind w:left="440"/>
    </w:pPr>
  </w:style>
  <w:style w:type="paragraph" w:styleId="TOC4">
    <w:name w:val="toc 4"/>
    <w:basedOn w:val="Normal"/>
    <w:next w:val="Normal"/>
    <w:autoRedefine/>
    <w:uiPriority w:val="99"/>
    <w:locked/>
    <w:rsid w:val="00A55E12"/>
    <w:pPr>
      <w:ind w:left="660"/>
    </w:pPr>
  </w:style>
  <w:style w:type="paragraph" w:styleId="TOC5">
    <w:name w:val="toc 5"/>
    <w:basedOn w:val="Normal"/>
    <w:next w:val="Normal"/>
    <w:autoRedefine/>
    <w:uiPriority w:val="99"/>
    <w:locked/>
    <w:rsid w:val="00A55E12"/>
    <w:pPr>
      <w:ind w:left="880"/>
    </w:pPr>
  </w:style>
  <w:style w:type="paragraph" w:styleId="TOC6">
    <w:name w:val="toc 6"/>
    <w:basedOn w:val="Normal"/>
    <w:next w:val="Normal"/>
    <w:autoRedefine/>
    <w:uiPriority w:val="99"/>
    <w:locked/>
    <w:rsid w:val="00A55E12"/>
    <w:pPr>
      <w:ind w:left="1100"/>
    </w:pPr>
  </w:style>
  <w:style w:type="paragraph" w:styleId="TOC7">
    <w:name w:val="toc 7"/>
    <w:basedOn w:val="Normal"/>
    <w:next w:val="Normal"/>
    <w:autoRedefine/>
    <w:uiPriority w:val="99"/>
    <w:locked/>
    <w:rsid w:val="00A55E12"/>
    <w:pPr>
      <w:ind w:left="1320"/>
    </w:pPr>
  </w:style>
  <w:style w:type="paragraph" w:styleId="TOC8">
    <w:name w:val="toc 8"/>
    <w:basedOn w:val="Normal"/>
    <w:next w:val="Normal"/>
    <w:autoRedefine/>
    <w:uiPriority w:val="99"/>
    <w:locked/>
    <w:rsid w:val="00A55E12"/>
    <w:pPr>
      <w:ind w:left="1540"/>
    </w:pPr>
  </w:style>
  <w:style w:type="paragraph" w:styleId="TOC9">
    <w:name w:val="toc 9"/>
    <w:basedOn w:val="Normal"/>
    <w:next w:val="Normal"/>
    <w:autoRedefine/>
    <w:uiPriority w:val="99"/>
    <w:locked/>
    <w:rsid w:val="00A55E12"/>
    <w:pPr>
      <w:ind w:left="1760"/>
    </w:pPr>
  </w:style>
  <w:style w:type="paragraph" w:customStyle="1" w:styleId="Obsahrmce">
    <w:name w:val="Obsah rámce"/>
    <w:basedOn w:val="Normal"/>
    <w:qFormat/>
  </w:style>
  <w:style w:type="numbering" w:customStyle="1" w:styleId="Style1">
    <w:name w:val="Style1"/>
    <w:qFormat/>
    <w:rsid w:val="00E24094"/>
  </w:style>
  <w:style w:type="table" w:styleId="TableGrid">
    <w:name w:val="Table Grid"/>
    <w:basedOn w:val="TableNormal"/>
    <w:uiPriority w:val="99"/>
    <w:rsid w:val="00607F1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UPS_Ne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ngitudes.up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s.com/" TargetMode="External"/><Relationship Id="rId4" Type="http://schemas.openxmlformats.org/officeDocument/2006/relationships/settings" Target="settings.xml"/><Relationship Id="rId9" Type="http://schemas.openxmlformats.org/officeDocument/2006/relationships/hyperlink" Target="mailto:karla.krejci@dbm.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74C7-51FB-4286-A96F-76FA66A3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1331</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Krejčí</dc:creator>
  <dc:description/>
  <cp:lastModifiedBy>Karla Krejčí</cp:lastModifiedBy>
  <cp:revision>4</cp:revision>
  <dcterms:created xsi:type="dcterms:W3CDTF">2018-02-02T10:57:00Z</dcterms:created>
  <dcterms:modified xsi:type="dcterms:W3CDTF">2018-02-06T08:08:00Z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