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9BE21" w14:textId="662CC4FE" w:rsidR="000357D2" w:rsidRPr="00946FD0" w:rsidRDefault="00A22E1D" w:rsidP="005C42B5">
      <w:pPr>
        <w:rPr>
          <w:rFonts w:ascii="Arial" w:hAnsi="Arial" w:cs="Arial"/>
          <w:sz w:val="20"/>
          <w:szCs w:val="20"/>
          <w:lang w:val="cs-CZ"/>
        </w:rPr>
      </w:pPr>
      <w:r w:rsidRPr="00946FD0">
        <w:rPr>
          <w:rFonts w:ascii="Arial" w:hAnsi="Arial" w:cs="Arial"/>
          <w:noProof/>
          <w:lang w:val="cs-CZ"/>
        </w:rPr>
        <w:drawing>
          <wp:anchor distT="0" distB="0" distL="114300" distR="114300" simplePos="0" relativeHeight="251659264" behindDoc="0" locked="0" layoutInCell="1" allowOverlap="1" wp14:anchorId="220B8E86" wp14:editId="44A6BE05">
            <wp:simplePos x="0" y="0"/>
            <wp:positionH relativeFrom="margin">
              <wp:posOffset>5020310</wp:posOffset>
            </wp:positionH>
            <wp:positionV relativeFrom="paragraph">
              <wp:posOffset>38735</wp:posOffset>
            </wp:positionV>
            <wp:extent cx="847725" cy="958215"/>
            <wp:effectExtent l="0" t="0" r="0" b="0"/>
            <wp:wrapSquare wrapText="bothSides"/>
            <wp:docPr id="5" name="Picture 3" descr="C:\Users\vlf4jhl\Desktop\Miscellaneous\UPS Shield 2017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f4jhl\Desktop\Miscellaneous\UPS Shield 2017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9879C" w14:textId="63EF318A" w:rsidR="00DB0604" w:rsidRPr="00946FD0" w:rsidRDefault="00711921" w:rsidP="00DB0604">
      <w:pPr>
        <w:ind w:left="1440" w:hanging="1440"/>
        <w:rPr>
          <w:rFonts w:ascii="Arial" w:hAnsi="Arial" w:cs="Arial"/>
          <w:sz w:val="20"/>
          <w:szCs w:val="20"/>
          <w:lang w:val="cs-CZ"/>
        </w:rPr>
      </w:pPr>
      <w:r w:rsidRPr="00946FD0">
        <w:rPr>
          <w:rFonts w:ascii="Arial" w:hAnsi="Arial" w:cs="Arial"/>
          <w:sz w:val="20"/>
          <w:szCs w:val="20"/>
          <w:lang w:val="cs-CZ"/>
        </w:rPr>
        <w:t>Kontakty</w:t>
      </w:r>
      <w:r w:rsidR="005855A9" w:rsidRPr="00946FD0">
        <w:rPr>
          <w:rFonts w:ascii="Arial" w:hAnsi="Arial" w:cs="Arial"/>
          <w:sz w:val="20"/>
          <w:szCs w:val="20"/>
          <w:lang w:val="cs-CZ"/>
        </w:rPr>
        <w:t>:</w:t>
      </w:r>
      <w:r w:rsidR="005855A9" w:rsidRPr="00946FD0">
        <w:rPr>
          <w:rFonts w:ascii="Arial" w:hAnsi="Arial" w:cs="Arial"/>
          <w:sz w:val="16"/>
          <w:lang w:val="cs-CZ"/>
        </w:rPr>
        <w:tab/>
      </w:r>
      <w:r w:rsidR="00DB0604" w:rsidRPr="00946FD0">
        <w:rPr>
          <w:rFonts w:ascii="Arial" w:hAnsi="Arial" w:cs="Arial"/>
          <w:sz w:val="20"/>
          <w:szCs w:val="20"/>
          <w:lang w:val="cs-CZ"/>
        </w:rPr>
        <w:t>UPS Media Relations</w:t>
      </w:r>
      <w:r w:rsidR="00DB0604" w:rsidRPr="00946FD0">
        <w:rPr>
          <w:rFonts w:ascii="Arial" w:hAnsi="Arial" w:cs="Arial"/>
          <w:sz w:val="20"/>
          <w:szCs w:val="20"/>
          <w:lang w:val="cs-CZ"/>
        </w:rPr>
        <w:br/>
        <w:t xml:space="preserve">+1 404-828-7123, </w:t>
      </w:r>
      <w:hyperlink r:id="rId9" w:history="1">
        <w:r w:rsidR="00DB0604" w:rsidRPr="00946FD0">
          <w:rPr>
            <w:rStyle w:val="Hyperlink"/>
            <w:rFonts w:ascii="Arial" w:hAnsi="Arial" w:cs="Arial"/>
            <w:sz w:val="20"/>
            <w:szCs w:val="20"/>
            <w:lang w:val="cs-CZ"/>
          </w:rPr>
          <w:t>pr@ups.com</w:t>
        </w:r>
      </w:hyperlink>
    </w:p>
    <w:p w14:paraId="0ED56A1C" w14:textId="29241F1C" w:rsidR="00DB0604" w:rsidRPr="00946FD0" w:rsidRDefault="00DB0604" w:rsidP="00DB0604">
      <w:pPr>
        <w:ind w:left="1440" w:hanging="1440"/>
        <w:rPr>
          <w:rFonts w:ascii="Arial" w:hAnsi="Arial" w:cs="Arial"/>
          <w:sz w:val="20"/>
          <w:szCs w:val="20"/>
          <w:lang w:val="cs-CZ"/>
        </w:rPr>
      </w:pPr>
    </w:p>
    <w:p w14:paraId="4DBD92C9" w14:textId="6FA4683E" w:rsidR="005855A9" w:rsidRPr="00946FD0" w:rsidRDefault="00DB0604" w:rsidP="00DB0604">
      <w:pPr>
        <w:ind w:left="1440"/>
        <w:rPr>
          <w:rFonts w:ascii="Arial" w:hAnsi="Arial" w:cs="Arial"/>
          <w:sz w:val="20"/>
          <w:szCs w:val="20"/>
          <w:lang w:val="cs-CZ"/>
        </w:rPr>
      </w:pPr>
      <w:r w:rsidRPr="00946FD0">
        <w:rPr>
          <w:rFonts w:ascii="Arial" w:hAnsi="Arial" w:cs="Arial"/>
          <w:sz w:val="20"/>
          <w:szCs w:val="20"/>
          <w:lang w:val="cs-CZ"/>
        </w:rPr>
        <w:t>UPS Investor Relations</w:t>
      </w:r>
      <w:r w:rsidRPr="00946FD0">
        <w:rPr>
          <w:rFonts w:ascii="Arial" w:hAnsi="Arial" w:cs="Arial"/>
          <w:sz w:val="20"/>
          <w:szCs w:val="20"/>
          <w:lang w:val="cs-CZ"/>
        </w:rPr>
        <w:br/>
        <w:t>+1 404-828-6059 (</w:t>
      </w:r>
      <w:r w:rsidR="000A1AC8" w:rsidRPr="00946FD0">
        <w:rPr>
          <w:rFonts w:ascii="Arial" w:hAnsi="Arial" w:cs="Arial"/>
          <w:sz w:val="20"/>
          <w:szCs w:val="20"/>
          <w:lang w:val="cs-CZ"/>
        </w:rPr>
        <w:t>volba</w:t>
      </w:r>
      <w:r w:rsidRPr="00946FD0">
        <w:rPr>
          <w:rFonts w:ascii="Arial" w:hAnsi="Arial" w:cs="Arial"/>
          <w:sz w:val="20"/>
          <w:szCs w:val="20"/>
          <w:lang w:val="cs-CZ"/>
        </w:rPr>
        <w:t xml:space="preserve"> 2), </w:t>
      </w:r>
      <w:hyperlink r:id="rId10" w:history="1">
        <w:r w:rsidRPr="00946FD0">
          <w:rPr>
            <w:rStyle w:val="Hyperlink"/>
            <w:rFonts w:ascii="Arial" w:hAnsi="Arial" w:cs="Arial"/>
            <w:sz w:val="20"/>
            <w:szCs w:val="20"/>
            <w:lang w:val="cs-CZ"/>
          </w:rPr>
          <w:t>investor@ups.com</w:t>
        </w:r>
      </w:hyperlink>
      <w:r w:rsidRPr="00946FD0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7CB4FDFC" w14:textId="2BEC02E8" w:rsidR="0077335C" w:rsidRPr="00946FD0" w:rsidRDefault="0077335C" w:rsidP="007B357E">
      <w:pPr>
        <w:rPr>
          <w:rFonts w:ascii="Arial" w:hAnsi="Arial" w:cs="Arial"/>
          <w:sz w:val="18"/>
          <w:szCs w:val="22"/>
          <w:lang w:val="cs-CZ"/>
        </w:rPr>
      </w:pPr>
    </w:p>
    <w:p w14:paraId="4680AC00" w14:textId="38E7C0DB" w:rsidR="00CC13C8" w:rsidRPr="00946FD0" w:rsidRDefault="00CC13C8" w:rsidP="00CC13C8">
      <w:pPr>
        <w:rPr>
          <w:rFonts w:ascii="Arial" w:hAnsi="Arial" w:cs="Arial"/>
          <w:sz w:val="18"/>
          <w:szCs w:val="22"/>
          <w:lang w:val="cs-CZ"/>
        </w:rPr>
      </w:pPr>
    </w:p>
    <w:p w14:paraId="22B9C6ED" w14:textId="36F3D11D" w:rsidR="007E3F8A" w:rsidRPr="00946FD0" w:rsidRDefault="007E3F8A" w:rsidP="007E3F8A">
      <w:pPr>
        <w:rPr>
          <w:rFonts w:ascii="Calibri" w:hAnsi="Calibri" w:cs="Calibri"/>
          <w:sz w:val="22"/>
          <w:szCs w:val="22"/>
          <w:lang w:val="cs-CZ"/>
        </w:rPr>
      </w:pPr>
    </w:p>
    <w:p w14:paraId="42AA169C" w14:textId="77777777" w:rsidR="00222748" w:rsidRPr="00946FD0" w:rsidRDefault="00222748" w:rsidP="007E3F8A">
      <w:pPr>
        <w:rPr>
          <w:rFonts w:ascii="Calibri" w:hAnsi="Calibri" w:cs="Calibri"/>
          <w:sz w:val="22"/>
          <w:szCs w:val="22"/>
          <w:lang w:val="cs-CZ"/>
        </w:rPr>
      </w:pPr>
    </w:p>
    <w:p w14:paraId="5E7E64D1" w14:textId="77777777" w:rsidR="009E379D" w:rsidRPr="00946FD0" w:rsidRDefault="00886A36" w:rsidP="00886A36">
      <w:pPr>
        <w:spacing w:line="204" w:lineRule="auto"/>
        <w:jc w:val="center"/>
        <w:rPr>
          <w:rFonts w:ascii="Arial" w:hAnsi="Arial" w:cs="Arial"/>
          <w:b/>
          <w:bCs/>
          <w:sz w:val="32"/>
          <w:szCs w:val="32"/>
          <w:lang w:val="cs-CZ"/>
        </w:rPr>
      </w:pPr>
      <w:bookmarkStart w:id="0" w:name="Section1"/>
      <w:bookmarkEnd w:id="0"/>
      <w:r w:rsidRPr="00946FD0">
        <w:rPr>
          <w:rFonts w:ascii="Arial" w:hAnsi="Arial" w:cs="Arial"/>
          <w:b/>
          <w:bCs/>
          <w:sz w:val="32"/>
          <w:szCs w:val="32"/>
          <w:lang w:val="cs-CZ"/>
        </w:rPr>
        <w:t xml:space="preserve">Společnost UPS zveřejnila </w:t>
      </w:r>
      <w:r w:rsidR="009E379D" w:rsidRPr="00946FD0">
        <w:rPr>
          <w:rFonts w:ascii="Arial" w:hAnsi="Arial" w:cs="Arial"/>
          <w:b/>
          <w:bCs/>
          <w:sz w:val="32"/>
          <w:szCs w:val="32"/>
          <w:lang w:val="cs-CZ"/>
        </w:rPr>
        <w:t>hospodářské</w:t>
      </w:r>
      <w:r w:rsidRPr="00946FD0">
        <w:rPr>
          <w:rFonts w:ascii="Arial" w:hAnsi="Arial" w:cs="Arial"/>
          <w:b/>
          <w:bCs/>
          <w:sz w:val="32"/>
          <w:szCs w:val="32"/>
          <w:lang w:val="cs-CZ"/>
        </w:rPr>
        <w:t xml:space="preserve"> výsledky </w:t>
      </w:r>
    </w:p>
    <w:p w14:paraId="051B7D0B" w14:textId="31DB0C4B" w:rsidR="00886A36" w:rsidRPr="00946FD0" w:rsidRDefault="00886A36" w:rsidP="00886A36">
      <w:pPr>
        <w:spacing w:line="204" w:lineRule="auto"/>
        <w:jc w:val="center"/>
        <w:rPr>
          <w:rFonts w:ascii="Arial" w:hAnsi="Arial" w:cs="Arial"/>
          <w:b/>
          <w:bCs/>
          <w:sz w:val="32"/>
          <w:szCs w:val="32"/>
          <w:lang w:val="cs-CZ"/>
        </w:rPr>
      </w:pPr>
      <w:r w:rsidRPr="00946FD0">
        <w:rPr>
          <w:rFonts w:ascii="Arial" w:hAnsi="Arial" w:cs="Arial"/>
          <w:b/>
          <w:bCs/>
          <w:sz w:val="32"/>
          <w:szCs w:val="32"/>
          <w:lang w:val="cs-CZ"/>
        </w:rPr>
        <w:t xml:space="preserve">za </w:t>
      </w:r>
      <w:r w:rsidR="00892726" w:rsidRPr="00946FD0">
        <w:rPr>
          <w:rFonts w:ascii="Arial" w:hAnsi="Arial" w:cs="Arial"/>
          <w:b/>
          <w:bCs/>
          <w:sz w:val="32"/>
          <w:szCs w:val="32"/>
          <w:lang w:val="cs-CZ"/>
        </w:rPr>
        <w:t>2.</w:t>
      </w:r>
      <w:r w:rsidRPr="00946FD0">
        <w:rPr>
          <w:rFonts w:ascii="Arial" w:hAnsi="Arial" w:cs="Arial"/>
          <w:b/>
          <w:bCs/>
          <w:sz w:val="32"/>
          <w:szCs w:val="32"/>
          <w:lang w:val="cs-CZ"/>
        </w:rPr>
        <w:t xml:space="preserve"> k</w:t>
      </w:r>
      <w:r w:rsidR="00892726" w:rsidRPr="00946FD0">
        <w:rPr>
          <w:rFonts w:ascii="Arial" w:hAnsi="Arial" w:cs="Arial"/>
          <w:b/>
          <w:bCs/>
          <w:sz w:val="32"/>
          <w:szCs w:val="32"/>
          <w:lang w:val="cs-CZ"/>
        </w:rPr>
        <w:t>v</w:t>
      </w:r>
      <w:r w:rsidRPr="00946FD0">
        <w:rPr>
          <w:rFonts w:ascii="Arial" w:hAnsi="Arial" w:cs="Arial"/>
          <w:b/>
          <w:bCs/>
          <w:sz w:val="32"/>
          <w:szCs w:val="32"/>
          <w:lang w:val="cs-CZ"/>
        </w:rPr>
        <w:t>artál 2020</w:t>
      </w:r>
    </w:p>
    <w:p w14:paraId="0A98B8CF" w14:textId="77777777" w:rsidR="00886A36" w:rsidRPr="00946FD0" w:rsidRDefault="00886A36" w:rsidP="00886A36">
      <w:pPr>
        <w:spacing w:line="204" w:lineRule="auto"/>
        <w:jc w:val="center"/>
        <w:rPr>
          <w:rFonts w:ascii="Arial" w:hAnsi="Arial" w:cs="Arial"/>
          <w:b/>
          <w:bCs/>
          <w:sz w:val="32"/>
          <w:szCs w:val="32"/>
          <w:lang w:val="cs-CZ"/>
        </w:rPr>
      </w:pPr>
    </w:p>
    <w:p w14:paraId="1FF69E50" w14:textId="599415AF" w:rsidR="00886A36" w:rsidRPr="00946FD0" w:rsidRDefault="00886A36" w:rsidP="00886A36">
      <w:pPr>
        <w:numPr>
          <w:ilvl w:val="0"/>
          <w:numId w:val="11"/>
        </w:numPr>
        <w:spacing w:line="228" w:lineRule="auto"/>
        <w:rPr>
          <w:rFonts w:ascii="Arial" w:hAnsi="Arial" w:cs="Arial"/>
          <w:b/>
          <w:bCs/>
          <w:i/>
          <w:iCs/>
          <w:lang w:val="cs-CZ"/>
        </w:rPr>
      </w:pPr>
      <w:r w:rsidRPr="00946FD0">
        <w:rPr>
          <w:rFonts w:ascii="Arial" w:hAnsi="Arial" w:cs="Arial"/>
          <w:b/>
          <w:bCs/>
          <w:i/>
          <w:iCs/>
          <w:lang w:val="cs-CZ"/>
        </w:rPr>
        <w:t xml:space="preserve">Konsolidovaný </w:t>
      </w:r>
      <w:r w:rsidR="000A1AC8" w:rsidRPr="00946FD0">
        <w:rPr>
          <w:rFonts w:ascii="Arial" w:hAnsi="Arial" w:cs="Arial"/>
          <w:b/>
          <w:bCs/>
          <w:i/>
          <w:iCs/>
          <w:lang w:val="cs-CZ"/>
        </w:rPr>
        <w:t xml:space="preserve">průměrný </w:t>
      </w:r>
      <w:r w:rsidRPr="00946FD0">
        <w:rPr>
          <w:rFonts w:ascii="Arial" w:hAnsi="Arial" w:cs="Arial"/>
          <w:b/>
          <w:bCs/>
          <w:i/>
          <w:iCs/>
          <w:lang w:val="cs-CZ"/>
        </w:rPr>
        <w:t>denní objem přepravy vzrostl o rekordních 20,9 %</w:t>
      </w:r>
    </w:p>
    <w:p w14:paraId="532436FB" w14:textId="1B58BBFD" w:rsidR="00886A36" w:rsidRPr="00946FD0" w:rsidRDefault="00886A36" w:rsidP="00886A36">
      <w:pPr>
        <w:numPr>
          <w:ilvl w:val="0"/>
          <w:numId w:val="11"/>
        </w:numPr>
        <w:spacing w:line="228" w:lineRule="auto"/>
        <w:rPr>
          <w:rFonts w:ascii="Arial" w:hAnsi="Arial" w:cs="Arial"/>
          <w:b/>
          <w:bCs/>
          <w:i/>
          <w:iCs/>
          <w:lang w:val="cs-CZ"/>
        </w:rPr>
      </w:pPr>
      <w:r w:rsidRPr="00946FD0">
        <w:rPr>
          <w:rFonts w:ascii="Arial" w:hAnsi="Arial" w:cs="Arial"/>
          <w:b/>
          <w:bCs/>
          <w:i/>
          <w:iCs/>
          <w:lang w:val="cs-CZ"/>
        </w:rPr>
        <w:t xml:space="preserve">Naředěný zisk na akcii za </w:t>
      </w:r>
      <w:r w:rsidR="000A1AC8" w:rsidRPr="00946FD0">
        <w:rPr>
          <w:rFonts w:ascii="Arial" w:hAnsi="Arial" w:cs="Arial"/>
          <w:b/>
          <w:bCs/>
          <w:i/>
          <w:iCs/>
          <w:lang w:val="cs-CZ"/>
        </w:rPr>
        <w:t>2</w:t>
      </w:r>
      <w:r w:rsidRPr="00946FD0">
        <w:rPr>
          <w:rFonts w:ascii="Arial" w:hAnsi="Arial" w:cs="Arial"/>
          <w:b/>
          <w:bCs/>
          <w:i/>
          <w:iCs/>
          <w:lang w:val="cs-CZ"/>
        </w:rPr>
        <w:t>. kvartál 2020 ve výši 2,03 USD je vyšší o 4,6 %, upravený naředěný zisk na akcii vzrostl o 8,7 % na 2,13 USD</w:t>
      </w:r>
    </w:p>
    <w:p w14:paraId="4C97E62A" w14:textId="19B35EFF" w:rsidR="00886A36" w:rsidRPr="00946FD0" w:rsidRDefault="00886A36" w:rsidP="00886A36">
      <w:pPr>
        <w:numPr>
          <w:ilvl w:val="0"/>
          <w:numId w:val="11"/>
        </w:numPr>
        <w:spacing w:line="228" w:lineRule="auto"/>
        <w:rPr>
          <w:rFonts w:ascii="Arial" w:hAnsi="Arial" w:cs="Arial"/>
          <w:b/>
          <w:bCs/>
          <w:i/>
          <w:iCs/>
          <w:lang w:val="cs-CZ"/>
        </w:rPr>
      </w:pPr>
      <w:r w:rsidRPr="00946FD0">
        <w:rPr>
          <w:rFonts w:ascii="Arial" w:hAnsi="Arial" w:cs="Arial"/>
          <w:b/>
          <w:bCs/>
          <w:i/>
          <w:iCs/>
          <w:lang w:val="cs-CZ"/>
        </w:rPr>
        <w:t>Objem provozní hotovosti od začátku roku dosáhl 5,9 mld</w:t>
      </w:r>
      <w:r w:rsidR="002E2F8D" w:rsidRPr="00946FD0">
        <w:rPr>
          <w:rFonts w:ascii="Arial" w:hAnsi="Arial" w:cs="Arial"/>
          <w:b/>
          <w:bCs/>
          <w:i/>
          <w:iCs/>
          <w:lang w:val="cs-CZ"/>
        </w:rPr>
        <w:t>.</w:t>
      </w:r>
      <w:r w:rsidRPr="00946FD0">
        <w:rPr>
          <w:rFonts w:ascii="Arial" w:hAnsi="Arial" w:cs="Arial"/>
          <w:b/>
          <w:bCs/>
          <w:i/>
          <w:iCs/>
          <w:lang w:val="cs-CZ"/>
        </w:rPr>
        <w:t xml:space="preserve"> USD</w:t>
      </w:r>
      <w:r w:rsidR="002E2F8D" w:rsidRPr="00946FD0">
        <w:rPr>
          <w:rFonts w:ascii="Arial" w:hAnsi="Arial" w:cs="Arial"/>
          <w:b/>
          <w:bCs/>
          <w:i/>
          <w:iCs/>
          <w:lang w:val="cs-CZ"/>
        </w:rPr>
        <w:t>,</w:t>
      </w:r>
      <w:r w:rsidRPr="00946FD0">
        <w:rPr>
          <w:rFonts w:ascii="Arial" w:hAnsi="Arial" w:cs="Arial"/>
          <w:b/>
          <w:bCs/>
          <w:i/>
          <w:iCs/>
          <w:lang w:val="cs-CZ"/>
        </w:rPr>
        <w:t xml:space="preserve"> upravený volný </w:t>
      </w:r>
      <w:r w:rsidR="002E2F8D" w:rsidRPr="00946FD0">
        <w:rPr>
          <w:rFonts w:ascii="Arial" w:hAnsi="Arial" w:cs="Arial"/>
          <w:b/>
          <w:bCs/>
          <w:i/>
          <w:iCs/>
          <w:lang w:val="cs-CZ"/>
        </w:rPr>
        <w:t>peněžní tok byl</w:t>
      </w:r>
      <w:r w:rsidRPr="00946FD0">
        <w:rPr>
          <w:rFonts w:ascii="Arial" w:hAnsi="Arial" w:cs="Arial"/>
          <w:b/>
          <w:bCs/>
          <w:i/>
          <w:iCs/>
          <w:lang w:val="cs-CZ"/>
        </w:rPr>
        <w:t xml:space="preserve"> 3,9 mld</w:t>
      </w:r>
      <w:r w:rsidR="002E2F8D" w:rsidRPr="00946FD0">
        <w:rPr>
          <w:rFonts w:ascii="Arial" w:hAnsi="Arial" w:cs="Arial"/>
          <w:b/>
          <w:bCs/>
          <w:i/>
          <w:iCs/>
          <w:lang w:val="cs-CZ"/>
        </w:rPr>
        <w:t>.</w:t>
      </w:r>
      <w:r w:rsidRPr="00946FD0">
        <w:rPr>
          <w:rFonts w:ascii="Arial" w:hAnsi="Arial" w:cs="Arial"/>
          <w:b/>
          <w:bCs/>
          <w:i/>
          <w:iCs/>
          <w:lang w:val="cs-CZ"/>
        </w:rPr>
        <w:t xml:space="preserve"> USD</w:t>
      </w:r>
    </w:p>
    <w:p w14:paraId="2B359083" w14:textId="1A25019D" w:rsidR="00886A36" w:rsidRPr="00946FD0" w:rsidRDefault="00886A36" w:rsidP="007E3F8A">
      <w:pPr>
        <w:spacing w:line="204" w:lineRule="auto"/>
        <w:jc w:val="center"/>
        <w:rPr>
          <w:rFonts w:ascii="Arial" w:hAnsi="Arial" w:cs="Arial"/>
          <w:b/>
          <w:bCs/>
          <w:sz w:val="32"/>
          <w:szCs w:val="32"/>
          <w:lang w:val="cs-CZ"/>
        </w:rPr>
      </w:pPr>
    </w:p>
    <w:p w14:paraId="18BBB569" w14:textId="77777777" w:rsidR="002C16D2" w:rsidRPr="00946FD0" w:rsidRDefault="002C16D2" w:rsidP="007E3F8A">
      <w:pPr>
        <w:spacing w:line="204" w:lineRule="auto"/>
        <w:jc w:val="center"/>
        <w:rPr>
          <w:rFonts w:ascii="Arial" w:hAnsi="Arial" w:cs="Arial"/>
          <w:b/>
          <w:bCs/>
          <w:sz w:val="32"/>
          <w:szCs w:val="32"/>
          <w:lang w:val="cs-CZ"/>
        </w:rPr>
      </w:pPr>
    </w:p>
    <w:p w14:paraId="5D24A14B" w14:textId="4706C79A" w:rsidR="009E379D" w:rsidRPr="00946FD0" w:rsidRDefault="009E379D" w:rsidP="009E379D">
      <w:pPr>
        <w:rPr>
          <w:rFonts w:ascii="Arial" w:hAnsi="Arial" w:cs="Arial"/>
          <w:sz w:val="22"/>
          <w:szCs w:val="22"/>
          <w:lang w:val="cs-CZ"/>
        </w:rPr>
      </w:pPr>
      <w:r w:rsidRPr="00946FD0">
        <w:rPr>
          <w:rFonts w:ascii="Arial" w:hAnsi="Arial" w:cs="Arial"/>
          <w:b/>
          <w:bCs/>
          <w:sz w:val="22"/>
          <w:szCs w:val="22"/>
          <w:lang w:val="cs-CZ"/>
        </w:rPr>
        <w:t>ATLANTA, 30. července 2020</w:t>
      </w:r>
      <w:r w:rsidRPr="00946FD0">
        <w:rPr>
          <w:rFonts w:ascii="Arial" w:hAnsi="Arial" w:cs="Arial"/>
          <w:sz w:val="22"/>
          <w:szCs w:val="22"/>
          <w:lang w:val="cs-CZ"/>
        </w:rPr>
        <w:t xml:space="preserve"> – Společnost UPS (</w:t>
      </w:r>
      <w:proofErr w:type="spellStart"/>
      <w:r w:rsidRPr="00946FD0">
        <w:rPr>
          <w:rFonts w:ascii="Arial" w:hAnsi="Arial" w:cs="Arial"/>
          <w:sz w:val="22"/>
          <w:szCs w:val="22"/>
          <w:lang w:val="cs-CZ"/>
        </w:rPr>
        <w:t>NYSE:UPS</w:t>
      </w:r>
      <w:proofErr w:type="spellEnd"/>
      <w:r w:rsidRPr="00946FD0">
        <w:rPr>
          <w:rFonts w:ascii="Arial" w:hAnsi="Arial" w:cs="Arial"/>
          <w:sz w:val="22"/>
          <w:szCs w:val="22"/>
          <w:lang w:val="cs-CZ"/>
        </w:rPr>
        <w:t>) dnes oznámila, že konsolidované příjmy za druhý kvartál 2020 vzrostly na 20,5 mld</w:t>
      </w:r>
      <w:r w:rsidR="0035128A" w:rsidRPr="00946FD0">
        <w:rPr>
          <w:rFonts w:ascii="Arial" w:hAnsi="Arial" w:cs="Arial"/>
          <w:sz w:val="22"/>
          <w:szCs w:val="22"/>
          <w:lang w:val="cs-CZ"/>
        </w:rPr>
        <w:t>.</w:t>
      </w:r>
      <w:r w:rsidRPr="00946FD0">
        <w:rPr>
          <w:rFonts w:ascii="Arial" w:hAnsi="Arial" w:cs="Arial"/>
          <w:sz w:val="22"/>
          <w:szCs w:val="22"/>
          <w:lang w:val="cs-CZ"/>
        </w:rPr>
        <w:t xml:space="preserve"> USD, což </w:t>
      </w:r>
      <w:r w:rsidR="0035128A" w:rsidRPr="00946FD0">
        <w:rPr>
          <w:rFonts w:ascii="Arial" w:hAnsi="Arial" w:cs="Arial"/>
          <w:sz w:val="22"/>
          <w:szCs w:val="22"/>
          <w:lang w:val="cs-CZ"/>
        </w:rPr>
        <w:t>představuje</w:t>
      </w:r>
      <w:r w:rsidRPr="00946FD0">
        <w:rPr>
          <w:rFonts w:ascii="Arial" w:hAnsi="Arial" w:cs="Arial"/>
          <w:sz w:val="22"/>
          <w:szCs w:val="22"/>
          <w:lang w:val="cs-CZ"/>
        </w:rPr>
        <w:t xml:space="preserve"> </w:t>
      </w:r>
      <w:r w:rsidR="0035128A" w:rsidRPr="00946FD0">
        <w:rPr>
          <w:rFonts w:ascii="Arial" w:hAnsi="Arial" w:cs="Arial"/>
          <w:sz w:val="22"/>
          <w:szCs w:val="22"/>
          <w:lang w:val="cs-CZ"/>
        </w:rPr>
        <w:t xml:space="preserve">13,4% </w:t>
      </w:r>
      <w:r w:rsidRPr="00946FD0">
        <w:rPr>
          <w:rFonts w:ascii="Arial" w:hAnsi="Arial" w:cs="Arial"/>
          <w:sz w:val="22"/>
          <w:szCs w:val="22"/>
          <w:lang w:val="cs-CZ"/>
        </w:rPr>
        <w:t xml:space="preserve">nárůst oproti druhému kvartálu 2019. Čistý příjem za kvartál dosáhl výše 1,8 mld USD, upravený čistý příjem pak 1,9 mld USD, což je 8,8 % </w:t>
      </w:r>
      <w:r w:rsidR="002C16D2" w:rsidRPr="00946FD0">
        <w:rPr>
          <w:rFonts w:ascii="Arial" w:hAnsi="Arial" w:cs="Arial"/>
          <w:sz w:val="22"/>
          <w:szCs w:val="22"/>
          <w:lang w:val="cs-CZ"/>
        </w:rPr>
        <w:t>v porovnání se</w:t>
      </w:r>
      <w:r w:rsidRPr="00946FD0">
        <w:rPr>
          <w:rFonts w:ascii="Arial" w:hAnsi="Arial" w:cs="Arial"/>
          <w:sz w:val="22"/>
          <w:szCs w:val="22"/>
          <w:lang w:val="cs-CZ"/>
        </w:rPr>
        <w:t xml:space="preserve"> stejným obdobím roku 2019. Provozní zisk narostl na 2,2 mld</w:t>
      </w:r>
      <w:r w:rsidR="0035128A" w:rsidRPr="00946FD0">
        <w:rPr>
          <w:rFonts w:ascii="Arial" w:hAnsi="Arial" w:cs="Arial"/>
          <w:sz w:val="22"/>
          <w:szCs w:val="22"/>
          <w:lang w:val="cs-CZ"/>
        </w:rPr>
        <w:t>.</w:t>
      </w:r>
      <w:r w:rsidRPr="00946FD0">
        <w:rPr>
          <w:rFonts w:ascii="Arial" w:hAnsi="Arial" w:cs="Arial"/>
          <w:sz w:val="22"/>
          <w:szCs w:val="22"/>
          <w:lang w:val="cs-CZ"/>
        </w:rPr>
        <w:t xml:space="preserve"> USD, upravený provozní zisk na 2,3 mld</w:t>
      </w:r>
      <w:r w:rsidR="0035128A" w:rsidRPr="00946FD0">
        <w:rPr>
          <w:rFonts w:ascii="Arial" w:hAnsi="Arial" w:cs="Arial"/>
          <w:sz w:val="22"/>
          <w:szCs w:val="22"/>
          <w:lang w:val="cs-CZ"/>
        </w:rPr>
        <w:t>.</w:t>
      </w:r>
      <w:r w:rsidRPr="00946FD0">
        <w:rPr>
          <w:rFonts w:ascii="Arial" w:hAnsi="Arial" w:cs="Arial"/>
          <w:sz w:val="22"/>
          <w:szCs w:val="22"/>
          <w:lang w:val="cs-CZ"/>
        </w:rPr>
        <w:t xml:space="preserve"> USD, oproti loňskému druhému kvartálu jde o navýšení o 7,4 %.</w:t>
      </w:r>
    </w:p>
    <w:p w14:paraId="01539D87" w14:textId="77777777" w:rsidR="009E379D" w:rsidRPr="00946FD0" w:rsidRDefault="009E379D" w:rsidP="007E3F8A">
      <w:pPr>
        <w:rPr>
          <w:rFonts w:ascii="Arial" w:hAnsi="Arial" w:cs="Arial"/>
          <w:b/>
          <w:bCs/>
          <w:sz w:val="22"/>
          <w:szCs w:val="22"/>
          <w:lang w:val="cs-CZ"/>
        </w:rPr>
      </w:pPr>
    </w:p>
    <w:p w14:paraId="48076326" w14:textId="16491B2F" w:rsidR="009E379D" w:rsidRPr="00946FD0" w:rsidRDefault="009E379D" w:rsidP="009E379D">
      <w:pPr>
        <w:rPr>
          <w:rFonts w:ascii="Arial" w:hAnsi="Arial" w:cs="Arial"/>
          <w:sz w:val="22"/>
          <w:szCs w:val="22"/>
          <w:lang w:val="cs-CZ"/>
        </w:rPr>
      </w:pPr>
      <w:r w:rsidRPr="00946FD0">
        <w:rPr>
          <w:rFonts w:ascii="Arial" w:hAnsi="Arial" w:cs="Arial"/>
          <w:sz w:val="22"/>
          <w:szCs w:val="22"/>
          <w:lang w:val="cs-CZ"/>
        </w:rPr>
        <w:t>Rozředěný zisk na akcii dosáhl výše 2,03 USD, upravený rozředěný zisk na akcii se oproti stejnému období loňského roku zvýšil o 8,7 % na 2,1</w:t>
      </w:r>
      <w:r w:rsidR="006B6A13" w:rsidRPr="00946FD0">
        <w:rPr>
          <w:rFonts w:ascii="Arial" w:hAnsi="Arial" w:cs="Arial"/>
          <w:sz w:val="22"/>
          <w:szCs w:val="22"/>
          <w:lang w:val="cs-CZ"/>
        </w:rPr>
        <w:t>3</w:t>
      </w:r>
      <w:r w:rsidRPr="00946FD0">
        <w:rPr>
          <w:rFonts w:ascii="Arial" w:hAnsi="Arial" w:cs="Arial"/>
          <w:sz w:val="22"/>
          <w:szCs w:val="22"/>
          <w:lang w:val="cs-CZ"/>
        </w:rPr>
        <w:t xml:space="preserve"> USD. Výsledky podle metodiky </w:t>
      </w:r>
      <w:proofErr w:type="spellStart"/>
      <w:r w:rsidRPr="00946FD0">
        <w:rPr>
          <w:rFonts w:ascii="Arial" w:hAnsi="Arial" w:cs="Arial"/>
          <w:sz w:val="22"/>
          <w:szCs w:val="22"/>
          <w:lang w:val="cs-CZ"/>
        </w:rPr>
        <w:t>GAAP</w:t>
      </w:r>
      <w:proofErr w:type="spellEnd"/>
      <w:r w:rsidRPr="00946FD0">
        <w:rPr>
          <w:rFonts w:ascii="Arial" w:hAnsi="Arial" w:cs="Arial"/>
          <w:sz w:val="22"/>
          <w:szCs w:val="22"/>
          <w:lang w:val="cs-CZ"/>
        </w:rPr>
        <w:t xml:space="preserve"> zahrnují transformační náklady před zdaněním ve výši 112 mil</w:t>
      </w:r>
      <w:r w:rsidR="00BE72AE" w:rsidRPr="00946FD0">
        <w:rPr>
          <w:rFonts w:ascii="Arial" w:hAnsi="Arial" w:cs="Arial"/>
          <w:sz w:val="22"/>
          <w:szCs w:val="22"/>
          <w:lang w:val="cs-CZ"/>
        </w:rPr>
        <w:t>.</w:t>
      </w:r>
      <w:r w:rsidRPr="00946FD0">
        <w:rPr>
          <w:rFonts w:ascii="Arial" w:hAnsi="Arial" w:cs="Arial"/>
          <w:sz w:val="22"/>
          <w:szCs w:val="22"/>
          <w:lang w:val="cs-CZ"/>
        </w:rPr>
        <w:t xml:space="preserve"> USD, což odpovídá 0,10 USD na akcii. Ve stejném období loňského roku zahrnovaly výsledky dle </w:t>
      </w:r>
      <w:proofErr w:type="spellStart"/>
      <w:r w:rsidRPr="00946FD0">
        <w:rPr>
          <w:rFonts w:ascii="Arial" w:hAnsi="Arial" w:cs="Arial"/>
          <w:sz w:val="22"/>
          <w:szCs w:val="22"/>
          <w:lang w:val="cs-CZ"/>
        </w:rPr>
        <w:t>GAAP</w:t>
      </w:r>
      <w:proofErr w:type="spellEnd"/>
      <w:r w:rsidRPr="00946FD0">
        <w:rPr>
          <w:rFonts w:ascii="Arial" w:hAnsi="Arial" w:cs="Arial"/>
          <w:sz w:val="22"/>
          <w:szCs w:val="22"/>
          <w:lang w:val="cs-CZ"/>
        </w:rPr>
        <w:t xml:space="preserve"> transformační náklad</w:t>
      </w:r>
      <w:r w:rsidR="00BE72AE" w:rsidRPr="00946FD0">
        <w:rPr>
          <w:rFonts w:ascii="Arial" w:hAnsi="Arial" w:cs="Arial"/>
          <w:sz w:val="22"/>
          <w:szCs w:val="22"/>
          <w:lang w:val="cs-CZ"/>
        </w:rPr>
        <w:t>y</w:t>
      </w:r>
      <w:r w:rsidRPr="00946FD0">
        <w:rPr>
          <w:rFonts w:ascii="Arial" w:hAnsi="Arial" w:cs="Arial"/>
          <w:sz w:val="22"/>
          <w:szCs w:val="22"/>
          <w:lang w:val="cs-CZ"/>
        </w:rPr>
        <w:t xml:space="preserve"> před zdaněním 21 mil</w:t>
      </w:r>
      <w:r w:rsidR="00BE72AE" w:rsidRPr="00946FD0">
        <w:rPr>
          <w:rFonts w:ascii="Arial" w:hAnsi="Arial" w:cs="Arial"/>
          <w:sz w:val="22"/>
          <w:szCs w:val="22"/>
          <w:lang w:val="cs-CZ"/>
        </w:rPr>
        <w:t>.</w:t>
      </w:r>
      <w:r w:rsidRPr="00946FD0">
        <w:rPr>
          <w:rFonts w:ascii="Arial" w:hAnsi="Arial" w:cs="Arial"/>
          <w:sz w:val="22"/>
          <w:szCs w:val="22"/>
          <w:lang w:val="cs-CZ"/>
        </w:rPr>
        <w:t xml:space="preserve"> USD, </w:t>
      </w:r>
      <w:r w:rsidR="00BE72AE" w:rsidRPr="00946FD0">
        <w:rPr>
          <w:rFonts w:ascii="Arial" w:hAnsi="Arial" w:cs="Arial"/>
          <w:sz w:val="22"/>
          <w:szCs w:val="22"/>
          <w:lang w:val="cs-CZ"/>
        </w:rPr>
        <w:t xml:space="preserve">tedy </w:t>
      </w:r>
      <w:r w:rsidRPr="00946FD0">
        <w:rPr>
          <w:rFonts w:ascii="Arial" w:hAnsi="Arial" w:cs="Arial"/>
          <w:sz w:val="22"/>
          <w:szCs w:val="22"/>
          <w:lang w:val="cs-CZ"/>
        </w:rPr>
        <w:t>0,02 USD na akcii.</w:t>
      </w:r>
    </w:p>
    <w:p w14:paraId="5E738617" w14:textId="77777777" w:rsidR="009E379D" w:rsidRPr="00946FD0" w:rsidRDefault="009E379D" w:rsidP="009E379D">
      <w:pPr>
        <w:rPr>
          <w:rFonts w:ascii="Arial" w:hAnsi="Arial" w:cs="Arial"/>
          <w:sz w:val="22"/>
          <w:szCs w:val="22"/>
          <w:lang w:val="cs-CZ"/>
        </w:rPr>
      </w:pPr>
    </w:p>
    <w:p w14:paraId="6E351A26" w14:textId="2AD62353" w:rsidR="009E379D" w:rsidRPr="00946FD0" w:rsidRDefault="009E379D" w:rsidP="009E379D">
      <w:pPr>
        <w:rPr>
          <w:rFonts w:ascii="Arial" w:hAnsi="Arial" w:cs="Arial"/>
          <w:sz w:val="22"/>
          <w:szCs w:val="22"/>
          <w:lang w:val="cs-CZ"/>
        </w:rPr>
      </w:pPr>
      <w:r w:rsidRPr="00946FD0">
        <w:rPr>
          <w:rFonts w:ascii="Arial" w:hAnsi="Arial" w:cs="Arial"/>
          <w:sz w:val="22"/>
          <w:szCs w:val="22"/>
          <w:lang w:val="cs-CZ"/>
        </w:rPr>
        <w:t>„Naše výsledky překonaly očekávání především díky změnám na straně poptávky</w:t>
      </w:r>
      <w:r w:rsidR="00F16A8D" w:rsidRPr="00946FD0">
        <w:rPr>
          <w:rFonts w:ascii="Arial" w:hAnsi="Arial" w:cs="Arial"/>
          <w:sz w:val="22"/>
          <w:szCs w:val="22"/>
          <w:lang w:val="cs-CZ"/>
        </w:rPr>
        <w:t xml:space="preserve"> v </w:t>
      </w:r>
      <w:r w:rsidRPr="00946FD0">
        <w:rPr>
          <w:rFonts w:ascii="Arial" w:hAnsi="Arial" w:cs="Arial"/>
          <w:sz w:val="22"/>
          <w:szCs w:val="22"/>
          <w:lang w:val="cs-CZ"/>
        </w:rPr>
        <w:t>důsledk</w:t>
      </w:r>
      <w:r w:rsidR="00F16A8D" w:rsidRPr="00946FD0">
        <w:rPr>
          <w:rFonts w:ascii="Arial" w:hAnsi="Arial" w:cs="Arial"/>
          <w:sz w:val="22"/>
          <w:szCs w:val="22"/>
          <w:lang w:val="cs-CZ"/>
        </w:rPr>
        <w:t>u</w:t>
      </w:r>
      <w:r w:rsidRPr="00946FD0">
        <w:rPr>
          <w:rFonts w:ascii="Arial" w:hAnsi="Arial" w:cs="Arial"/>
          <w:sz w:val="22"/>
          <w:szCs w:val="22"/>
          <w:lang w:val="cs-CZ"/>
        </w:rPr>
        <w:t xml:space="preserve"> pandemie. Šlo o nárůst objemu soukromé přepravy, zdravotnických zásilek pro léčbu COVID-19, jakož i významný nárůst poptávky po exportu zboží z Asie,“ říká Carol </w:t>
      </w:r>
      <w:proofErr w:type="spellStart"/>
      <w:r w:rsidRPr="00946FD0">
        <w:rPr>
          <w:rFonts w:ascii="Arial" w:hAnsi="Arial" w:cs="Arial"/>
          <w:sz w:val="22"/>
          <w:szCs w:val="22"/>
          <w:lang w:val="cs-CZ"/>
        </w:rPr>
        <w:t>Tomé</w:t>
      </w:r>
      <w:proofErr w:type="spellEnd"/>
      <w:r w:rsidRPr="00946FD0">
        <w:rPr>
          <w:rFonts w:ascii="Arial" w:hAnsi="Arial" w:cs="Arial"/>
          <w:sz w:val="22"/>
          <w:szCs w:val="22"/>
          <w:lang w:val="cs-CZ"/>
        </w:rPr>
        <w:t>, výkonná ředitelka UPS. „Zaměstnanci UPS udržují i v těchto náročných časech svět v pohybu a ráda bych jim poděkovala za jejich mimořádné úsilí, s jakým pomáh</w:t>
      </w:r>
      <w:r w:rsidR="00F16A8D" w:rsidRPr="00946FD0">
        <w:rPr>
          <w:rFonts w:ascii="Arial" w:hAnsi="Arial" w:cs="Arial"/>
          <w:sz w:val="22"/>
          <w:szCs w:val="22"/>
          <w:lang w:val="cs-CZ"/>
        </w:rPr>
        <w:t>ají</w:t>
      </w:r>
      <w:r w:rsidRPr="00946FD0">
        <w:rPr>
          <w:rFonts w:ascii="Arial" w:hAnsi="Arial" w:cs="Arial"/>
          <w:sz w:val="22"/>
          <w:szCs w:val="22"/>
          <w:lang w:val="cs-CZ"/>
        </w:rPr>
        <w:t xml:space="preserve"> našim zákazníkům, společnosti a sobě navzájem.“</w:t>
      </w:r>
    </w:p>
    <w:p w14:paraId="34E2A046" w14:textId="77777777" w:rsidR="007E3F8A" w:rsidRPr="00946FD0" w:rsidRDefault="007E3F8A" w:rsidP="007E3F8A">
      <w:pPr>
        <w:spacing w:line="228" w:lineRule="auto"/>
        <w:rPr>
          <w:rFonts w:ascii="Arial" w:hAnsi="Arial" w:cs="Arial"/>
          <w:lang w:val="cs-CZ"/>
        </w:rPr>
      </w:pPr>
    </w:p>
    <w:p w14:paraId="56B8C6FC" w14:textId="266AE26E" w:rsidR="00A32008" w:rsidRPr="00946FD0" w:rsidRDefault="00A32008" w:rsidP="007E3F8A">
      <w:pPr>
        <w:spacing w:line="204" w:lineRule="auto"/>
        <w:rPr>
          <w:rFonts w:ascii="Arial" w:hAnsi="Arial" w:cs="Arial"/>
          <w:b/>
          <w:bCs/>
          <w:lang w:val="cs-CZ"/>
        </w:rPr>
      </w:pPr>
      <w:r w:rsidRPr="00946FD0">
        <w:rPr>
          <w:rFonts w:ascii="Arial" w:hAnsi="Arial" w:cs="Arial"/>
          <w:b/>
          <w:bCs/>
          <w:lang w:val="cs-CZ"/>
        </w:rPr>
        <w:t>Domácí trh v USA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32008" w:rsidRPr="00946FD0" w14:paraId="042BDD4B" w14:textId="77777777" w:rsidTr="00A32008">
        <w:tc>
          <w:tcPr>
            <w:tcW w:w="1870" w:type="dxa"/>
          </w:tcPr>
          <w:p w14:paraId="1717EBFC" w14:textId="77777777" w:rsidR="00A32008" w:rsidRPr="00946FD0" w:rsidRDefault="00A32008" w:rsidP="00A32008">
            <w:pPr>
              <w:spacing w:line="204" w:lineRule="auto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1870" w:type="dxa"/>
          </w:tcPr>
          <w:p w14:paraId="56C41E09" w14:textId="77777777" w:rsidR="00A32008" w:rsidRPr="00946FD0" w:rsidRDefault="00A32008" w:rsidP="00A32008">
            <w:pPr>
              <w:spacing w:line="20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</w:p>
          <w:p w14:paraId="0BC4D6C7" w14:textId="4F2197A9" w:rsidR="00A32008" w:rsidRPr="00946FD0" w:rsidRDefault="00A32008" w:rsidP="00A32008">
            <w:pPr>
              <w:spacing w:line="204" w:lineRule="auto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946FD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2020</w:t>
            </w:r>
          </w:p>
        </w:tc>
        <w:tc>
          <w:tcPr>
            <w:tcW w:w="1870" w:type="dxa"/>
          </w:tcPr>
          <w:p w14:paraId="11EE927A" w14:textId="77777777" w:rsidR="00A32008" w:rsidRPr="00946FD0" w:rsidRDefault="00A32008" w:rsidP="00A32008">
            <w:pPr>
              <w:spacing w:before="33"/>
              <w:jc w:val="center"/>
              <w:rPr>
                <w:b/>
                <w:bCs/>
                <w:u w:val="single"/>
                <w:lang w:val="cs-CZ"/>
              </w:rPr>
            </w:pPr>
            <w:r w:rsidRPr="00946FD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Upravený</w:t>
            </w:r>
          </w:p>
          <w:p w14:paraId="19703490" w14:textId="0876202D" w:rsidR="00A32008" w:rsidRPr="00946FD0" w:rsidRDefault="00A32008" w:rsidP="00A32008">
            <w:pPr>
              <w:spacing w:line="204" w:lineRule="auto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946FD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2020</w:t>
            </w:r>
          </w:p>
        </w:tc>
        <w:tc>
          <w:tcPr>
            <w:tcW w:w="1870" w:type="dxa"/>
          </w:tcPr>
          <w:p w14:paraId="5AA1AE2A" w14:textId="77777777" w:rsidR="00A32008" w:rsidRPr="00946FD0" w:rsidRDefault="00A32008" w:rsidP="00A32008">
            <w:pPr>
              <w:spacing w:line="20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</w:p>
          <w:p w14:paraId="009D287F" w14:textId="3CC131D6" w:rsidR="00A32008" w:rsidRPr="00946FD0" w:rsidRDefault="00A32008" w:rsidP="00A32008">
            <w:pPr>
              <w:spacing w:line="204" w:lineRule="auto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946FD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2019</w:t>
            </w:r>
          </w:p>
        </w:tc>
        <w:tc>
          <w:tcPr>
            <w:tcW w:w="1870" w:type="dxa"/>
          </w:tcPr>
          <w:p w14:paraId="339C67BF" w14:textId="77777777" w:rsidR="00A32008" w:rsidRPr="00946FD0" w:rsidRDefault="00A32008" w:rsidP="00A32008">
            <w:pPr>
              <w:spacing w:before="33"/>
              <w:jc w:val="center"/>
              <w:rPr>
                <w:b/>
                <w:bCs/>
                <w:u w:val="single"/>
                <w:lang w:val="cs-CZ"/>
              </w:rPr>
            </w:pPr>
            <w:r w:rsidRPr="00946FD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Upravený</w:t>
            </w:r>
          </w:p>
          <w:p w14:paraId="28273BBF" w14:textId="1244E6B4" w:rsidR="00A32008" w:rsidRPr="00946FD0" w:rsidRDefault="00A32008" w:rsidP="00A32008">
            <w:pPr>
              <w:spacing w:line="204" w:lineRule="auto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946FD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2019</w:t>
            </w:r>
          </w:p>
        </w:tc>
      </w:tr>
      <w:tr w:rsidR="00A32008" w:rsidRPr="00946FD0" w14:paraId="56695D76" w14:textId="77777777" w:rsidTr="00A32008">
        <w:tc>
          <w:tcPr>
            <w:tcW w:w="1870" w:type="dxa"/>
          </w:tcPr>
          <w:p w14:paraId="21D52921" w14:textId="72F86F7A" w:rsidR="00A32008" w:rsidRPr="00946FD0" w:rsidRDefault="00A32008" w:rsidP="00222748">
            <w:pPr>
              <w:spacing w:before="53" w:after="3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46FD0">
              <w:rPr>
                <w:rFonts w:ascii="Arial" w:hAnsi="Arial" w:cs="Arial"/>
                <w:sz w:val="20"/>
                <w:szCs w:val="20"/>
                <w:lang w:val="cs-CZ"/>
              </w:rPr>
              <w:t>Příjmy</w:t>
            </w:r>
          </w:p>
        </w:tc>
        <w:tc>
          <w:tcPr>
            <w:tcW w:w="1870" w:type="dxa"/>
          </w:tcPr>
          <w:p w14:paraId="09978C87" w14:textId="528BA59C" w:rsidR="00A32008" w:rsidRPr="00946FD0" w:rsidRDefault="00A32008" w:rsidP="00222748">
            <w:pPr>
              <w:spacing w:before="53" w:after="30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46FD0">
              <w:rPr>
                <w:rFonts w:ascii="Arial" w:hAnsi="Arial" w:cs="Arial"/>
                <w:sz w:val="20"/>
                <w:szCs w:val="20"/>
                <w:lang w:val="cs-CZ"/>
              </w:rPr>
              <w:t>13 074 mil. USD</w:t>
            </w:r>
          </w:p>
        </w:tc>
        <w:tc>
          <w:tcPr>
            <w:tcW w:w="1870" w:type="dxa"/>
          </w:tcPr>
          <w:p w14:paraId="15F6D559" w14:textId="77777777" w:rsidR="00A32008" w:rsidRPr="00946FD0" w:rsidRDefault="00A32008" w:rsidP="00222748">
            <w:pPr>
              <w:spacing w:before="53" w:after="30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870" w:type="dxa"/>
          </w:tcPr>
          <w:p w14:paraId="39637F4D" w14:textId="77777777" w:rsidR="00A32008" w:rsidRPr="00946FD0" w:rsidRDefault="00A32008" w:rsidP="00222748">
            <w:pPr>
              <w:spacing w:before="53" w:after="30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870" w:type="dxa"/>
          </w:tcPr>
          <w:p w14:paraId="39178580" w14:textId="35D4D623" w:rsidR="00A32008" w:rsidRPr="00946FD0" w:rsidRDefault="00A32008" w:rsidP="00222748">
            <w:pPr>
              <w:spacing w:before="53" w:after="30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46FD0">
              <w:rPr>
                <w:rFonts w:ascii="Arial" w:hAnsi="Arial" w:cs="Arial"/>
                <w:sz w:val="20"/>
                <w:szCs w:val="20"/>
                <w:lang w:val="cs-CZ"/>
              </w:rPr>
              <w:t>11 150 mil. USD</w:t>
            </w:r>
          </w:p>
        </w:tc>
      </w:tr>
      <w:tr w:rsidR="00A32008" w:rsidRPr="00946FD0" w14:paraId="66138699" w14:textId="77777777" w:rsidTr="00A32008">
        <w:tc>
          <w:tcPr>
            <w:tcW w:w="1870" w:type="dxa"/>
          </w:tcPr>
          <w:p w14:paraId="2333492B" w14:textId="54C6A6B4" w:rsidR="00A32008" w:rsidRPr="00946FD0" w:rsidRDefault="00A32008" w:rsidP="00222748">
            <w:pPr>
              <w:spacing w:before="53" w:after="3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46FD0">
              <w:rPr>
                <w:rFonts w:ascii="Arial" w:hAnsi="Arial" w:cs="Arial"/>
                <w:sz w:val="20"/>
                <w:szCs w:val="20"/>
                <w:lang w:val="cs-CZ"/>
              </w:rPr>
              <w:t>Provozní zisk</w:t>
            </w:r>
          </w:p>
        </w:tc>
        <w:tc>
          <w:tcPr>
            <w:tcW w:w="1870" w:type="dxa"/>
          </w:tcPr>
          <w:p w14:paraId="018AAD2C" w14:textId="37665FA9" w:rsidR="00A32008" w:rsidRPr="00946FD0" w:rsidRDefault="00A32008" w:rsidP="00222748">
            <w:pPr>
              <w:spacing w:before="53" w:after="30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46FD0">
              <w:rPr>
                <w:rFonts w:ascii="Arial" w:hAnsi="Arial" w:cs="Arial"/>
                <w:sz w:val="20"/>
                <w:szCs w:val="20"/>
                <w:lang w:val="cs-CZ"/>
              </w:rPr>
              <w:t>1 182 mil. USD</w:t>
            </w:r>
          </w:p>
        </w:tc>
        <w:tc>
          <w:tcPr>
            <w:tcW w:w="1870" w:type="dxa"/>
          </w:tcPr>
          <w:p w14:paraId="40222D74" w14:textId="3C378A46" w:rsidR="00A32008" w:rsidRPr="00946FD0" w:rsidRDefault="00A32008" w:rsidP="00222748">
            <w:pPr>
              <w:spacing w:before="53" w:after="30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46FD0">
              <w:rPr>
                <w:rFonts w:ascii="Arial" w:hAnsi="Arial" w:cs="Arial"/>
                <w:sz w:val="20"/>
                <w:szCs w:val="20"/>
                <w:lang w:val="cs-CZ"/>
              </w:rPr>
              <w:t xml:space="preserve"> 1 215 mil. USD</w:t>
            </w:r>
          </w:p>
        </w:tc>
        <w:tc>
          <w:tcPr>
            <w:tcW w:w="1870" w:type="dxa"/>
          </w:tcPr>
          <w:p w14:paraId="7A368505" w14:textId="40DAC1DA" w:rsidR="00A32008" w:rsidRPr="00946FD0" w:rsidRDefault="00A32008" w:rsidP="00222748">
            <w:pPr>
              <w:spacing w:before="53" w:after="30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46FD0">
              <w:rPr>
                <w:rFonts w:ascii="Arial" w:hAnsi="Arial" w:cs="Arial"/>
                <w:sz w:val="20"/>
                <w:szCs w:val="20"/>
                <w:lang w:val="cs-CZ"/>
              </w:rPr>
              <w:t>1 208 mil. USD</w:t>
            </w:r>
          </w:p>
        </w:tc>
        <w:tc>
          <w:tcPr>
            <w:tcW w:w="1870" w:type="dxa"/>
          </w:tcPr>
          <w:p w14:paraId="1899F9DE" w14:textId="555CE8C0" w:rsidR="00A32008" w:rsidRPr="00946FD0" w:rsidRDefault="00A32008" w:rsidP="00222748">
            <w:pPr>
              <w:spacing w:before="53" w:after="30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46FD0">
              <w:rPr>
                <w:rFonts w:ascii="Arial" w:hAnsi="Arial" w:cs="Arial"/>
                <w:sz w:val="20"/>
                <w:szCs w:val="20"/>
                <w:lang w:val="cs-CZ"/>
              </w:rPr>
              <w:t>1 226 mil. USD</w:t>
            </w:r>
          </w:p>
        </w:tc>
      </w:tr>
    </w:tbl>
    <w:p w14:paraId="7C73E877" w14:textId="77777777" w:rsidR="00A32008" w:rsidRPr="00946FD0" w:rsidRDefault="00A32008" w:rsidP="007E3F8A">
      <w:pPr>
        <w:spacing w:line="204" w:lineRule="auto"/>
        <w:rPr>
          <w:rFonts w:ascii="Arial" w:hAnsi="Arial" w:cs="Arial"/>
          <w:b/>
          <w:bCs/>
          <w:lang w:val="cs-CZ"/>
        </w:rPr>
      </w:pPr>
    </w:p>
    <w:p w14:paraId="79560799" w14:textId="02463C64" w:rsidR="000C5BB9" w:rsidRPr="00946FD0" w:rsidRDefault="000C5BB9" w:rsidP="000C5BB9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cs-CZ"/>
        </w:rPr>
      </w:pPr>
      <w:r w:rsidRPr="00946FD0">
        <w:rPr>
          <w:rFonts w:ascii="Arial" w:hAnsi="Arial" w:cs="Arial"/>
          <w:sz w:val="22"/>
          <w:szCs w:val="22"/>
          <w:lang w:val="cs-CZ"/>
        </w:rPr>
        <w:t xml:space="preserve">Průměrný denní objem přepravy vzrostl o 22,8 % a dosáhl 21,1 milionu </w:t>
      </w:r>
      <w:r w:rsidR="00222748" w:rsidRPr="00946FD0">
        <w:rPr>
          <w:rFonts w:ascii="Arial" w:hAnsi="Arial" w:cs="Arial"/>
          <w:sz w:val="22"/>
          <w:szCs w:val="22"/>
          <w:lang w:val="cs-CZ"/>
        </w:rPr>
        <w:t>zásilek</w:t>
      </w:r>
      <w:r w:rsidRPr="00946FD0">
        <w:rPr>
          <w:rFonts w:ascii="Arial" w:hAnsi="Arial" w:cs="Arial"/>
          <w:sz w:val="22"/>
          <w:szCs w:val="22"/>
          <w:lang w:val="cs-CZ"/>
        </w:rPr>
        <w:t xml:space="preserve"> denně.</w:t>
      </w:r>
    </w:p>
    <w:p w14:paraId="746E757C" w14:textId="7A7B69AB" w:rsidR="000C5BB9" w:rsidRPr="00946FD0" w:rsidRDefault="000C5BB9" w:rsidP="000C5BB9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cs-CZ"/>
        </w:rPr>
      </w:pPr>
      <w:r w:rsidRPr="00946FD0">
        <w:rPr>
          <w:rFonts w:ascii="Arial" w:hAnsi="Arial" w:cs="Arial"/>
          <w:sz w:val="22"/>
          <w:szCs w:val="22"/>
          <w:lang w:val="cs-CZ"/>
        </w:rPr>
        <w:t xml:space="preserve">Poptávka </w:t>
      </w:r>
      <w:r w:rsidR="00222748" w:rsidRPr="00946FD0">
        <w:rPr>
          <w:rFonts w:ascii="Arial" w:hAnsi="Arial" w:cs="Arial"/>
          <w:sz w:val="22"/>
          <w:szCs w:val="22"/>
          <w:lang w:val="cs-CZ"/>
        </w:rPr>
        <w:t xml:space="preserve">po doručování na soukromé adresy </w:t>
      </w:r>
      <w:r w:rsidRPr="00946FD0">
        <w:rPr>
          <w:rFonts w:ascii="Arial" w:hAnsi="Arial" w:cs="Arial"/>
          <w:sz w:val="22"/>
          <w:szCs w:val="22"/>
          <w:lang w:val="cs-CZ"/>
        </w:rPr>
        <w:t xml:space="preserve">v tomto kvartálu vrcholila a způsobila nárůst počtu </w:t>
      </w:r>
      <w:r w:rsidR="00222748" w:rsidRPr="00946FD0">
        <w:rPr>
          <w:rFonts w:ascii="Arial" w:hAnsi="Arial" w:cs="Arial"/>
          <w:sz w:val="22"/>
          <w:szCs w:val="22"/>
          <w:lang w:val="cs-CZ"/>
        </w:rPr>
        <w:t xml:space="preserve">firemních </w:t>
      </w:r>
      <w:r w:rsidRPr="00946FD0">
        <w:rPr>
          <w:rFonts w:ascii="Arial" w:hAnsi="Arial" w:cs="Arial"/>
          <w:sz w:val="22"/>
          <w:szCs w:val="22"/>
          <w:lang w:val="cs-CZ"/>
        </w:rPr>
        <w:t xml:space="preserve">dodávek </w:t>
      </w:r>
      <w:r w:rsidR="00222748" w:rsidRPr="00946FD0">
        <w:rPr>
          <w:rFonts w:ascii="Arial" w:hAnsi="Arial" w:cs="Arial"/>
          <w:sz w:val="22"/>
          <w:szCs w:val="22"/>
          <w:lang w:val="cs-CZ"/>
        </w:rPr>
        <w:t xml:space="preserve">k zákazníkovi </w:t>
      </w:r>
      <w:r w:rsidRPr="00946FD0">
        <w:rPr>
          <w:rFonts w:ascii="Arial" w:hAnsi="Arial" w:cs="Arial"/>
          <w:sz w:val="22"/>
          <w:szCs w:val="22"/>
          <w:lang w:val="cs-CZ"/>
        </w:rPr>
        <w:t>o 65,2 %.</w:t>
      </w:r>
    </w:p>
    <w:p w14:paraId="4C9E0E75" w14:textId="149E3107" w:rsidR="000C5BB9" w:rsidRPr="00946FD0" w:rsidRDefault="000C5BB9" w:rsidP="000C5BB9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cs-CZ"/>
        </w:rPr>
      </w:pPr>
      <w:r w:rsidRPr="00946FD0">
        <w:rPr>
          <w:rFonts w:ascii="Arial" w:hAnsi="Arial" w:cs="Arial"/>
          <w:sz w:val="22"/>
          <w:szCs w:val="22"/>
          <w:lang w:val="cs-CZ"/>
        </w:rPr>
        <w:t>Provozní marže dosáhla úrovně 9,0 %, upravená provozní marže byla 9,3 %.</w:t>
      </w:r>
    </w:p>
    <w:p w14:paraId="7D2E6E9A" w14:textId="0A077D81" w:rsidR="000C5BB9" w:rsidRPr="00946FD0" w:rsidRDefault="000C5BB9" w:rsidP="000C5BB9">
      <w:pPr>
        <w:spacing w:line="228" w:lineRule="auto"/>
        <w:rPr>
          <w:rFonts w:ascii="Arial" w:hAnsi="Arial" w:cs="Arial"/>
          <w:sz w:val="22"/>
          <w:szCs w:val="22"/>
          <w:lang w:val="cs-CZ"/>
        </w:rPr>
      </w:pPr>
    </w:p>
    <w:p w14:paraId="5C66649A" w14:textId="77777777" w:rsidR="00222748" w:rsidRPr="00946FD0" w:rsidRDefault="00222748" w:rsidP="000C5BB9">
      <w:pPr>
        <w:spacing w:line="228" w:lineRule="auto"/>
        <w:rPr>
          <w:rFonts w:ascii="Arial" w:hAnsi="Arial" w:cs="Arial"/>
          <w:sz w:val="22"/>
          <w:szCs w:val="22"/>
          <w:lang w:val="cs-CZ"/>
        </w:rPr>
      </w:pPr>
    </w:p>
    <w:p w14:paraId="021CB2C9" w14:textId="507ABCD4" w:rsidR="00982F3A" w:rsidRPr="00946FD0" w:rsidRDefault="00982F3A" w:rsidP="00222748">
      <w:pPr>
        <w:keepNext/>
        <w:spacing w:line="204" w:lineRule="auto"/>
        <w:rPr>
          <w:rFonts w:ascii="Arial" w:hAnsi="Arial" w:cs="Arial"/>
          <w:b/>
          <w:bCs/>
          <w:lang w:val="cs-CZ"/>
        </w:rPr>
      </w:pPr>
      <w:r w:rsidRPr="00946FD0">
        <w:rPr>
          <w:rFonts w:ascii="Arial" w:hAnsi="Arial" w:cs="Arial"/>
          <w:b/>
          <w:bCs/>
          <w:lang w:val="cs-CZ"/>
        </w:rPr>
        <w:lastRenderedPageBreak/>
        <w:t>Mezinárodní přeprava</w:t>
      </w:r>
    </w:p>
    <w:tbl>
      <w:tblPr>
        <w:tblW w:w="9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545"/>
        <w:gridCol w:w="1545"/>
        <w:gridCol w:w="1545"/>
        <w:gridCol w:w="1545"/>
      </w:tblGrid>
      <w:tr w:rsidR="00982F3A" w:rsidRPr="00946FD0" w14:paraId="6CF2A928" w14:textId="77777777" w:rsidTr="00E63A82">
        <w:trPr>
          <w:cantSplit/>
          <w:trHeight w:hRule="exact" w:val="55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2BE97AC2" w14:textId="77777777" w:rsidR="00982F3A" w:rsidRPr="00946FD0" w:rsidRDefault="00982F3A" w:rsidP="00222748">
            <w:pPr>
              <w:keepNext/>
              <w:rPr>
                <w:lang w:val="cs-CZ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371722F8" w14:textId="77777777" w:rsidR="00982F3A" w:rsidRPr="00946FD0" w:rsidRDefault="00982F3A" w:rsidP="00222748">
            <w:pPr>
              <w:keepNext/>
              <w:spacing w:before="33"/>
              <w:jc w:val="right"/>
              <w:rPr>
                <w:b/>
                <w:bCs/>
                <w:u w:val="single"/>
                <w:lang w:val="cs-CZ"/>
              </w:rPr>
            </w:pPr>
          </w:p>
          <w:p w14:paraId="0DA54A4E" w14:textId="77777777" w:rsidR="00982F3A" w:rsidRPr="00946FD0" w:rsidRDefault="00982F3A" w:rsidP="00222748">
            <w:pPr>
              <w:keepNext/>
              <w:spacing w:after="30"/>
              <w:jc w:val="right"/>
              <w:rPr>
                <w:b/>
                <w:bCs/>
                <w:u w:val="single"/>
                <w:lang w:val="cs-CZ"/>
              </w:rPr>
            </w:pPr>
            <w:r w:rsidRPr="00946FD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2020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19204D62" w14:textId="6C543FFC" w:rsidR="00982F3A" w:rsidRPr="00946FD0" w:rsidRDefault="00982F3A" w:rsidP="00222748">
            <w:pPr>
              <w:keepNext/>
              <w:spacing w:before="33"/>
              <w:jc w:val="right"/>
              <w:rPr>
                <w:b/>
                <w:bCs/>
                <w:u w:val="single"/>
                <w:lang w:val="cs-CZ"/>
              </w:rPr>
            </w:pPr>
            <w:r w:rsidRPr="00946FD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Upravený</w:t>
            </w:r>
          </w:p>
          <w:p w14:paraId="0745612D" w14:textId="77777777" w:rsidR="00982F3A" w:rsidRPr="00946FD0" w:rsidRDefault="00982F3A" w:rsidP="00222748">
            <w:pPr>
              <w:keepNext/>
              <w:spacing w:after="30"/>
              <w:jc w:val="right"/>
              <w:rPr>
                <w:b/>
                <w:bCs/>
                <w:u w:val="single"/>
                <w:lang w:val="cs-CZ"/>
              </w:rPr>
            </w:pPr>
            <w:r w:rsidRPr="00946FD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2020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0BADB426" w14:textId="77777777" w:rsidR="00982F3A" w:rsidRPr="00946FD0" w:rsidRDefault="00982F3A" w:rsidP="00222748">
            <w:pPr>
              <w:keepNext/>
              <w:spacing w:before="33"/>
              <w:jc w:val="right"/>
              <w:rPr>
                <w:b/>
                <w:bCs/>
                <w:u w:val="single"/>
                <w:lang w:val="cs-CZ"/>
              </w:rPr>
            </w:pPr>
          </w:p>
          <w:p w14:paraId="21E4BD25" w14:textId="77777777" w:rsidR="00982F3A" w:rsidRPr="00946FD0" w:rsidRDefault="00982F3A" w:rsidP="00222748">
            <w:pPr>
              <w:keepNext/>
              <w:spacing w:after="30"/>
              <w:jc w:val="right"/>
              <w:rPr>
                <w:b/>
                <w:bCs/>
                <w:u w:val="single"/>
                <w:lang w:val="cs-CZ"/>
              </w:rPr>
            </w:pPr>
            <w:r w:rsidRPr="00946FD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2019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5F38F5C7" w14:textId="191C8308" w:rsidR="00982F3A" w:rsidRPr="00946FD0" w:rsidRDefault="00982F3A" w:rsidP="00222748">
            <w:pPr>
              <w:keepNext/>
              <w:spacing w:before="33"/>
              <w:jc w:val="right"/>
              <w:rPr>
                <w:b/>
                <w:bCs/>
                <w:u w:val="single"/>
                <w:lang w:val="cs-CZ"/>
              </w:rPr>
            </w:pPr>
            <w:r w:rsidRPr="00946FD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Upravený</w:t>
            </w:r>
          </w:p>
          <w:p w14:paraId="2739BC1F" w14:textId="77777777" w:rsidR="00982F3A" w:rsidRPr="00946FD0" w:rsidRDefault="00982F3A" w:rsidP="00222748">
            <w:pPr>
              <w:keepNext/>
              <w:spacing w:after="30"/>
              <w:jc w:val="right"/>
              <w:rPr>
                <w:b/>
                <w:bCs/>
                <w:u w:val="single"/>
                <w:lang w:val="cs-CZ"/>
              </w:rPr>
            </w:pPr>
            <w:r w:rsidRPr="00946FD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2019</w:t>
            </w:r>
          </w:p>
        </w:tc>
      </w:tr>
      <w:tr w:rsidR="00982F3A" w:rsidRPr="00946FD0" w14:paraId="0BFBAF0F" w14:textId="77777777" w:rsidTr="00E63A82">
        <w:trPr>
          <w:cantSplit/>
          <w:trHeight w:hRule="exact"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345050B4" w14:textId="52DDCA51" w:rsidR="00982F3A" w:rsidRPr="00946FD0" w:rsidRDefault="00982F3A" w:rsidP="00E63A82">
            <w:pPr>
              <w:spacing w:before="53" w:after="30"/>
              <w:rPr>
                <w:lang w:val="cs-CZ"/>
              </w:rPr>
            </w:pPr>
            <w:r w:rsidRPr="00946FD0">
              <w:rPr>
                <w:rFonts w:ascii="Arial" w:hAnsi="Arial" w:cs="Arial"/>
                <w:sz w:val="20"/>
                <w:szCs w:val="20"/>
                <w:lang w:val="cs-CZ"/>
              </w:rPr>
              <w:t>Příjmy</w:t>
            </w:r>
          </w:p>
        </w:tc>
        <w:tc>
          <w:tcPr>
            <w:tcW w:w="1545" w:type="dxa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0834D5E5" w14:textId="77777777" w:rsidR="00982F3A" w:rsidRPr="00946FD0" w:rsidRDefault="00982F3A" w:rsidP="00E63A82">
            <w:pPr>
              <w:spacing w:before="53" w:after="30"/>
              <w:jc w:val="right"/>
              <w:rPr>
                <w:lang w:val="cs-CZ"/>
              </w:rPr>
            </w:pPr>
            <w:r w:rsidRPr="00946FD0">
              <w:rPr>
                <w:rFonts w:ascii="Arial" w:hAnsi="Arial" w:cs="Arial"/>
                <w:sz w:val="20"/>
                <w:szCs w:val="20"/>
                <w:lang w:val="cs-CZ"/>
              </w:rPr>
              <w:t>3 705 mil. USD</w:t>
            </w:r>
          </w:p>
        </w:tc>
        <w:tc>
          <w:tcPr>
            <w:tcW w:w="1545" w:type="dxa"/>
            <w:vAlign w:val="bottom"/>
          </w:tcPr>
          <w:p w14:paraId="6DFE771F" w14:textId="77777777" w:rsidR="00982F3A" w:rsidRPr="00946FD0" w:rsidRDefault="00982F3A" w:rsidP="00E63A82">
            <w:pPr>
              <w:keepNext/>
              <w:rPr>
                <w:lang w:val="cs-CZ"/>
              </w:rPr>
            </w:pPr>
          </w:p>
        </w:tc>
        <w:tc>
          <w:tcPr>
            <w:tcW w:w="1545" w:type="dxa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562CE4A9" w14:textId="77777777" w:rsidR="00982F3A" w:rsidRPr="00946FD0" w:rsidRDefault="00982F3A" w:rsidP="00E63A82">
            <w:pPr>
              <w:spacing w:before="53" w:after="30"/>
              <w:jc w:val="right"/>
              <w:rPr>
                <w:lang w:val="cs-CZ"/>
              </w:rPr>
            </w:pPr>
            <w:r w:rsidRPr="00946FD0">
              <w:rPr>
                <w:rFonts w:ascii="Arial" w:hAnsi="Arial" w:cs="Arial"/>
                <w:sz w:val="20"/>
                <w:szCs w:val="20"/>
                <w:lang w:val="cs-CZ"/>
              </w:rPr>
              <w:t>3 505 mil. USD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4CFFBD" w14:textId="77777777" w:rsidR="00982F3A" w:rsidRPr="00946FD0" w:rsidRDefault="00982F3A" w:rsidP="00E63A82">
            <w:pPr>
              <w:keepNext/>
              <w:rPr>
                <w:lang w:val="cs-CZ"/>
              </w:rPr>
            </w:pPr>
          </w:p>
        </w:tc>
      </w:tr>
      <w:tr w:rsidR="00982F3A" w:rsidRPr="00946FD0" w14:paraId="7DAFB2C1" w14:textId="77777777" w:rsidTr="00E63A82">
        <w:trPr>
          <w:cantSplit/>
          <w:trHeight w:hRule="exact"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51778B2B" w14:textId="39402F5F" w:rsidR="00982F3A" w:rsidRPr="00946FD0" w:rsidRDefault="00982F3A" w:rsidP="00E63A82">
            <w:pPr>
              <w:spacing w:before="53" w:after="30"/>
              <w:rPr>
                <w:lang w:val="cs-CZ"/>
              </w:rPr>
            </w:pPr>
            <w:r w:rsidRPr="00946FD0">
              <w:rPr>
                <w:rFonts w:ascii="Arial" w:hAnsi="Arial" w:cs="Arial"/>
                <w:sz w:val="20"/>
                <w:szCs w:val="20"/>
                <w:lang w:val="cs-CZ"/>
              </w:rPr>
              <w:t>Provozní zisk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7222DDB7" w14:textId="77777777" w:rsidR="00982F3A" w:rsidRPr="00946FD0" w:rsidRDefault="00982F3A" w:rsidP="00E63A82">
            <w:pPr>
              <w:spacing w:before="53" w:after="30"/>
              <w:jc w:val="right"/>
              <w:rPr>
                <w:lang w:val="cs-CZ"/>
              </w:rPr>
            </w:pPr>
            <w:r w:rsidRPr="00946FD0">
              <w:rPr>
                <w:rFonts w:ascii="Arial" w:hAnsi="Arial" w:cs="Arial"/>
                <w:sz w:val="20"/>
                <w:szCs w:val="20"/>
                <w:lang w:val="cs-CZ"/>
              </w:rPr>
              <w:t>771 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3EA0A14D" w14:textId="77777777" w:rsidR="00982F3A" w:rsidRPr="00946FD0" w:rsidRDefault="00982F3A" w:rsidP="00E63A82">
            <w:pPr>
              <w:spacing w:before="53" w:after="30"/>
              <w:jc w:val="right"/>
              <w:rPr>
                <w:lang w:val="cs-CZ"/>
              </w:rPr>
            </w:pPr>
            <w:r w:rsidRPr="00946FD0">
              <w:rPr>
                <w:rFonts w:ascii="Arial" w:hAnsi="Arial" w:cs="Arial"/>
                <w:sz w:val="20"/>
                <w:szCs w:val="20"/>
                <w:lang w:val="cs-CZ"/>
              </w:rPr>
              <w:t xml:space="preserve"> 842 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3358EF80" w14:textId="77777777" w:rsidR="00982F3A" w:rsidRPr="00946FD0" w:rsidRDefault="00982F3A" w:rsidP="00E63A82">
            <w:pPr>
              <w:spacing w:before="53" w:after="30"/>
              <w:jc w:val="right"/>
              <w:rPr>
                <w:lang w:val="cs-CZ"/>
              </w:rPr>
            </w:pPr>
            <w:r w:rsidRPr="00946FD0">
              <w:rPr>
                <w:rFonts w:ascii="Arial" w:hAnsi="Arial" w:cs="Arial"/>
                <w:sz w:val="20"/>
                <w:szCs w:val="20"/>
                <w:lang w:val="cs-CZ"/>
              </w:rPr>
              <w:t>663 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75E8C3E2" w14:textId="77777777" w:rsidR="00982F3A" w:rsidRPr="00946FD0" w:rsidRDefault="00982F3A" w:rsidP="00E63A82">
            <w:pPr>
              <w:spacing w:before="53" w:after="30"/>
              <w:jc w:val="right"/>
              <w:rPr>
                <w:lang w:val="cs-CZ"/>
              </w:rPr>
            </w:pPr>
            <w:r w:rsidRPr="00946FD0">
              <w:rPr>
                <w:rFonts w:ascii="Arial" w:hAnsi="Arial" w:cs="Arial"/>
                <w:sz w:val="20"/>
                <w:szCs w:val="20"/>
                <w:lang w:val="cs-CZ"/>
              </w:rPr>
              <w:t>665 mil. USD</w:t>
            </w:r>
          </w:p>
        </w:tc>
      </w:tr>
    </w:tbl>
    <w:p w14:paraId="7172D7AB" w14:textId="77777777" w:rsidR="007E3F8A" w:rsidRPr="00946FD0" w:rsidRDefault="007E3F8A" w:rsidP="007E3F8A">
      <w:pPr>
        <w:spacing w:line="228" w:lineRule="auto"/>
        <w:rPr>
          <w:rFonts w:ascii="Arial" w:hAnsi="Arial" w:cs="Arial"/>
          <w:sz w:val="22"/>
          <w:szCs w:val="22"/>
          <w:lang w:val="cs-CZ"/>
        </w:rPr>
      </w:pPr>
    </w:p>
    <w:p w14:paraId="092971D7" w14:textId="44DCEDDC" w:rsidR="000C5BB9" w:rsidRPr="00946FD0" w:rsidRDefault="000C5BB9" w:rsidP="000C5BB9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cs-CZ"/>
        </w:rPr>
      </w:pPr>
      <w:r w:rsidRPr="00946FD0">
        <w:rPr>
          <w:rFonts w:ascii="Arial" w:hAnsi="Arial" w:cs="Arial"/>
          <w:sz w:val="22"/>
          <w:szCs w:val="22"/>
          <w:lang w:val="cs-CZ"/>
        </w:rPr>
        <w:t>Průměrný denní objem přepravy vzrostl o 9,8 % díky silné proexportní poptávce v Asii a</w:t>
      </w:r>
      <w:r w:rsidR="00497ECE" w:rsidRPr="00946FD0">
        <w:rPr>
          <w:rFonts w:ascii="Arial" w:hAnsi="Arial" w:cs="Arial"/>
          <w:sz w:val="22"/>
          <w:szCs w:val="22"/>
          <w:lang w:val="cs-CZ"/>
        </w:rPr>
        <w:t> </w:t>
      </w:r>
      <w:r w:rsidRPr="00946FD0">
        <w:rPr>
          <w:rFonts w:ascii="Arial" w:hAnsi="Arial" w:cs="Arial"/>
          <w:sz w:val="22"/>
          <w:szCs w:val="22"/>
          <w:lang w:val="cs-CZ"/>
        </w:rPr>
        <w:t xml:space="preserve">díky významnému přeshraničnímu </w:t>
      </w:r>
      <w:r w:rsidR="00497ECE" w:rsidRPr="00946FD0">
        <w:rPr>
          <w:rFonts w:ascii="Arial" w:hAnsi="Arial" w:cs="Arial"/>
          <w:sz w:val="22"/>
          <w:szCs w:val="22"/>
          <w:lang w:val="cs-CZ"/>
        </w:rPr>
        <w:t>internetovému</w:t>
      </w:r>
      <w:r w:rsidRPr="00946FD0">
        <w:rPr>
          <w:rFonts w:ascii="Arial" w:hAnsi="Arial" w:cs="Arial"/>
          <w:sz w:val="22"/>
          <w:szCs w:val="22"/>
          <w:lang w:val="cs-CZ"/>
        </w:rPr>
        <w:t xml:space="preserve"> obchodování v rámci Evropy. </w:t>
      </w:r>
    </w:p>
    <w:p w14:paraId="1600F849" w14:textId="77777777" w:rsidR="000C5BB9" w:rsidRPr="00946FD0" w:rsidRDefault="000C5BB9" w:rsidP="000C5BB9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cs-CZ"/>
        </w:rPr>
      </w:pPr>
      <w:r w:rsidRPr="00946FD0">
        <w:rPr>
          <w:rFonts w:ascii="Arial" w:hAnsi="Arial" w:cs="Arial"/>
          <w:sz w:val="22"/>
          <w:szCs w:val="22"/>
          <w:lang w:val="cs-CZ"/>
        </w:rPr>
        <w:t>Provozní marže dosáhla úrovně 20,8 %, upravená provozní marže byla 22,7 %.</w:t>
      </w:r>
    </w:p>
    <w:p w14:paraId="3E41BE52" w14:textId="77777777" w:rsidR="000C5BB9" w:rsidRPr="00946FD0" w:rsidRDefault="000C5BB9" w:rsidP="000C5BB9">
      <w:pPr>
        <w:rPr>
          <w:rFonts w:ascii="Arial" w:hAnsi="Arial" w:cs="Arial"/>
          <w:sz w:val="22"/>
          <w:szCs w:val="22"/>
          <w:lang w:val="cs-CZ"/>
        </w:rPr>
      </w:pPr>
    </w:p>
    <w:p w14:paraId="3F0CEF28" w14:textId="77777777" w:rsidR="00982F3A" w:rsidRPr="00946FD0" w:rsidRDefault="00982F3A" w:rsidP="00982F3A">
      <w:pPr>
        <w:rPr>
          <w:rFonts w:ascii="Arial" w:hAnsi="Arial" w:cs="Arial"/>
          <w:bCs/>
          <w:sz w:val="18"/>
          <w:szCs w:val="18"/>
          <w:vertAlign w:val="subscript"/>
          <w:lang w:val="cs-CZ"/>
        </w:rPr>
      </w:pPr>
      <w:r w:rsidRPr="00946FD0">
        <w:rPr>
          <w:rFonts w:ascii="Arial" w:hAnsi="Arial" w:cs="Arial"/>
          <w:bCs/>
          <w:sz w:val="18"/>
          <w:szCs w:val="18"/>
          <w:vertAlign w:val="subscript"/>
          <w:lang w:val="cs-CZ"/>
        </w:rPr>
        <w:t xml:space="preserve">* „Upravené“ položky uvedené v tiskové zprávě jsou zpracovány bez ohledu na účetní zásady </w:t>
      </w:r>
      <w:proofErr w:type="spellStart"/>
      <w:r w:rsidRPr="00946FD0">
        <w:rPr>
          <w:rFonts w:ascii="Arial" w:hAnsi="Arial" w:cs="Arial"/>
          <w:bCs/>
          <w:sz w:val="18"/>
          <w:szCs w:val="18"/>
          <w:vertAlign w:val="subscript"/>
          <w:lang w:val="cs-CZ"/>
        </w:rPr>
        <w:t>GAAP</w:t>
      </w:r>
      <w:proofErr w:type="spellEnd"/>
      <w:r w:rsidRPr="00946FD0">
        <w:rPr>
          <w:rFonts w:ascii="Arial" w:hAnsi="Arial" w:cs="Arial"/>
          <w:bCs/>
          <w:sz w:val="18"/>
          <w:szCs w:val="18"/>
          <w:vertAlign w:val="subscript"/>
          <w:lang w:val="cs-CZ"/>
        </w:rPr>
        <w:t xml:space="preserve">. </w:t>
      </w:r>
      <w:bookmarkStart w:id="1" w:name="_Hlk536731412"/>
      <w:r w:rsidRPr="00946FD0">
        <w:rPr>
          <w:rFonts w:ascii="Arial" w:hAnsi="Arial" w:cs="Arial"/>
          <w:bCs/>
          <w:sz w:val="18"/>
          <w:szCs w:val="18"/>
          <w:vertAlign w:val="subscript"/>
          <w:lang w:val="cs-CZ"/>
        </w:rPr>
        <w:t xml:space="preserve">Viz příloha tiskové zprávy pro diskusi o finančních metrikách, jiných než podle zásad </w:t>
      </w:r>
      <w:proofErr w:type="spellStart"/>
      <w:r w:rsidRPr="00946FD0">
        <w:rPr>
          <w:rFonts w:ascii="Arial" w:hAnsi="Arial" w:cs="Arial"/>
          <w:bCs/>
          <w:sz w:val="18"/>
          <w:szCs w:val="18"/>
          <w:vertAlign w:val="subscript"/>
          <w:lang w:val="cs-CZ"/>
        </w:rPr>
        <w:t>GAAP</w:t>
      </w:r>
      <w:proofErr w:type="spellEnd"/>
      <w:r w:rsidRPr="00946FD0">
        <w:rPr>
          <w:rFonts w:ascii="Arial" w:hAnsi="Arial" w:cs="Arial"/>
          <w:bCs/>
          <w:sz w:val="18"/>
          <w:szCs w:val="18"/>
          <w:vertAlign w:val="subscript"/>
          <w:lang w:val="cs-CZ"/>
        </w:rPr>
        <w:t xml:space="preserve">, </w:t>
      </w:r>
      <w:bookmarkEnd w:id="1"/>
      <w:r w:rsidRPr="00946FD0">
        <w:rPr>
          <w:rFonts w:ascii="Arial" w:hAnsi="Arial" w:cs="Arial"/>
          <w:bCs/>
          <w:sz w:val="18"/>
          <w:szCs w:val="18"/>
          <w:vertAlign w:val="subscript"/>
          <w:lang w:val="cs-CZ"/>
        </w:rPr>
        <w:t>zahrnující sladění, která se snaží uvedeným zásadám co nejvíce přiblížit.</w:t>
      </w:r>
    </w:p>
    <w:p w14:paraId="70AC0AF0" w14:textId="132C86F6" w:rsidR="00982F3A" w:rsidRPr="00946FD0" w:rsidRDefault="00982F3A" w:rsidP="007E3F8A">
      <w:pPr>
        <w:spacing w:line="228" w:lineRule="auto"/>
        <w:rPr>
          <w:rFonts w:ascii="Arial" w:hAnsi="Arial" w:cs="Arial"/>
          <w:lang w:val="cs-CZ"/>
        </w:rPr>
      </w:pPr>
    </w:p>
    <w:p w14:paraId="0C1773C6" w14:textId="77777777" w:rsidR="00222748" w:rsidRPr="00946FD0" w:rsidRDefault="00222748" w:rsidP="007E3F8A">
      <w:pPr>
        <w:spacing w:line="204" w:lineRule="auto"/>
        <w:rPr>
          <w:lang w:val="cs-CZ"/>
        </w:rPr>
      </w:pPr>
    </w:p>
    <w:p w14:paraId="2ED18C1D" w14:textId="77777777" w:rsidR="00982F3A" w:rsidRPr="00946FD0" w:rsidRDefault="00982F3A" w:rsidP="00982F3A">
      <w:pPr>
        <w:rPr>
          <w:rFonts w:ascii="Arial" w:hAnsi="Arial" w:cs="Arial"/>
          <w:b/>
          <w:lang w:val="cs-CZ"/>
        </w:rPr>
      </w:pPr>
      <w:r w:rsidRPr="00946FD0">
        <w:rPr>
          <w:rFonts w:ascii="Arial" w:hAnsi="Arial" w:cs="Arial"/>
          <w:b/>
          <w:lang w:val="cs-CZ"/>
        </w:rPr>
        <w:t>Dodavatelské řetězce a nákladní přeprava</w:t>
      </w:r>
    </w:p>
    <w:tbl>
      <w:tblPr>
        <w:tblW w:w="9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545"/>
        <w:gridCol w:w="1545"/>
        <w:gridCol w:w="1545"/>
        <w:gridCol w:w="1545"/>
      </w:tblGrid>
      <w:tr w:rsidR="00982F3A" w:rsidRPr="00946FD0" w14:paraId="772DF7F4" w14:textId="77777777" w:rsidTr="00E63A82">
        <w:trPr>
          <w:cantSplit/>
          <w:trHeight w:hRule="exact" w:val="58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7D002DC8" w14:textId="77777777" w:rsidR="00982F3A" w:rsidRPr="00946FD0" w:rsidRDefault="00982F3A" w:rsidP="00E63A82">
            <w:pPr>
              <w:keepNext/>
              <w:rPr>
                <w:lang w:val="cs-CZ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0AE95E00" w14:textId="77777777" w:rsidR="00982F3A" w:rsidRPr="00946FD0" w:rsidRDefault="00982F3A" w:rsidP="00E63A82">
            <w:pPr>
              <w:spacing w:before="33"/>
              <w:jc w:val="right"/>
              <w:rPr>
                <w:b/>
                <w:bCs/>
                <w:u w:val="single"/>
                <w:lang w:val="cs-CZ"/>
              </w:rPr>
            </w:pPr>
          </w:p>
          <w:p w14:paraId="35C7E1B8" w14:textId="77777777" w:rsidR="00982F3A" w:rsidRPr="00946FD0" w:rsidRDefault="00982F3A" w:rsidP="00E63A82">
            <w:pPr>
              <w:spacing w:after="30"/>
              <w:jc w:val="right"/>
              <w:rPr>
                <w:b/>
                <w:bCs/>
                <w:u w:val="single"/>
                <w:lang w:val="cs-CZ"/>
              </w:rPr>
            </w:pPr>
            <w:r w:rsidRPr="00946FD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2020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502B20C4" w14:textId="5EDE1CE8" w:rsidR="00982F3A" w:rsidRPr="00946FD0" w:rsidRDefault="00982F3A" w:rsidP="00E63A82">
            <w:pPr>
              <w:spacing w:before="33"/>
              <w:jc w:val="right"/>
              <w:rPr>
                <w:b/>
                <w:bCs/>
                <w:u w:val="single"/>
                <w:lang w:val="cs-CZ"/>
              </w:rPr>
            </w:pPr>
            <w:r w:rsidRPr="00946FD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Upravený</w:t>
            </w:r>
          </w:p>
          <w:p w14:paraId="2194DFA3" w14:textId="77777777" w:rsidR="00982F3A" w:rsidRPr="00946FD0" w:rsidRDefault="00982F3A" w:rsidP="00E63A82">
            <w:pPr>
              <w:spacing w:after="30"/>
              <w:jc w:val="right"/>
              <w:rPr>
                <w:b/>
                <w:bCs/>
                <w:u w:val="single"/>
                <w:lang w:val="cs-CZ"/>
              </w:rPr>
            </w:pPr>
            <w:r w:rsidRPr="00946FD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2020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67544149" w14:textId="77777777" w:rsidR="00982F3A" w:rsidRPr="00946FD0" w:rsidRDefault="00982F3A" w:rsidP="00E63A82">
            <w:pPr>
              <w:spacing w:before="33"/>
              <w:jc w:val="right"/>
              <w:rPr>
                <w:b/>
                <w:bCs/>
                <w:u w:val="single"/>
                <w:lang w:val="cs-CZ"/>
              </w:rPr>
            </w:pPr>
          </w:p>
          <w:p w14:paraId="26597BE4" w14:textId="77777777" w:rsidR="00982F3A" w:rsidRPr="00946FD0" w:rsidRDefault="00982F3A" w:rsidP="00E63A82">
            <w:pPr>
              <w:spacing w:after="30"/>
              <w:jc w:val="right"/>
              <w:rPr>
                <w:b/>
                <w:bCs/>
                <w:u w:val="single"/>
                <w:lang w:val="cs-CZ"/>
              </w:rPr>
            </w:pPr>
            <w:r w:rsidRPr="00946FD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2019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51F2A2A8" w14:textId="3DAF67C3" w:rsidR="00982F3A" w:rsidRPr="00946FD0" w:rsidRDefault="00982F3A" w:rsidP="00E63A82">
            <w:pPr>
              <w:spacing w:before="33"/>
              <w:jc w:val="right"/>
              <w:rPr>
                <w:b/>
                <w:bCs/>
                <w:u w:val="single"/>
                <w:lang w:val="cs-CZ"/>
              </w:rPr>
            </w:pPr>
            <w:r w:rsidRPr="00946FD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Upravený</w:t>
            </w:r>
          </w:p>
          <w:p w14:paraId="6456F626" w14:textId="77777777" w:rsidR="00982F3A" w:rsidRPr="00946FD0" w:rsidRDefault="00982F3A" w:rsidP="00E63A82">
            <w:pPr>
              <w:spacing w:after="30"/>
              <w:jc w:val="right"/>
              <w:rPr>
                <w:b/>
                <w:bCs/>
                <w:u w:val="single"/>
                <w:lang w:val="cs-CZ"/>
              </w:rPr>
            </w:pPr>
            <w:r w:rsidRPr="00946FD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2019</w:t>
            </w:r>
          </w:p>
        </w:tc>
      </w:tr>
      <w:tr w:rsidR="00982F3A" w:rsidRPr="00946FD0" w14:paraId="56FA1E3A" w14:textId="77777777" w:rsidTr="00E63A82">
        <w:trPr>
          <w:cantSplit/>
          <w:trHeight w:hRule="exact"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398E37EA" w14:textId="4CD38133" w:rsidR="00982F3A" w:rsidRPr="00946FD0" w:rsidRDefault="00982F3A" w:rsidP="00E63A82">
            <w:pPr>
              <w:spacing w:before="53" w:after="30"/>
              <w:rPr>
                <w:lang w:val="cs-CZ"/>
              </w:rPr>
            </w:pPr>
            <w:r w:rsidRPr="00946FD0">
              <w:rPr>
                <w:rFonts w:ascii="Arial" w:hAnsi="Arial" w:cs="Arial"/>
                <w:sz w:val="20"/>
                <w:szCs w:val="20"/>
                <w:lang w:val="cs-CZ"/>
              </w:rPr>
              <w:t>Příjmy</w:t>
            </w:r>
          </w:p>
        </w:tc>
        <w:tc>
          <w:tcPr>
            <w:tcW w:w="1545" w:type="dxa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2003D19E" w14:textId="77777777" w:rsidR="00982F3A" w:rsidRPr="00946FD0" w:rsidRDefault="00982F3A" w:rsidP="00E63A82">
            <w:pPr>
              <w:spacing w:before="53" w:after="30"/>
              <w:jc w:val="right"/>
              <w:rPr>
                <w:lang w:val="cs-CZ"/>
              </w:rPr>
            </w:pPr>
            <w:r w:rsidRPr="00946FD0">
              <w:rPr>
                <w:rFonts w:ascii="Arial" w:hAnsi="Arial" w:cs="Arial"/>
                <w:sz w:val="20"/>
                <w:szCs w:val="20"/>
                <w:lang w:val="cs-CZ"/>
              </w:rPr>
              <w:t>3 680 mil. USD</w:t>
            </w:r>
          </w:p>
        </w:tc>
        <w:tc>
          <w:tcPr>
            <w:tcW w:w="1545" w:type="dxa"/>
            <w:vAlign w:val="bottom"/>
          </w:tcPr>
          <w:p w14:paraId="4D8D6A6C" w14:textId="77777777" w:rsidR="00982F3A" w:rsidRPr="00946FD0" w:rsidRDefault="00982F3A" w:rsidP="00E63A82">
            <w:pPr>
              <w:keepNext/>
              <w:rPr>
                <w:lang w:val="cs-CZ"/>
              </w:rPr>
            </w:pPr>
          </w:p>
        </w:tc>
        <w:tc>
          <w:tcPr>
            <w:tcW w:w="1545" w:type="dxa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45388AC6" w14:textId="77777777" w:rsidR="00982F3A" w:rsidRPr="00946FD0" w:rsidRDefault="00982F3A" w:rsidP="00E63A82">
            <w:pPr>
              <w:spacing w:before="53" w:after="30"/>
              <w:jc w:val="right"/>
              <w:rPr>
                <w:lang w:val="cs-CZ"/>
              </w:rPr>
            </w:pPr>
            <w:r w:rsidRPr="00946FD0">
              <w:rPr>
                <w:rFonts w:ascii="Arial" w:hAnsi="Arial" w:cs="Arial"/>
                <w:sz w:val="20"/>
                <w:szCs w:val="20"/>
                <w:lang w:val="cs-CZ"/>
              </w:rPr>
              <w:t>3 393 mil. USD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30AA18" w14:textId="77777777" w:rsidR="00982F3A" w:rsidRPr="00946FD0" w:rsidRDefault="00982F3A" w:rsidP="00E63A82">
            <w:pPr>
              <w:keepNext/>
              <w:rPr>
                <w:lang w:val="cs-CZ"/>
              </w:rPr>
            </w:pPr>
          </w:p>
        </w:tc>
      </w:tr>
      <w:tr w:rsidR="00982F3A" w:rsidRPr="00946FD0" w14:paraId="4DA67FF7" w14:textId="77777777" w:rsidTr="00E63A82">
        <w:trPr>
          <w:cantSplit/>
          <w:trHeight w:hRule="exact"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54668A29" w14:textId="523A99F0" w:rsidR="00982F3A" w:rsidRPr="00946FD0" w:rsidRDefault="00982F3A" w:rsidP="00E63A82">
            <w:pPr>
              <w:spacing w:before="53" w:after="30"/>
              <w:rPr>
                <w:lang w:val="cs-CZ"/>
              </w:rPr>
            </w:pPr>
            <w:r w:rsidRPr="00946FD0">
              <w:rPr>
                <w:rFonts w:ascii="Arial" w:hAnsi="Arial" w:cs="Arial"/>
                <w:sz w:val="20"/>
                <w:szCs w:val="20"/>
                <w:lang w:val="cs-CZ"/>
              </w:rPr>
              <w:t>Provozní zisk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7CCF20BB" w14:textId="77777777" w:rsidR="00982F3A" w:rsidRPr="00946FD0" w:rsidRDefault="00982F3A" w:rsidP="00E63A82">
            <w:pPr>
              <w:spacing w:before="53" w:after="30"/>
              <w:jc w:val="right"/>
              <w:rPr>
                <w:lang w:val="cs-CZ"/>
              </w:rPr>
            </w:pPr>
            <w:r w:rsidRPr="00946FD0">
              <w:rPr>
                <w:rFonts w:ascii="Arial" w:hAnsi="Arial" w:cs="Arial"/>
                <w:sz w:val="20"/>
                <w:szCs w:val="20"/>
                <w:lang w:val="cs-CZ"/>
              </w:rPr>
              <w:t>259 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31279DF8" w14:textId="77777777" w:rsidR="00982F3A" w:rsidRPr="00946FD0" w:rsidRDefault="00982F3A" w:rsidP="00E63A82">
            <w:pPr>
              <w:spacing w:before="53" w:after="30"/>
              <w:jc w:val="right"/>
              <w:rPr>
                <w:lang w:val="cs-CZ"/>
              </w:rPr>
            </w:pPr>
            <w:r w:rsidRPr="00946FD0">
              <w:rPr>
                <w:rFonts w:ascii="Arial" w:hAnsi="Arial" w:cs="Arial"/>
                <w:sz w:val="20"/>
                <w:szCs w:val="20"/>
                <w:lang w:val="cs-CZ"/>
              </w:rPr>
              <w:t xml:space="preserve"> 267 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57E40CA2" w14:textId="77777777" w:rsidR="00982F3A" w:rsidRPr="00946FD0" w:rsidRDefault="00982F3A" w:rsidP="00E63A82">
            <w:pPr>
              <w:spacing w:before="53" w:after="30"/>
              <w:jc w:val="right"/>
              <w:rPr>
                <w:lang w:val="cs-CZ"/>
              </w:rPr>
            </w:pPr>
            <w:r w:rsidRPr="00946FD0">
              <w:rPr>
                <w:rFonts w:ascii="Arial" w:hAnsi="Arial" w:cs="Arial"/>
                <w:sz w:val="20"/>
                <w:szCs w:val="20"/>
                <w:lang w:val="cs-CZ"/>
              </w:rPr>
              <w:t>272 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62C57F03" w14:textId="77777777" w:rsidR="00982F3A" w:rsidRPr="00946FD0" w:rsidRDefault="00982F3A" w:rsidP="00E63A82">
            <w:pPr>
              <w:spacing w:before="53" w:after="30"/>
              <w:jc w:val="right"/>
              <w:rPr>
                <w:lang w:val="cs-CZ"/>
              </w:rPr>
            </w:pPr>
            <w:r w:rsidRPr="00946FD0">
              <w:rPr>
                <w:rFonts w:ascii="Arial" w:hAnsi="Arial" w:cs="Arial"/>
                <w:sz w:val="20"/>
                <w:szCs w:val="20"/>
                <w:lang w:val="cs-CZ"/>
              </w:rPr>
              <w:t>273 mil. USD</w:t>
            </w:r>
          </w:p>
        </w:tc>
      </w:tr>
    </w:tbl>
    <w:p w14:paraId="0787F376" w14:textId="77777777" w:rsidR="00982F3A" w:rsidRPr="00946FD0" w:rsidRDefault="00982F3A" w:rsidP="00982F3A">
      <w:pPr>
        <w:spacing w:line="228" w:lineRule="auto"/>
        <w:rPr>
          <w:rFonts w:ascii="Arial" w:hAnsi="Arial" w:cs="Arial"/>
          <w:lang w:val="cs-CZ"/>
        </w:rPr>
      </w:pPr>
    </w:p>
    <w:p w14:paraId="6668BC5B" w14:textId="0E4E1722" w:rsidR="00AD4E1A" w:rsidRPr="00946FD0" w:rsidRDefault="00AD4E1A" w:rsidP="00AD4E1A">
      <w:pPr>
        <w:numPr>
          <w:ilvl w:val="0"/>
          <w:numId w:val="17"/>
        </w:numPr>
        <w:spacing w:line="228" w:lineRule="auto"/>
        <w:rPr>
          <w:rFonts w:ascii="Arial" w:hAnsi="Arial" w:cs="Arial"/>
          <w:sz w:val="22"/>
          <w:szCs w:val="22"/>
          <w:lang w:val="cs-CZ"/>
        </w:rPr>
      </w:pPr>
      <w:r w:rsidRPr="00946FD0">
        <w:rPr>
          <w:rFonts w:ascii="Arial" w:hAnsi="Arial" w:cs="Arial"/>
          <w:sz w:val="22"/>
          <w:szCs w:val="22"/>
          <w:lang w:val="cs-CZ"/>
        </w:rPr>
        <w:t xml:space="preserve">Výnosy vzrostly o 8,5 % díky zvýšené poptávce po letecké nákladní přepravě mimo Asii, ty byly do značné míry </w:t>
      </w:r>
      <w:r w:rsidR="00497ECE" w:rsidRPr="00946FD0">
        <w:rPr>
          <w:rFonts w:ascii="Arial" w:hAnsi="Arial" w:cs="Arial"/>
          <w:sz w:val="22"/>
          <w:szCs w:val="22"/>
          <w:lang w:val="cs-CZ"/>
        </w:rPr>
        <w:t>vyváženy</w:t>
      </w:r>
      <w:r w:rsidRPr="00946FD0">
        <w:rPr>
          <w:rFonts w:ascii="Arial" w:hAnsi="Arial" w:cs="Arial"/>
          <w:sz w:val="22"/>
          <w:szCs w:val="22"/>
          <w:lang w:val="cs-CZ"/>
        </w:rPr>
        <w:t xml:space="preserve"> slabší poptávkou po </w:t>
      </w:r>
      <w:proofErr w:type="spellStart"/>
      <w:r w:rsidRPr="00946FD0">
        <w:rPr>
          <w:rFonts w:ascii="Arial" w:hAnsi="Arial" w:cs="Arial"/>
          <w:sz w:val="22"/>
          <w:szCs w:val="22"/>
          <w:lang w:val="cs-CZ"/>
        </w:rPr>
        <w:t>dokládkové</w:t>
      </w:r>
      <w:proofErr w:type="spellEnd"/>
      <w:r w:rsidRPr="00946FD0">
        <w:rPr>
          <w:rFonts w:ascii="Arial" w:hAnsi="Arial" w:cs="Arial"/>
          <w:sz w:val="22"/>
          <w:szCs w:val="22"/>
          <w:lang w:val="cs-CZ"/>
        </w:rPr>
        <w:t xml:space="preserve"> přepravě (</w:t>
      </w:r>
      <w:proofErr w:type="spellStart"/>
      <w:r w:rsidRPr="00946FD0">
        <w:rPr>
          <w:rFonts w:ascii="Arial" w:hAnsi="Arial" w:cs="Arial"/>
          <w:sz w:val="22"/>
          <w:szCs w:val="22"/>
          <w:lang w:val="cs-CZ"/>
        </w:rPr>
        <w:t>LTL</w:t>
      </w:r>
      <w:proofErr w:type="spellEnd"/>
      <w:r w:rsidRPr="00946FD0">
        <w:rPr>
          <w:rFonts w:ascii="Arial" w:hAnsi="Arial" w:cs="Arial"/>
          <w:sz w:val="22"/>
          <w:szCs w:val="22"/>
          <w:lang w:val="cs-CZ"/>
        </w:rPr>
        <w:t>) a </w:t>
      </w:r>
      <w:r w:rsidR="00497ECE" w:rsidRPr="00946FD0">
        <w:rPr>
          <w:rFonts w:ascii="Arial" w:hAnsi="Arial" w:cs="Arial"/>
          <w:sz w:val="22"/>
          <w:szCs w:val="22"/>
          <w:lang w:val="cs-CZ"/>
        </w:rPr>
        <w:t xml:space="preserve">segmentu </w:t>
      </w:r>
      <w:r w:rsidRPr="00946FD0">
        <w:rPr>
          <w:rFonts w:ascii="Arial" w:hAnsi="Arial" w:cs="Arial"/>
          <w:sz w:val="22"/>
          <w:szCs w:val="22"/>
          <w:lang w:val="cs-CZ"/>
        </w:rPr>
        <w:t xml:space="preserve">zprostředkování nákladní přepravy zkraje čtvrtletí </w:t>
      </w:r>
    </w:p>
    <w:p w14:paraId="0A8D4E70" w14:textId="2A4EEAAA" w:rsidR="00AD4E1A" w:rsidRPr="00946FD0" w:rsidRDefault="00AD4E1A" w:rsidP="00AD4E1A">
      <w:pPr>
        <w:numPr>
          <w:ilvl w:val="0"/>
          <w:numId w:val="17"/>
        </w:numPr>
        <w:spacing w:line="228" w:lineRule="auto"/>
        <w:rPr>
          <w:rFonts w:ascii="Arial" w:hAnsi="Arial" w:cs="Arial"/>
          <w:sz w:val="22"/>
          <w:szCs w:val="22"/>
          <w:lang w:val="cs-CZ"/>
        </w:rPr>
      </w:pPr>
      <w:r w:rsidRPr="00946FD0">
        <w:rPr>
          <w:rFonts w:ascii="Arial" w:hAnsi="Arial" w:cs="Arial"/>
          <w:sz w:val="22"/>
          <w:szCs w:val="22"/>
          <w:lang w:val="cs-CZ"/>
        </w:rPr>
        <w:t>Provozní zisk dosáhl 7,0 %, upravená provozní marže byla 7,3 %.</w:t>
      </w:r>
    </w:p>
    <w:p w14:paraId="5BCDAFC8" w14:textId="71AF7AF1" w:rsidR="007E3F8A" w:rsidRPr="00946FD0" w:rsidRDefault="007E3F8A" w:rsidP="007E3F8A">
      <w:pPr>
        <w:spacing w:line="228" w:lineRule="auto"/>
        <w:rPr>
          <w:rFonts w:ascii="Arial" w:hAnsi="Arial" w:cs="Arial"/>
          <w:lang w:val="cs-CZ"/>
        </w:rPr>
      </w:pPr>
    </w:p>
    <w:p w14:paraId="740C70A6" w14:textId="77777777" w:rsidR="00A762B6" w:rsidRPr="00946FD0" w:rsidRDefault="00A762B6" w:rsidP="007E3F8A">
      <w:pPr>
        <w:spacing w:line="228" w:lineRule="auto"/>
        <w:rPr>
          <w:rFonts w:ascii="Arial" w:hAnsi="Arial" w:cs="Arial"/>
          <w:lang w:val="cs-CZ"/>
        </w:rPr>
      </w:pPr>
    </w:p>
    <w:p w14:paraId="37C7FC0D" w14:textId="77777777" w:rsidR="00A762B6" w:rsidRPr="00946FD0" w:rsidRDefault="00A762B6" w:rsidP="00A762B6">
      <w:pPr>
        <w:spacing w:line="228" w:lineRule="auto"/>
        <w:rPr>
          <w:rFonts w:ascii="Arial" w:hAnsi="Arial" w:cs="Arial"/>
          <w:b/>
          <w:bCs/>
          <w:sz w:val="22"/>
          <w:szCs w:val="22"/>
          <w:u w:val="single"/>
          <w:lang w:val="cs-CZ"/>
        </w:rPr>
      </w:pPr>
      <w:r w:rsidRPr="00946FD0">
        <w:rPr>
          <w:rFonts w:ascii="Arial" w:hAnsi="Arial" w:cs="Arial"/>
          <w:b/>
          <w:bCs/>
          <w:sz w:val="22"/>
          <w:szCs w:val="22"/>
          <w:u w:val="single"/>
          <w:lang w:val="cs-CZ"/>
        </w:rPr>
        <w:t>Výhled</w:t>
      </w:r>
    </w:p>
    <w:p w14:paraId="0E1D4562" w14:textId="77777777" w:rsidR="00A762B6" w:rsidRPr="00946FD0" w:rsidRDefault="00A762B6" w:rsidP="00A762B6">
      <w:pPr>
        <w:spacing w:line="228" w:lineRule="auto"/>
        <w:rPr>
          <w:rFonts w:ascii="Arial" w:hAnsi="Arial" w:cs="Arial"/>
          <w:sz w:val="22"/>
          <w:szCs w:val="22"/>
          <w:lang w:val="cs-CZ"/>
        </w:rPr>
      </w:pPr>
    </w:p>
    <w:p w14:paraId="13FB7F18" w14:textId="0D6CBF28" w:rsidR="00A762B6" w:rsidRPr="00946FD0" w:rsidRDefault="00A762B6" w:rsidP="00A762B6">
      <w:pPr>
        <w:spacing w:line="228" w:lineRule="auto"/>
        <w:rPr>
          <w:rFonts w:ascii="Arial" w:hAnsi="Arial" w:cs="Arial"/>
          <w:sz w:val="22"/>
          <w:szCs w:val="22"/>
          <w:lang w:val="cs-CZ"/>
        </w:rPr>
      </w:pPr>
      <w:r w:rsidRPr="00946FD0">
        <w:rPr>
          <w:rFonts w:ascii="Arial" w:hAnsi="Arial" w:cs="Arial"/>
          <w:sz w:val="22"/>
          <w:szCs w:val="22"/>
          <w:lang w:val="cs-CZ"/>
        </w:rPr>
        <w:t xml:space="preserve">Společnost UPS neuvádí příjmy a zředěný zisk na akcii, a to kvůli nejistotě </w:t>
      </w:r>
      <w:r w:rsidR="00497ECE" w:rsidRPr="00946FD0">
        <w:rPr>
          <w:rFonts w:ascii="Arial" w:hAnsi="Arial" w:cs="Arial"/>
          <w:sz w:val="22"/>
          <w:szCs w:val="22"/>
          <w:lang w:val="cs-CZ"/>
        </w:rPr>
        <w:t>související s </w:t>
      </w:r>
      <w:r w:rsidRPr="00946FD0">
        <w:rPr>
          <w:rFonts w:ascii="Arial" w:hAnsi="Arial" w:cs="Arial"/>
          <w:sz w:val="22"/>
          <w:szCs w:val="22"/>
          <w:lang w:val="cs-CZ"/>
        </w:rPr>
        <w:t>období</w:t>
      </w:r>
      <w:r w:rsidR="00497ECE" w:rsidRPr="00946FD0">
        <w:rPr>
          <w:rFonts w:ascii="Arial" w:hAnsi="Arial" w:cs="Arial"/>
          <w:sz w:val="22"/>
          <w:szCs w:val="22"/>
          <w:lang w:val="cs-CZ"/>
        </w:rPr>
        <w:t>m</w:t>
      </w:r>
      <w:r w:rsidRPr="00946FD0">
        <w:rPr>
          <w:rFonts w:ascii="Arial" w:hAnsi="Arial" w:cs="Arial"/>
          <w:sz w:val="22"/>
          <w:szCs w:val="22"/>
          <w:lang w:val="cs-CZ"/>
        </w:rPr>
        <w:t xml:space="preserve"> a</w:t>
      </w:r>
      <w:r w:rsidR="00497ECE" w:rsidRPr="00946FD0">
        <w:rPr>
          <w:rFonts w:ascii="Arial" w:hAnsi="Arial" w:cs="Arial"/>
          <w:sz w:val="22"/>
          <w:szCs w:val="22"/>
          <w:lang w:val="cs-CZ"/>
        </w:rPr>
        <w:t> </w:t>
      </w:r>
      <w:r w:rsidRPr="00946FD0">
        <w:rPr>
          <w:rFonts w:ascii="Arial" w:hAnsi="Arial" w:cs="Arial"/>
          <w:sz w:val="22"/>
          <w:szCs w:val="22"/>
          <w:lang w:val="cs-CZ"/>
        </w:rPr>
        <w:t>temp</w:t>
      </w:r>
      <w:r w:rsidR="00497ECE" w:rsidRPr="00946FD0">
        <w:rPr>
          <w:rFonts w:ascii="Arial" w:hAnsi="Arial" w:cs="Arial"/>
          <w:sz w:val="22"/>
          <w:szCs w:val="22"/>
          <w:lang w:val="cs-CZ"/>
        </w:rPr>
        <w:t>em</w:t>
      </w:r>
      <w:r w:rsidRPr="00946FD0">
        <w:rPr>
          <w:rFonts w:ascii="Arial" w:hAnsi="Arial" w:cs="Arial"/>
          <w:sz w:val="22"/>
          <w:szCs w:val="22"/>
          <w:lang w:val="cs-CZ"/>
        </w:rPr>
        <w:t xml:space="preserve"> hospodářského oživení. Společnost není schopna předpovědět rozsah dopadu na podnikání nebo dobu trvání pandemie </w:t>
      </w:r>
      <w:proofErr w:type="spellStart"/>
      <w:r w:rsidRPr="00946FD0">
        <w:rPr>
          <w:rFonts w:ascii="Arial" w:hAnsi="Arial" w:cs="Arial"/>
          <w:sz w:val="22"/>
          <w:szCs w:val="22"/>
          <w:lang w:val="cs-CZ"/>
        </w:rPr>
        <w:t>koronaviru</w:t>
      </w:r>
      <w:proofErr w:type="spellEnd"/>
      <w:r w:rsidR="00497ECE" w:rsidRPr="00946FD0">
        <w:rPr>
          <w:rFonts w:ascii="Arial" w:hAnsi="Arial" w:cs="Arial"/>
          <w:sz w:val="22"/>
          <w:szCs w:val="22"/>
          <w:lang w:val="cs-CZ"/>
        </w:rPr>
        <w:t>,</w:t>
      </w:r>
      <w:r w:rsidRPr="00946FD0">
        <w:rPr>
          <w:rFonts w:ascii="Arial" w:hAnsi="Arial" w:cs="Arial"/>
          <w:sz w:val="22"/>
          <w:szCs w:val="22"/>
          <w:lang w:val="cs-CZ"/>
        </w:rPr>
        <w:t xml:space="preserve"> ani přiměřeně odhadnout provozní výkonnost firmy v</w:t>
      </w:r>
      <w:r w:rsidR="00497ECE" w:rsidRPr="00946FD0">
        <w:rPr>
          <w:rFonts w:ascii="Arial" w:hAnsi="Arial" w:cs="Arial"/>
          <w:sz w:val="22"/>
          <w:szCs w:val="22"/>
          <w:lang w:val="cs-CZ"/>
        </w:rPr>
        <w:t xml:space="preserve"> následujících </w:t>
      </w:r>
      <w:r w:rsidRPr="00946FD0">
        <w:rPr>
          <w:rFonts w:ascii="Arial" w:hAnsi="Arial" w:cs="Arial"/>
          <w:sz w:val="22"/>
          <w:szCs w:val="22"/>
          <w:lang w:val="cs-CZ"/>
        </w:rPr>
        <w:t>čtvrtletích.</w:t>
      </w:r>
    </w:p>
    <w:p w14:paraId="324781ED" w14:textId="77777777" w:rsidR="00A762B6" w:rsidRPr="00946FD0" w:rsidRDefault="00A762B6" w:rsidP="00A762B6">
      <w:pPr>
        <w:spacing w:line="228" w:lineRule="auto"/>
        <w:rPr>
          <w:rFonts w:ascii="Arial" w:hAnsi="Arial" w:cs="Arial"/>
          <w:sz w:val="22"/>
          <w:szCs w:val="22"/>
          <w:lang w:val="cs-CZ"/>
        </w:rPr>
      </w:pPr>
    </w:p>
    <w:p w14:paraId="572DCA58" w14:textId="33F0BA6B" w:rsidR="00A762B6" w:rsidRPr="00946FD0" w:rsidRDefault="00A762B6" w:rsidP="00A762B6">
      <w:pPr>
        <w:spacing w:line="228" w:lineRule="auto"/>
        <w:rPr>
          <w:rFonts w:ascii="Arial" w:hAnsi="Arial" w:cs="Arial"/>
          <w:sz w:val="22"/>
          <w:szCs w:val="22"/>
          <w:lang w:val="cs-CZ"/>
        </w:rPr>
      </w:pPr>
      <w:r w:rsidRPr="00946FD0">
        <w:rPr>
          <w:rFonts w:ascii="Arial" w:hAnsi="Arial" w:cs="Arial"/>
          <w:sz w:val="22"/>
          <w:szCs w:val="22"/>
          <w:lang w:val="cs-CZ"/>
        </w:rPr>
        <w:t xml:space="preserve">„Díky rozsahu a flexibilitě naší globální integrované sítě jsme úspěšně zvládli provozní výzvy během celého čtvrtletí. V budoucnu se chceme zaměřit na efektivitu a kvalitu příjmů, abychom </w:t>
      </w:r>
      <w:r w:rsidR="00497ECE" w:rsidRPr="00946FD0">
        <w:rPr>
          <w:rFonts w:ascii="Arial" w:hAnsi="Arial" w:cs="Arial"/>
          <w:sz w:val="22"/>
          <w:szCs w:val="22"/>
          <w:lang w:val="cs-CZ"/>
        </w:rPr>
        <w:t>v dlouhodobém horizontu</w:t>
      </w:r>
      <w:r w:rsidRPr="00946FD0">
        <w:rPr>
          <w:rFonts w:ascii="Arial" w:hAnsi="Arial" w:cs="Arial"/>
          <w:sz w:val="22"/>
          <w:szCs w:val="22"/>
          <w:lang w:val="cs-CZ"/>
        </w:rPr>
        <w:t xml:space="preserve"> zlepšili provozní marže v USA,“ uvedl Brian </w:t>
      </w:r>
      <w:proofErr w:type="spellStart"/>
      <w:r w:rsidRPr="00946FD0">
        <w:rPr>
          <w:rFonts w:ascii="Arial" w:hAnsi="Arial" w:cs="Arial"/>
          <w:sz w:val="22"/>
          <w:szCs w:val="22"/>
          <w:lang w:val="cs-CZ"/>
        </w:rPr>
        <w:t>Newman</w:t>
      </w:r>
      <w:proofErr w:type="spellEnd"/>
      <w:r w:rsidRPr="00946FD0">
        <w:rPr>
          <w:rFonts w:ascii="Arial" w:hAnsi="Arial" w:cs="Arial"/>
          <w:sz w:val="22"/>
          <w:szCs w:val="22"/>
          <w:lang w:val="cs-CZ"/>
        </w:rPr>
        <w:t xml:space="preserve">, finanční ředitel společnosti UPS. „Naše likvidita a hotovostní pozice zůstávají silné, což nám </w:t>
      </w:r>
      <w:r w:rsidR="00497ECE" w:rsidRPr="00946FD0">
        <w:rPr>
          <w:rFonts w:ascii="Arial" w:hAnsi="Arial" w:cs="Arial"/>
          <w:sz w:val="22"/>
          <w:szCs w:val="22"/>
          <w:lang w:val="cs-CZ"/>
        </w:rPr>
        <w:t xml:space="preserve">v tomto období s bezprecedentním přerušením podnikání </w:t>
      </w:r>
      <w:r w:rsidRPr="00946FD0">
        <w:rPr>
          <w:rFonts w:ascii="Arial" w:hAnsi="Arial" w:cs="Arial"/>
          <w:sz w:val="22"/>
          <w:szCs w:val="22"/>
          <w:lang w:val="cs-CZ"/>
        </w:rPr>
        <w:t xml:space="preserve">umožňuje investovat do </w:t>
      </w:r>
      <w:r w:rsidR="005472A7" w:rsidRPr="00946FD0">
        <w:rPr>
          <w:rFonts w:ascii="Arial" w:hAnsi="Arial" w:cs="Arial"/>
          <w:sz w:val="22"/>
          <w:szCs w:val="22"/>
          <w:lang w:val="cs-CZ"/>
        </w:rPr>
        <w:t xml:space="preserve">našich </w:t>
      </w:r>
      <w:r w:rsidRPr="00946FD0">
        <w:rPr>
          <w:rFonts w:ascii="Arial" w:hAnsi="Arial" w:cs="Arial"/>
          <w:sz w:val="22"/>
          <w:szCs w:val="22"/>
          <w:lang w:val="cs-CZ"/>
        </w:rPr>
        <w:t>schopností."</w:t>
      </w:r>
    </w:p>
    <w:p w14:paraId="11AA7662" w14:textId="77777777" w:rsidR="007E3F8A" w:rsidRPr="00946FD0" w:rsidRDefault="007E3F8A" w:rsidP="007E3F8A">
      <w:pPr>
        <w:spacing w:line="204" w:lineRule="auto"/>
        <w:rPr>
          <w:lang w:val="cs-CZ"/>
        </w:rPr>
      </w:pPr>
    </w:p>
    <w:p w14:paraId="52FAB1AD" w14:textId="77777777" w:rsidR="007E3F8A" w:rsidRPr="00946FD0" w:rsidRDefault="007E3F8A" w:rsidP="007E3F8A">
      <w:pPr>
        <w:spacing w:line="228" w:lineRule="auto"/>
        <w:rPr>
          <w:rFonts w:ascii="Arial" w:hAnsi="Arial" w:cs="Arial"/>
          <w:lang w:val="cs-CZ"/>
        </w:rPr>
      </w:pPr>
    </w:p>
    <w:p w14:paraId="767F25E4" w14:textId="77777777" w:rsidR="007E3F8A" w:rsidRPr="00946FD0" w:rsidRDefault="007E3F8A" w:rsidP="007E3F8A">
      <w:pPr>
        <w:spacing w:line="168" w:lineRule="auto"/>
        <w:jc w:val="center"/>
        <w:rPr>
          <w:rFonts w:ascii="Arial" w:hAnsi="Arial" w:cs="Arial"/>
          <w:sz w:val="22"/>
          <w:szCs w:val="22"/>
          <w:lang w:val="cs-CZ"/>
        </w:rPr>
      </w:pPr>
      <w:r w:rsidRPr="00946FD0">
        <w:rPr>
          <w:rFonts w:ascii="Arial" w:hAnsi="Arial" w:cs="Arial"/>
          <w:sz w:val="22"/>
          <w:szCs w:val="22"/>
          <w:lang w:val="cs-CZ"/>
        </w:rPr>
        <w:t># # #</w:t>
      </w:r>
    </w:p>
    <w:p w14:paraId="07343549" w14:textId="77777777" w:rsidR="00711921" w:rsidRPr="00946FD0" w:rsidRDefault="00711921" w:rsidP="007E3F8A">
      <w:pPr>
        <w:spacing w:line="228" w:lineRule="auto"/>
        <w:rPr>
          <w:rFonts w:ascii="Arial" w:hAnsi="Arial" w:cs="Arial"/>
          <w:b/>
          <w:bCs/>
          <w:sz w:val="22"/>
          <w:szCs w:val="22"/>
          <w:u w:val="single"/>
          <w:lang w:val="cs-CZ"/>
        </w:rPr>
      </w:pPr>
    </w:p>
    <w:p w14:paraId="6CC22ED6" w14:textId="77777777" w:rsidR="00711921" w:rsidRPr="00946FD0" w:rsidRDefault="00711921" w:rsidP="00711921">
      <w:pPr>
        <w:pStyle w:val="BodyText"/>
        <w:spacing w:after="0"/>
        <w:rPr>
          <w:rFonts w:ascii="Arial" w:hAnsi="Arial" w:cs="Arial"/>
          <w:b/>
          <w:sz w:val="22"/>
          <w:szCs w:val="22"/>
          <w:lang w:val="cs-CZ"/>
        </w:rPr>
      </w:pPr>
      <w:r w:rsidRPr="00946FD0">
        <w:rPr>
          <w:rFonts w:ascii="Arial" w:hAnsi="Arial" w:cs="Arial"/>
          <w:b/>
          <w:sz w:val="22"/>
          <w:szCs w:val="22"/>
          <w:lang w:val="cs-CZ"/>
        </w:rPr>
        <w:t>Společnost UPS</w:t>
      </w:r>
    </w:p>
    <w:p w14:paraId="708BB669" w14:textId="77777777" w:rsidR="00711921" w:rsidRPr="00946FD0" w:rsidRDefault="00711921" w:rsidP="00711921">
      <w:pPr>
        <w:rPr>
          <w:rFonts w:ascii="Arial" w:hAnsi="Arial" w:cs="Arial"/>
          <w:sz w:val="22"/>
          <w:szCs w:val="22"/>
          <w:lang w:val="cs-CZ"/>
        </w:rPr>
      </w:pPr>
    </w:p>
    <w:p w14:paraId="3AE1BEEC" w14:textId="77777777" w:rsidR="00711921" w:rsidRPr="00946FD0" w:rsidRDefault="00711921" w:rsidP="00711921">
      <w:pPr>
        <w:ind w:firstLine="720"/>
        <w:rPr>
          <w:rFonts w:ascii="Arial" w:hAnsi="Arial" w:cs="Arial"/>
          <w:sz w:val="22"/>
          <w:szCs w:val="22"/>
          <w:lang w:val="cs-CZ"/>
        </w:rPr>
      </w:pPr>
      <w:r w:rsidRPr="00946FD0">
        <w:rPr>
          <w:rFonts w:ascii="Arial" w:hAnsi="Arial" w:cs="Arial"/>
          <w:sz w:val="22"/>
          <w:szCs w:val="22"/>
          <w:lang w:val="cs-CZ"/>
        </w:rPr>
        <w:t>UPS (</w:t>
      </w:r>
      <w:proofErr w:type="spellStart"/>
      <w:r w:rsidRPr="00946FD0">
        <w:rPr>
          <w:rFonts w:ascii="Arial" w:hAnsi="Arial" w:cs="Arial"/>
          <w:sz w:val="22"/>
          <w:szCs w:val="22"/>
          <w:lang w:val="cs-CZ"/>
        </w:rPr>
        <w:t>NYSE:UPS</w:t>
      </w:r>
      <w:proofErr w:type="spellEnd"/>
      <w:r w:rsidRPr="00946FD0">
        <w:rPr>
          <w:rFonts w:ascii="Arial" w:hAnsi="Arial" w:cs="Arial"/>
          <w:sz w:val="22"/>
          <w:szCs w:val="22"/>
          <w:lang w:val="cs-CZ"/>
        </w:rPr>
        <w:t>) je světový lídr v oblasti logistiky a nabízí širokou škálu řešení včetně přepravy balíků a nákladní přepravy, usnadnění mezinárodního obchodu a rozvoje pokročilých technologií, díky kterým lze efektivněji řídit dění v obchodním světě. Hlavní sídlo společnosti je v Atlantě, USA. UPS své služby poskytuje ve více než 220 zemích a teritoriích světa. Společnost UPS byla časopisem Newsweek označena za nejvíce zákaznicky orientovanou americkou firmu (</w:t>
      </w:r>
      <w:proofErr w:type="spellStart"/>
      <w:r w:rsidRPr="00946FD0">
        <w:rPr>
          <w:rFonts w:ascii="Arial" w:hAnsi="Arial" w:cs="Arial"/>
          <w:sz w:val="22"/>
          <w:szCs w:val="22"/>
          <w:lang w:val="cs-CZ"/>
        </w:rPr>
        <w:fldChar w:fldCharType="begin"/>
      </w:r>
      <w:r w:rsidRPr="00946FD0">
        <w:rPr>
          <w:rFonts w:ascii="Arial" w:hAnsi="Arial" w:cs="Arial"/>
          <w:sz w:val="22"/>
          <w:szCs w:val="22"/>
          <w:lang w:val="cs-CZ"/>
        </w:rPr>
        <w:instrText xml:space="preserve"> HYPERLINK "https://www.newsweek.com/americas-best-customer-service-2019/services-transportation-travel" </w:instrText>
      </w:r>
      <w:r w:rsidRPr="00946FD0">
        <w:rPr>
          <w:rFonts w:ascii="Arial" w:hAnsi="Arial" w:cs="Arial"/>
          <w:sz w:val="22"/>
          <w:szCs w:val="22"/>
          <w:lang w:val="cs-CZ"/>
        </w:rPr>
        <w:fldChar w:fldCharType="separate"/>
      </w:r>
      <w:r w:rsidRPr="00946FD0">
        <w:rPr>
          <w:rFonts w:ascii="Arial" w:hAnsi="Arial" w:cs="Arial"/>
          <w:color w:val="0000FF"/>
          <w:sz w:val="22"/>
          <w:szCs w:val="22"/>
          <w:u w:val="single"/>
          <w:lang w:val="cs-CZ"/>
        </w:rPr>
        <w:t>America’s</w:t>
      </w:r>
      <w:proofErr w:type="spellEnd"/>
      <w:r w:rsidRPr="00946FD0">
        <w:rPr>
          <w:rFonts w:ascii="Arial" w:hAnsi="Arial" w:cs="Arial"/>
          <w:color w:val="0000FF"/>
          <w:sz w:val="22"/>
          <w:szCs w:val="22"/>
          <w:u w:val="single"/>
          <w:lang w:val="cs-CZ"/>
        </w:rPr>
        <w:t xml:space="preserve"> Best </w:t>
      </w:r>
      <w:proofErr w:type="spellStart"/>
      <w:r w:rsidRPr="00946FD0">
        <w:rPr>
          <w:rFonts w:ascii="Arial" w:hAnsi="Arial" w:cs="Arial"/>
          <w:color w:val="0000FF"/>
          <w:sz w:val="22"/>
          <w:szCs w:val="22"/>
          <w:u w:val="single"/>
          <w:lang w:val="cs-CZ"/>
        </w:rPr>
        <w:t>Customer</w:t>
      </w:r>
      <w:proofErr w:type="spellEnd"/>
      <w:r w:rsidRPr="00946FD0">
        <w:rPr>
          <w:rFonts w:ascii="Arial" w:hAnsi="Arial" w:cs="Arial"/>
          <w:color w:val="0000FF"/>
          <w:sz w:val="22"/>
          <w:szCs w:val="22"/>
          <w:u w:val="single"/>
          <w:lang w:val="cs-CZ"/>
        </w:rPr>
        <w:t xml:space="preserve"> </w:t>
      </w:r>
      <w:proofErr w:type="spellStart"/>
      <w:r w:rsidRPr="00946FD0">
        <w:rPr>
          <w:rFonts w:ascii="Arial" w:hAnsi="Arial" w:cs="Arial"/>
          <w:color w:val="0000FF"/>
          <w:sz w:val="22"/>
          <w:szCs w:val="22"/>
          <w:u w:val="single"/>
          <w:lang w:val="cs-CZ"/>
        </w:rPr>
        <w:t>Service</w:t>
      </w:r>
      <w:proofErr w:type="spellEnd"/>
      <w:r w:rsidRPr="00946FD0">
        <w:rPr>
          <w:rFonts w:ascii="Arial" w:hAnsi="Arial" w:cs="Arial"/>
          <w:color w:val="0000FF"/>
          <w:sz w:val="22"/>
          <w:szCs w:val="22"/>
          <w:u w:val="single"/>
          <w:lang w:val="cs-CZ"/>
        </w:rPr>
        <w:fldChar w:fldCharType="end"/>
      </w:r>
      <w:r w:rsidRPr="00946FD0">
        <w:rPr>
          <w:rFonts w:ascii="Arial" w:hAnsi="Arial" w:cs="Arial"/>
          <w:sz w:val="22"/>
          <w:szCs w:val="22"/>
          <w:lang w:val="cs-CZ"/>
        </w:rPr>
        <w:t>) v oblasti zasilatelství a distribuce; podle časopisu Forbes je firma Nejhodnotnější značkou v dopravě (</w:t>
      </w:r>
      <w:hyperlink r:id="rId11" w:anchor="tab:rank_industry:Transportation" w:history="1">
        <w:r w:rsidRPr="00946FD0">
          <w:rPr>
            <w:rStyle w:val="Hyperlink"/>
            <w:rFonts w:ascii="Arial" w:hAnsi="Arial" w:cs="Arial"/>
            <w:sz w:val="22"/>
            <w:szCs w:val="22"/>
            <w:lang w:val="cs-CZ"/>
          </w:rPr>
          <w:t xml:space="preserve">Most </w:t>
        </w:r>
        <w:proofErr w:type="spellStart"/>
        <w:r w:rsidRPr="00946FD0">
          <w:rPr>
            <w:rStyle w:val="Hyperlink"/>
            <w:rFonts w:ascii="Arial" w:hAnsi="Arial" w:cs="Arial"/>
            <w:sz w:val="22"/>
            <w:szCs w:val="22"/>
            <w:lang w:val="cs-CZ"/>
          </w:rPr>
          <w:t>Valuable</w:t>
        </w:r>
        <w:proofErr w:type="spellEnd"/>
        <w:r w:rsidRPr="00946FD0">
          <w:rPr>
            <w:rStyle w:val="Hyperlink"/>
            <w:rFonts w:ascii="Arial" w:hAnsi="Arial" w:cs="Arial"/>
            <w:sz w:val="22"/>
            <w:szCs w:val="22"/>
            <w:lang w:val="cs-CZ"/>
          </w:rPr>
          <w:t xml:space="preserve"> Brand in </w:t>
        </w:r>
        <w:proofErr w:type="spellStart"/>
        <w:r w:rsidRPr="00946FD0">
          <w:rPr>
            <w:rStyle w:val="Hyperlink"/>
            <w:rFonts w:ascii="Arial" w:hAnsi="Arial" w:cs="Arial"/>
            <w:sz w:val="22"/>
            <w:szCs w:val="22"/>
            <w:lang w:val="cs-CZ"/>
          </w:rPr>
          <w:t>Transportation</w:t>
        </w:r>
        <w:proofErr w:type="spellEnd"/>
      </w:hyperlink>
      <w:r w:rsidRPr="00946FD0">
        <w:rPr>
          <w:rFonts w:ascii="Arial" w:hAnsi="Arial" w:cs="Arial"/>
          <w:sz w:val="22"/>
          <w:szCs w:val="22"/>
          <w:lang w:val="cs-CZ"/>
        </w:rPr>
        <w:t xml:space="preserve">); UPS je vysoce ceněna i podle dalších prestižních hodnocení – v oblasti sociální odpovědnosti podle žebříčku </w:t>
      </w:r>
      <w:hyperlink r:id="rId12" w:anchor="4309ad3b2bf0" w:history="1">
        <w:r w:rsidRPr="00946FD0">
          <w:rPr>
            <w:rFonts w:ascii="Arial" w:hAnsi="Arial" w:cs="Arial"/>
            <w:color w:val="0000FF"/>
            <w:sz w:val="22"/>
            <w:szCs w:val="22"/>
            <w:u w:val="single"/>
            <w:lang w:val="cs-CZ"/>
          </w:rPr>
          <w:t>JUST 100</w:t>
        </w:r>
      </w:hyperlink>
      <w:r w:rsidRPr="00946FD0">
        <w:rPr>
          <w:rFonts w:ascii="Arial" w:hAnsi="Arial" w:cs="Arial"/>
          <w:sz w:val="22"/>
          <w:szCs w:val="22"/>
          <w:lang w:val="cs-CZ"/>
        </w:rPr>
        <w:t xml:space="preserve">, indexu Dow Jones </w:t>
      </w:r>
      <w:proofErr w:type="spellStart"/>
      <w:r w:rsidRPr="00946FD0">
        <w:rPr>
          <w:rFonts w:ascii="Arial" w:hAnsi="Arial" w:cs="Arial"/>
          <w:sz w:val="22"/>
          <w:szCs w:val="22"/>
          <w:lang w:val="cs-CZ"/>
        </w:rPr>
        <w:t>Sustainability</w:t>
      </w:r>
      <w:proofErr w:type="spellEnd"/>
      <w:r w:rsidRPr="00946FD0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946FD0">
        <w:rPr>
          <w:rFonts w:ascii="Arial" w:hAnsi="Arial" w:cs="Arial"/>
          <w:sz w:val="22"/>
          <w:szCs w:val="22"/>
          <w:lang w:val="cs-CZ"/>
        </w:rPr>
        <w:t>World</w:t>
      </w:r>
      <w:proofErr w:type="spellEnd"/>
      <w:r w:rsidRPr="00946FD0">
        <w:rPr>
          <w:rFonts w:ascii="Arial" w:hAnsi="Arial" w:cs="Arial"/>
          <w:sz w:val="22"/>
          <w:szCs w:val="22"/>
          <w:lang w:val="cs-CZ"/>
        </w:rPr>
        <w:t xml:space="preserve"> a kvocientu </w:t>
      </w:r>
      <w:proofErr w:type="spellStart"/>
      <w:r w:rsidRPr="00946FD0">
        <w:rPr>
          <w:rFonts w:ascii="Arial" w:hAnsi="Arial" w:cs="Arial"/>
          <w:sz w:val="22"/>
          <w:szCs w:val="22"/>
          <w:lang w:val="cs-CZ"/>
        </w:rPr>
        <w:t>Harris</w:t>
      </w:r>
      <w:proofErr w:type="spellEnd"/>
      <w:r w:rsidRPr="00946FD0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946FD0">
        <w:rPr>
          <w:rFonts w:ascii="Arial" w:hAnsi="Arial" w:cs="Arial"/>
          <w:sz w:val="22"/>
          <w:szCs w:val="22"/>
          <w:lang w:val="cs-CZ"/>
        </w:rPr>
        <w:t>Poll</w:t>
      </w:r>
      <w:proofErr w:type="spellEnd"/>
      <w:r w:rsidRPr="00946FD0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946FD0">
        <w:rPr>
          <w:rFonts w:ascii="Arial" w:hAnsi="Arial" w:cs="Arial"/>
          <w:sz w:val="22"/>
          <w:szCs w:val="22"/>
          <w:lang w:val="cs-CZ"/>
        </w:rPr>
        <w:t>Reputation</w:t>
      </w:r>
      <w:proofErr w:type="spellEnd"/>
      <w:r w:rsidRPr="00946FD0">
        <w:rPr>
          <w:rFonts w:ascii="Arial" w:hAnsi="Arial" w:cs="Arial"/>
          <w:sz w:val="22"/>
          <w:szCs w:val="22"/>
          <w:lang w:val="cs-CZ"/>
        </w:rPr>
        <w:t xml:space="preserve">. Informace o společnosti naleznete na </w:t>
      </w:r>
      <w:r w:rsidRPr="00946FD0">
        <w:rPr>
          <w:rStyle w:val="Internetovodkaz"/>
          <w:rFonts w:ascii="Arial" w:hAnsi="Arial" w:cs="Arial"/>
          <w:color w:val="0070C0"/>
          <w:sz w:val="22"/>
          <w:szCs w:val="22"/>
          <w:lang w:val="cs-CZ"/>
        </w:rPr>
        <w:t>ups.com</w:t>
      </w:r>
      <w:r w:rsidRPr="00946FD0">
        <w:rPr>
          <w:rFonts w:ascii="Arial" w:hAnsi="Arial" w:cs="Arial"/>
          <w:sz w:val="22"/>
          <w:szCs w:val="22"/>
          <w:lang w:val="cs-CZ"/>
        </w:rPr>
        <w:t xml:space="preserve"> nebo </w:t>
      </w:r>
      <w:hyperlink r:id="rId13" w:tgtFrame="_blank" w:history="1">
        <w:r w:rsidRPr="00946FD0">
          <w:rPr>
            <w:rFonts w:ascii="Arial" w:hAnsi="Arial" w:cs="Arial"/>
            <w:color w:val="0000FF"/>
            <w:sz w:val="22"/>
            <w:szCs w:val="22"/>
            <w:u w:val="single"/>
            <w:lang w:val="cs-CZ"/>
          </w:rPr>
          <w:t>pressroom.ups.com</w:t>
        </w:r>
      </w:hyperlink>
      <w:r w:rsidRPr="00946FD0">
        <w:rPr>
          <w:rFonts w:ascii="Arial" w:hAnsi="Arial" w:cs="Arial"/>
          <w:sz w:val="22"/>
          <w:szCs w:val="22"/>
          <w:lang w:val="cs-CZ"/>
        </w:rPr>
        <w:t xml:space="preserve"> a korporátní blog na </w:t>
      </w:r>
      <w:hyperlink r:id="rId14" w:tgtFrame="_blank" w:history="1">
        <w:r w:rsidRPr="00946FD0">
          <w:rPr>
            <w:rFonts w:ascii="Arial" w:hAnsi="Arial" w:cs="Arial"/>
            <w:color w:val="0000FF"/>
            <w:sz w:val="22"/>
            <w:szCs w:val="22"/>
            <w:u w:val="single"/>
            <w:lang w:val="cs-CZ"/>
          </w:rPr>
          <w:t>ups.com/</w:t>
        </w:r>
        <w:proofErr w:type="spellStart"/>
        <w:r w:rsidRPr="00946FD0">
          <w:rPr>
            <w:rFonts w:ascii="Arial" w:hAnsi="Arial" w:cs="Arial"/>
            <w:color w:val="0000FF"/>
            <w:sz w:val="22"/>
            <w:szCs w:val="22"/>
            <w:u w:val="single"/>
            <w:lang w:val="cs-CZ"/>
          </w:rPr>
          <w:t>longitudes</w:t>
        </w:r>
        <w:proofErr w:type="spellEnd"/>
      </w:hyperlink>
      <w:r w:rsidRPr="00946FD0">
        <w:rPr>
          <w:rFonts w:ascii="Arial" w:hAnsi="Arial" w:cs="Arial"/>
          <w:sz w:val="22"/>
          <w:szCs w:val="22"/>
          <w:lang w:val="cs-CZ"/>
        </w:rPr>
        <w:t xml:space="preserve">. Firemní online newsletter </w:t>
      </w:r>
      <w:r w:rsidRPr="00946FD0">
        <w:rPr>
          <w:rFonts w:ascii="Arial" w:hAnsi="Arial" w:cs="Arial"/>
          <w:i/>
          <w:iCs/>
          <w:sz w:val="22"/>
          <w:szCs w:val="22"/>
          <w:lang w:val="cs-CZ"/>
        </w:rPr>
        <w:t xml:space="preserve">UPS </w:t>
      </w:r>
      <w:proofErr w:type="spellStart"/>
      <w:r w:rsidRPr="00946FD0">
        <w:rPr>
          <w:rFonts w:ascii="Arial" w:hAnsi="Arial" w:cs="Arial"/>
          <w:i/>
          <w:iCs/>
          <w:sz w:val="22"/>
          <w:szCs w:val="22"/>
          <w:lang w:val="cs-CZ"/>
        </w:rPr>
        <w:t>Horizons</w:t>
      </w:r>
      <w:proofErr w:type="spellEnd"/>
      <w:r w:rsidRPr="00946FD0">
        <w:rPr>
          <w:rFonts w:ascii="Arial" w:hAnsi="Arial" w:cs="Arial"/>
          <w:sz w:val="22"/>
          <w:szCs w:val="22"/>
          <w:lang w:val="cs-CZ"/>
        </w:rPr>
        <w:t xml:space="preserve"> zaměřený na trvalou udržitelnost je na </w:t>
      </w:r>
      <w:hyperlink r:id="rId15" w:history="1">
        <w:r w:rsidRPr="00946FD0">
          <w:rPr>
            <w:rFonts w:ascii="Arial" w:hAnsi="Arial" w:cs="Arial"/>
            <w:color w:val="0000FF"/>
            <w:sz w:val="22"/>
            <w:szCs w:val="22"/>
            <w:u w:val="single"/>
            <w:lang w:val="cs-CZ"/>
          </w:rPr>
          <w:t>ups.com/</w:t>
        </w:r>
        <w:proofErr w:type="spellStart"/>
        <w:r w:rsidRPr="00946FD0">
          <w:rPr>
            <w:rFonts w:ascii="Arial" w:hAnsi="Arial" w:cs="Arial"/>
            <w:color w:val="0000FF"/>
            <w:sz w:val="22"/>
            <w:szCs w:val="22"/>
            <w:u w:val="single"/>
            <w:lang w:val="cs-CZ"/>
          </w:rPr>
          <w:t>sustainabilitynewsletter</w:t>
        </w:r>
        <w:proofErr w:type="spellEnd"/>
      </w:hyperlink>
      <w:r w:rsidRPr="00946FD0">
        <w:rPr>
          <w:rFonts w:ascii="Arial" w:hAnsi="Arial" w:cs="Arial"/>
          <w:color w:val="0000FF"/>
          <w:sz w:val="22"/>
          <w:szCs w:val="22"/>
          <w:lang w:val="cs-CZ"/>
        </w:rPr>
        <w:t xml:space="preserve">. </w:t>
      </w:r>
      <w:r w:rsidRPr="00946FD0">
        <w:rPr>
          <w:rFonts w:ascii="Arial" w:hAnsi="Arial" w:cs="Arial"/>
          <w:sz w:val="22"/>
          <w:szCs w:val="22"/>
          <w:lang w:val="cs-CZ"/>
        </w:rPr>
        <w:t xml:space="preserve">Novinky a zprávy UPS jsou k dispozici také prostřednictvím Twitteru na </w:t>
      </w:r>
      <w:hyperlink r:id="rId16" w:history="1">
        <w:r w:rsidRPr="00946FD0">
          <w:rPr>
            <w:rStyle w:val="Hyperlink"/>
            <w:rFonts w:ascii="Arial" w:hAnsi="Arial" w:cs="Arial"/>
            <w:sz w:val="22"/>
            <w:szCs w:val="22"/>
            <w:lang w:val="cs-CZ"/>
          </w:rPr>
          <w:t>@</w:t>
        </w:r>
        <w:proofErr w:type="spellStart"/>
        <w:r w:rsidRPr="00946FD0">
          <w:rPr>
            <w:rStyle w:val="Hyperlink"/>
            <w:rFonts w:ascii="Arial" w:hAnsi="Arial" w:cs="Arial"/>
            <w:sz w:val="22"/>
            <w:szCs w:val="22"/>
            <w:lang w:val="cs-CZ"/>
          </w:rPr>
          <w:t>UPS_News</w:t>
        </w:r>
        <w:proofErr w:type="spellEnd"/>
      </w:hyperlink>
      <w:r w:rsidRPr="00946FD0">
        <w:rPr>
          <w:rFonts w:ascii="Arial" w:hAnsi="Arial" w:cs="Arial"/>
          <w:sz w:val="22"/>
          <w:szCs w:val="22"/>
          <w:lang w:val="cs-CZ"/>
        </w:rPr>
        <w:t xml:space="preserve">, poslat zásilku je možné přes </w:t>
      </w:r>
      <w:hyperlink r:id="rId17" w:history="1">
        <w:r w:rsidRPr="00946FD0">
          <w:rPr>
            <w:rFonts w:ascii="Arial" w:hAnsi="Arial" w:cs="Arial"/>
            <w:color w:val="0000FF"/>
            <w:sz w:val="22"/>
            <w:szCs w:val="22"/>
            <w:u w:val="single"/>
            <w:lang w:val="cs-CZ"/>
          </w:rPr>
          <w:t>ups.com/</w:t>
        </w:r>
        <w:proofErr w:type="spellStart"/>
        <w:r w:rsidRPr="00946FD0">
          <w:rPr>
            <w:rFonts w:ascii="Arial" w:hAnsi="Arial" w:cs="Arial"/>
            <w:color w:val="0000FF"/>
            <w:sz w:val="22"/>
            <w:szCs w:val="22"/>
            <w:u w:val="single"/>
            <w:lang w:val="cs-CZ"/>
          </w:rPr>
          <w:t>ship</w:t>
        </w:r>
        <w:proofErr w:type="spellEnd"/>
      </w:hyperlink>
      <w:r w:rsidRPr="00946FD0">
        <w:rPr>
          <w:rFonts w:ascii="Arial" w:hAnsi="Arial" w:cs="Arial"/>
          <w:sz w:val="22"/>
          <w:szCs w:val="22"/>
          <w:lang w:val="cs-CZ"/>
        </w:rPr>
        <w:t>.</w:t>
      </w:r>
    </w:p>
    <w:p w14:paraId="0166496B" w14:textId="77777777" w:rsidR="00711921" w:rsidRPr="00946FD0" w:rsidRDefault="00711921" w:rsidP="00711921">
      <w:pPr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14:paraId="2D34932B" w14:textId="77777777" w:rsidR="00711921" w:rsidRPr="00946FD0" w:rsidRDefault="00711921" w:rsidP="007E3F8A">
      <w:pPr>
        <w:spacing w:line="228" w:lineRule="auto"/>
        <w:rPr>
          <w:rFonts w:ascii="Arial" w:hAnsi="Arial" w:cs="Arial"/>
          <w:b/>
          <w:bCs/>
          <w:sz w:val="22"/>
          <w:szCs w:val="22"/>
          <w:u w:val="single"/>
          <w:lang w:val="cs-CZ"/>
        </w:rPr>
      </w:pPr>
    </w:p>
    <w:sectPr w:rsidR="00711921" w:rsidRPr="00946FD0" w:rsidSect="000346B8">
      <w:headerReference w:type="default" r:id="rId18"/>
      <w:footerReference w:type="first" r:id="rId19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F467E" w14:textId="77777777" w:rsidR="007E3F8A" w:rsidRDefault="007E3F8A">
      <w:r>
        <w:separator/>
      </w:r>
    </w:p>
  </w:endnote>
  <w:endnote w:type="continuationSeparator" w:id="0">
    <w:p w14:paraId="3DE1FE6D" w14:textId="77777777" w:rsidR="007E3F8A" w:rsidRDefault="007E3F8A">
      <w:r>
        <w:continuationSeparator/>
      </w:r>
    </w:p>
  </w:endnote>
  <w:endnote w:type="continuationNotice" w:id="1">
    <w:p w14:paraId="3B9C705E" w14:textId="77777777" w:rsidR="007E3F8A" w:rsidRDefault="007E3F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E440D" w14:textId="77777777" w:rsidR="007E3F8A" w:rsidRPr="00034414" w:rsidRDefault="007E3F8A" w:rsidP="00034414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3DC15" w14:textId="77777777" w:rsidR="007E3F8A" w:rsidRDefault="007E3F8A">
      <w:r>
        <w:separator/>
      </w:r>
    </w:p>
  </w:footnote>
  <w:footnote w:type="continuationSeparator" w:id="0">
    <w:p w14:paraId="01D05184" w14:textId="77777777" w:rsidR="007E3F8A" w:rsidRDefault="007E3F8A">
      <w:r>
        <w:continuationSeparator/>
      </w:r>
    </w:p>
  </w:footnote>
  <w:footnote w:type="continuationNotice" w:id="1">
    <w:p w14:paraId="6F1B5A8C" w14:textId="77777777" w:rsidR="007E3F8A" w:rsidRDefault="007E3F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7A806" w14:textId="77777777" w:rsidR="007E3F8A" w:rsidRPr="00602E69" w:rsidRDefault="007E3F8A" w:rsidP="00602E69">
    <w:pPr>
      <w:pStyle w:val="Header"/>
      <w:jc w:val="right"/>
      <w:rPr>
        <w:rFonts w:ascii="Arial" w:hAnsi="Arial" w:cs="Arial"/>
        <w:sz w:val="18"/>
        <w:szCs w:val="18"/>
      </w:rPr>
    </w:pPr>
  </w:p>
  <w:p w14:paraId="3F65C193" w14:textId="77777777" w:rsidR="007E3F8A" w:rsidRPr="00AC447A" w:rsidRDefault="007E3F8A" w:rsidP="000346B8">
    <w:pPr>
      <w:pStyle w:val="Header"/>
      <w:tabs>
        <w:tab w:val="clear" w:pos="4320"/>
        <w:tab w:val="center" w:pos="0"/>
        <w:tab w:val="left" w:pos="4665"/>
      </w:tabs>
      <w:ind w:left="3240" w:hanging="34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styleLink w:val="DiscSYMBOL"/>
    <w:lvl w:ilvl="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◦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▪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◦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▪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◦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▪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1"/>
    <w:lvl w:ilvl="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24"/>
      </w:rPr>
    </w:lvl>
    <w:lvl w:ilvl="1">
      <w:start w:val="1"/>
      <w:numFmt w:val="lowerLetter"/>
      <w:lvlText w:val="◦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▪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◦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▪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◦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▪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1"/>
    <w:lvl w:ilvl="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22"/>
      </w:rPr>
    </w:lvl>
    <w:lvl w:ilvl="1">
      <w:start w:val="1"/>
      <w:numFmt w:val="lowerLetter"/>
      <w:lvlText w:val="◦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▪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◦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▪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◦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▪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1"/>
    <w:lvl w:ilvl="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24"/>
      </w:rPr>
    </w:lvl>
    <w:lvl w:ilvl="1">
      <w:start w:val="1"/>
      <w:numFmt w:val="lowerLetter"/>
      <w:lvlText w:val="◦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▪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◦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▪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◦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▪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1"/>
    <w:lvl w:ilvl="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24"/>
      </w:rPr>
    </w:lvl>
    <w:lvl w:ilvl="1">
      <w:start w:val="1"/>
      <w:numFmt w:val="lowerLetter"/>
      <w:lvlText w:val="◦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▪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◦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▪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◦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▪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AB3C63"/>
    <w:multiLevelType w:val="hybridMultilevel"/>
    <w:tmpl w:val="C11273E4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E69D8"/>
    <w:multiLevelType w:val="hybridMultilevel"/>
    <w:tmpl w:val="C3BE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C3DED"/>
    <w:multiLevelType w:val="hybridMultilevel"/>
    <w:tmpl w:val="FC2E1BD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E401594"/>
    <w:multiLevelType w:val="hybridMultilevel"/>
    <w:tmpl w:val="19843B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23D95"/>
    <w:multiLevelType w:val="hybridMultilevel"/>
    <w:tmpl w:val="8BB8812A"/>
    <w:lvl w:ilvl="0" w:tplc="9AB0D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9CE7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80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6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C8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06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C9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AC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20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A6333CD"/>
    <w:multiLevelType w:val="hybridMultilevel"/>
    <w:tmpl w:val="A64AD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6C5B20F9"/>
    <w:multiLevelType w:val="hybridMultilevel"/>
    <w:tmpl w:val="596E6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61137"/>
    <w:multiLevelType w:val="hybridMultilevel"/>
    <w:tmpl w:val="1DB621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DB87A33"/>
    <w:multiLevelType w:val="multilevel"/>
    <w:tmpl w:val="B4D2589C"/>
    <w:lvl w:ilvl="0">
      <w:start w:val="1"/>
      <w:numFmt w:val="bullet"/>
      <w:pStyle w:val="QA1-Bullet-1st-Cle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000000" w:themeColor="text1"/>
        <w:sz w:val="16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  <w:sz w:val="16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808080"/>
        <w:sz w:val="16"/>
      </w:rPr>
    </w:lvl>
    <w:lvl w:ilvl="5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</w:abstractNum>
  <w:abstractNum w:abstractNumId="14" w15:restartNumberingAfterBreak="0">
    <w:nsid w:val="7E7176E8"/>
    <w:multiLevelType w:val="singleLevel"/>
    <w:tmpl w:val="F65E1552"/>
    <w:lvl w:ilvl="0">
      <w:start w:val="1"/>
      <w:numFmt w:val="bullet"/>
      <w:pStyle w:val="Level2nopoin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1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oNotDisplayPageBoundarie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E9"/>
    <w:rsid w:val="000001AA"/>
    <w:rsid w:val="000009AD"/>
    <w:rsid w:val="000009CE"/>
    <w:rsid w:val="00000BEC"/>
    <w:rsid w:val="00000C78"/>
    <w:rsid w:val="00000CF0"/>
    <w:rsid w:val="00000D48"/>
    <w:rsid w:val="00001817"/>
    <w:rsid w:val="00001EF4"/>
    <w:rsid w:val="00002310"/>
    <w:rsid w:val="0000265D"/>
    <w:rsid w:val="000029E9"/>
    <w:rsid w:val="00003422"/>
    <w:rsid w:val="000036E3"/>
    <w:rsid w:val="000038AB"/>
    <w:rsid w:val="00003F79"/>
    <w:rsid w:val="000046CC"/>
    <w:rsid w:val="00004702"/>
    <w:rsid w:val="000048BC"/>
    <w:rsid w:val="000057C1"/>
    <w:rsid w:val="0000599F"/>
    <w:rsid w:val="00005E38"/>
    <w:rsid w:val="00006B7B"/>
    <w:rsid w:val="00007181"/>
    <w:rsid w:val="0001037D"/>
    <w:rsid w:val="00010E65"/>
    <w:rsid w:val="00010EF6"/>
    <w:rsid w:val="00010EFA"/>
    <w:rsid w:val="0001150F"/>
    <w:rsid w:val="0001152C"/>
    <w:rsid w:val="0001185A"/>
    <w:rsid w:val="00011AEF"/>
    <w:rsid w:val="00012B1F"/>
    <w:rsid w:val="000138EB"/>
    <w:rsid w:val="000139B5"/>
    <w:rsid w:val="00013BB0"/>
    <w:rsid w:val="00013E39"/>
    <w:rsid w:val="00013EA6"/>
    <w:rsid w:val="00014512"/>
    <w:rsid w:val="000145DA"/>
    <w:rsid w:val="000152E7"/>
    <w:rsid w:val="00015BC1"/>
    <w:rsid w:val="0001608E"/>
    <w:rsid w:val="00016177"/>
    <w:rsid w:val="00016298"/>
    <w:rsid w:val="00016A51"/>
    <w:rsid w:val="00017619"/>
    <w:rsid w:val="00017624"/>
    <w:rsid w:val="00020147"/>
    <w:rsid w:val="0002094B"/>
    <w:rsid w:val="0002098F"/>
    <w:rsid w:val="000209FE"/>
    <w:rsid w:val="00020EE2"/>
    <w:rsid w:val="00021289"/>
    <w:rsid w:val="0002227F"/>
    <w:rsid w:val="00022360"/>
    <w:rsid w:val="000223B2"/>
    <w:rsid w:val="00023555"/>
    <w:rsid w:val="000238FA"/>
    <w:rsid w:val="00023DAA"/>
    <w:rsid w:val="00023E74"/>
    <w:rsid w:val="000243F0"/>
    <w:rsid w:val="00024A62"/>
    <w:rsid w:val="00024AC7"/>
    <w:rsid w:val="000253EC"/>
    <w:rsid w:val="00025957"/>
    <w:rsid w:val="00025BA7"/>
    <w:rsid w:val="00025ECA"/>
    <w:rsid w:val="000270C6"/>
    <w:rsid w:val="00030419"/>
    <w:rsid w:val="0003069C"/>
    <w:rsid w:val="00030EE2"/>
    <w:rsid w:val="00030F0B"/>
    <w:rsid w:val="000314AD"/>
    <w:rsid w:val="000314D4"/>
    <w:rsid w:val="00031BA6"/>
    <w:rsid w:val="00031E52"/>
    <w:rsid w:val="00031FF1"/>
    <w:rsid w:val="00032756"/>
    <w:rsid w:val="0003277E"/>
    <w:rsid w:val="00032B7A"/>
    <w:rsid w:val="00032DEA"/>
    <w:rsid w:val="00032F33"/>
    <w:rsid w:val="00033304"/>
    <w:rsid w:val="00033409"/>
    <w:rsid w:val="00033412"/>
    <w:rsid w:val="00033574"/>
    <w:rsid w:val="00033990"/>
    <w:rsid w:val="00033BC4"/>
    <w:rsid w:val="00034084"/>
    <w:rsid w:val="00034414"/>
    <w:rsid w:val="000346A9"/>
    <w:rsid w:val="000346B8"/>
    <w:rsid w:val="00034865"/>
    <w:rsid w:val="00034F95"/>
    <w:rsid w:val="000357D2"/>
    <w:rsid w:val="00035AB9"/>
    <w:rsid w:val="00035E68"/>
    <w:rsid w:val="000366A1"/>
    <w:rsid w:val="000368E2"/>
    <w:rsid w:val="00036A2B"/>
    <w:rsid w:val="00036D8B"/>
    <w:rsid w:val="000370F6"/>
    <w:rsid w:val="000378FA"/>
    <w:rsid w:val="00037CBD"/>
    <w:rsid w:val="0004026C"/>
    <w:rsid w:val="000403BB"/>
    <w:rsid w:val="000407A5"/>
    <w:rsid w:val="00040802"/>
    <w:rsid w:val="00041C86"/>
    <w:rsid w:val="0004240D"/>
    <w:rsid w:val="000430CB"/>
    <w:rsid w:val="0004424A"/>
    <w:rsid w:val="00044659"/>
    <w:rsid w:val="00044773"/>
    <w:rsid w:val="00044B0F"/>
    <w:rsid w:val="00044D21"/>
    <w:rsid w:val="00044E4A"/>
    <w:rsid w:val="00044E7A"/>
    <w:rsid w:val="00044EE9"/>
    <w:rsid w:val="0004507D"/>
    <w:rsid w:val="000459E4"/>
    <w:rsid w:val="00046D73"/>
    <w:rsid w:val="00047024"/>
    <w:rsid w:val="00050B3D"/>
    <w:rsid w:val="00050EEC"/>
    <w:rsid w:val="00051155"/>
    <w:rsid w:val="00051F72"/>
    <w:rsid w:val="00052042"/>
    <w:rsid w:val="00052501"/>
    <w:rsid w:val="00053814"/>
    <w:rsid w:val="0005470C"/>
    <w:rsid w:val="000555D7"/>
    <w:rsid w:val="00055ABC"/>
    <w:rsid w:val="00055C69"/>
    <w:rsid w:val="00055EAA"/>
    <w:rsid w:val="00056264"/>
    <w:rsid w:val="00056BB6"/>
    <w:rsid w:val="00057025"/>
    <w:rsid w:val="00057381"/>
    <w:rsid w:val="000574CB"/>
    <w:rsid w:val="0005777D"/>
    <w:rsid w:val="00057816"/>
    <w:rsid w:val="00057B46"/>
    <w:rsid w:val="000601AD"/>
    <w:rsid w:val="000603E6"/>
    <w:rsid w:val="000605FD"/>
    <w:rsid w:val="00060E93"/>
    <w:rsid w:val="00061559"/>
    <w:rsid w:val="0006242B"/>
    <w:rsid w:val="000625E9"/>
    <w:rsid w:val="00062A32"/>
    <w:rsid w:val="00062C26"/>
    <w:rsid w:val="00062CEA"/>
    <w:rsid w:val="00063266"/>
    <w:rsid w:val="00063957"/>
    <w:rsid w:val="00063A5B"/>
    <w:rsid w:val="0006447B"/>
    <w:rsid w:val="00065DAD"/>
    <w:rsid w:val="00065E6A"/>
    <w:rsid w:val="00066105"/>
    <w:rsid w:val="000665F0"/>
    <w:rsid w:val="00066B00"/>
    <w:rsid w:val="00066B4B"/>
    <w:rsid w:val="00066C39"/>
    <w:rsid w:val="00066E53"/>
    <w:rsid w:val="00066EC9"/>
    <w:rsid w:val="0006734E"/>
    <w:rsid w:val="0007029B"/>
    <w:rsid w:val="00070311"/>
    <w:rsid w:val="000703B7"/>
    <w:rsid w:val="0007073D"/>
    <w:rsid w:val="00070906"/>
    <w:rsid w:val="00071848"/>
    <w:rsid w:val="00071CA3"/>
    <w:rsid w:val="00072B36"/>
    <w:rsid w:val="00072D38"/>
    <w:rsid w:val="00072E8E"/>
    <w:rsid w:val="000731C1"/>
    <w:rsid w:val="0007321E"/>
    <w:rsid w:val="00073733"/>
    <w:rsid w:val="000737F6"/>
    <w:rsid w:val="00075C3F"/>
    <w:rsid w:val="000766C5"/>
    <w:rsid w:val="00076B83"/>
    <w:rsid w:val="000775B1"/>
    <w:rsid w:val="00080389"/>
    <w:rsid w:val="000812AA"/>
    <w:rsid w:val="00081E6A"/>
    <w:rsid w:val="000822DE"/>
    <w:rsid w:val="00082D8C"/>
    <w:rsid w:val="00082F78"/>
    <w:rsid w:val="00082FFE"/>
    <w:rsid w:val="00083090"/>
    <w:rsid w:val="000832F9"/>
    <w:rsid w:val="00083894"/>
    <w:rsid w:val="00084379"/>
    <w:rsid w:val="0008447A"/>
    <w:rsid w:val="00084CBC"/>
    <w:rsid w:val="00085354"/>
    <w:rsid w:val="00085810"/>
    <w:rsid w:val="000866E0"/>
    <w:rsid w:val="00086F86"/>
    <w:rsid w:val="00087CB9"/>
    <w:rsid w:val="00087E18"/>
    <w:rsid w:val="000903AC"/>
    <w:rsid w:val="00090852"/>
    <w:rsid w:val="00090BCB"/>
    <w:rsid w:val="00090C7C"/>
    <w:rsid w:val="00090CFB"/>
    <w:rsid w:val="0009111F"/>
    <w:rsid w:val="00091121"/>
    <w:rsid w:val="000913F0"/>
    <w:rsid w:val="00091710"/>
    <w:rsid w:val="00091C9D"/>
    <w:rsid w:val="00092CDA"/>
    <w:rsid w:val="00093487"/>
    <w:rsid w:val="00094F32"/>
    <w:rsid w:val="0009544A"/>
    <w:rsid w:val="000954C0"/>
    <w:rsid w:val="000959E5"/>
    <w:rsid w:val="00095A24"/>
    <w:rsid w:val="00096179"/>
    <w:rsid w:val="000976B8"/>
    <w:rsid w:val="0009777D"/>
    <w:rsid w:val="00097B4A"/>
    <w:rsid w:val="00097D20"/>
    <w:rsid w:val="00097F41"/>
    <w:rsid w:val="00097FCE"/>
    <w:rsid w:val="000A0456"/>
    <w:rsid w:val="000A053A"/>
    <w:rsid w:val="000A0B78"/>
    <w:rsid w:val="000A1361"/>
    <w:rsid w:val="000A1A16"/>
    <w:rsid w:val="000A1AC8"/>
    <w:rsid w:val="000A1D88"/>
    <w:rsid w:val="000A2085"/>
    <w:rsid w:val="000A2356"/>
    <w:rsid w:val="000A2671"/>
    <w:rsid w:val="000A381B"/>
    <w:rsid w:val="000A3AE6"/>
    <w:rsid w:val="000A505A"/>
    <w:rsid w:val="000A5590"/>
    <w:rsid w:val="000A67E7"/>
    <w:rsid w:val="000A68CB"/>
    <w:rsid w:val="000A6918"/>
    <w:rsid w:val="000A6B8C"/>
    <w:rsid w:val="000A778B"/>
    <w:rsid w:val="000A77DA"/>
    <w:rsid w:val="000A78AC"/>
    <w:rsid w:val="000B0B29"/>
    <w:rsid w:val="000B1EE6"/>
    <w:rsid w:val="000B20CF"/>
    <w:rsid w:val="000B2AE2"/>
    <w:rsid w:val="000B33BD"/>
    <w:rsid w:val="000B3497"/>
    <w:rsid w:val="000B3C08"/>
    <w:rsid w:val="000B3C30"/>
    <w:rsid w:val="000B442C"/>
    <w:rsid w:val="000B4A03"/>
    <w:rsid w:val="000B4CB8"/>
    <w:rsid w:val="000B4CC5"/>
    <w:rsid w:val="000B5615"/>
    <w:rsid w:val="000B5CF8"/>
    <w:rsid w:val="000B6668"/>
    <w:rsid w:val="000B7D22"/>
    <w:rsid w:val="000C06F5"/>
    <w:rsid w:val="000C0B9E"/>
    <w:rsid w:val="000C0DDC"/>
    <w:rsid w:val="000C1699"/>
    <w:rsid w:val="000C1966"/>
    <w:rsid w:val="000C1AC5"/>
    <w:rsid w:val="000C1E48"/>
    <w:rsid w:val="000C2BC0"/>
    <w:rsid w:val="000C2F8C"/>
    <w:rsid w:val="000C36E1"/>
    <w:rsid w:val="000C3A24"/>
    <w:rsid w:val="000C3C38"/>
    <w:rsid w:val="000C3CD2"/>
    <w:rsid w:val="000C3D93"/>
    <w:rsid w:val="000C41DE"/>
    <w:rsid w:val="000C46BA"/>
    <w:rsid w:val="000C5BB9"/>
    <w:rsid w:val="000C627C"/>
    <w:rsid w:val="000C63BC"/>
    <w:rsid w:val="000C6BEC"/>
    <w:rsid w:val="000C7151"/>
    <w:rsid w:val="000C744F"/>
    <w:rsid w:val="000C75C2"/>
    <w:rsid w:val="000C772F"/>
    <w:rsid w:val="000D0706"/>
    <w:rsid w:val="000D0E02"/>
    <w:rsid w:val="000D19DD"/>
    <w:rsid w:val="000D1DDA"/>
    <w:rsid w:val="000D2521"/>
    <w:rsid w:val="000D4493"/>
    <w:rsid w:val="000D4587"/>
    <w:rsid w:val="000D584D"/>
    <w:rsid w:val="000D66BE"/>
    <w:rsid w:val="000D6778"/>
    <w:rsid w:val="000D6B1E"/>
    <w:rsid w:val="000D6DF8"/>
    <w:rsid w:val="000D6E39"/>
    <w:rsid w:val="000D7811"/>
    <w:rsid w:val="000D78F7"/>
    <w:rsid w:val="000D7979"/>
    <w:rsid w:val="000D7D48"/>
    <w:rsid w:val="000E025E"/>
    <w:rsid w:val="000E02CF"/>
    <w:rsid w:val="000E0603"/>
    <w:rsid w:val="000E066F"/>
    <w:rsid w:val="000E0F0A"/>
    <w:rsid w:val="000E10CD"/>
    <w:rsid w:val="000E16F8"/>
    <w:rsid w:val="000E1AE0"/>
    <w:rsid w:val="000E26D5"/>
    <w:rsid w:val="000E2A63"/>
    <w:rsid w:val="000E2CAE"/>
    <w:rsid w:val="000E328E"/>
    <w:rsid w:val="000E3F10"/>
    <w:rsid w:val="000E4053"/>
    <w:rsid w:val="000E40E0"/>
    <w:rsid w:val="000E4408"/>
    <w:rsid w:val="000E5379"/>
    <w:rsid w:val="000E624D"/>
    <w:rsid w:val="000E6D0D"/>
    <w:rsid w:val="000E6EAA"/>
    <w:rsid w:val="000E7712"/>
    <w:rsid w:val="000F03F7"/>
    <w:rsid w:val="000F0BDB"/>
    <w:rsid w:val="000F0F70"/>
    <w:rsid w:val="000F1CE4"/>
    <w:rsid w:val="000F2042"/>
    <w:rsid w:val="000F2273"/>
    <w:rsid w:val="000F2933"/>
    <w:rsid w:val="000F2B05"/>
    <w:rsid w:val="000F2FEA"/>
    <w:rsid w:val="000F346D"/>
    <w:rsid w:val="000F383E"/>
    <w:rsid w:val="000F41A5"/>
    <w:rsid w:val="000F59EF"/>
    <w:rsid w:val="000F5B11"/>
    <w:rsid w:val="000F5B30"/>
    <w:rsid w:val="000F617E"/>
    <w:rsid w:val="000F65BC"/>
    <w:rsid w:val="000F67F5"/>
    <w:rsid w:val="000F6837"/>
    <w:rsid w:val="00100269"/>
    <w:rsid w:val="00100F59"/>
    <w:rsid w:val="00101242"/>
    <w:rsid w:val="00101735"/>
    <w:rsid w:val="001022AC"/>
    <w:rsid w:val="0010236F"/>
    <w:rsid w:val="0010313A"/>
    <w:rsid w:val="001031FE"/>
    <w:rsid w:val="0010360F"/>
    <w:rsid w:val="001049FC"/>
    <w:rsid w:val="0010514E"/>
    <w:rsid w:val="00105EB9"/>
    <w:rsid w:val="00106029"/>
    <w:rsid w:val="00107994"/>
    <w:rsid w:val="00107CA6"/>
    <w:rsid w:val="00110702"/>
    <w:rsid w:val="00110FB5"/>
    <w:rsid w:val="0011100D"/>
    <w:rsid w:val="00111BC6"/>
    <w:rsid w:val="00111E05"/>
    <w:rsid w:val="00111F2F"/>
    <w:rsid w:val="00112141"/>
    <w:rsid w:val="00112783"/>
    <w:rsid w:val="00112808"/>
    <w:rsid w:val="001136B8"/>
    <w:rsid w:val="00113F78"/>
    <w:rsid w:val="0011448C"/>
    <w:rsid w:val="00114FED"/>
    <w:rsid w:val="00115A17"/>
    <w:rsid w:val="00115FD4"/>
    <w:rsid w:val="0011636A"/>
    <w:rsid w:val="0011639D"/>
    <w:rsid w:val="0011667E"/>
    <w:rsid w:val="001170A5"/>
    <w:rsid w:val="001179E3"/>
    <w:rsid w:val="0012056F"/>
    <w:rsid w:val="00120784"/>
    <w:rsid w:val="0012084A"/>
    <w:rsid w:val="00120BAB"/>
    <w:rsid w:val="00120EF6"/>
    <w:rsid w:val="001212F8"/>
    <w:rsid w:val="00121323"/>
    <w:rsid w:val="001214B2"/>
    <w:rsid w:val="001215D4"/>
    <w:rsid w:val="00121A07"/>
    <w:rsid w:val="00122485"/>
    <w:rsid w:val="001228D4"/>
    <w:rsid w:val="00123815"/>
    <w:rsid w:val="00123A5B"/>
    <w:rsid w:val="00124D39"/>
    <w:rsid w:val="00126151"/>
    <w:rsid w:val="001261E7"/>
    <w:rsid w:val="001262B3"/>
    <w:rsid w:val="0012670D"/>
    <w:rsid w:val="00126BB6"/>
    <w:rsid w:val="00126DED"/>
    <w:rsid w:val="00127993"/>
    <w:rsid w:val="001279AB"/>
    <w:rsid w:val="00127D26"/>
    <w:rsid w:val="001303EA"/>
    <w:rsid w:val="00130B44"/>
    <w:rsid w:val="00130DD5"/>
    <w:rsid w:val="00131B97"/>
    <w:rsid w:val="00131BA1"/>
    <w:rsid w:val="00132068"/>
    <w:rsid w:val="00132DF4"/>
    <w:rsid w:val="00133D62"/>
    <w:rsid w:val="0013469F"/>
    <w:rsid w:val="00135D6B"/>
    <w:rsid w:val="00136137"/>
    <w:rsid w:val="001375F9"/>
    <w:rsid w:val="00137C83"/>
    <w:rsid w:val="00137E23"/>
    <w:rsid w:val="00137F73"/>
    <w:rsid w:val="00140166"/>
    <w:rsid w:val="0014055C"/>
    <w:rsid w:val="001406B4"/>
    <w:rsid w:val="001410EB"/>
    <w:rsid w:val="001413D9"/>
    <w:rsid w:val="00141755"/>
    <w:rsid w:val="001423E9"/>
    <w:rsid w:val="00142542"/>
    <w:rsid w:val="001427D7"/>
    <w:rsid w:val="00142850"/>
    <w:rsid w:val="001436B0"/>
    <w:rsid w:val="00143DBB"/>
    <w:rsid w:val="00143EEF"/>
    <w:rsid w:val="0014456D"/>
    <w:rsid w:val="00144BC1"/>
    <w:rsid w:val="00144E1A"/>
    <w:rsid w:val="00144E31"/>
    <w:rsid w:val="0014511D"/>
    <w:rsid w:val="001457EA"/>
    <w:rsid w:val="00145A21"/>
    <w:rsid w:val="00147835"/>
    <w:rsid w:val="001478CF"/>
    <w:rsid w:val="00150193"/>
    <w:rsid w:val="00150D05"/>
    <w:rsid w:val="0015137D"/>
    <w:rsid w:val="00151563"/>
    <w:rsid w:val="00151D74"/>
    <w:rsid w:val="001521FA"/>
    <w:rsid w:val="0015257B"/>
    <w:rsid w:val="00152690"/>
    <w:rsid w:val="00152718"/>
    <w:rsid w:val="00152FBD"/>
    <w:rsid w:val="001532F3"/>
    <w:rsid w:val="00153395"/>
    <w:rsid w:val="00153A74"/>
    <w:rsid w:val="0015414E"/>
    <w:rsid w:val="001542F1"/>
    <w:rsid w:val="001549E0"/>
    <w:rsid w:val="00154BB1"/>
    <w:rsid w:val="0015541E"/>
    <w:rsid w:val="00155EBB"/>
    <w:rsid w:val="00156195"/>
    <w:rsid w:val="00156DF2"/>
    <w:rsid w:val="00156F5B"/>
    <w:rsid w:val="00157767"/>
    <w:rsid w:val="00157A97"/>
    <w:rsid w:val="00160340"/>
    <w:rsid w:val="00160D2D"/>
    <w:rsid w:val="00160D86"/>
    <w:rsid w:val="0016119F"/>
    <w:rsid w:val="001616A3"/>
    <w:rsid w:val="00161B7C"/>
    <w:rsid w:val="00161CF1"/>
    <w:rsid w:val="001622AC"/>
    <w:rsid w:val="00162389"/>
    <w:rsid w:val="001627B6"/>
    <w:rsid w:val="00162B54"/>
    <w:rsid w:val="00163342"/>
    <w:rsid w:val="001633A4"/>
    <w:rsid w:val="001635E1"/>
    <w:rsid w:val="001637BF"/>
    <w:rsid w:val="001640E5"/>
    <w:rsid w:val="001644E8"/>
    <w:rsid w:val="00164773"/>
    <w:rsid w:val="001647CC"/>
    <w:rsid w:val="00164B4D"/>
    <w:rsid w:val="00165792"/>
    <w:rsid w:val="00167165"/>
    <w:rsid w:val="001671A4"/>
    <w:rsid w:val="00167BCD"/>
    <w:rsid w:val="00170347"/>
    <w:rsid w:val="001705B2"/>
    <w:rsid w:val="00170B7B"/>
    <w:rsid w:val="00170BE7"/>
    <w:rsid w:val="00171A92"/>
    <w:rsid w:val="00171AB4"/>
    <w:rsid w:val="00171C66"/>
    <w:rsid w:val="001729EB"/>
    <w:rsid w:val="001737D8"/>
    <w:rsid w:val="0017498A"/>
    <w:rsid w:val="00175428"/>
    <w:rsid w:val="00175464"/>
    <w:rsid w:val="00175A11"/>
    <w:rsid w:val="00176343"/>
    <w:rsid w:val="00176DD7"/>
    <w:rsid w:val="0017738D"/>
    <w:rsid w:val="00177766"/>
    <w:rsid w:val="0017790C"/>
    <w:rsid w:val="00177AA7"/>
    <w:rsid w:val="00177F98"/>
    <w:rsid w:val="00180DD5"/>
    <w:rsid w:val="00180F0F"/>
    <w:rsid w:val="00180FDB"/>
    <w:rsid w:val="001818ED"/>
    <w:rsid w:val="0018193E"/>
    <w:rsid w:val="00181C5A"/>
    <w:rsid w:val="00183B0F"/>
    <w:rsid w:val="00183F2F"/>
    <w:rsid w:val="001840E8"/>
    <w:rsid w:val="00184748"/>
    <w:rsid w:val="001847DD"/>
    <w:rsid w:val="00184CC5"/>
    <w:rsid w:val="00185C6D"/>
    <w:rsid w:val="00185F6B"/>
    <w:rsid w:val="001864A8"/>
    <w:rsid w:val="001872B5"/>
    <w:rsid w:val="00187E21"/>
    <w:rsid w:val="00190155"/>
    <w:rsid w:val="0019052C"/>
    <w:rsid w:val="00190B42"/>
    <w:rsid w:val="00190C4B"/>
    <w:rsid w:val="00191809"/>
    <w:rsid w:val="00192104"/>
    <w:rsid w:val="00192397"/>
    <w:rsid w:val="0019315A"/>
    <w:rsid w:val="001931AA"/>
    <w:rsid w:val="0019328B"/>
    <w:rsid w:val="001949D1"/>
    <w:rsid w:val="0019514A"/>
    <w:rsid w:val="00195500"/>
    <w:rsid w:val="00195D3E"/>
    <w:rsid w:val="00195F7B"/>
    <w:rsid w:val="0019618E"/>
    <w:rsid w:val="001968AC"/>
    <w:rsid w:val="00197A16"/>
    <w:rsid w:val="001A03CC"/>
    <w:rsid w:val="001A09A1"/>
    <w:rsid w:val="001A0CB0"/>
    <w:rsid w:val="001A10DB"/>
    <w:rsid w:val="001A145F"/>
    <w:rsid w:val="001A1AEF"/>
    <w:rsid w:val="001A2156"/>
    <w:rsid w:val="001A21C4"/>
    <w:rsid w:val="001A2423"/>
    <w:rsid w:val="001A29A7"/>
    <w:rsid w:val="001A31C6"/>
    <w:rsid w:val="001A398E"/>
    <w:rsid w:val="001A3FB9"/>
    <w:rsid w:val="001A4088"/>
    <w:rsid w:val="001A42E3"/>
    <w:rsid w:val="001A4568"/>
    <w:rsid w:val="001A46F5"/>
    <w:rsid w:val="001A490E"/>
    <w:rsid w:val="001A4B8E"/>
    <w:rsid w:val="001A58DF"/>
    <w:rsid w:val="001A5BBC"/>
    <w:rsid w:val="001A6290"/>
    <w:rsid w:val="001A6E6B"/>
    <w:rsid w:val="001A751B"/>
    <w:rsid w:val="001A7B26"/>
    <w:rsid w:val="001A7DE2"/>
    <w:rsid w:val="001B0391"/>
    <w:rsid w:val="001B091F"/>
    <w:rsid w:val="001B0DE0"/>
    <w:rsid w:val="001B1352"/>
    <w:rsid w:val="001B1513"/>
    <w:rsid w:val="001B1AD3"/>
    <w:rsid w:val="001B2B30"/>
    <w:rsid w:val="001B2EE4"/>
    <w:rsid w:val="001B2EED"/>
    <w:rsid w:val="001B2F0A"/>
    <w:rsid w:val="001B360A"/>
    <w:rsid w:val="001B3D8F"/>
    <w:rsid w:val="001B400D"/>
    <w:rsid w:val="001B4031"/>
    <w:rsid w:val="001B46E2"/>
    <w:rsid w:val="001B5FF8"/>
    <w:rsid w:val="001B6575"/>
    <w:rsid w:val="001B6FA5"/>
    <w:rsid w:val="001B7B24"/>
    <w:rsid w:val="001C04E5"/>
    <w:rsid w:val="001C076A"/>
    <w:rsid w:val="001C0C20"/>
    <w:rsid w:val="001C0E47"/>
    <w:rsid w:val="001C10FD"/>
    <w:rsid w:val="001C16CF"/>
    <w:rsid w:val="001C16EC"/>
    <w:rsid w:val="001C186B"/>
    <w:rsid w:val="001C21A9"/>
    <w:rsid w:val="001C267F"/>
    <w:rsid w:val="001C437D"/>
    <w:rsid w:val="001C458D"/>
    <w:rsid w:val="001C4621"/>
    <w:rsid w:val="001C4907"/>
    <w:rsid w:val="001C4A87"/>
    <w:rsid w:val="001C525A"/>
    <w:rsid w:val="001C5443"/>
    <w:rsid w:val="001C5786"/>
    <w:rsid w:val="001C5A2A"/>
    <w:rsid w:val="001C5BE1"/>
    <w:rsid w:val="001C5DFB"/>
    <w:rsid w:val="001C6304"/>
    <w:rsid w:val="001C6BD2"/>
    <w:rsid w:val="001C6BFF"/>
    <w:rsid w:val="001C7B5B"/>
    <w:rsid w:val="001C7BB7"/>
    <w:rsid w:val="001C7F78"/>
    <w:rsid w:val="001D0071"/>
    <w:rsid w:val="001D0226"/>
    <w:rsid w:val="001D0C17"/>
    <w:rsid w:val="001D1CA7"/>
    <w:rsid w:val="001D1E65"/>
    <w:rsid w:val="001D2155"/>
    <w:rsid w:val="001D269F"/>
    <w:rsid w:val="001D3A35"/>
    <w:rsid w:val="001D3EDE"/>
    <w:rsid w:val="001D3F51"/>
    <w:rsid w:val="001D476F"/>
    <w:rsid w:val="001D5829"/>
    <w:rsid w:val="001D5B15"/>
    <w:rsid w:val="001D7AAA"/>
    <w:rsid w:val="001D7E4C"/>
    <w:rsid w:val="001E01BC"/>
    <w:rsid w:val="001E0219"/>
    <w:rsid w:val="001E02B0"/>
    <w:rsid w:val="001E0D30"/>
    <w:rsid w:val="001E11B3"/>
    <w:rsid w:val="001E13A3"/>
    <w:rsid w:val="001E1944"/>
    <w:rsid w:val="001E1A7B"/>
    <w:rsid w:val="001E1EB6"/>
    <w:rsid w:val="001E1F8A"/>
    <w:rsid w:val="001E2211"/>
    <w:rsid w:val="001E2751"/>
    <w:rsid w:val="001E2B01"/>
    <w:rsid w:val="001E2BC9"/>
    <w:rsid w:val="001E32CA"/>
    <w:rsid w:val="001E41B0"/>
    <w:rsid w:val="001E4D69"/>
    <w:rsid w:val="001E50E1"/>
    <w:rsid w:val="001E5239"/>
    <w:rsid w:val="001E5309"/>
    <w:rsid w:val="001E5EA1"/>
    <w:rsid w:val="001E6577"/>
    <w:rsid w:val="001E6A24"/>
    <w:rsid w:val="001E70C7"/>
    <w:rsid w:val="001E7684"/>
    <w:rsid w:val="001E77B6"/>
    <w:rsid w:val="001F07B4"/>
    <w:rsid w:val="001F0829"/>
    <w:rsid w:val="001F096A"/>
    <w:rsid w:val="001F0E82"/>
    <w:rsid w:val="001F1A0D"/>
    <w:rsid w:val="001F1EB0"/>
    <w:rsid w:val="001F2391"/>
    <w:rsid w:val="001F242B"/>
    <w:rsid w:val="001F27E5"/>
    <w:rsid w:val="001F2990"/>
    <w:rsid w:val="001F35A2"/>
    <w:rsid w:val="001F3AEF"/>
    <w:rsid w:val="001F405F"/>
    <w:rsid w:val="001F4335"/>
    <w:rsid w:val="001F43C0"/>
    <w:rsid w:val="001F4769"/>
    <w:rsid w:val="001F4A35"/>
    <w:rsid w:val="001F4E0D"/>
    <w:rsid w:val="001F4E4B"/>
    <w:rsid w:val="001F54B8"/>
    <w:rsid w:val="001F58E5"/>
    <w:rsid w:val="001F59B4"/>
    <w:rsid w:val="001F60BC"/>
    <w:rsid w:val="001F6890"/>
    <w:rsid w:val="001F68BC"/>
    <w:rsid w:val="001F6AC8"/>
    <w:rsid w:val="001F7B56"/>
    <w:rsid w:val="001F7F3A"/>
    <w:rsid w:val="0020000E"/>
    <w:rsid w:val="00200C09"/>
    <w:rsid w:val="0020125F"/>
    <w:rsid w:val="00201731"/>
    <w:rsid w:val="00201DAE"/>
    <w:rsid w:val="00202114"/>
    <w:rsid w:val="002028E4"/>
    <w:rsid w:val="00202BFE"/>
    <w:rsid w:val="002034C2"/>
    <w:rsid w:val="00203524"/>
    <w:rsid w:val="00203B9A"/>
    <w:rsid w:val="00203E6F"/>
    <w:rsid w:val="002052A1"/>
    <w:rsid w:val="00205E56"/>
    <w:rsid w:val="002063EE"/>
    <w:rsid w:val="0020682B"/>
    <w:rsid w:val="0020692C"/>
    <w:rsid w:val="00206BE0"/>
    <w:rsid w:val="00206EB7"/>
    <w:rsid w:val="00207482"/>
    <w:rsid w:val="002078DF"/>
    <w:rsid w:val="00207CF3"/>
    <w:rsid w:val="00210463"/>
    <w:rsid w:val="00210B1C"/>
    <w:rsid w:val="00210D12"/>
    <w:rsid w:val="0021108D"/>
    <w:rsid w:val="00211D32"/>
    <w:rsid w:val="0021267B"/>
    <w:rsid w:val="00212D58"/>
    <w:rsid w:val="002131A4"/>
    <w:rsid w:val="0021341B"/>
    <w:rsid w:val="00213A3B"/>
    <w:rsid w:val="00213A8A"/>
    <w:rsid w:val="002147BD"/>
    <w:rsid w:val="00214CFB"/>
    <w:rsid w:val="00214F9F"/>
    <w:rsid w:val="00215286"/>
    <w:rsid w:val="002158FE"/>
    <w:rsid w:val="002159CE"/>
    <w:rsid w:val="002159DF"/>
    <w:rsid w:val="00215BCB"/>
    <w:rsid w:val="00216582"/>
    <w:rsid w:val="00216AD0"/>
    <w:rsid w:val="00216AFF"/>
    <w:rsid w:val="00216D83"/>
    <w:rsid w:val="002176E7"/>
    <w:rsid w:val="00220CAC"/>
    <w:rsid w:val="002215A6"/>
    <w:rsid w:val="00221A2E"/>
    <w:rsid w:val="00222748"/>
    <w:rsid w:val="00222B1F"/>
    <w:rsid w:val="00223729"/>
    <w:rsid w:val="00223BE5"/>
    <w:rsid w:val="00224F54"/>
    <w:rsid w:val="00224FF8"/>
    <w:rsid w:val="00225428"/>
    <w:rsid w:val="00225C35"/>
    <w:rsid w:val="0022617E"/>
    <w:rsid w:val="00226F3D"/>
    <w:rsid w:val="00227241"/>
    <w:rsid w:val="0022776C"/>
    <w:rsid w:val="00230093"/>
    <w:rsid w:val="0023012C"/>
    <w:rsid w:val="00230357"/>
    <w:rsid w:val="002308E0"/>
    <w:rsid w:val="00232A0D"/>
    <w:rsid w:val="00233258"/>
    <w:rsid w:val="0023345C"/>
    <w:rsid w:val="00233513"/>
    <w:rsid w:val="0023358A"/>
    <w:rsid w:val="0023486D"/>
    <w:rsid w:val="0023562B"/>
    <w:rsid w:val="002367C5"/>
    <w:rsid w:val="002371CB"/>
    <w:rsid w:val="00237EDE"/>
    <w:rsid w:val="002400E2"/>
    <w:rsid w:val="00240E94"/>
    <w:rsid w:val="00240F9D"/>
    <w:rsid w:val="00241228"/>
    <w:rsid w:val="00241657"/>
    <w:rsid w:val="0024184D"/>
    <w:rsid w:val="00241D35"/>
    <w:rsid w:val="00242034"/>
    <w:rsid w:val="002421D3"/>
    <w:rsid w:val="002422D7"/>
    <w:rsid w:val="00242B67"/>
    <w:rsid w:val="002441DE"/>
    <w:rsid w:val="002442F3"/>
    <w:rsid w:val="002445FB"/>
    <w:rsid w:val="00244948"/>
    <w:rsid w:val="002449A5"/>
    <w:rsid w:val="00245DCF"/>
    <w:rsid w:val="0024655C"/>
    <w:rsid w:val="00246AB8"/>
    <w:rsid w:val="002501ED"/>
    <w:rsid w:val="002509AF"/>
    <w:rsid w:val="00250B77"/>
    <w:rsid w:val="00250CA1"/>
    <w:rsid w:val="00250D5B"/>
    <w:rsid w:val="0025113B"/>
    <w:rsid w:val="00251176"/>
    <w:rsid w:val="00251374"/>
    <w:rsid w:val="00251597"/>
    <w:rsid w:val="00252201"/>
    <w:rsid w:val="00252AB5"/>
    <w:rsid w:val="00252AF9"/>
    <w:rsid w:val="00252D76"/>
    <w:rsid w:val="00252F9C"/>
    <w:rsid w:val="002532E5"/>
    <w:rsid w:val="002543DD"/>
    <w:rsid w:val="0025556C"/>
    <w:rsid w:val="00255667"/>
    <w:rsid w:val="00256EFF"/>
    <w:rsid w:val="00257056"/>
    <w:rsid w:val="00257193"/>
    <w:rsid w:val="00257CE0"/>
    <w:rsid w:val="00257FBE"/>
    <w:rsid w:val="002602F0"/>
    <w:rsid w:val="00260BC3"/>
    <w:rsid w:val="0026130C"/>
    <w:rsid w:val="002618DB"/>
    <w:rsid w:val="00262BB1"/>
    <w:rsid w:val="00262E16"/>
    <w:rsid w:val="00263095"/>
    <w:rsid w:val="00263635"/>
    <w:rsid w:val="00263CC4"/>
    <w:rsid w:val="002645E7"/>
    <w:rsid w:val="00264711"/>
    <w:rsid w:val="002651E6"/>
    <w:rsid w:val="00265EC8"/>
    <w:rsid w:val="002660F8"/>
    <w:rsid w:val="00266BBB"/>
    <w:rsid w:val="00266C36"/>
    <w:rsid w:val="0026708F"/>
    <w:rsid w:val="002670A9"/>
    <w:rsid w:val="00267368"/>
    <w:rsid w:val="00267991"/>
    <w:rsid w:val="00267997"/>
    <w:rsid w:val="00267D9B"/>
    <w:rsid w:val="00271904"/>
    <w:rsid w:val="0027286F"/>
    <w:rsid w:val="0027295C"/>
    <w:rsid w:val="00272990"/>
    <w:rsid w:val="0027337C"/>
    <w:rsid w:val="00273BC7"/>
    <w:rsid w:val="00273EF1"/>
    <w:rsid w:val="002740F5"/>
    <w:rsid w:val="002746E3"/>
    <w:rsid w:val="00274794"/>
    <w:rsid w:val="00274920"/>
    <w:rsid w:val="0027555C"/>
    <w:rsid w:val="00275B6F"/>
    <w:rsid w:val="002760EE"/>
    <w:rsid w:val="00276347"/>
    <w:rsid w:val="0027664C"/>
    <w:rsid w:val="0027702C"/>
    <w:rsid w:val="00277285"/>
    <w:rsid w:val="00277397"/>
    <w:rsid w:val="00280494"/>
    <w:rsid w:val="0028053D"/>
    <w:rsid w:val="00280787"/>
    <w:rsid w:val="00280BE3"/>
    <w:rsid w:val="002812FA"/>
    <w:rsid w:val="00281492"/>
    <w:rsid w:val="00282A71"/>
    <w:rsid w:val="00282E42"/>
    <w:rsid w:val="0028398B"/>
    <w:rsid w:val="00283D40"/>
    <w:rsid w:val="00284120"/>
    <w:rsid w:val="00284372"/>
    <w:rsid w:val="0028470C"/>
    <w:rsid w:val="00284B16"/>
    <w:rsid w:val="00284CF4"/>
    <w:rsid w:val="00285167"/>
    <w:rsid w:val="002851AC"/>
    <w:rsid w:val="002856BC"/>
    <w:rsid w:val="00286555"/>
    <w:rsid w:val="00287C0A"/>
    <w:rsid w:val="00290263"/>
    <w:rsid w:val="00290384"/>
    <w:rsid w:val="002903C9"/>
    <w:rsid w:val="0029094C"/>
    <w:rsid w:val="00290C1E"/>
    <w:rsid w:val="00290F5C"/>
    <w:rsid w:val="002910CD"/>
    <w:rsid w:val="00291DB1"/>
    <w:rsid w:val="00291FDA"/>
    <w:rsid w:val="0029234C"/>
    <w:rsid w:val="00292462"/>
    <w:rsid w:val="002925FA"/>
    <w:rsid w:val="0029295E"/>
    <w:rsid w:val="0029301C"/>
    <w:rsid w:val="002936E3"/>
    <w:rsid w:val="002937B7"/>
    <w:rsid w:val="00294857"/>
    <w:rsid w:val="00295586"/>
    <w:rsid w:val="002959D3"/>
    <w:rsid w:val="00296337"/>
    <w:rsid w:val="00296586"/>
    <w:rsid w:val="0029677C"/>
    <w:rsid w:val="00296A00"/>
    <w:rsid w:val="00296D70"/>
    <w:rsid w:val="00296E9C"/>
    <w:rsid w:val="00297045"/>
    <w:rsid w:val="00297048"/>
    <w:rsid w:val="00297BF7"/>
    <w:rsid w:val="002A0188"/>
    <w:rsid w:val="002A0B48"/>
    <w:rsid w:val="002A0FBC"/>
    <w:rsid w:val="002A0FDD"/>
    <w:rsid w:val="002A2042"/>
    <w:rsid w:val="002A2323"/>
    <w:rsid w:val="002A244B"/>
    <w:rsid w:val="002A27F4"/>
    <w:rsid w:val="002A515E"/>
    <w:rsid w:val="002A5271"/>
    <w:rsid w:val="002A572E"/>
    <w:rsid w:val="002A57D6"/>
    <w:rsid w:val="002A58B2"/>
    <w:rsid w:val="002A6649"/>
    <w:rsid w:val="002A7139"/>
    <w:rsid w:val="002A717C"/>
    <w:rsid w:val="002A7F95"/>
    <w:rsid w:val="002B04DE"/>
    <w:rsid w:val="002B0864"/>
    <w:rsid w:val="002B0A1D"/>
    <w:rsid w:val="002B0D25"/>
    <w:rsid w:val="002B1882"/>
    <w:rsid w:val="002B1C2F"/>
    <w:rsid w:val="002B1E09"/>
    <w:rsid w:val="002B1E47"/>
    <w:rsid w:val="002B2779"/>
    <w:rsid w:val="002B288D"/>
    <w:rsid w:val="002B2931"/>
    <w:rsid w:val="002B2F4F"/>
    <w:rsid w:val="002B368D"/>
    <w:rsid w:val="002B3B76"/>
    <w:rsid w:val="002B3B98"/>
    <w:rsid w:val="002B3FA3"/>
    <w:rsid w:val="002B4324"/>
    <w:rsid w:val="002B435A"/>
    <w:rsid w:val="002B4570"/>
    <w:rsid w:val="002B4663"/>
    <w:rsid w:val="002B482C"/>
    <w:rsid w:val="002B5013"/>
    <w:rsid w:val="002B5F30"/>
    <w:rsid w:val="002B6068"/>
    <w:rsid w:val="002B60BC"/>
    <w:rsid w:val="002B66FB"/>
    <w:rsid w:val="002B6C9F"/>
    <w:rsid w:val="002B6D69"/>
    <w:rsid w:val="002B6FC1"/>
    <w:rsid w:val="002B76E5"/>
    <w:rsid w:val="002B7D6A"/>
    <w:rsid w:val="002C0AD0"/>
    <w:rsid w:val="002C0B11"/>
    <w:rsid w:val="002C0D11"/>
    <w:rsid w:val="002C10A9"/>
    <w:rsid w:val="002C16D2"/>
    <w:rsid w:val="002C1C46"/>
    <w:rsid w:val="002C3A21"/>
    <w:rsid w:val="002C3C90"/>
    <w:rsid w:val="002C3E0A"/>
    <w:rsid w:val="002C4A3E"/>
    <w:rsid w:val="002C59C6"/>
    <w:rsid w:val="002C5B04"/>
    <w:rsid w:val="002C6F3C"/>
    <w:rsid w:val="002C79D9"/>
    <w:rsid w:val="002C7BAF"/>
    <w:rsid w:val="002C7BF5"/>
    <w:rsid w:val="002C7FEB"/>
    <w:rsid w:val="002D0446"/>
    <w:rsid w:val="002D17C0"/>
    <w:rsid w:val="002D1BA3"/>
    <w:rsid w:val="002D24F9"/>
    <w:rsid w:val="002D25D2"/>
    <w:rsid w:val="002D304B"/>
    <w:rsid w:val="002D462B"/>
    <w:rsid w:val="002D462D"/>
    <w:rsid w:val="002D4C5E"/>
    <w:rsid w:val="002D5A13"/>
    <w:rsid w:val="002D764C"/>
    <w:rsid w:val="002E0FD1"/>
    <w:rsid w:val="002E1477"/>
    <w:rsid w:val="002E177A"/>
    <w:rsid w:val="002E17A1"/>
    <w:rsid w:val="002E1A21"/>
    <w:rsid w:val="002E1A8F"/>
    <w:rsid w:val="002E1ED9"/>
    <w:rsid w:val="002E28FC"/>
    <w:rsid w:val="002E2EB6"/>
    <w:rsid w:val="002E2F8D"/>
    <w:rsid w:val="002E308D"/>
    <w:rsid w:val="002E35F0"/>
    <w:rsid w:val="002E39FA"/>
    <w:rsid w:val="002E42F1"/>
    <w:rsid w:val="002E46BE"/>
    <w:rsid w:val="002E4926"/>
    <w:rsid w:val="002E5778"/>
    <w:rsid w:val="002E59AD"/>
    <w:rsid w:val="002E5CA4"/>
    <w:rsid w:val="002E5D3B"/>
    <w:rsid w:val="002E6031"/>
    <w:rsid w:val="002E6F31"/>
    <w:rsid w:val="002E7150"/>
    <w:rsid w:val="002E7388"/>
    <w:rsid w:val="002F06BD"/>
    <w:rsid w:val="002F0707"/>
    <w:rsid w:val="002F0726"/>
    <w:rsid w:val="002F08DC"/>
    <w:rsid w:val="002F0E55"/>
    <w:rsid w:val="002F131C"/>
    <w:rsid w:val="002F13BB"/>
    <w:rsid w:val="002F1507"/>
    <w:rsid w:val="002F1572"/>
    <w:rsid w:val="002F1F0E"/>
    <w:rsid w:val="002F21CA"/>
    <w:rsid w:val="002F2333"/>
    <w:rsid w:val="002F24A8"/>
    <w:rsid w:val="002F2A2D"/>
    <w:rsid w:val="002F36FD"/>
    <w:rsid w:val="002F3B34"/>
    <w:rsid w:val="002F3D64"/>
    <w:rsid w:val="002F3E9C"/>
    <w:rsid w:val="002F4199"/>
    <w:rsid w:val="002F566E"/>
    <w:rsid w:val="002F5894"/>
    <w:rsid w:val="002F6B1D"/>
    <w:rsid w:val="002F6C16"/>
    <w:rsid w:val="002F6DAB"/>
    <w:rsid w:val="002F6ED9"/>
    <w:rsid w:val="002F7190"/>
    <w:rsid w:val="002F757F"/>
    <w:rsid w:val="002F7819"/>
    <w:rsid w:val="002F7C66"/>
    <w:rsid w:val="00300007"/>
    <w:rsid w:val="0030054B"/>
    <w:rsid w:val="003014DB"/>
    <w:rsid w:val="0030157A"/>
    <w:rsid w:val="00301F3A"/>
    <w:rsid w:val="00301FDE"/>
    <w:rsid w:val="003020B8"/>
    <w:rsid w:val="003022D3"/>
    <w:rsid w:val="00302B7F"/>
    <w:rsid w:val="003035F7"/>
    <w:rsid w:val="00303884"/>
    <w:rsid w:val="003038EA"/>
    <w:rsid w:val="00304417"/>
    <w:rsid w:val="00304941"/>
    <w:rsid w:val="003052F6"/>
    <w:rsid w:val="0030549D"/>
    <w:rsid w:val="00305D78"/>
    <w:rsid w:val="00305F6B"/>
    <w:rsid w:val="003064C6"/>
    <w:rsid w:val="00306814"/>
    <w:rsid w:val="00306FF6"/>
    <w:rsid w:val="0030747A"/>
    <w:rsid w:val="003074E3"/>
    <w:rsid w:val="00311602"/>
    <w:rsid w:val="003124EC"/>
    <w:rsid w:val="00312912"/>
    <w:rsid w:val="00312CCC"/>
    <w:rsid w:val="003139BF"/>
    <w:rsid w:val="00314276"/>
    <w:rsid w:val="003151DA"/>
    <w:rsid w:val="00315633"/>
    <w:rsid w:val="00315EE8"/>
    <w:rsid w:val="00315FBD"/>
    <w:rsid w:val="00316A2C"/>
    <w:rsid w:val="00317653"/>
    <w:rsid w:val="00317A48"/>
    <w:rsid w:val="00317D0B"/>
    <w:rsid w:val="00317DE0"/>
    <w:rsid w:val="00320495"/>
    <w:rsid w:val="0032096D"/>
    <w:rsid w:val="00320D64"/>
    <w:rsid w:val="00321242"/>
    <w:rsid w:val="0032196C"/>
    <w:rsid w:val="0032198E"/>
    <w:rsid w:val="003224C6"/>
    <w:rsid w:val="003239D1"/>
    <w:rsid w:val="00323C3C"/>
    <w:rsid w:val="00323CB0"/>
    <w:rsid w:val="003243FD"/>
    <w:rsid w:val="00324D15"/>
    <w:rsid w:val="00326231"/>
    <w:rsid w:val="0032645C"/>
    <w:rsid w:val="00326687"/>
    <w:rsid w:val="00327104"/>
    <w:rsid w:val="00327A64"/>
    <w:rsid w:val="00327DB0"/>
    <w:rsid w:val="00330FB1"/>
    <w:rsid w:val="00331927"/>
    <w:rsid w:val="00331983"/>
    <w:rsid w:val="003319EB"/>
    <w:rsid w:val="00331C20"/>
    <w:rsid w:val="00331E66"/>
    <w:rsid w:val="003320A1"/>
    <w:rsid w:val="003321D6"/>
    <w:rsid w:val="0033239A"/>
    <w:rsid w:val="0033266A"/>
    <w:rsid w:val="00332AB7"/>
    <w:rsid w:val="003333AB"/>
    <w:rsid w:val="003333AF"/>
    <w:rsid w:val="0033359B"/>
    <w:rsid w:val="00333ABE"/>
    <w:rsid w:val="00333B22"/>
    <w:rsid w:val="00334C0F"/>
    <w:rsid w:val="00334E24"/>
    <w:rsid w:val="00334E79"/>
    <w:rsid w:val="00334FAD"/>
    <w:rsid w:val="003352D3"/>
    <w:rsid w:val="0033532C"/>
    <w:rsid w:val="00335590"/>
    <w:rsid w:val="00335642"/>
    <w:rsid w:val="003359DC"/>
    <w:rsid w:val="00335F62"/>
    <w:rsid w:val="003360A5"/>
    <w:rsid w:val="00336C2C"/>
    <w:rsid w:val="00336D32"/>
    <w:rsid w:val="00337139"/>
    <w:rsid w:val="00337592"/>
    <w:rsid w:val="003377F9"/>
    <w:rsid w:val="00341118"/>
    <w:rsid w:val="00341297"/>
    <w:rsid w:val="003420C7"/>
    <w:rsid w:val="00342EEA"/>
    <w:rsid w:val="003436E8"/>
    <w:rsid w:val="003448DF"/>
    <w:rsid w:val="003455D8"/>
    <w:rsid w:val="00345833"/>
    <w:rsid w:val="00346BEE"/>
    <w:rsid w:val="00347610"/>
    <w:rsid w:val="00347E20"/>
    <w:rsid w:val="00347F13"/>
    <w:rsid w:val="00350267"/>
    <w:rsid w:val="00350321"/>
    <w:rsid w:val="00350B35"/>
    <w:rsid w:val="00350D66"/>
    <w:rsid w:val="00350F88"/>
    <w:rsid w:val="00351062"/>
    <w:rsid w:val="0035128A"/>
    <w:rsid w:val="00351427"/>
    <w:rsid w:val="00351A7E"/>
    <w:rsid w:val="00351AF2"/>
    <w:rsid w:val="00351E15"/>
    <w:rsid w:val="003523FB"/>
    <w:rsid w:val="003535C6"/>
    <w:rsid w:val="0035394A"/>
    <w:rsid w:val="0035428A"/>
    <w:rsid w:val="00354621"/>
    <w:rsid w:val="003546F4"/>
    <w:rsid w:val="0035473D"/>
    <w:rsid w:val="00354DEA"/>
    <w:rsid w:val="00355B10"/>
    <w:rsid w:val="00356447"/>
    <w:rsid w:val="003576A7"/>
    <w:rsid w:val="00360006"/>
    <w:rsid w:val="00360288"/>
    <w:rsid w:val="00360A57"/>
    <w:rsid w:val="00360BAE"/>
    <w:rsid w:val="00361A91"/>
    <w:rsid w:val="00361AAE"/>
    <w:rsid w:val="00361D84"/>
    <w:rsid w:val="00362756"/>
    <w:rsid w:val="00362ACC"/>
    <w:rsid w:val="00363073"/>
    <w:rsid w:val="003642C3"/>
    <w:rsid w:val="003644EA"/>
    <w:rsid w:val="0036461C"/>
    <w:rsid w:val="00364A66"/>
    <w:rsid w:val="00364B8F"/>
    <w:rsid w:val="00365000"/>
    <w:rsid w:val="0036726F"/>
    <w:rsid w:val="00367663"/>
    <w:rsid w:val="00367A93"/>
    <w:rsid w:val="00367BDD"/>
    <w:rsid w:val="00370199"/>
    <w:rsid w:val="00370A24"/>
    <w:rsid w:val="00370B43"/>
    <w:rsid w:val="00371983"/>
    <w:rsid w:val="003719E8"/>
    <w:rsid w:val="003728D0"/>
    <w:rsid w:val="00373455"/>
    <w:rsid w:val="003739B9"/>
    <w:rsid w:val="00373CA6"/>
    <w:rsid w:val="00373E6B"/>
    <w:rsid w:val="00374619"/>
    <w:rsid w:val="00374A01"/>
    <w:rsid w:val="00375A12"/>
    <w:rsid w:val="00375C98"/>
    <w:rsid w:val="003760BD"/>
    <w:rsid w:val="00376FCB"/>
    <w:rsid w:val="0037705D"/>
    <w:rsid w:val="003778E4"/>
    <w:rsid w:val="00377CD2"/>
    <w:rsid w:val="00377D3D"/>
    <w:rsid w:val="0038030D"/>
    <w:rsid w:val="0038077D"/>
    <w:rsid w:val="00381158"/>
    <w:rsid w:val="00381175"/>
    <w:rsid w:val="00381A5B"/>
    <w:rsid w:val="0038206B"/>
    <w:rsid w:val="00382368"/>
    <w:rsid w:val="003826C8"/>
    <w:rsid w:val="00382798"/>
    <w:rsid w:val="00382B8D"/>
    <w:rsid w:val="00383269"/>
    <w:rsid w:val="0038342D"/>
    <w:rsid w:val="00383741"/>
    <w:rsid w:val="00383E0B"/>
    <w:rsid w:val="00384599"/>
    <w:rsid w:val="00385BF7"/>
    <w:rsid w:val="00385D23"/>
    <w:rsid w:val="00385E26"/>
    <w:rsid w:val="003862E2"/>
    <w:rsid w:val="003864EA"/>
    <w:rsid w:val="00387E9F"/>
    <w:rsid w:val="003904EC"/>
    <w:rsid w:val="003905B1"/>
    <w:rsid w:val="003910AD"/>
    <w:rsid w:val="0039167B"/>
    <w:rsid w:val="003916CC"/>
    <w:rsid w:val="003919AC"/>
    <w:rsid w:val="00391A97"/>
    <w:rsid w:val="00391E3B"/>
    <w:rsid w:val="00392A12"/>
    <w:rsid w:val="003932B4"/>
    <w:rsid w:val="00393C5B"/>
    <w:rsid w:val="0039403B"/>
    <w:rsid w:val="00394411"/>
    <w:rsid w:val="00394997"/>
    <w:rsid w:val="00395B9E"/>
    <w:rsid w:val="00395E3A"/>
    <w:rsid w:val="0039660C"/>
    <w:rsid w:val="003967E0"/>
    <w:rsid w:val="003968EE"/>
    <w:rsid w:val="003975A3"/>
    <w:rsid w:val="00397C99"/>
    <w:rsid w:val="003A010D"/>
    <w:rsid w:val="003A088A"/>
    <w:rsid w:val="003A0A82"/>
    <w:rsid w:val="003A0FBE"/>
    <w:rsid w:val="003A1A61"/>
    <w:rsid w:val="003A2B6E"/>
    <w:rsid w:val="003A3151"/>
    <w:rsid w:val="003A3E50"/>
    <w:rsid w:val="003A4807"/>
    <w:rsid w:val="003A4903"/>
    <w:rsid w:val="003A49ED"/>
    <w:rsid w:val="003A4A4E"/>
    <w:rsid w:val="003A5543"/>
    <w:rsid w:val="003A557E"/>
    <w:rsid w:val="003A6564"/>
    <w:rsid w:val="003A67FF"/>
    <w:rsid w:val="003A69AF"/>
    <w:rsid w:val="003A7154"/>
    <w:rsid w:val="003A768B"/>
    <w:rsid w:val="003A7BD4"/>
    <w:rsid w:val="003B0194"/>
    <w:rsid w:val="003B07EE"/>
    <w:rsid w:val="003B0DF0"/>
    <w:rsid w:val="003B0EAC"/>
    <w:rsid w:val="003B113D"/>
    <w:rsid w:val="003B117B"/>
    <w:rsid w:val="003B1BAE"/>
    <w:rsid w:val="003B1BF8"/>
    <w:rsid w:val="003B1C05"/>
    <w:rsid w:val="003B26AB"/>
    <w:rsid w:val="003B28AD"/>
    <w:rsid w:val="003B30B4"/>
    <w:rsid w:val="003B365C"/>
    <w:rsid w:val="003B3E75"/>
    <w:rsid w:val="003B3F01"/>
    <w:rsid w:val="003B41B2"/>
    <w:rsid w:val="003B4545"/>
    <w:rsid w:val="003B48B6"/>
    <w:rsid w:val="003B4B07"/>
    <w:rsid w:val="003B5945"/>
    <w:rsid w:val="003B5DD4"/>
    <w:rsid w:val="003B639B"/>
    <w:rsid w:val="003B6732"/>
    <w:rsid w:val="003B686F"/>
    <w:rsid w:val="003B6974"/>
    <w:rsid w:val="003B6D07"/>
    <w:rsid w:val="003B6D23"/>
    <w:rsid w:val="003B76D7"/>
    <w:rsid w:val="003C04B5"/>
    <w:rsid w:val="003C056B"/>
    <w:rsid w:val="003C0B68"/>
    <w:rsid w:val="003C1725"/>
    <w:rsid w:val="003C1BBF"/>
    <w:rsid w:val="003C1E29"/>
    <w:rsid w:val="003C230F"/>
    <w:rsid w:val="003C2475"/>
    <w:rsid w:val="003C2AFF"/>
    <w:rsid w:val="003C4003"/>
    <w:rsid w:val="003C4861"/>
    <w:rsid w:val="003C51E7"/>
    <w:rsid w:val="003C728E"/>
    <w:rsid w:val="003C77B5"/>
    <w:rsid w:val="003C7809"/>
    <w:rsid w:val="003D0115"/>
    <w:rsid w:val="003D0330"/>
    <w:rsid w:val="003D0898"/>
    <w:rsid w:val="003D0A86"/>
    <w:rsid w:val="003D0CF0"/>
    <w:rsid w:val="003D13D6"/>
    <w:rsid w:val="003D1430"/>
    <w:rsid w:val="003D1530"/>
    <w:rsid w:val="003D1745"/>
    <w:rsid w:val="003D1774"/>
    <w:rsid w:val="003D1905"/>
    <w:rsid w:val="003D1C68"/>
    <w:rsid w:val="003D2EB3"/>
    <w:rsid w:val="003D344A"/>
    <w:rsid w:val="003D3ADD"/>
    <w:rsid w:val="003D44AB"/>
    <w:rsid w:val="003D49CF"/>
    <w:rsid w:val="003D53A3"/>
    <w:rsid w:val="003D6BD1"/>
    <w:rsid w:val="003D79EE"/>
    <w:rsid w:val="003D7EDB"/>
    <w:rsid w:val="003E0627"/>
    <w:rsid w:val="003E08A7"/>
    <w:rsid w:val="003E0D67"/>
    <w:rsid w:val="003E199F"/>
    <w:rsid w:val="003E20F8"/>
    <w:rsid w:val="003E23ED"/>
    <w:rsid w:val="003E3D42"/>
    <w:rsid w:val="003E447F"/>
    <w:rsid w:val="003E4E31"/>
    <w:rsid w:val="003E4E43"/>
    <w:rsid w:val="003E55E6"/>
    <w:rsid w:val="003E66C5"/>
    <w:rsid w:val="003E7116"/>
    <w:rsid w:val="003E7BDA"/>
    <w:rsid w:val="003E7E12"/>
    <w:rsid w:val="003F02CC"/>
    <w:rsid w:val="003F0361"/>
    <w:rsid w:val="003F065F"/>
    <w:rsid w:val="003F0A0C"/>
    <w:rsid w:val="003F0D56"/>
    <w:rsid w:val="003F11FF"/>
    <w:rsid w:val="003F1617"/>
    <w:rsid w:val="003F1672"/>
    <w:rsid w:val="003F1BC5"/>
    <w:rsid w:val="003F1E41"/>
    <w:rsid w:val="003F20D3"/>
    <w:rsid w:val="003F3821"/>
    <w:rsid w:val="003F4945"/>
    <w:rsid w:val="003F4A21"/>
    <w:rsid w:val="003F4D95"/>
    <w:rsid w:val="003F5055"/>
    <w:rsid w:val="003F5126"/>
    <w:rsid w:val="003F52DB"/>
    <w:rsid w:val="003F5322"/>
    <w:rsid w:val="003F54D0"/>
    <w:rsid w:val="003F693D"/>
    <w:rsid w:val="003F7B7C"/>
    <w:rsid w:val="0040016C"/>
    <w:rsid w:val="00400311"/>
    <w:rsid w:val="0040098C"/>
    <w:rsid w:val="00400C12"/>
    <w:rsid w:val="00401285"/>
    <w:rsid w:val="00402550"/>
    <w:rsid w:val="00402E49"/>
    <w:rsid w:val="004033E4"/>
    <w:rsid w:val="004036F3"/>
    <w:rsid w:val="00403AEB"/>
    <w:rsid w:val="00403F0E"/>
    <w:rsid w:val="0040408A"/>
    <w:rsid w:val="00404801"/>
    <w:rsid w:val="00404AFC"/>
    <w:rsid w:val="00404C6B"/>
    <w:rsid w:val="00404C92"/>
    <w:rsid w:val="00404D37"/>
    <w:rsid w:val="00405C9C"/>
    <w:rsid w:val="004068B0"/>
    <w:rsid w:val="00407024"/>
    <w:rsid w:val="00407064"/>
    <w:rsid w:val="00407985"/>
    <w:rsid w:val="004109FD"/>
    <w:rsid w:val="00410B71"/>
    <w:rsid w:val="00411C13"/>
    <w:rsid w:val="00411D2F"/>
    <w:rsid w:val="00412480"/>
    <w:rsid w:val="00412B8D"/>
    <w:rsid w:val="00412C61"/>
    <w:rsid w:val="00412DCF"/>
    <w:rsid w:val="00413860"/>
    <w:rsid w:val="00413A90"/>
    <w:rsid w:val="00413D56"/>
    <w:rsid w:val="00414514"/>
    <w:rsid w:val="00414E86"/>
    <w:rsid w:val="0041506D"/>
    <w:rsid w:val="0041512A"/>
    <w:rsid w:val="004152E9"/>
    <w:rsid w:val="004156FC"/>
    <w:rsid w:val="00415952"/>
    <w:rsid w:val="00415BFE"/>
    <w:rsid w:val="00416389"/>
    <w:rsid w:val="004164F9"/>
    <w:rsid w:val="00416812"/>
    <w:rsid w:val="00416A23"/>
    <w:rsid w:val="004179D5"/>
    <w:rsid w:val="00417AFE"/>
    <w:rsid w:val="004206B6"/>
    <w:rsid w:val="00420906"/>
    <w:rsid w:val="00420A55"/>
    <w:rsid w:val="00421757"/>
    <w:rsid w:val="0042187B"/>
    <w:rsid w:val="00422380"/>
    <w:rsid w:val="004226CA"/>
    <w:rsid w:val="00422A2F"/>
    <w:rsid w:val="00423266"/>
    <w:rsid w:val="00423BEC"/>
    <w:rsid w:val="00424984"/>
    <w:rsid w:val="004250D7"/>
    <w:rsid w:val="00425175"/>
    <w:rsid w:val="00425824"/>
    <w:rsid w:val="00426027"/>
    <w:rsid w:val="00426303"/>
    <w:rsid w:val="00426804"/>
    <w:rsid w:val="00426CAB"/>
    <w:rsid w:val="00427516"/>
    <w:rsid w:val="00427ECF"/>
    <w:rsid w:val="004309E0"/>
    <w:rsid w:val="00430C3A"/>
    <w:rsid w:val="00430D60"/>
    <w:rsid w:val="00430F86"/>
    <w:rsid w:val="0043187E"/>
    <w:rsid w:val="00431FD6"/>
    <w:rsid w:val="004320DC"/>
    <w:rsid w:val="00432854"/>
    <w:rsid w:val="00432C40"/>
    <w:rsid w:val="00433270"/>
    <w:rsid w:val="0043328C"/>
    <w:rsid w:val="004335E5"/>
    <w:rsid w:val="00433995"/>
    <w:rsid w:val="004348F4"/>
    <w:rsid w:val="004359E0"/>
    <w:rsid w:val="00435A3A"/>
    <w:rsid w:val="00435ABD"/>
    <w:rsid w:val="00435ECF"/>
    <w:rsid w:val="004360A5"/>
    <w:rsid w:val="00436410"/>
    <w:rsid w:val="00436B1F"/>
    <w:rsid w:val="00437ABF"/>
    <w:rsid w:val="0044039D"/>
    <w:rsid w:val="00440C3E"/>
    <w:rsid w:val="00440D51"/>
    <w:rsid w:val="00441A0B"/>
    <w:rsid w:val="00441EEC"/>
    <w:rsid w:val="0044304B"/>
    <w:rsid w:val="004430EE"/>
    <w:rsid w:val="00443251"/>
    <w:rsid w:val="004435EC"/>
    <w:rsid w:val="00443631"/>
    <w:rsid w:val="00443B83"/>
    <w:rsid w:val="00443ED4"/>
    <w:rsid w:val="00444A8F"/>
    <w:rsid w:val="004469AC"/>
    <w:rsid w:val="00446ADF"/>
    <w:rsid w:val="00446DA9"/>
    <w:rsid w:val="00446EC6"/>
    <w:rsid w:val="004476F1"/>
    <w:rsid w:val="00447B63"/>
    <w:rsid w:val="00447C76"/>
    <w:rsid w:val="004501E1"/>
    <w:rsid w:val="004503E4"/>
    <w:rsid w:val="00451F11"/>
    <w:rsid w:val="004520D5"/>
    <w:rsid w:val="004528BA"/>
    <w:rsid w:val="00452F5A"/>
    <w:rsid w:val="0045314B"/>
    <w:rsid w:val="00453183"/>
    <w:rsid w:val="00453378"/>
    <w:rsid w:val="00453D67"/>
    <w:rsid w:val="00453DAD"/>
    <w:rsid w:val="00454505"/>
    <w:rsid w:val="00454FC3"/>
    <w:rsid w:val="00455024"/>
    <w:rsid w:val="00456224"/>
    <w:rsid w:val="004562DC"/>
    <w:rsid w:val="00456544"/>
    <w:rsid w:val="00457A87"/>
    <w:rsid w:val="00457C69"/>
    <w:rsid w:val="00457D59"/>
    <w:rsid w:val="00457E38"/>
    <w:rsid w:val="00460E1B"/>
    <w:rsid w:val="00460FCD"/>
    <w:rsid w:val="0046121D"/>
    <w:rsid w:val="00461E52"/>
    <w:rsid w:val="0046290C"/>
    <w:rsid w:val="00463149"/>
    <w:rsid w:val="00463359"/>
    <w:rsid w:val="00463403"/>
    <w:rsid w:val="004634FB"/>
    <w:rsid w:val="0046388B"/>
    <w:rsid w:val="004638E0"/>
    <w:rsid w:val="00464DA7"/>
    <w:rsid w:val="00465270"/>
    <w:rsid w:val="00465AEA"/>
    <w:rsid w:val="00466139"/>
    <w:rsid w:val="0046796D"/>
    <w:rsid w:val="0047064D"/>
    <w:rsid w:val="0047084C"/>
    <w:rsid w:val="00470870"/>
    <w:rsid w:val="00470A45"/>
    <w:rsid w:val="004711BF"/>
    <w:rsid w:val="00471350"/>
    <w:rsid w:val="004713E4"/>
    <w:rsid w:val="00471AB2"/>
    <w:rsid w:val="00472B12"/>
    <w:rsid w:val="00472BED"/>
    <w:rsid w:val="00473BC7"/>
    <w:rsid w:val="00473ED3"/>
    <w:rsid w:val="00474C71"/>
    <w:rsid w:val="00475128"/>
    <w:rsid w:val="0047515B"/>
    <w:rsid w:val="00475AFD"/>
    <w:rsid w:val="00475E84"/>
    <w:rsid w:val="00476023"/>
    <w:rsid w:val="00476135"/>
    <w:rsid w:val="0047639A"/>
    <w:rsid w:val="004766E5"/>
    <w:rsid w:val="00476D63"/>
    <w:rsid w:val="00476DE6"/>
    <w:rsid w:val="00477B10"/>
    <w:rsid w:val="0048020E"/>
    <w:rsid w:val="004802A3"/>
    <w:rsid w:val="00480509"/>
    <w:rsid w:val="00480592"/>
    <w:rsid w:val="00480633"/>
    <w:rsid w:val="004806F6"/>
    <w:rsid w:val="004807FE"/>
    <w:rsid w:val="00480AC8"/>
    <w:rsid w:val="00480E3F"/>
    <w:rsid w:val="0048171B"/>
    <w:rsid w:val="004818C9"/>
    <w:rsid w:val="004818E6"/>
    <w:rsid w:val="00481C24"/>
    <w:rsid w:val="00481DE5"/>
    <w:rsid w:val="004822D0"/>
    <w:rsid w:val="00482D96"/>
    <w:rsid w:val="004830D0"/>
    <w:rsid w:val="004837C0"/>
    <w:rsid w:val="00483908"/>
    <w:rsid w:val="0048454C"/>
    <w:rsid w:val="00484724"/>
    <w:rsid w:val="00484C92"/>
    <w:rsid w:val="00484FAD"/>
    <w:rsid w:val="00485163"/>
    <w:rsid w:val="004858F3"/>
    <w:rsid w:val="004858F7"/>
    <w:rsid w:val="004872C4"/>
    <w:rsid w:val="00491019"/>
    <w:rsid w:val="00491269"/>
    <w:rsid w:val="004914AA"/>
    <w:rsid w:val="00491534"/>
    <w:rsid w:val="004917E0"/>
    <w:rsid w:val="004918A3"/>
    <w:rsid w:val="004920BD"/>
    <w:rsid w:val="00492BF7"/>
    <w:rsid w:val="00492F77"/>
    <w:rsid w:val="00494034"/>
    <w:rsid w:val="004940A3"/>
    <w:rsid w:val="00494292"/>
    <w:rsid w:val="00494295"/>
    <w:rsid w:val="00494452"/>
    <w:rsid w:val="00494754"/>
    <w:rsid w:val="00494F43"/>
    <w:rsid w:val="00494F87"/>
    <w:rsid w:val="00495C19"/>
    <w:rsid w:val="00496E59"/>
    <w:rsid w:val="004972A4"/>
    <w:rsid w:val="00497573"/>
    <w:rsid w:val="00497C58"/>
    <w:rsid w:val="00497ECE"/>
    <w:rsid w:val="004A00C9"/>
    <w:rsid w:val="004A030D"/>
    <w:rsid w:val="004A031D"/>
    <w:rsid w:val="004A06F1"/>
    <w:rsid w:val="004A087D"/>
    <w:rsid w:val="004A08A3"/>
    <w:rsid w:val="004A0D82"/>
    <w:rsid w:val="004A0F3E"/>
    <w:rsid w:val="004A1F71"/>
    <w:rsid w:val="004A235E"/>
    <w:rsid w:val="004A4319"/>
    <w:rsid w:val="004A559B"/>
    <w:rsid w:val="004A601A"/>
    <w:rsid w:val="004A6B01"/>
    <w:rsid w:val="004A6B0F"/>
    <w:rsid w:val="004A747A"/>
    <w:rsid w:val="004A75E8"/>
    <w:rsid w:val="004A7D94"/>
    <w:rsid w:val="004B0F42"/>
    <w:rsid w:val="004B1B99"/>
    <w:rsid w:val="004B1DBB"/>
    <w:rsid w:val="004B2151"/>
    <w:rsid w:val="004B2AB9"/>
    <w:rsid w:val="004B2EC7"/>
    <w:rsid w:val="004B45A3"/>
    <w:rsid w:val="004B488D"/>
    <w:rsid w:val="004B62BA"/>
    <w:rsid w:val="004B63AD"/>
    <w:rsid w:val="004B63D7"/>
    <w:rsid w:val="004B6F72"/>
    <w:rsid w:val="004B71E2"/>
    <w:rsid w:val="004B7E87"/>
    <w:rsid w:val="004B7FD8"/>
    <w:rsid w:val="004C0123"/>
    <w:rsid w:val="004C06FE"/>
    <w:rsid w:val="004C221A"/>
    <w:rsid w:val="004C3002"/>
    <w:rsid w:val="004C3185"/>
    <w:rsid w:val="004C3DD5"/>
    <w:rsid w:val="004C46DD"/>
    <w:rsid w:val="004C4C9D"/>
    <w:rsid w:val="004C4D90"/>
    <w:rsid w:val="004C5432"/>
    <w:rsid w:val="004C54C6"/>
    <w:rsid w:val="004C5C11"/>
    <w:rsid w:val="004C5DDE"/>
    <w:rsid w:val="004C5DEC"/>
    <w:rsid w:val="004C5F94"/>
    <w:rsid w:val="004C6391"/>
    <w:rsid w:val="004C6D15"/>
    <w:rsid w:val="004C7606"/>
    <w:rsid w:val="004C78CC"/>
    <w:rsid w:val="004C7BB8"/>
    <w:rsid w:val="004C7BEC"/>
    <w:rsid w:val="004D0704"/>
    <w:rsid w:val="004D0EFE"/>
    <w:rsid w:val="004D11A1"/>
    <w:rsid w:val="004D127F"/>
    <w:rsid w:val="004D1969"/>
    <w:rsid w:val="004D1B0F"/>
    <w:rsid w:val="004D1DFE"/>
    <w:rsid w:val="004D28E4"/>
    <w:rsid w:val="004D2D33"/>
    <w:rsid w:val="004D3353"/>
    <w:rsid w:val="004D420C"/>
    <w:rsid w:val="004D4DB9"/>
    <w:rsid w:val="004D4EF9"/>
    <w:rsid w:val="004D5AB8"/>
    <w:rsid w:val="004D5C56"/>
    <w:rsid w:val="004D5CD1"/>
    <w:rsid w:val="004D5D65"/>
    <w:rsid w:val="004D666E"/>
    <w:rsid w:val="004D6A86"/>
    <w:rsid w:val="004D6B37"/>
    <w:rsid w:val="004D7BB1"/>
    <w:rsid w:val="004D7DF2"/>
    <w:rsid w:val="004E1433"/>
    <w:rsid w:val="004E1D2C"/>
    <w:rsid w:val="004E1DC2"/>
    <w:rsid w:val="004E1F8B"/>
    <w:rsid w:val="004E22EA"/>
    <w:rsid w:val="004E29EC"/>
    <w:rsid w:val="004E2D9B"/>
    <w:rsid w:val="004E2F2D"/>
    <w:rsid w:val="004E2FFD"/>
    <w:rsid w:val="004E4046"/>
    <w:rsid w:val="004E54BF"/>
    <w:rsid w:val="004E57D3"/>
    <w:rsid w:val="004E5AE0"/>
    <w:rsid w:val="004E61C6"/>
    <w:rsid w:val="004E66EF"/>
    <w:rsid w:val="004E6A1E"/>
    <w:rsid w:val="004E7682"/>
    <w:rsid w:val="004E76EC"/>
    <w:rsid w:val="004E79DA"/>
    <w:rsid w:val="004F01D4"/>
    <w:rsid w:val="004F149B"/>
    <w:rsid w:val="004F188B"/>
    <w:rsid w:val="004F19C4"/>
    <w:rsid w:val="004F1A8D"/>
    <w:rsid w:val="004F1B33"/>
    <w:rsid w:val="004F2DB0"/>
    <w:rsid w:val="004F41BD"/>
    <w:rsid w:val="004F4B48"/>
    <w:rsid w:val="004F4E4D"/>
    <w:rsid w:val="004F4FA0"/>
    <w:rsid w:val="004F564B"/>
    <w:rsid w:val="004F570B"/>
    <w:rsid w:val="004F58B8"/>
    <w:rsid w:val="004F5D05"/>
    <w:rsid w:val="004F5D76"/>
    <w:rsid w:val="004F5DA4"/>
    <w:rsid w:val="004F66FF"/>
    <w:rsid w:val="004F7544"/>
    <w:rsid w:val="004F7BE1"/>
    <w:rsid w:val="0050119C"/>
    <w:rsid w:val="005014FE"/>
    <w:rsid w:val="00501A3B"/>
    <w:rsid w:val="00501B5C"/>
    <w:rsid w:val="005022F2"/>
    <w:rsid w:val="0050295A"/>
    <w:rsid w:val="00502F92"/>
    <w:rsid w:val="0050336C"/>
    <w:rsid w:val="00503AB6"/>
    <w:rsid w:val="00503F57"/>
    <w:rsid w:val="00503F5E"/>
    <w:rsid w:val="00503F67"/>
    <w:rsid w:val="0050471E"/>
    <w:rsid w:val="00504A35"/>
    <w:rsid w:val="00505202"/>
    <w:rsid w:val="00505B9D"/>
    <w:rsid w:val="00505BAE"/>
    <w:rsid w:val="00505C1D"/>
    <w:rsid w:val="005060EB"/>
    <w:rsid w:val="0050616F"/>
    <w:rsid w:val="00506254"/>
    <w:rsid w:val="00506661"/>
    <w:rsid w:val="00506831"/>
    <w:rsid w:val="00506E13"/>
    <w:rsid w:val="00506E85"/>
    <w:rsid w:val="0050714C"/>
    <w:rsid w:val="00507229"/>
    <w:rsid w:val="0050729C"/>
    <w:rsid w:val="005100EB"/>
    <w:rsid w:val="005102CD"/>
    <w:rsid w:val="00510B61"/>
    <w:rsid w:val="0051119A"/>
    <w:rsid w:val="00511B17"/>
    <w:rsid w:val="00511CBA"/>
    <w:rsid w:val="005124F9"/>
    <w:rsid w:val="00512620"/>
    <w:rsid w:val="00512699"/>
    <w:rsid w:val="00512D19"/>
    <w:rsid w:val="00512E39"/>
    <w:rsid w:val="005132A6"/>
    <w:rsid w:val="00513898"/>
    <w:rsid w:val="00514344"/>
    <w:rsid w:val="005144E2"/>
    <w:rsid w:val="005147E8"/>
    <w:rsid w:val="00514BC7"/>
    <w:rsid w:val="00514FC2"/>
    <w:rsid w:val="005150D3"/>
    <w:rsid w:val="00515429"/>
    <w:rsid w:val="00515543"/>
    <w:rsid w:val="00515B4E"/>
    <w:rsid w:val="00516C64"/>
    <w:rsid w:val="00516D1A"/>
    <w:rsid w:val="00516FA6"/>
    <w:rsid w:val="005173E7"/>
    <w:rsid w:val="00517AC1"/>
    <w:rsid w:val="00520112"/>
    <w:rsid w:val="00520807"/>
    <w:rsid w:val="00520AAB"/>
    <w:rsid w:val="0052178F"/>
    <w:rsid w:val="005219C6"/>
    <w:rsid w:val="00522046"/>
    <w:rsid w:val="00522425"/>
    <w:rsid w:val="005224AB"/>
    <w:rsid w:val="00522708"/>
    <w:rsid w:val="00522968"/>
    <w:rsid w:val="0052299E"/>
    <w:rsid w:val="0052346A"/>
    <w:rsid w:val="0052364F"/>
    <w:rsid w:val="00523B11"/>
    <w:rsid w:val="00523F35"/>
    <w:rsid w:val="0052417E"/>
    <w:rsid w:val="005243BC"/>
    <w:rsid w:val="0052493D"/>
    <w:rsid w:val="00524BA3"/>
    <w:rsid w:val="005257D2"/>
    <w:rsid w:val="00526305"/>
    <w:rsid w:val="00526752"/>
    <w:rsid w:val="00526F93"/>
    <w:rsid w:val="0052761B"/>
    <w:rsid w:val="00527BC7"/>
    <w:rsid w:val="00530AD9"/>
    <w:rsid w:val="00531124"/>
    <w:rsid w:val="005313A2"/>
    <w:rsid w:val="00531A13"/>
    <w:rsid w:val="005323C4"/>
    <w:rsid w:val="005326E6"/>
    <w:rsid w:val="0053284E"/>
    <w:rsid w:val="0053294F"/>
    <w:rsid w:val="005329AE"/>
    <w:rsid w:val="00534684"/>
    <w:rsid w:val="00534F31"/>
    <w:rsid w:val="005353FB"/>
    <w:rsid w:val="005354BA"/>
    <w:rsid w:val="00535CA2"/>
    <w:rsid w:val="00535D0E"/>
    <w:rsid w:val="00535F99"/>
    <w:rsid w:val="00535FBC"/>
    <w:rsid w:val="005372CD"/>
    <w:rsid w:val="00537344"/>
    <w:rsid w:val="005373EA"/>
    <w:rsid w:val="00537D52"/>
    <w:rsid w:val="0054067A"/>
    <w:rsid w:val="005407C2"/>
    <w:rsid w:val="00540AE2"/>
    <w:rsid w:val="00540C50"/>
    <w:rsid w:val="00540EDF"/>
    <w:rsid w:val="005414C3"/>
    <w:rsid w:val="0054150F"/>
    <w:rsid w:val="00541809"/>
    <w:rsid w:val="00541F81"/>
    <w:rsid w:val="00542271"/>
    <w:rsid w:val="00542785"/>
    <w:rsid w:val="005435A8"/>
    <w:rsid w:val="0054369F"/>
    <w:rsid w:val="005436F7"/>
    <w:rsid w:val="00543B13"/>
    <w:rsid w:val="00544423"/>
    <w:rsid w:val="0054522D"/>
    <w:rsid w:val="005453FF"/>
    <w:rsid w:val="005460F4"/>
    <w:rsid w:val="005468F6"/>
    <w:rsid w:val="00547011"/>
    <w:rsid w:val="0054706A"/>
    <w:rsid w:val="005472A7"/>
    <w:rsid w:val="005475BF"/>
    <w:rsid w:val="0054760B"/>
    <w:rsid w:val="00547E57"/>
    <w:rsid w:val="005502B4"/>
    <w:rsid w:val="0055084F"/>
    <w:rsid w:val="005518F1"/>
    <w:rsid w:val="005519E9"/>
    <w:rsid w:val="00551F9F"/>
    <w:rsid w:val="005525C8"/>
    <w:rsid w:val="00552830"/>
    <w:rsid w:val="00552993"/>
    <w:rsid w:val="005533ED"/>
    <w:rsid w:val="005542B0"/>
    <w:rsid w:val="005547D0"/>
    <w:rsid w:val="00554C5D"/>
    <w:rsid w:val="00554EC5"/>
    <w:rsid w:val="005555D5"/>
    <w:rsid w:val="005555D8"/>
    <w:rsid w:val="00555AFB"/>
    <w:rsid w:val="00555BA5"/>
    <w:rsid w:val="00555DE9"/>
    <w:rsid w:val="00556C3F"/>
    <w:rsid w:val="00556EC5"/>
    <w:rsid w:val="005576FD"/>
    <w:rsid w:val="00557941"/>
    <w:rsid w:val="005579D4"/>
    <w:rsid w:val="00557A55"/>
    <w:rsid w:val="00560592"/>
    <w:rsid w:val="00561166"/>
    <w:rsid w:val="00561212"/>
    <w:rsid w:val="00561798"/>
    <w:rsid w:val="00561D5C"/>
    <w:rsid w:val="00561E3B"/>
    <w:rsid w:val="0056222E"/>
    <w:rsid w:val="00562E49"/>
    <w:rsid w:val="005630C3"/>
    <w:rsid w:val="00563C57"/>
    <w:rsid w:val="00563C58"/>
    <w:rsid w:val="0056459A"/>
    <w:rsid w:val="005645FE"/>
    <w:rsid w:val="00564ADC"/>
    <w:rsid w:val="00564AFF"/>
    <w:rsid w:val="00565ED7"/>
    <w:rsid w:val="00566241"/>
    <w:rsid w:val="0056667B"/>
    <w:rsid w:val="005667D7"/>
    <w:rsid w:val="00566DC1"/>
    <w:rsid w:val="00566EE2"/>
    <w:rsid w:val="00566F1A"/>
    <w:rsid w:val="00567547"/>
    <w:rsid w:val="00567612"/>
    <w:rsid w:val="0056764C"/>
    <w:rsid w:val="00567A92"/>
    <w:rsid w:val="00570B2F"/>
    <w:rsid w:val="00570E13"/>
    <w:rsid w:val="00570FDF"/>
    <w:rsid w:val="00571312"/>
    <w:rsid w:val="0057132D"/>
    <w:rsid w:val="005714EF"/>
    <w:rsid w:val="00571798"/>
    <w:rsid w:val="00571CA8"/>
    <w:rsid w:val="00572527"/>
    <w:rsid w:val="00572679"/>
    <w:rsid w:val="00572906"/>
    <w:rsid w:val="00572913"/>
    <w:rsid w:val="00573B50"/>
    <w:rsid w:val="00573DA7"/>
    <w:rsid w:val="00574702"/>
    <w:rsid w:val="005751EE"/>
    <w:rsid w:val="005761EA"/>
    <w:rsid w:val="00576472"/>
    <w:rsid w:val="00576504"/>
    <w:rsid w:val="00576749"/>
    <w:rsid w:val="00576866"/>
    <w:rsid w:val="005775F1"/>
    <w:rsid w:val="0058000E"/>
    <w:rsid w:val="00581821"/>
    <w:rsid w:val="00581C75"/>
    <w:rsid w:val="00582223"/>
    <w:rsid w:val="005833DB"/>
    <w:rsid w:val="005836EA"/>
    <w:rsid w:val="005848E0"/>
    <w:rsid w:val="00584CD5"/>
    <w:rsid w:val="0058509A"/>
    <w:rsid w:val="00585163"/>
    <w:rsid w:val="005855A9"/>
    <w:rsid w:val="005856EE"/>
    <w:rsid w:val="00585F57"/>
    <w:rsid w:val="005866B4"/>
    <w:rsid w:val="0058701F"/>
    <w:rsid w:val="00587364"/>
    <w:rsid w:val="0058770A"/>
    <w:rsid w:val="005903B4"/>
    <w:rsid w:val="005903C3"/>
    <w:rsid w:val="0059117F"/>
    <w:rsid w:val="00591F9E"/>
    <w:rsid w:val="005922C4"/>
    <w:rsid w:val="00592718"/>
    <w:rsid w:val="00592836"/>
    <w:rsid w:val="00592E41"/>
    <w:rsid w:val="0059328F"/>
    <w:rsid w:val="005932A3"/>
    <w:rsid w:val="0059344E"/>
    <w:rsid w:val="0059374E"/>
    <w:rsid w:val="005944C5"/>
    <w:rsid w:val="00594601"/>
    <w:rsid w:val="005949CC"/>
    <w:rsid w:val="00594B24"/>
    <w:rsid w:val="00594D25"/>
    <w:rsid w:val="005971B7"/>
    <w:rsid w:val="0059740C"/>
    <w:rsid w:val="00597EF1"/>
    <w:rsid w:val="005A034C"/>
    <w:rsid w:val="005A04FD"/>
    <w:rsid w:val="005A22E1"/>
    <w:rsid w:val="005A2749"/>
    <w:rsid w:val="005A2878"/>
    <w:rsid w:val="005A2CE0"/>
    <w:rsid w:val="005A2D9D"/>
    <w:rsid w:val="005A3B36"/>
    <w:rsid w:val="005A3BE4"/>
    <w:rsid w:val="005A3D45"/>
    <w:rsid w:val="005A4ADF"/>
    <w:rsid w:val="005A50BD"/>
    <w:rsid w:val="005A5A79"/>
    <w:rsid w:val="005A5BC6"/>
    <w:rsid w:val="005A693E"/>
    <w:rsid w:val="005A7296"/>
    <w:rsid w:val="005B0150"/>
    <w:rsid w:val="005B01EE"/>
    <w:rsid w:val="005B02BE"/>
    <w:rsid w:val="005B02F3"/>
    <w:rsid w:val="005B2079"/>
    <w:rsid w:val="005B2E38"/>
    <w:rsid w:val="005B3713"/>
    <w:rsid w:val="005B4779"/>
    <w:rsid w:val="005B551F"/>
    <w:rsid w:val="005B5735"/>
    <w:rsid w:val="005B5E46"/>
    <w:rsid w:val="005B6541"/>
    <w:rsid w:val="005B67E6"/>
    <w:rsid w:val="005B78BB"/>
    <w:rsid w:val="005B7AA7"/>
    <w:rsid w:val="005C005F"/>
    <w:rsid w:val="005C0918"/>
    <w:rsid w:val="005C093E"/>
    <w:rsid w:val="005C0A25"/>
    <w:rsid w:val="005C0C72"/>
    <w:rsid w:val="005C1491"/>
    <w:rsid w:val="005C221D"/>
    <w:rsid w:val="005C266A"/>
    <w:rsid w:val="005C2808"/>
    <w:rsid w:val="005C2957"/>
    <w:rsid w:val="005C2B56"/>
    <w:rsid w:val="005C2E34"/>
    <w:rsid w:val="005C32D7"/>
    <w:rsid w:val="005C3620"/>
    <w:rsid w:val="005C3679"/>
    <w:rsid w:val="005C3695"/>
    <w:rsid w:val="005C3A00"/>
    <w:rsid w:val="005C42B5"/>
    <w:rsid w:val="005C4454"/>
    <w:rsid w:val="005C4897"/>
    <w:rsid w:val="005C4AF6"/>
    <w:rsid w:val="005C5309"/>
    <w:rsid w:val="005C55F1"/>
    <w:rsid w:val="005C56AB"/>
    <w:rsid w:val="005C6632"/>
    <w:rsid w:val="005C6CB6"/>
    <w:rsid w:val="005C6D5D"/>
    <w:rsid w:val="005C6FE0"/>
    <w:rsid w:val="005C70FB"/>
    <w:rsid w:val="005C72A7"/>
    <w:rsid w:val="005C72E4"/>
    <w:rsid w:val="005C730A"/>
    <w:rsid w:val="005C7913"/>
    <w:rsid w:val="005C7CBA"/>
    <w:rsid w:val="005D0301"/>
    <w:rsid w:val="005D0D69"/>
    <w:rsid w:val="005D0DF8"/>
    <w:rsid w:val="005D1240"/>
    <w:rsid w:val="005D162B"/>
    <w:rsid w:val="005D1CD5"/>
    <w:rsid w:val="005D1D0A"/>
    <w:rsid w:val="005D2391"/>
    <w:rsid w:val="005D385D"/>
    <w:rsid w:val="005D3B25"/>
    <w:rsid w:val="005D4337"/>
    <w:rsid w:val="005D5A41"/>
    <w:rsid w:val="005D7342"/>
    <w:rsid w:val="005D7529"/>
    <w:rsid w:val="005D77DE"/>
    <w:rsid w:val="005D7836"/>
    <w:rsid w:val="005D7C5C"/>
    <w:rsid w:val="005E03C5"/>
    <w:rsid w:val="005E0688"/>
    <w:rsid w:val="005E0855"/>
    <w:rsid w:val="005E0B51"/>
    <w:rsid w:val="005E168E"/>
    <w:rsid w:val="005E23A8"/>
    <w:rsid w:val="005E2E01"/>
    <w:rsid w:val="005E364C"/>
    <w:rsid w:val="005E38BD"/>
    <w:rsid w:val="005E3C86"/>
    <w:rsid w:val="005E3FC5"/>
    <w:rsid w:val="005E43B9"/>
    <w:rsid w:val="005E4501"/>
    <w:rsid w:val="005E4608"/>
    <w:rsid w:val="005E4770"/>
    <w:rsid w:val="005E4E94"/>
    <w:rsid w:val="005E5238"/>
    <w:rsid w:val="005E57D8"/>
    <w:rsid w:val="005E5D13"/>
    <w:rsid w:val="005E5E84"/>
    <w:rsid w:val="005E5F7D"/>
    <w:rsid w:val="005E5FAA"/>
    <w:rsid w:val="005E615D"/>
    <w:rsid w:val="005E6AAF"/>
    <w:rsid w:val="005E6CC1"/>
    <w:rsid w:val="005E6EB8"/>
    <w:rsid w:val="005E7028"/>
    <w:rsid w:val="005E7049"/>
    <w:rsid w:val="005E72B0"/>
    <w:rsid w:val="005E784C"/>
    <w:rsid w:val="005E78B4"/>
    <w:rsid w:val="005F1292"/>
    <w:rsid w:val="005F129D"/>
    <w:rsid w:val="005F1ACE"/>
    <w:rsid w:val="005F1C79"/>
    <w:rsid w:val="005F1D44"/>
    <w:rsid w:val="005F2BB9"/>
    <w:rsid w:val="005F3119"/>
    <w:rsid w:val="005F3487"/>
    <w:rsid w:val="005F3585"/>
    <w:rsid w:val="005F3777"/>
    <w:rsid w:val="005F45E8"/>
    <w:rsid w:val="005F4C25"/>
    <w:rsid w:val="005F4EFF"/>
    <w:rsid w:val="005F514B"/>
    <w:rsid w:val="005F55DA"/>
    <w:rsid w:val="005F55E6"/>
    <w:rsid w:val="005F68EC"/>
    <w:rsid w:val="005F697C"/>
    <w:rsid w:val="005F6AE2"/>
    <w:rsid w:val="005F7EC6"/>
    <w:rsid w:val="00600621"/>
    <w:rsid w:val="006010F4"/>
    <w:rsid w:val="006013E6"/>
    <w:rsid w:val="0060142A"/>
    <w:rsid w:val="006015E8"/>
    <w:rsid w:val="006028CB"/>
    <w:rsid w:val="00602B0B"/>
    <w:rsid w:val="00602E69"/>
    <w:rsid w:val="00603824"/>
    <w:rsid w:val="006057A9"/>
    <w:rsid w:val="00605857"/>
    <w:rsid w:val="00605D2F"/>
    <w:rsid w:val="00605F73"/>
    <w:rsid w:val="00606ADB"/>
    <w:rsid w:val="00606C84"/>
    <w:rsid w:val="00606D4B"/>
    <w:rsid w:val="006078B4"/>
    <w:rsid w:val="00607C59"/>
    <w:rsid w:val="00607D89"/>
    <w:rsid w:val="00607F19"/>
    <w:rsid w:val="00607FA2"/>
    <w:rsid w:val="00610124"/>
    <w:rsid w:val="0061073C"/>
    <w:rsid w:val="00610BF9"/>
    <w:rsid w:val="00610DB7"/>
    <w:rsid w:val="006113E1"/>
    <w:rsid w:val="00611EF4"/>
    <w:rsid w:val="00612401"/>
    <w:rsid w:val="00613473"/>
    <w:rsid w:val="00613688"/>
    <w:rsid w:val="00613717"/>
    <w:rsid w:val="00613828"/>
    <w:rsid w:val="0061452D"/>
    <w:rsid w:val="006148E3"/>
    <w:rsid w:val="00615614"/>
    <w:rsid w:val="006156ED"/>
    <w:rsid w:val="006158BB"/>
    <w:rsid w:val="0061609D"/>
    <w:rsid w:val="00616171"/>
    <w:rsid w:val="00616561"/>
    <w:rsid w:val="00616B8D"/>
    <w:rsid w:val="0061713E"/>
    <w:rsid w:val="0061785B"/>
    <w:rsid w:val="00617EB2"/>
    <w:rsid w:val="00617F51"/>
    <w:rsid w:val="00617FD9"/>
    <w:rsid w:val="00620D69"/>
    <w:rsid w:val="00620F13"/>
    <w:rsid w:val="0062108A"/>
    <w:rsid w:val="006210D4"/>
    <w:rsid w:val="00621180"/>
    <w:rsid w:val="0062150D"/>
    <w:rsid w:val="006215AB"/>
    <w:rsid w:val="00621A24"/>
    <w:rsid w:val="00621F72"/>
    <w:rsid w:val="00622061"/>
    <w:rsid w:val="00622E60"/>
    <w:rsid w:val="00623030"/>
    <w:rsid w:val="00623335"/>
    <w:rsid w:val="006238C0"/>
    <w:rsid w:val="0062392B"/>
    <w:rsid w:val="006255B4"/>
    <w:rsid w:val="006256E7"/>
    <w:rsid w:val="00625945"/>
    <w:rsid w:val="0062623C"/>
    <w:rsid w:val="006262A3"/>
    <w:rsid w:val="00626F7F"/>
    <w:rsid w:val="00627089"/>
    <w:rsid w:val="00630170"/>
    <w:rsid w:val="006305F8"/>
    <w:rsid w:val="00630717"/>
    <w:rsid w:val="00630C05"/>
    <w:rsid w:val="00630E22"/>
    <w:rsid w:val="00631159"/>
    <w:rsid w:val="0063196F"/>
    <w:rsid w:val="006325CA"/>
    <w:rsid w:val="00633827"/>
    <w:rsid w:val="00635123"/>
    <w:rsid w:val="00635A36"/>
    <w:rsid w:val="00636013"/>
    <w:rsid w:val="00636496"/>
    <w:rsid w:val="00636CF7"/>
    <w:rsid w:val="00636FC8"/>
    <w:rsid w:val="006376D6"/>
    <w:rsid w:val="0063772E"/>
    <w:rsid w:val="00637754"/>
    <w:rsid w:val="00637C81"/>
    <w:rsid w:val="00637EC2"/>
    <w:rsid w:val="00640B90"/>
    <w:rsid w:val="00640CFF"/>
    <w:rsid w:val="00641C40"/>
    <w:rsid w:val="0064305E"/>
    <w:rsid w:val="00643419"/>
    <w:rsid w:val="006449A0"/>
    <w:rsid w:val="00645689"/>
    <w:rsid w:val="00645D68"/>
    <w:rsid w:val="00645FC4"/>
    <w:rsid w:val="006460D1"/>
    <w:rsid w:val="0064713A"/>
    <w:rsid w:val="00647ABF"/>
    <w:rsid w:val="00647C6B"/>
    <w:rsid w:val="00650C5F"/>
    <w:rsid w:val="00651369"/>
    <w:rsid w:val="00651508"/>
    <w:rsid w:val="00651673"/>
    <w:rsid w:val="00651A66"/>
    <w:rsid w:val="00652537"/>
    <w:rsid w:val="006528B8"/>
    <w:rsid w:val="00652A2F"/>
    <w:rsid w:val="00653198"/>
    <w:rsid w:val="00653414"/>
    <w:rsid w:val="00653B2B"/>
    <w:rsid w:val="006542A3"/>
    <w:rsid w:val="006545BC"/>
    <w:rsid w:val="006546D2"/>
    <w:rsid w:val="006547F1"/>
    <w:rsid w:val="006549BE"/>
    <w:rsid w:val="0065556E"/>
    <w:rsid w:val="00655727"/>
    <w:rsid w:val="006566C8"/>
    <w:rsid w:val="00656F6C"/>
    <w:rsid w:val="00657285"/>
    <w:rsid w:val="006600AD"/>
    <w:rsid w:val="006605AF"/>
    <w:rsid w:val="006608D2"/>
    <w:rsid w:val="00661A5B"/>
    <w:rsid w:val="00662048"/>
    <w:rsid w:val="0066267C"/>
    <w:rsid w:val="00662767"/>
    <w:rsid w:val="006628AF"/>
    <w:rsid w:val="006628EB"/>
    <w:rsid w:val="00662CEB"/>
    <w:rsid w:val="0066300D"/>
    <w:rsid w:val="0066303D"/>
    <w:rsid w:val="00663DAD"/>
    <w:rsid w:val="006641A4"/>
    <w:rsid w:val="006641F2"/>
    <w:rsid w:val="00664B26"/>
    <w:rsid w:val="006657B4"/>
    <w:rsid w:val="006657DF"/>
    <w:rsid w:val="00666830"/>
    <w:rsid w:val="0066686D"/>
    <w:rsid w:val="006669EF"/>
    <w:rsid w:val="00666BDB"/>
    <w:rsid w:val="00666CFA"/>
    <w:rsid w:val="00667771"/>
    <w:rsid w:val="00667784"/>
    <w:rsid w:val="00667966"/>
    <w:rsid w:val="00667D9F"/>
    <w:rsid w:val="00670138"/>
    <w:rsid w:val="00670CAA"/>
    <w:rsid w:val="00672108"/>
    <w:rsid w:val="00672E99"/>
    <w:rsid w:val="00673113"/>
    <w:rsid w:val="00673847"/>
    <w:rsid w:val="00673DB9"/>
    <w:rsid w:val="00676A92"/>
    <w:rsid w:val="0067744C"/>
    <w:rsid w:val="0067751B"/>
    <w:rsid w:val="0067780F"/>
    <w:rsid w:val="00677A1B"/>
    <w:rsid w:val="00677E29"/>
    <w:rsid w:val="0068023F"/>
    <w:rsid w:val="006805D9"/>
    <w:rsid w:val="00680FBC"/>
    <w:rsid w:val="00681246"/>
    <w:rsid w:val="006816E0"/>
    <w:rsid w:val="00681B58"/>
    <w:rsid w:val="00681CA8"/>
    <w:rsid w:val="00682929"/>
    <w:rsid w:val="0068311A"/>
    <w:rsid w:val="006832EC"/>
    <w:rsid w:val="0068386D"/>
    <w:rsid w:val="00683BE7"/>
    <w:rsid w:val="00683F7A"/>
    <w:rsid w:val="006843E8"/>
    <w:rsid w:val="0068453C"/>
    <w:rsid w:val="00684C18"/>
    <w:rsid w:val="006857F3"/>
    <w:rsid w:val="006865DF"/>
    <w:rsid w:val="006879E7"/>
    <w:rsid w:val="00687A67"/>
    <w:rsid w:val="00687E3A"/>
    <w:rsid w:val="00690801"/>
    <w:rsid w:val="00690C3B"/>
    <w:rsid w:val="00690C4E"/>
    <w:rsid w:val="00690DE3"/>
    <w:rsid w:val="00690E84"/>
    <w:rsid w:val="00690EE4"/>
    <w:rsid w:val="0069108A"/>
    <w:rsid w:val="00691187"/>
    <w:rsid w:val="006913E2"/>
    <w:rsid w:val="00692124"/>
    <w:rsid w:val="006921E9"/>
    <w:rsid w:val="006922B7"/>
    <w:rsid w:val="006924A0"/>
    <w:rsid w:val="00692B2A"/>
    <w:rsid w:val="00692D42"/>
    <w:rsid w:val="00692FED"/>
    <w:rsid w:val="00693303"/>
    <w:rsid w:val="00693337"/>
    <w:rsid w:val="0069339F"/>
    <w:rsid w:val="006934F0"/>
    <w:rsid w:val="006935C5"/>
    <w:rsid w:val="00693B52"/>
    <w:rsid w:val="00694030"/>
    <w:rsid w:val="00694085"/>
    <w:rsid w:val="00694264"/>
    <w:rsid w:val="00694996"/>
    <w:rsid w:val="0069522D"/>
    <w:rsid w:val="0069573D"/>
    <w:rsid w:val="00695E0B"/>
    <w:rsid w:val="00696167"/>
    <w:rsid w:val="006965E9"/>
    <w:rsid w:val="006967CA"/>
    <w:rsid w:val="00697331"/>
    <w:rsid w:val="00697D1F"/>
    <w:rsid w:val="006A05AD"/>
    <w:rsid w:val="006A0834"/>
    <w:rsid w:val="006A0C4F"/>
    <w:rsid w:val="006A1C92"/>
    <w:rsid w:val="006A1F5C"/>
    <w:rsid w:val="006A24A5"/>
    <w:rsid w:val="006A2BE2"/>
    <w:rsid w:val="006A2DD7"/>
    <w:rsid w:val="006A32D1"/>
    <w:rsid w:val="006A32FB"/>
    <w:rsid w:val="006A3468"/>
    <w:rsid w:val="006A3691"/>
    <w:rsid w:val="006A3C43"/>
    <w:rsid w:val="006A3DD0"/>
    <w:rsid w:val="006A3E33"/>
    <w:rsid w:val="006A3E99"/>
    <w:rsid w:val="006A4277"/>
    <w:rsid w:val="006A570B"/>
    <w:rsid w:val="006A5723"/>
    <w:rsid w:val="006A58CA"/>
    <w:rsid w:val="006A6141"/>
    <w:rsid w:val="006A62E7"/>
    <w:rsid w:val="006A64FA"/>
    <w:rsid w:val="006A7037"/>
    <w:rsid w:val="006A71C1"/>
    <w:rsid w:val="006A735C"/>
    <w:rsid w:val="006A744C"/>
    <w:rsid w:val="006A7B24"/>
    <w:rsid w:val="006B0109"/>
    <w:rsid w:val="006B0370"/>
    <w:rsid w:val="006B0A83"/>
    <w:rsid w:val="006B0DC9"/>
    <w:rsid w:val="006B1016"/>
    <w:rsid w:val="006B10A2"/>
    <w:rsid w:val="006B12D8"/>
    <w:rsid w:val="006B2605"/>
    <w:rsid w:val="006B2780"/>
    <w:rsid w:val="006B2BC6"/>
    <w:rsid w:val="006B339E"/>
    <w:rsid w:val="006B4233"/>
    <w:rsid w:val="006B442C"/>
    <w:rsid w:val="006B4AC3"/>
    <w:rsid w:val="006B4BD1"/>
    <w:rsid w:val="006B4F7E"/>
    <w:rsid w:val="006B50E8"/>
    <w:rsid w:val="006B52CC"/>
    <w:rsid w:val="006B5F24"/>
    <w:rsid w:val="006B5FF3"/>
    <w:rsid w:val="006B626C"/>
    <w:rsid w:val="006B62D6"/>
    <w:rsid w:val="006B6A13"/>
    <w:rsid w:val="006B7007"/>
    <w:rsid w:val="006B706B"/>
    <w:rsid w:val="006B755A"/>
    <w:rsid w:val="006B75BB"/>
    <w:rsid w:val="006C01C1"/>
    <w:rsid w:val="006C0702"/>
    <w:rsid w:val="006C097A"/>
    <w:rsid w:val="006C1F54"/>
    <w:rsid w:val="006C2872"/>
    <w:rsid w:val="006C29D3"/>
    <w:rsid w:val="006C29DC"/>
    <w:rsid w:val="006C2BBD"/>
    <w:rsid w:val="006C356E"/>
    <w:rsid w:val="006C378F"/>
    <w:rsid w:val="006C3ADE"/>
    <w:rsid w:val="006C44B7"/>
    <w:rsid w:val="006C4BE3"/>
    <w:rsid w:val="006C4EC9"/>
    <w:rsid w:val="006C5142"/>
    <w:rsid w:val="006C53CF"/>
    <w:rsid w:val="006C5790"/>
    <w:rsid w:val="006C5C35"/>
    <w:rsid w:val="006C5C91"/>
    <w:rsid w:val="006C5D58"/>
    <w:rsid w:val="006C6383"/>
    <w:rsid w:val="006C656F"/>
    <w:rsid w:val="006C6D01"/>
    <w:rsid w:val="006C710A"/>
    <w:rsid w:val="006D03C6"/>
    <w:rsid w:val="006D0CE6"/>
    <w:rsid w:val="006D2429"/>
    <w:rsid w:val="006D296C"/>
    <w:rsid w:val="006D31C3"/>
    <w:rsid w:val="006D3682"/>
    <w:rsid w:val="006D3ADE"/>
    <w:rsid w:val="006D3CD1"/>
    <w:rsid w:val="006D4562"/>
    <w:rsid w:val="006D4C14"/>
    <w:rsid w:val="006D4DE7"/>
    <w:rsid w:val="006D4FA4"/>
    <w:rsid w:val="006D5956"/>
    <w:rsid w:val="006D599C"/>
    <w:rsid w:val="006D5F5C"/>
    <w:rsid w:val="006D6829"/>
    <w:rsid w:val="006D6ABF"/>
    <w:rsid w:val="006D739A"/>
    <w:rsid w:val="006D7A56"/>
    <w:rsid w:val="006E02CF"/>
    <w:rsid w:val="006E0623"/>
    <w:rsid w:val="006E1183"/>
    <w:rsid w:val="006E122D"/>
    <w:rsid w:val="006E18F7"/>
    <w:rsid w:val="006E1AB4"/>
    <w:rsid w:val="006E1C2A"/>
    <w:rsid w:val="006E1F8F"/>
    <w:rsid w:val="006E26D0"/>
    <w:rsid w:val="006E28E3"/>
    <w:rsid w:val="006E33B3"/>
    <w:rsid w:val="006E4261"/>
    <w:rsid w:val="006E4467"/>
    <w:rsid w:val="006E4971"/>
    <w:rsid w:val="006E4BA1"/>
    <w:rsid w:val="006E550E"/>
    <w:rsid w:val="006E5D34"/>
    <w:rsid w:val="006E5DCC"/>
    <w:rsid w:val="006E6181"/>
    <w:rsid w:val="006E70C4"/>
    <w:rsid w:val="006E74F6"/>
    <w:rsid w:val="006E7D7D"/>
    <w:rsid w:val="006F09D2"/>
    <w:rsid w:val="006F0D0A"/>
    <w:rsid w:val="006F1F10"/>
    <w:rsid w:val="006F2FBF"/>
    <w:rsid w:val="006F36E4"/>
    <w:rsid w:val="006F3D0B"/>
    <w:rsid w:val="006F4227"/>
    <w:rsid w:val="006F46F1"/>
    <w:rsid w:val="006F49F2"/>
    <w:rsid w:val="006F5319"/>
    <w:rsid w:val="006F6089"/>
    <w:rsid w:val="006F62C4"/>
    <w:rsid w:val="006F7955"/>
    <w:rsid w:val="006F7D22"/>
    <w:rsid w:val="006F7F7C"/>
    <w:rsid w:val="007007F0"/>
    <w:rsid w:val="00703401"/>
    <w:rsid w:val="007035DD"/>
    <w:rsid w:val="00703F61"/>
    <w:rsid w:val="0070445A"/>
    <w:rsid w:val="007045FC"/>
    <w:rsid w:val="007047F5"/>
    <w:rsid w:val="00705451"/>
    <w:rsid w:val="007059C4"/>
    <w:rsid w:val="00705A4C"/>
    <w:rsid w:val="00705B1E"/>
    <w:rsid w:val="00705E05"/>
    <w:rsid w:val="007060D9"/>
    <w:rsid w:val="007061DF"/>
    <w:rsid w:val="0070624D"/>
    <w:rsid w:val="007063C2"/>
    <w:rsid w:val="007067D2"/>
    <w:rsid w:val="0070738F"/>
    <w:rsid w:val="007074F6"/>
    <w:rsid w:val="0070791D"/>
    <w:rsid w:val="00707A94"/>
    <w:rsid w:val="00707C1E"/>
    <w:rsid w:val="00710D8A"/>
    <w:rsid w:val="00710ECE"/>
    <w:rsid w:val="00710F79"/>
    <w:rsid w:val="00710FAB"/>
    <w:rsid w:val="00711173"/>
    <w:rsid w:val="007112EB"/>
    <w:rsid w:val="007118CF"/>
    <w:rsid w:val="00711921"/>
    <w:rsid w:val="00712826"/>
    <w:rsid w:val="00714096"/>
    <w:rsid w:val="00714357"/>
    <w:rsid w:val="007144B9"/>
    <w:rsid w:val="0071456F"/>
    <w:rsid w:val="00714814"/>
    <w:rsid w:val="00714A4B"/>
    <w:rsid w:val="00715AF3"/>
    <w:rsid w:val="0071664B"/>
    <w:rsid w:val="007168ED"/>
    <w:rsid w:val="00716A08"/>
    <w:rsid w:val="00716C8C"/>
    <w:rsid w:val="0071785D"/>
    <w:rsid w:val="00717C43"/>
    <w:rsid w:val="00720537"/>
    <w:rsid w:val="00720B11"/>
    <w:rsid w:val="00721F83"/>
    <w:rsid w:val="007220B2"/>
    <w:rsid w:val="00722478"/>
    <w:rsid w:val="00722D24"/>
    <w:rsid w:val="00722DB9"/>
    <w:rsid w:val="0072320E"/>
    <w:rsid w:val="00723799"/>
    <w:rsid w:val="00724149"/>
    <w:rsid w:val="007241CD"/>
    <w:rsid w:val="00725069"/>
    <w:rsid w:val="007250D9"/>
    <w:rsid w:val="00725F95"/>
    <w:rsid w:val="007260C2"/>
    <w:rsid w:val="007262CA"/>
    <w:rsid w:val="00726583"/>
    <w:rsid w:val="00726DB1"/>
    <w:rsid w:val="00727C98"/>
    <w:rsid w:val="00727F83"/>
    <w:rsid w:val="007301C7"/>
    <w:rsid w:val="00730FFA"/>
    <w:rsid w:val="00732696"/>
    <w:rsid w:val="00732A94"/>
    <w:rsid w:val="00732FCE"/>
    <w:rsid w:val="0073314A"/>
    <w:rsid w:val="00733459"/>
    <w:rsid w:val="007337C2"/>
    <w:rsid w:val="007338CE"/>
    <w:rsid w:val="00734501"/>
    <w:rsid w:val="0073474E"/>
    <w:rsid w:val="00734953"/>
    <w:rsid w:val="00735346"/>
    <w:rsid w:val="007357D9"/>
    <w:rsid w:val="00735A3C"/>
    <w:rsid w:val="007366A1"/>
    <w:rsid w:val="0073678C"/>
    <w:rsid w:val="00736BD5"/>
    <w:rsid w:val="00736C1B"/>
    <w:rsid w:val="00740056"/>
    <w:rsid w:val="00740302"/>
    <w:rsid w:val="00740BF1"/>
    <w:rsid w:val="00740C41"/>
    <w:rsid w:val="00740EF2"/>
    <w:rsid w:val="00741B74"/>
    <w:rsid w:val="00741BDE"/>
    <w:rsid w:val="00742479"/>
    <w:rsid w:val="007433FF"/>
    <w:rsid w:val="00743673"/>
    <w:rsid w:val="007436B6"/>
    <w:rsid w:val="007436CE"/>
    <w:rsid w:val="00743742"/>
    <w:rsid w:val="0074397A"/>
    <w:rsid w:val="00743D43"/>
    <w:rsid w:val="00743F05"/>
    <w:rsid w:val="007444B6"/>
    <w:rsid w:val="00744658"/>
    <w:rsid w:val="00744C36"/>
    <w:rsid w:val="00745549"/>
    <w:rsid w:val="00745839"/>
    <w:rsid w:val="00745F32"/>
    <w:rsid w:val="00746CB8"/>
    <w:rsid w:val="007470DE"/>
    <w:rsid w:val="00747682"/>
    <w:rsid w:val="00747D68"/>
    <w:rsid w:val="00747EB5"/>
    <w:rsid w:val="00750424"/>
    <w:rsid w:val="00750542"/>
    <w:rsid w:val="00750BF7"/>
    <w:rsid w:val="00750DA4"/>
    <w:rsid w:val="00751000"/>
    <w:rsid w:val="007513BF"/>
    <w:rsid w:val="007515E0"/>
    <w:rsid w:val="00751948"/>
    <w:rsid w:val="00751E0C"/>
    <w:rsid w:val="0075229F"/>
    <w:rsid w:val="00752589"/>
    <w:rsid w:val="007527B7"/>
    <w:rsid w:val="00752B12"/>
    <w:rsid w:val="0075336D"/>
    <w:rsid w:val="00753AB2"/>
    <w:rsid w:val="00754C98"/>
    <w:rsid w:val="00755E5D"/>
    <w:rsid w:val="0075603B"/>
    <w:rsid w:val="0075654B"/>
    <w:rsid w:val="0076073F"/>
    <w:rsid w:val="00760937"/>
    <w:rsid w:val="0076096B"/>
    <w:rsid w:val="00760A3D"/>
    <w:rsid w:val="007617B4"/>
    <w:rsid w:val="007628DC"/>
    <w:rsid w:val="007630C1"/>
    <w:rsid w:val="0076377D"/>
    <w:rsid w:val="00763D9B"/>
    <w:rsid w:val="00763DE7"/>
    <w:rsid w:val="007640D9"/>
    <w:rsid w:val="007643B4"/>
    <w:rsid w:val="007651E1"/>
    <w:rsid w:val="00765295"/>
    <w:rsid w:val="00765FA9"/>
    <w:rsid w:val="007667DB"/>
    <w:rsid w:val="0076734B"/>
    <w:rsid w:val="0076761C"/>
    <w:rsid w:val="00770616"/>
    <w:rsid w:val="00770C08"/>
    <w:rsid w:val="007710B6"/>
    <w:rsid w:val="007717D0"/>
    <w:rsid w:val="007717E7"/>
    <w:rsid w:val="0077218A"/>
    <w:rsid w:val="00772551"/>
    <w:rsid w:val="007728F2"/>
    <w:rsid w:val="0077335C"/>
    <w:rsid w:val="007733D5"/>
    <w:rsid w:val="00773A72"/>
    <w:rsid w:val="00774183"/>
    <w:rsid w:val="00774984"/>
    <w:rsid w:val="00774A2D"/>
    <w:rsid w:val="00774DB9"/>
    <w:rsid w:val="00775806"/>
    <w:rsid w:val="00775D61"/>
    <w:rsid w:val="00776478"/>
    <w:rsid w:val="00776752"/>
    <w:rsid w:val="007769A9"/>
    <w:rsid w:val="00776E96"/>
    <w:rsid w:val="00776F27"/>
    <w:rsid w:val="00776FC6"/>
    <w:rsid w:val="00777B27"/>
    <w:rsid w:val="00777B94"/>
    <w:rsid w:val="00780A4A"/>
    <w:rsid w:val="007822DB"/>
    <w:rsid w:val="0078236D"/>
    <w:rsid w:val="007827B0"/>
    <w:rsid w:val="00783FB0"/>
    <w:rsid w:val="00784F27"/>
    <w:rsid w:val="007854D7"/>
    <w:rsid w:val="00785524"/>
    <w:rsid w:val="00785765"/>
    <w:rsid w:val="007862D6"/>
    <w:rsid w:val="007862FA"/>
    <w:rsid w:val="0078630C"/>
    <w:rsid w:val="00786312"/>
    <w:rsid w:val="00786763"/>
    <w:rsid w:val="007870C4"/>
    <w:rsid w:val="007876BA"/>
    <w:rsid w:val="00787C9D"/>
    <w:rsid w:val="00787DD3"/>
    <w:rsid w:val="007901A4"/>
    <w:rsid w:val="007904E7"/>
    <w:rsid w:val="007905D2"/>
    <w:rsid w:val="0079098A"/>
    <w:rsid w:val="00791139"/>
    <w:rsid w:val="0079376C"/>
    <w:rsid w:val="00793A8B"/>
    <w:rsid w:val="007940DA"/>
    <w:rsid w:val="00794A7B"/>
    <w:rsid w:val="00794F3B"/>
    <w:rsid w:val="0079516C"/>
    <w:rsid w:val="007951D3"/>
    <w:rsid w:val="00795D04"/>
    <w:rsid w:val="00796A5C"/>
    <w:rsid w:val="00796CD2"/>
    <w:rsid w:val="00797AEB"/>
    <w:rsid w:val="00797DFF"/>
    <w:rsid w:val="00797F7E"/>
    <w:rsid w:val="007A11C8"/>
    <w:rsid w:val="007A19CD"/>
    <w:rsid w:val="007A23CC"/>
    <w:rsid w:val="007A2A3A"/>
    <w:rsid w:val="007A2E5C"/>
    <w:rsid w:val="007A3BA1"/>
    <w:rsid w:val="007A4DA7"/>
    <w:rsid w:val="007A533B"/>
    <w:rsid w:val="007A55B5"/>
    <w:rsid w:val="007A59E2"/>
    <w:rsid w:val="007A5A58"/>
    <w:rsid w:val="007A5BD8"/>
    <w:rsid w:val="007A62C4"/>
    <w:rsid w:val="007A6787"/>
    <w:rsid w:val="007A6A25"/>
    <w:rsid w:val="007A77C9"/>
    <w:rsid w:val="007A78E5"/>
    <w:rsid w:val="007A79A6"/>
    <w:rsid w:val="007A7FD3"/>
    <w:rsid w:val="007B05F1"/>
    <w:rsid w:val="007B0C53"/>
    <w:rsid w:val="007B1F33"/>
    <w:rsid w:val="007B20F6"/>
    <w:rsid w:val="007B2983"/>
    <w:rsid w:val="007B2E3F"/>
    <w:rsid w:val="007B318F"/>
    <w:rsid w:val="007B357E"/>
    <w:rsid w:val="007B38A7"/>
    <w:rsid w:val="007B3A64"/>
    <w:rsid w:val="007B3B00"/>
    <w:rsid w:val="007B3BA0"/>
    <w:rsid w:val="007B3BAD"/>
    <w:rsid w:val="007B3FAB"/>
    <w:rsid w:val="007B4392"/>
    <w:rsid w:val="007B4409"/>
    <w:rsid w:val="007B450A"/>
    <w:rsid w:val="007B4B60"/>
    <w:rsid w:val="007B58E0"/>
    <w:rsid w:val="007B74B0"/>
    <w:rsid w:val="007B7C85"/>
    <w:rsid w:val="007C09CD"/>
    <w:rsid w:val="007C0C6C"/>
    <w:rsid w:val="007C1AFF"/>
    <w:rsid w:val="007C1DA6"/>
    <w:rsid w:val="007C338C"/>
    <w:rsid w:val="007C37EA"/>
    <w:rsid w:val="007C38AC"/>
    <w:rsid w:val="007C49ED"/>
    <w:rsid w:val="007C4BBF"/>
    <w:rsid w:val="007C4D9A"/>
    <w:rsid w:val="007C6789"/>
    <w:rsid w:val="007C6A90"/>
    <w:rsid w:val="007C6C22"/>
    <w:rsid w:val="007C70B5"/>
    <w:rsid w:val="007C70E1"/>
    <w:rsid w:val="007C7992"/>
    <w:rsid w:val="007C7BF2"/>
    <w:rsid w:val="007C7DEE"/>
    <w:rsid w:val="007D0995"/>
    <w:rsid w:val="007D0A9F"/>
    <w:rsid w:val="007D134A"/>
    <w:rsid w:val="007D16B9"/>
    <w:rsid w:val="007D3C11"/>
    <w:rsid w:val="007D4ACD"/>
    <w:rsid w:val="007D4D2A"/>
    <w:rsid w:val="007D61EA"/>
    <w:rsid w:val="007D65E4"/>
    <w:rsid w:val="007D744F"/>
    <w:rsid w:val="007D7855"/>
    <w:rsid w:val="007D7949"/>
    <w:rsid w:val="007D7987"/>
    <w:rsid w:val="007D7A15"/>
    <w:rsid w:val="007D7B04"/>
    <w:rsid w:val="007D7D02"/>
    <w:rsid w:val="007D7F8C"/>
    <w:rsid w:val="007E0B9B"/>
    <w:rsid w:val="007E0CA6"/>
    <w:rsid w:val="007E0CAB"/>
    <w:rsid w:val="007E0DA8"/>
    <w:rsid w:val="007E0E73"/>
    <w:rsid w:val="007E25BE"/>
    <w:rsid w:val="007E2A0B"/>
    <w:rsid w:val="007E2B1A"/>
    <w:rsid w:val="007E3277"/>
    <w:rsid w:val="007E35B2"/>
    <w:rsid w:val="007E36AC"/>
    <w:rsid w:val="007E3F8A"/>
    <w:rsid w:val="007E412A"/>
    <w:rsid w:val="007E4A25"/>
    <w:rsid w:val="007E502F"/>
    <w:rsid w:val="007E51BE"/>
    <w:rsid w:val="007E52AE"/>
    <w:rsid w:val="007E53D3"/>
    <w:rsid w:val="007E5640"/>
    <w:rsid w:val="007E5954"/>
    <w:rsid w:val="007E5D88"/>
    <w:rsid w:val="007E5F41"/>
    <w:rsid w:val="007E5F87"/>
    <w:rsid w:val="007E733A"/>
    <w:rsid w:val="007E7B92"/>
    <w:rsid w:val="007F0036"/>
    <w:rsid w:val="007F1341"/>
    <w:rsid w:val="007F1A03"/>
    <w:rsid w:val="007F2DD4"/>
    <w:rsid w:val="007F35A6"/>
    <w:rsid w:val="007F3889"/>
    <w:rsid w:val="007F3DFA"/>
    <w:rsid w:val="007F3F5A"/>
    <w:rsid w:val="007F4495"/>
    <w:rsid w:val="007F4A58"/>
    <w:rsid w:val="007F4B4C"/>
    <w:rsid w:val="007F4DCD"/>
    <w:rsid w:val="007F516D"/>
    <w:rsid w:val="007F53CA"/>
    <w:rsid w:val="007F553D"/>
    <w:rsid w:val="007F59C2"/>
    <w:rsid w:val="007F68DB"/>
    <w:rsid w:val="007F6AC4"/>
    <w:rsid w:val="007F6CB5"/>
    <w:rsid w:val="007F724E"/>
    <w:rsid w:val="008003D4"/>
    <w:rsid w:val="008019F4"/>
    <w:rsid w:val="00801EED"/>
    <w:rsid w:val="00801F1D"/>
    <w:rsid w:val="00802178"/>
    <w:rsid w:val="0080233A"/>
    <w:rsid w:val="00802517"/>
    <w:rsid w:val="0080274A"/>
    <w:rsid w:val="008035E5"/>
    <w:rsid w:val="0080362E"/>
    <w:rsid w:val="00803770"/>
    <w:rsid w:val="00804E7D"/>
    <w:rsid w:val="00805626"/>
    <w:rsid w:val="00805EF1"/>
    <w:rsid w:val="008063F3"/>
    <w:rsid w:val="00807017"/>
    <w:rsid w:val="00807497"/>
    <w:rsid w:val="0081004B"/>
    <w:rsid w:val="008101D3"/>
    <w:rsid w:val="008101EC"/>
    <w:rsid w:val="00810F3E"/>
    <w:rsid w:val="00811D29"/>
    <w:rsid w:val="00811F89"/>
    <w:rsid w:val="008125A0"/>
    <w:rsid w:val="00812865"/>
    <w:rsid w:val="008128A1"/>
    <w:rsid w:val="00814946"/>
    <w:rsid w:val="00815345"/>
    <w:rsid w:val="00815CF9"/>
    <w:rsid w:val="0081647B"/>
    <w:rsid w:val="008169A2"/>
    <w:rsid w:val="00816BAD"/>
    <w:rsid w:val="00817143"/>
    <w:rsid w:val="0081777B"/>
    <w:rsid w:val="008179B5"/>
    <w:rsid w:val="00820CA3"/>
    <w:rsid w:val="008218FA"/>
    <w:rsid w:val="00821927"/>
    <w:rsid w:val="00821B46"/>
    <w:rsid w:val="00821BD4"/>
    <w:rsid w:val="00821C26"/>
    <w:rsid w:val="00822684"/>
    <w:rsid w:val="008227A7"/>
    <w:rsid w:val="00822B46"/>
    <w:rsid w:val="00822E8A"/>
    <w:rsid w:val="008244D3"/>
    <w:rsid w:val="00824905"/>
    <w:rsid w:val="00824AD9"/>
    <w:rsid w:val="00825A62"/>
    <w:rsid w:val="0082624B"/>
    <w:rsid w:val="00826BE1"/>
    <w:rsid w:val="008271EE"/>
    <w:rsid w:val="00827D31"/>
    <w:rsid w:val="00827E85"/>
    <w:rsid w:val="00827EFA"/>
    <w:rsid w:val="00830145"/>
    <w:rsid w:val="00830CA9"/>
    <w:rsid w:val="0083138F"/>
    <w:rsid w:val="00832233"/>
    <w:rsid w:val="00832759"/>
    <w:rsid w:val="008328FF"/>
    <w:rsid w:val="00832CB9"/>
    <w:rsid w:val="00832F1A"/>
    <w:rsid w:val="00833324"/>
    <w:rsid w:val="008333BA"/>
    <w:rsid w:val="00835AC6"/>
    <w:rsid w:val="00836A9E"/>
    <w:rsid w:val="00836C5C"/>
    <w:rsid w:val="0084011B"/>
    <w:rsid w:val="00840123"/>
    <w:rsid w:val="00840669"/>
    <w:rsid w:val="008406C0"/>
    <w:rsid w:val="00840CCA"/>
    <w:rsid w:val="00841142"/>
    <w:rsid w:val="00841B13"/>
    <w:rsid w:val="00842BC0"/>
    <w:rsid w:val="00843713"/>
    <w:rsid w:val="00843AE2"/>
    <w:rsid w:val="00843C62"/>
    <w:rsid w:val="00843C6B"/>
    <w:rsid w:val="0084458B"/>
    <w:rsid w:val="00844779"/>
    <w:rsid w:val="00845EE2"/>
    <w:rsid w:val="008461E4"/>
    <w:rsid w:val="0084675F"/>
    <w:rsid w:val="0084695D"/>
    <w:rsid w:val="0084706C"/>
    <w:rsid w:val="00847218"/>
    <w:rsid w:val="008474E9"/>
    <w:rsid w:val="0084756E"/>
    <w:rsid w:val="008478C1"/>
    <w:rsid w:val="008479A2"/>
    <w:rsid w:val="008479DC"/>
    <w:rsid w:val="008503B4"/>
    <w:rsid w:val="00850604"/>
    <w:rsid w:val="00850EB9"/>
    <w:rsid w:val="00851085"/>
    <w:rsid w:val="00851447"/>
    <w:rsid w:val="00851D61"/>
    <w:rsid w:val="0085208A"/>
    <w:rsid w:val="00852337"/>
    <w:rsid w:val="00852D66"/>
    <w:rsid w:val="00852FEC"/>
    <w:rsid w:val="008532FA"/>
    <w:rsid w:val="00853BCA"/>
    <w:rsid w:val="00853DE5"/>
    <w:rsid w:val="00854399"/>
    <w:rsid w:val="00855B64"/>
    <w:rsid w:val="00856346"/>
    <w:rsid w:val="00856401"/>
    <w:rsid w:val="00857F2F"/>
    <w:rsid w:val="00860139"/>
    <w:rsid w:val="00860266"/>
    <w:rsid w:val="00860722"/>
    <w:rsid w:val="00860723"/>
    <w:rsid w:val="00861461"/>
    <w:rsid w:val="00861BEC"/>
    <w:rsid w:val="008621F6"/>
    <w:rsid w:val="00862640"/>
    <w:rsid w:val="008632C2"/>
    <w:rsid w:val="00863344"/>
    <w:rsid w:val="00863491"/>
    <w:rsid w:val="00863593"/>
    <w:rsid w:val="00864188"/>
    <w:rsid w:val="008642CF"/>
    <w:rsid w:val="0086564C"/>
    <w:rsid w:val="00865E87"/>
    <w:rsid w:val="00866B1D"/>
    <w:rsid w:val="008673BD"/>
    <w:rsid w:val="00867759"/>
    <w:rsid w:val="00871F5B"/>
    <w:rsid w:val="008726AD"/>
    <w:rsid w:val="00872BC4"/>
    <w:rsid w:val="00872CA1"/>
    <w:rsid w:val="008734B9"/>
    <w:rsid w:val="0087364A"/>
    <w:rsid w:val="00873C71"/>
    <w:rsid w:val="00873D35"/>
    <w:rsid w:val="00873D95"/>
    <w:rsid w:val="00874706"/>
    <w:rsid w:val="00874B17"/>
    <w:rsid w:val="00875423"/>
    <w:rsid w:val="00875998"/>
    <w:rsid w:val="00875F2D"/>
    <w:rsid w:val="00875F9E"/>
    <w:rsid w:val="0087616E"/>
    <w:rsid w:val="00876FFB"/>
    <w:rsid w:val="00877091"/>
    <w:rsid w:val="008771BE"/>
    <w:rsid w:val="00877242"/>
    <w:rsid w:val="00877587"/>
    <w:rsid w:val="00881B8E"/>
    <w:rsid w:val="008825E9"/>
    <w:rsid w:val="008829DC"/>
    <w:rsid w:val="008838E0"/>
    <w:rsid w:val="00883BC7"/>
    <w:rsid w:val="008845B3"/>
    <w:rsid w:val="00884F61"/>
    <w:rsid w:val="00885779"/>
    <w:rsid w:val="00885B88"/>
    <w:rsid w:val="00885C20"/>
    <w:rsid w:val="008866EE"/>
    <w:rsid w:val="00886A36"/>
    <w:rsid w:val="00886CC3"/>
    <w:rsid w:val="0088716B"/>
    <w:rsid w:val="008871E6"/>
    <w:rsid w:val="00891746"/>
    <w:rsid w:val="00891786"/>
    <w:rsid w:val="00891CF6"/>
    <w:rsid w:val="008921E3"/>
    <w:rsid w:val="008922D9"/>
    <w:rsid w:val="00892726"/>
    <w:rsid w:val="00893DD6"/>
    <w:rsid w:val="00893DEA"/>
    <w:rsid w:val="00894915"/>
    <w:rsid w:val="008954BC"/>
    <w:rsid w:val="008959D7"/>
    <w:rsid w:val="0089611A"/>
    <w:rsid w:val="00896396"/>
    <w:rsid w:val="0089709F"/>
    <w:rsid w:val="00897A00"/>
    <w:rsid w:val="008A0771"/>
    <w:rsid w:val="008A0E14"/>
    <w:rsid w:val="008A19FB"/>
    <w:rsid w:val="008A1CBD"/>
    <w:rsid w:val="008A1D38"/>
    <w:rsid w:val="008A1F7F"/>
    <w:rsid w:val="008A2393"/>
    <w:rsid w:val="008A29E7"/>
    <w:rsid w:val="008A2A70"/>
    <w:rsid w:val="008A2FD0"/>
    <w:rsid w:val="008A33E3"/>
    <w:rsid w:val="008A3425"/>
    <w:rsid w:val="008A383E"/>
    <w:rsid w:val="008A3908"/>
    <w:rsid w:val="008A397B"/>
    <w:rsid w:val="008A3E32"/>
    <w:rsid w:val="008A3E52"/>
    <w:rsid w:val="008A41F0"/>
    <w:rsid w:val="008A4A62"/>
    <w:rsid w:val="008A52AB"/>
    <w:rsid w:val="008A59BF"/>
    <w:rsid w:val="008A5AA9"/>
    <w:rsid w:val="008A61BF"/>
    <w:rsid w:val="008A6668"/>
    <w:rsid w:val="008A78FF"/>
    <w:rsid w:val="008A7C3C"/>
    <w:rsid w:val="008A7D8D"/>
    <w:rsid w:val="008A7EB7"/>
    <w:rsid w:val="008A7FBC"/>
    <w:rsid w:val="008B005F"/>
    <w:rsid w:val="008B02E6"/>
    <w:rsid w:val="008B09C8"/>
    <w:rsid w:val="008B0B3C"/>
    <w:rsid w:val="008B0F64"/>
    <w:rsid w:val="008B135B"/>
    <w:rsid w:val="008B16FD"/>
    <w:rsid w:val="008B174E"/>
    <w:rsid w:val="008B3434"/>
    <w:rsid w:val="008B3F5F"/>
    <w:rsid w:val="008B3F7E"/>
    <w:rsid w:val="008B447F"/>
    <w:rsid w:val="008B4D10"/>
    <w:rsid w:val="008B4EED"/>
    <w:rsid w:val="008B53DC"/>
    <w:rsid w:val="008B61BA"/>
    <w:rsid w:val="008B6679"/>
    <w:rsid w:val="008B6B8F"/>
    <w:rsid w:val="008B737A"/>
    <w:rsid w:val="008B7B4C"/>
    <w:rsid w:val="008B7BB3"/>
    <w:rsid w:val="008C0F29"/>
    <w:rsid w:val="008C1315"/>
    <w:rsid w:val="008C14D5"/>
    <w:rsid w:val="008C1955"/>
    <w:rsid w:val="008C1C7A"/>
    <w:rsid w:val="008C1CB6"/>
    <w:rsid w:val="008C1CE5"/>
    <w:rsid w:val="008C2071"/>
    <w:rsid w:val="008C2148"/>
    <w:rsid w:val="008C30D5"/>
    <w:rsid w:val="008C3307"/>
    <w:rsid w:val="008C354B"/>
    <w:rsid w:val="008C36DE"/>
    <w:rsid w:val="008C4DC8"/>
    <w:rsid w:val="008C53D4"/>
    <w:rsid w:val="008C57F4"/>
    <w:rsid w:val="008C5D41"/>
    <w:rsid w:val="008C5D48"/>
    <w:rsid w:val="008C5DEC"/>
    <w:rsid w:val="008C695E"/>
    <w:rsid w:val="008C71E2"/>
    <w:rsid w:val="008C72A1"/>
    <w:rsid w:val="008C759B"/>
    <w:rsid w:val="008C78F1"/>
    <w:rsid w:val="008D0088"/>
    <w:rsid w:val="008D143C"/>
    <w:rsid w:val="008D2088"/>
    <w:rsid w:val="008D2269"/>
    <w:rsid w:val="008D408E"/>
    <w:rsid w:val="008D4937"/>
    <w:rsid w:val="008D4DBF"/>
    <w:rsid w:val="008D52CF"/>
    <w:rsid w:val="008D53E1"/>
    <w:rsid w:val="008D5E88"/>
    <w:rsid w:val="008D62FD"/>
    <w:rsid w:val="008D73BF"/>
    <w:rsid w:val="008D7AC2"/>
    <w:rsid w:val="008D7BA8"/>
    <w:rsid w:val="008D7E0D"/>
    <w:rsid w:val="008E1DBA"/>
    <w:rsid w:val="008E221B"/>
    <w:rsid w:val="008E2FE4"/>
    <w:rsid w:val="008E31DD"/>
    <w:rsid w:val="008E3975"/>
    <w:rsid w:val="008E4408"/>
    <w:rsid w:val="008E4B15"/>
    <w:rsid w:val="008E510F"/>
    <w:rsid w:val="008E56E4"/>
    <w:rsid w:val="008E5A01"/>
    <w:rsid w:val="008E5C31"/>
    <w:rsid w:val="008E66DC"/>
    <w:rsid w:val="008E73DF"/>
    <w:rsid w:val="008E7730"/>
    <w:rsid w:val="008F02D2"/>
    <w:rsid w:val="008F03B6"/>
    <w:rsid w:val="008F1532"/>
    <w:rsid w:val="008F166B"/>
    <w:rsid w:val="008F1782"/>
    <w:rsid w:val="008F19DD"/>
    <w:rsid w:val="008F1ADE"/>
    <w:rsid w:val="008F1CDB"/>
    <w:rsid w:val="008F210E"/>
    <w:rsid w:val="008F286A"/>
    <w:rsid w:val="008F2DE0"/>
    <w:rsid w:val="008F415C"/>
    <w:rsid w:val="008F4E90"/>
    <w:rsid w:val="008F4EE9"/>
    <w:rsid w:val="008F53EF"/>
    <w:rsid w:val="008F5698"/>
    <w:rsid w:val="008F6C64"/>
    <w:rsid w:val="008F6EBA"/>
    <w:rsid w:val="008F79B2"/>
    <w:rsid w:val="008F7AAB"/>
    <w:rsid w:val="009009FC"/>
    <w:rsid w:val="00900C8B"/>
    <w:rsid w:val="00900E91"/>
    <w:rsid w:val="00901059"/>
    <w:rsid w:val="009010EF"/>
    <w:rsid w:val="00901D1D"/>
    <w:rsid w:val="00902022"/>
    <w:rsid w:val="0090288A"/>
    <w:rsid w:val="009036A3"/>
    <w:rsid w:val="00903AEE"/>
    <w:rsid w:val="0090412A"/>
    <w:rsid w:val="00904396"/>
    <w:rsid w:val="009077E4"/>
    <w:rsid w:val="00907C83"/>
    <w:rsid w:val="00910158"/>
    <w:rsid w:val="009101E9"/>
    <w:rsid w:val="009104B2"/>
    <w:rsid w:val="00910DF3"/>
    <w:rsid w:val="00911004"/>
    <w:rsid w:val="009115D5"/>
    <w:rsid w:val="009120DD"/>
    <w:rsid w:val="009123FE"/>
    <w:rsid w:val="009130E8"/>
    <w:rsid w:val="00913255"/>
    <w:rsid w:val="00913834"/>
    <w:rsid w:val="009140E6"/>
    <w:rsid w:val="00914127"/>
    <w:rsid w:val="00914C73"/>
    <w:rsid w:val="009156B7"/>
    <w:rsid w:val="00915872"/>
    <w:rsid w:val="00915B38"/>
    <w:rsid w:val="00915CD8"/>
    <w:rsid w:val="00916ACE"/>
    <w:rsid w:val="00916C0B"/>
    <w:rsid w:val="0091746C"/>
    <w:rsid w:val="0091751C"/>
    <w:rsid w:val="00917701"/>
    <w:rsid w:val="00921255"/>
    <w:rsid w:val="009214A9"/>
    <w:rsid w:val="00921A62"/>
    <w:rsid w:val="00921B4D"/>
    <w:rsid w:val="00922434"/>
    <w:rsid w:val="009227CE"/>
    <w:rsid w:val="009227E1"/>
    <w:rsid w:val="00922C78"/>
    <w:rsid w:val="009234F5"/>
    <w:rsid w:val="00923671"/>
    <w:rsid w:val="009238AC"/>
    <w:rsid w:val="0092416D"/>
    <w:rsid w:val="009243FA"/>
    <w:rsid w:val="00924807"/>
    <w:rsid w:val="009252DB"/>
    <w:rsid w:val="00925791"/>
    <w:rsid w:val="00925804"/>
    <w:rsid w:val="009258ED"/>
    <w:rsid w:val="0092613D"/>
    <w:rsid w:val="00926B0B"/>
    <w:rsid w:val="00926B76"/>
    <w:rsid w:val="00927B36"/>
    <w:rsid w:val="00927E0D"/>
    <w:rsid w:val="009300A4"/>
    <w:rsid w:val="00930286"/>
    <w:rsid w:val="009303CC"/>
    <w:rsid w:val="00930597"/>
    <w:rsid w:val="009306E2"/>
    <w:rsid w:val="00930D58"/>
    <w:rsid w:val="00930F1A"/>
    <w:rsid w:val="00931013"/>
    <w:rsid w:val="00931214"/>
    <w:rsid w:val="009313E9"/>
    <w:rsid w:val="009318E1"/>
    <w:rsid w:val="00932367"/>
    <w:rsid w:val="0093299D"/>
    <w:rsid w:val="00933116"/>
    <w:rsid w:val="009332B9"/>
    <w:rsid w:val="00933519"/>
    <w:rsid w:val="0093374F"/>
    <w:rsid w:val="00933CBE"/>
    <w:rsid w:val="00933E7F"/>
    <w:rsid w:val="00933FEB"/>
    <w:rsid w:val="009342C2"/>
    <w:rsid w:val="00934587"/>
    <w:rsid w:val="00934CD5"/>
    <w:rsid w:val="00935362"/>
    <w:rsid w:val="00935495"/>
    <w:rsid w:val="009356E8"/>
    <w:rsid w:val="00936461"/>
    <w:rsid w:val="0093659E"/>
    <w:rsid w:val="00937234"/>
    <w:rsid w:val="0093787F"/>
    <w:rsid w:val="00937CE1"/>
    <w:rsid w:val="009400C9"/>
    <w:rsid w:val="00940241"/>
    <w:rsid w:val="009403C9"/>
    <w:rsid w:val="00940A78"/>
    <w:rsid w:val="00940C84"/>
    <w:rsid w:val="00940D74"/>
    <w:rsid w:val="00941031"/>
    <w:rsid w:val="00941BD6"/>
    <w:rsid w:val="00941FB4"/>
    <w:rsid w:val="00941FD4"/>
    <w:rsid w:val="0094301B"/>
    <w:rsid w:val="00943A54"/>
    <w:rsid w:val="009441B7"/>
    <w:rsid w:val="009447A9"/>
    <w:rsid w:val="00944B3E"/>
    <w:rsid w:val="00944C3C"/>
    <w:rsid w:val="00945653"/>
    <w:rsid w:val="00945779"/>
    <w:rsid w:val="00945ECF"/>
    <w:rsid w:val="00945FB4"/>
    <w:rsid w:val="009462FD"/>
    <w:rsid w:val="00946FD0"/>
    <w:rsid w:val="009470FC"/>
    <w:rsid w:val="00947889"/>
    <w:rsid w:val="00947C81"/>
    <w:rsid w:val="00950052"/>
    <w:rsid w:val="0095043E"/>
    <w:rsid w:val="0095048E"/>
    <w:rsid w:val="0095052F"/>
    <w:rsid w:val="00950D38"/>
    <w:rsid w:val="009514EF"/>
    <w:rsid w:val="009516F2"/>
    <w:rsid w:val="009518EB"/>
    <w:rsid w:val="009527CC"/>
    <w:rsid w:val="00953033"/>
    <w:rsid w:val="009538EA"/>
    <w:rsid w:val="00953C0E"/>
    <w:rsid w:val="00953EA3"/>
    <w:rsid w:val="009545BC"/>
    <w:rsid w:val="00954823"/>
    <w:rsid w:val="009549D4"/>
    <w:rsid w:val="00954DFC"/>
    <w:rsid w:val="00955561"/>
    <w:rsid w:val="009557C5"/>
    <w:rsid w:val="00955C2B"/>
    <w:rsid w:val="009561A5"/>
    <w:rsid w:val="009568DD"/>
    <w:rsid w:val="00956AB7"/>
    <w:rsid w:val="00956BA1"/>
    <w:rsid w:val="00956BC9"/>
    <w:rsid w:val="00956CC9"/>
    <w:rsid w:val="00956E2E"/>
    <w:rsid w:val="009573F5"/>
    <w:rsid w:val="00957E9D"/>
    <w:rsid w:val="0096036C"/>
    <w:rsid w:val="009613B8"/>
    <w:rsid w:val="00961D12"/>
    <w:rsid w:val="00962008"/>
    <w:rsid w:val="00962096"/>
    <w:rsid w:val="009626CB"/>
    <w:rsid w:val="009627F7"/>
    <w:rsid w:val="00962D37"/>
    <w:rsid w:val="00963BB7"/>
    <w:rsid w:val="00963D6A"/>
    <w:rsid w:val="00963FDF"/>
    <w:rsid w:val="00964346"/>
    <w:rsid w:val="00964676"/>
    <w:rsid w:val="00964696"/>
    <w:rsid w:val="00964C69"/>
    <w:rsid w:val="00964DF4"/>
    <w:rsid w:val="00964E31"/>
    <w:rsid w:val="00964E52"/>
    <w:rsid w:val="0096556F"/>
    <w:rsid w:val="009655FC"/>
    <w:rsid w:val="00965758"/>
    <w:rsid w:val="00965BCE"/>
    <w:rsid w:val="00965C80"/>
    <w:rsid w:val="0096613E"/>
    <w:rsid w:val="00966205"/>
    <w:rsid w:val="0096675B"/>
    <w:rsid w:val="009670D3"/>
    <w:rsid w:val="00970832"/>
    <w:rsid w:val="00970A20"/>
    <w:rsid w:val="00971197"/>
    <w:rsid w:val="009712B6"/>
    <w:rsid w:val="00971549"/>
    <w:rsid w:val="0097181D"/>
    <w:rsid w:val="009718F8"/>
    <w:rsid w:val="00971CED"/>
    <w:rsid w:val="009720B9"/>
    <w:rsid w:val="00972995"/>
    <w:rsid w:val="00973D16"/>
    <w:rsid w:val="00974024"/>
    <w:rsid w:val="0097482B"/>
    <w:rsid w:val="00974B25"/>
    <w:rsid w:val="00974FCF"/>
    <w:rsid w:val="009755D0"/>
    <w:rsid w:val="00975676"/>
    <w:rsid w:val="0097774E"/>
    <w:rsid w:val="00977FF2"/>
    <w:rsid w:val="009801BB"/>
    <w:rsid w:val="009803C3"/>
    <w:rsid w:val="009803FC"/>
    <w:rsid w:val="00980554"/>
    <w:rsid w:val="00980CB6"/>
    <w:rsid w:val="00980D87"/>
    <w:rsid w:val="00981904"/>
    <w:rsid w:val="00981A83"/>
    <w:rsid w:val="00981BE2"/>
    <w:rsid w:val="00981F1B"/>
    <w:rsid w:val="00982752"/>
    <w:rsid w:val="00982843"/>
    <w:rsid w:val="009829C2"/>
    <w:rsid w:val="00982C4C"/>
    <w:rsid w:val="00982F3A"/>
    <w:rsid w:val="00983FD9"/>
    <w:rsid w:val="00984BD6"/>
    <w:rsid w:val="00984F8F"/>
    <w:rsid w:val="00984FB5"/>
    <w:rsid w:val="00984FF4"/>
    <w:rsid w:val="00985236"/>
    <w:rsid w:val="00985CDF"/>
    <w:rsid w:val="009862AC"/>
    <w:rsid w:val="00987B90"/>
    <w:rsid w:val="0099081E"/>
    <w:rsid w:val="009916CF"/>
    <w:rsid w:val="00991BC7"/>
    <w:rsid w:val="00991D24"/>
    <w:rsid w:val="009921AA"/>
    <w:rsid w:val="009925A5"/>
    <w:rsid w:val="00992E10"/>
    <w:rsid w:val="0099303B"/>
    <w:rsid w:val="00993C1A"/>
    <w:rsid w:val="00993D55"/>
    <w:rsid w:val="00994576"/>
    <w:rsid w:val="009945CE"/>
    <w:rsid w:val="00994718"/>
    <w:rsid w:val="00994918"/>
    <w:rsid w:val="009950D1"/>
    <w:rsid w:val="00995265"/>
    <w:rsid w:val="00995478"/>
    <w:rsid w:val="00996E0A"/>
    <w:rsid w:val="009974BC"/>
    <w:rsid w:val="009A0386"/>
    <w:rsid w:val="009A1427"/>
    <w:rsid w:val="009A2046"/>
    <w:rsid w:val="009A24C7"/>
    <w:rsid w:val="009A2AF3"/>
    <w:rsid w:val="009A2BEE"/>
    <w:rsid w:val="009A329F"/>
    <w:rsid w:val="009A4E6F"/>
    <w:rsid w:val="009A4F50"/>
    <w:rsid w:val="009A56B7"/>
    <w:rsid w:val="009A5A96"/>
    <w:rsid w:val="009A5CEF"/>
    <w:rsid w:val="009A7264"/>
    <w:rsid w:val="009A73EC"/>
    <w:rsid w:val="009A79E1"/>
    <w:rsid w:val="009A7DFA"/>
    <w:rsid w:val="009B0276"/>
    <w:rsid w:val="009B0B70"/>
    <w:rsid w:val="009B0E8A"/>
    <w:rsid w:val="009B1060"/>
    <w:rsid w:val="009B1074"/>
    <w:rsid w:val="009B1170"/>
    <w:rsid w:val="009B14FE"/>
    <w:rsid w:val="009B28E7"/>
    <w:rsid w:val="009B316C"/>
    <w:rsid w:val="009B31B2"/>
    <w:rsid w:val="009B369C"/>
    <w:rsid w:val="009B3FEA"/>
    <w:rsid w:val="009B474B"/>
    <w:rsid w:val="009B4C07"/>
    <w:rsid w:val="009B541B"/>
    <w:rsid w:val="009B594E"/>
    <w:rsid w:val="009B5F63"/>
    <w:rsid w:val="009B63DE"/>
    <w:rsid w:val="009B732D"/>
    <w:rsid w:val="009C0384"/>
    <w:rsid w:val="009C0F56"/>
    <w:rsid w:val="009C11E3"/>
    <w:rsid w:val="009C1DD9"/>
    <w:rsid w:val="009C1F2B"/>
    <w:rsid w:val="009C2375"/>
    <w:rsid w:val="009C243A"/>
    <w:rsid w:val="009C2BEB"/>
    <w:rsid w:val="009C4080"/>
    <w:rsid w:val="009C4333"/>
    <w:rsid w:val="009C548B"/>
    <w:rsid w:val="009C5536"/>
    <w:rsid w:val="009C60A0"/>
    <w:rsid w:val="009C66BA"/>
    <w:rsid w:val="009C6A36"/>
    <w:rsid w:val="009C75D0"/>
    <w:rsid w:val="009D0481"/>
    <w:rsid w:val="009D0C8C"/>
    <w:rsid w:val="009D0E69"/>
    <w:rsid w:val="009D0F6B"/>
    <w:rsid w:val="009D17DE"/>
    <w:rsid w:val="009D1E1F"/>
    <w:rsid w:val="009D21DD"/>
    <w:rsid w:val="009D2476"/>
    <w:rsid w:val="009D311B"/>
    <w:rsid w:val="009D3E47"/>
    <w:rsid w:val="009D3F11"/>
    <w:rsid w:val="009D452D"/>
    <w:rsid w:val="009D4AD6"/>
    <w:rsid w:val="009D516D"/>
    <w:rsid w:val="009D5377"/>
    <w:rsid w:val="009D593C"/>
    <w:rsid w:val="009D62D6"/>
    <w:rsid w:val="009D6C2B"/>
    <w:rsid w:val="009D72E9"/>
    <w:rsid w:val="009D756C"/>
    <w:rsid w:val="009D7C6B"/>
    <w:rsid w:val="009D7F9A"/>
    <w:rsid w:val="009E0720"/>
    <w:rsid w:val="009E0924"/>
    <w:rsid w:val="009E0F45"/>
    <w:rsid w:val="009E0F68"/>
    <w:rsid w:val="009E1005"/>
    <w:rsid w:val="009E124D"/>
    <w:rsid w:val="009E1419"/>
    <w:rsid w:val="009E14F9"/>
    <w:rsid w:val="009E1639"/>
    <w:rsid w:val="009E16A7"/>
    <w:rsid w:val="009E1B4C"/>
    <w:rsid w:val="009E24AA"/>
    <w:rsid w:val="009E2CE0"/>
    <w:rsid w:val="009E2EAC"/>
    <w:rsid w:val="009E35C7"/>
    <w:rsid w:val="009E379D"/>
    <w:rsid w:val="009E3C60"/>
    <w:rsid w:val="009E3FDD"/>
    <w:rsid w:val="009E460C"/>
    <w:rsid w:val="009E4A65"/>
    <w:rsid w:val="009E4B9D"/>
    <w:rsid w:val="009E549A"/>
    <w:rsid w:val="009E5710"/>
    <w:rsid w:val="009E58BB"/>
    <w:rsid w:val="009E620E"/>
    <w:rsid w:val="009E712D"/>
    <w:rsid w:val="009E75C2"/>
    <w:rsid w:val="009E7BE3"/>
    <w:rsid w:val="009E7DA3"/>
    <w:rsid w:val="009E7EED"/>
    <w:rsid w:val="009F04B2"/>
    <w:rsid w:val="009F04FB"/>
    <w:rsid w:val="009F09AB"/>
    <w:rsid w:val="009F10E6"/>
    <w:rsid w:val="009F118B"/>
    <w:rsid w:val="009F1551"/>
    <w:rsid w:val="009F192E"/>
    <w:rsid w:val="009F1D1B"/>
    <w:rsid w:val="009F1FCA"/>
    <w:rsid w:val="009F21E9"/>
    <w:rsid w:val="009F2449"/>
    <w:rsid w:val="009F270D"/>
    <w:rsid w:val="009F29DC"/>
    <w:rsid w:val="009F33FC"/>
    <w:rsid w:val="009F4520"/>
    <w:rsid w:val="009F4637"/>
    <w:rsid w:val="009F5286"/>
    <w:rsid w:val="009F59A0"/>
    <w:rsid w:val="009F5DB1"/>
    <w:rsid w:val="009F5F69"/>
    <w:rsid w:val="009F66E7"/>
    <w:rsid w:val="009F76D6"/>
    <w:rsid w:val="009F77A9"/>
    <w:rsid w:val="009F7896"/>
    <w:rsid w:val="009F7DD6"/>
    <w:rsid w:val="00A00066"/>
    <w:rsid w:val="00A00BBA"/>
    <w:rsid w:val="00A00C0F"/>
    <w:rsid w:val="00A00CA3"/>
    <w:rsid w:val="00A010F7"/>
    <w:rsid w:val="00A01903"/>
    <w:rsid w:val="00A01B74"/>
    <w:rsid w:val="00A021EE"/>
    <w:rsid w:val="00A02499"/>
    <w:rsid w:val="00A024D8"/>
    <w:rsid w:val="00A0283F"/>
    <w:rsid w:val="00A0296C"/>
    <w:rsid w:val="00A03DC3"/>
    <w:rsid w:val="00A04642"/>
    <w:rsid w:val="00A04C1C"/>
    <w:rsid w:val="00A05C12"/>
    <w:rsid w:val="00A0600F"/>
    <w:rsid w:val="00A063EE"/>
    <w:rsid w:val="00A066FC"/>
    <w:rsid w:val="00A06D28"/>
    <w:rsid w:val="00A06D5D"/>
    <w:rsid w:val="00A07295"/>
    <w:rsid w:val="00A073CF"/>
    <w:rsid w:val="00A07A52"/>
    <w:rsid w:val="00A104CC"/>
    <w:rsid w:val="00A105EE"/>
    <w:rsid w:val="00A1065C"/>
    <w:rsid w:val="00A10844"/>
    <w:rsid w:val="00A10AB9"/>
    <w:rsid w:val="00A10AD6"/>
    <w:rsid w:val="00A113BF"/>
    <w:rsid w:val="00A113CC"/>
    <w:rsid w:val="00A12784"/>
    <w:rsid w:val="00A12E42"/>
    <w:rsid w:val="00A130E3"/>
    <w:rsid w:val="00A140F0"/>
    <w:rsid w:val="00A14364"/>
    <w:rsid w:val="00A14EF6"/>
    <w:rsid w:val="00A1543B"/>
    <w:rsid w:val="00A157EE"/>
    <w:rsid w:val="00A16456"/>
    <w:rsid w:val="00A165C6"/>
    <w:rsid w:val="00A16C85"/>
    <w:rsid w:val="00A16CA1"/>
    <w:rsid w:val="00A16F01"/>
    <w:rsid w:val="00A17696"/>
    <w:rsid w:val="00A200DB"/>
    <w:rsid w:val="00A20181"/>
    <w:rsid w:val="00A201EE"/>
    <w:rsid w:val="00A20E87"/>
    <w:rsid w:val="00A21B5B"/>
    <w:rsid w:val="00A22732"/>
    <w:rsid w:val="00A22E1D"/>
    <w:rsid w:val="00A23497"/>
    <w:rsid w:val="00A24CD5"/>
    <w:rsid w:val="00A24D43"/>
    <w:rsid w:val="00A24E76"/>
    <w:rsid w:val="00A25571"/>
    <w:rsid w:val="00A258CC"/>
    <w:rsid w:val="00A267C3"/>
    <w:rsid w:val="00A27335"/>
    <w:rsid w:val="00A276EE"/>
    <w:rsid w:val="00A30941"/>
    <w:rsid w:val="00A30A5D"/>
    <w:rsid w:val="00A3136F"/>
    <w:rsid w:val="00A31472"/>
    <w:rsid w:val="00A3155A"/>
    <w:rsid w:val="00A32008"/>
    <w:rsid w:val="00A32534"/>
    <w:rsid w:val="00A32590"/>
    <w:rsid w:val="00A325CC"/>
    <w:rsid w:val="00A329BF"/>
    <w:rsid w:val="00A32F52"/>
    <w:rsid w:val="00A33079"/>
    <w:rsid w:val="00A33161"/>
    <w:rsid w:val="00A33E51"/>
    <w:rsid w:val="00A342C9"/>
    <w:rsid w:val="00A34339"/>
    <w:rsid w:val="00A358DF"/>
    <w:rsid w:val="00A366FC"/>
    <w:rsid w:val="00A36AA7"/>
    <w:rsid w:val="00A3744E"/>
    <w:rsid w:val="00A3766C"/>
    <w:rsid w:val="00A37C93"/>
    <w:rsid w:val="00A37FB6"/>
    <w:rsid w:val="00A40049"/>
    <w:rsid w:val="00A40297"/>
    <w:rsid w:val="00A40640"/>
    <w:rsid w:val="00A40711"/>
    <w:rsid w:val="00A4095E"/>
    <w:rsid w:val="00A40CCE"/>
    <w:rsid w:val="00A41388"/>
    <w:rsid w:val="00A41583"/>
    <w:rsid w:val="00A41751"/>
    <w:rsid w:val="00A41E54"/>
    <w:rsid w:val="00A42057"/>
    <w:rsid w:val="00A43389"/>
    <w:rsid w:val="00A43A26"/>
    <w:rsid w:val="00A43D44"/>
    <w:rsid w:val="00A43DDB"/>
    <w:rsid w:val="00A43F10"/>
    <w:rsid w:val="00A44025"/>
    <w:rsid w:val="00A440BE"/>
    <w:rsid w:val="00A4431B"/>
    <w:rsid w:val="00A44560"/>
    <w:rsid w:val="00A445B5"/>
    <w:rsid w:val="00A4464E"/>
    <w:rsid w:val="00A44671"/>
    <w:rsid w:val="00A4496C"/>
    <w:rsid w:val="00A44E3B"/>
    <w:rsid w:val="00A4567E"/>
    <w:rsid w:val="00A4596B"/>
    <w:rsid w:val="00A45996"/>
    <w:rsid w:val="00A46035"/>
    <w:rsid w:val="00A46B7B"/>
    <w:rsid w:val="00A5039C"/>
    <w:rsid w:val="00A50CF1"/>
    <w:rsid w:val="00A50DDD"/>
    <w:rsid w:val="00A51245"/>
    <w:rsid w:val="00A52656"/>
    <w:rsid w:val="00A52D01"/>
    <w:rsid w:val="00A52D69"/>
    <w:rsid w:val="00A532B0"/>
    <w:rsid w:val="00A539F6"/>
    <w:rsid w:val="00A53EF4"/>
    <w:rsid w:val="00A543A9"/>
    <w:rsid w:val="00A54A6A"/>
    <w:rsid w:val="00A54EBB"/>
    <w:rsid w:val="00A55009"/>
    <w:rsid w:val="00A55AF4"/>
    <w:rsid w:val="00A560A5"/>
    <w:rsid w:val="00A5627D"/>
    <w:rsid w:val="00A566A0"/>
    <w:rsid w:val="00A57179"/>
    <w:rsid w:val="00A57BF6"/>
    <w:rsid w:val="00A57C78"/>
    <w:rsid w:val="00A60067"/>
    <w:rsid w:val="00A603F1"/>
    <w:rsid w:val="00A61BF2"/>
    <w:rsid w:val="00A61C61"/>
    <w:rsid w:val="00A62458"/>
    <w:rsid w:val="00A62B5D"/>
    <w:rsid w:val="00A62D79"/>
    <w:rsid w:val="00A63566"/>
    <w:rsid w:val="00A637D3"/>
    <w:rsid w:val="00A64823"/>
    <w:rsid w:val="00A64A0C"/>
    <w:rsid w:val="00A64C55"/>
    <w:rsid w:val="00A662B8"/>
    <w:rsid w:val="00A6688E"/>
    <w:rsid w:val="00A66A89"/>
    <w:rsid w:val="00A6715C"/>
    <w:rsid w:val="00A67C72"/>
    <w:rsid w:val="00A70C44"/>
    <w:rsid w:val="00A7132A"/>
    <w:rsid w:val="00A71457"/>
    <w:rsid w:val="00A718C9"/>
    <w:rsid w:val="00A71921"/>
    <w:rsid w:val="00A7210D"/>
    <w:rsid w:val="00A725AE"/>
    <w:rsid w:val="00A7263A"/>
    <w:rsid w:val="00A72A38"/>
    <w:rsid w:val="00A72B86"/>
    <w:rsid w:val="00A73401"/>
    <w:rsid w:val="00A738B7"/>
    <w:rsid w:val="00A739F1"/>
    <w:rsid w:val="00A73FBF"/>
    <w:rsid w:val="00A7465C"/>
    <w:rsid w:val="00A74753"/>
    <w:rsid w:val="00A7566C"/>
    <w:rsid w:val="00A760B4"/>
    <w:rsid w:val="00A762B6"/>
    <w:rsid w:val="00A766A8"/>
    <w:rsid w:val="00A76EB4"/>
    <w:rsid w:val="00A777B2"/>
    <w:rsid w:val="00A77A43"/>
    <w:rsid w:val="00A77C50"/>
    <w:rsid w:val="00A77D3C"/>
    <w:rsid w:val="00A77D70"/>
    <w:rsid w:val="00A80038"/>
    <w:rsid w:val="00A804CB"/>
    <w:rsid w:val="00A817CA"/>
    <w:rsid w:val="00A81DE3"/>
    <w:rsid w:val="00A821AA"/>
    <w:rsid w:val="00A822FB"/>
    <w:rsid w:val="00A83B61"/>
    <w:rsid w:val="00A83BFD"/>
    <w:rsid w:val="00A83C33"/>
    <w:rsid w:val="00A84212"/>
    <w:rsid w:val="00A84826"/>
    <w:rsid w:val="00A84EA4"/>
    <w:rsid w:val="00A85056"/>
    <w:rsid w:val="00A85D3D"/>
    <w:rsid w:val="00A85F1D"/>
    <w:rsid w:val="00A879AA"/>
    <w:rsid w:val="00A9119C"/>
    <w:rsid w:val="00A9178C"/>
    <w:rsid w:val="00A91DEC"/>
    <w:rsid w:val="00A92922"/>
    <w:rsid w:val="00A92AFC"/>
    <w:rsid w:val="00A9346A"/>
    <w:rsid w:val="00A93D14"/>
    <w:rsid w:val="00A93DA7"/>
    <w:rsid w:val="00A941AE"/>
    <w:rsid w:val="00A9420F"/>
    <w:rsid w:val="00A94F2F"/>
    <w:rsid w:val="00A953A1"/>
    <w:rsid w:val="00A95DA6"/>
    <w:rsid w:val="00A96497"/>
    <w:rsid w:val="00A967CB"/>
    <w:rsid w:val="00A96924"/>
    <w:rsid w:val="00A96ACD"/>
    <w:rsid w:val="00A9703B"/>
    <w:rsid w:val="00AA0508"/>
    <w:rsid w:val="00AA0A7C"/>
    <w:rsid w:val="00AA176F"/>
    <w:rsid w:val="00AA2697"/>
    <w:rsid w:val="00AA2931"/>
    <w:rsid w:val="00AA2C16"/>
    <w:rsid w:val="00AA3B9B"/>
    <w:rsid w:val="00AA436F"/>
    <w:rsid w:val="00AA4403"/>
    <w:rsid w:val="00AA445C"/>
    <w:rsid w:val="00AA464F"/>
    <w:rsid w:val="00AA49CE"/>
    <w:rsid w:val="00AA6C14"/>
    <w:rsid w:val="00AA6E7D"/>
    <w:rsid w:val="00AA7203"/>
    <w:rsid w:val="00AA7853"/>
    <w:rsid w:val="00AB044C"/>
    <w:rsid w:val="00AB06AB"/>
    <w:rsid w:val="00AB06B1"/>
    <w:rsid w:val="00AB11F6"/>
    <w:rsid w:val="00AB1EB2"/>
    <w:rsid w:val="00AB1EED"/>
    <w:rsid w:val="00AB267F"/>
    <w:rsid w:val="00AB27B4"/>
    <w:rsid w:val="00AB3439"/>
    <w:rsid w:val="00AB391D"/>
    <w:rsid w:val="00AB429A"/>
    <w:rsid w:val="00AB4312"/>
    <w:rsid w:val="00AB438B"/>
    <w:rsid w:val="00AB43B3"/>
    <w:rsid w:val="00AB4859"/>
    <w:rsid w:val="00AB5208"/>
    <w:rsid w:val="00AB5238"/>
    <w:rsid w:val="00AB5772"/>
    <w:rsid w:val="00AB69FD"/>
    <w:rsid w:val="00AB6B92"/>
    <w:rsid w:val="00AB6DC0"/>
    <w:rsid w:val="00AB7664"/>
    <w:rsid w:val="00AB775F"/>
    <w:rsid w:val="00AB787E"/>
    <w:rsid w:val="00AB7A6D"/>
    <w:rsid w:val="00AB7D28"/>
    <w:rsid w:val="00AB7E89"/>
    <w:rsid w:val="00AC0A2D"/>
    <w:rsid w:val="00AC180B"/>
    <w:rsid w:val="00AC1DC0"/>
    <w:rsid w:val="00AC1F0D"/>
    <w:rsid w:val="00AC1F74"/>
    <w:rsid w:val="00AC206E"/>
    <w:rsid w:val="00AC29A5"/>
    <w:rsid w:val="00AC367E"/>
    <w:rsid w:val="00AC394D"/>
    <w:rsid w:val="00AC3ABC"/>
    <w:rsid w:val="00AC3F4D"/>
    <w:rsid w:val="00AC4396"/>
    <w:rsid w:val="00AC447A"/>
    <w:rsid w:val="00AC5442"/>
    <w:rsid w:val="00AC57F9"/>
    <w:rsid w:val="00AC6324"/>
    <w:rsid w:val="00AC647D"/>
    <w:rsid w:val="00AC65C1"/>
    <w:rsid w:val="00AC6632"/>
    <w:rsid w:val="00AC7142"/>
    <w:rsid w:val="00AD0646"/>
    <w:rsid w:val="00AD070F"/>
    <w:rsid w:val="00AD08C7"/>
    <w:rsid w:val="00AD0AB7"/>
    <w:rsid w:val="00AD108A"/>
    <w:rsid w:val="00AD1969"/>
    <w:rsid w:val="00AD279C"/>
    <w:rsid w:val="00AD2A30"/>
    <w:rsid w:val="00AD3589"/>
    <w:rsid w:val="00AD3A86"/>
    <w:rsid w:val="00AD3D1F"/>
    <w:rsid w:val="00AD407D"/>
    <w:rsid w:val="00AD46A1"/>
    <w:rsid w:val="00AD476E"/>
    <w:rsid w:val="00AD499B"/>
    <w:rsid w:val="00AD4E1A"/>
    <w:rsid w:val="00AD5568"/>
    <w:rsid w:val="00AD5A26"/>
    <w:rsid w:val="00AD5CC7"/>
    <w:rsid w:val="00AD5D6E"/>
    <w:rsid w:val="00AD6699"/>
    <w:rsid w:val="00AD69B7"/>
    <w:rsid w:val="00AD73BF"/>
    <w:rsid w:val="00AD741C"/>
    <w:rsid w:val="00AD7471"/>
    <w:rsid w:val="00AD7520"/>
    <w:rsid w:val="00AD7D7F"/>
    <w:rsid w:val="00AD7F51"/>
    <w:rsid w:val="00AE04CF"/>
    <w:rsid w:val="00AE09CA"/>
    <w:rsid w:val="00AE0AD8"/>
    <w:rsid w:val="00AE11C1"/>
    <w:rsid w:val="00AE1353"/>
    <w:rsid w:val="00AE1424"/>
    <w:rsid w:val="00AE1A2A"/>
    <w:rsid w:val="00AE1BB4"/>
    <w:rsid w:val="00AE1BB6"/>
    <w:rsid w:val="00AE1CFE"/>
    <w:rsid w:val="00AE2300"/>
    <w:rsid w:val="00AE299B"/>
    <w:rsid w:val="00AE2DF0"/>
    <w:rsid w:val="00AE3AC9"/>
    <w:rsid w:val="00AE3D3F"/>
    <w:rsid w:val="00AE4990"/>
    <w:rsid w:val="00AE4C23"/>
    <w:rsid w:val="00AE4E6F"/>
    <w:rsid w:val="00AE556B"/>
    <w:rsid w:val="00AE59A0"/>
    <w:rsid w:val="00AE5CDF"/>
    <w:rsid w:val="00AE5ED4"/>
    <w:rsid w:val="00AE5F32"/>
    <w:rsid w:val="00AE7014"/>
    <w:rsid w:val="00AE7403"/>
    <w:rsid w:val="00AE7E86"/>
    <w:rsid w:val="00AF057D"/>
    <w:rsid w:val="00AF066F"/>
    <w:rsid w:val="00AF06E5"/>
    <w:rsid w:val="00AF12B4"/>
    <w:rsid w:val="00AF1ACB"/>
    <w:rsid w:val="00AF2159"/>
    <w:rsid w:val="00AF2273"/>
    <w:rsid w:val="00AF254A"/>
    <w:rsid w:val="00AF271E"/>
    <w:rsid w:val="00AF2B82"/>
    <w:rsid w:val="00AF348F"/>
    <w:rsid w:val="00AF3934"/>
    <w:rsid w:val="00AF39AB"/>
    <w:rsid w:val="00AF4DBC"/>
    <w:rsid w:val="00AF50A1"/>
    <w:rsid w:val="00AF63FA"/>
    <w:rsid w:val="00AF6B78"/>
    <w:rsid w:val="00AF6BBC"/>
    <w:rsid w:val="00AF7423"/>
    <w:rsid w:val="00AF76E2"/>
    <w:rsid w:val="00B00138"/>
    <w:rsid w:val="00B01125"/>
    <w:rsid w:val="00B0128F"/>
    <w:rsid w:val="00B01445"/>
    <w:rsid w:val="00B01D06"/>
    <w:rsid w:val="00B01E2D"/>
    <w:rsid w:val="00B01FEA"/>
    <w:rsid w:val="00B02815"/>
    <w:rsid w:val="00B02B03"/>
    <w:rsid w:val="00B02E4C"/>
    <w:rsid w:val="00B035FB"/>
    <w:rsid w:val="00B0367B"/>
    <w:rsid w:val="00B04319"/>
    <w:rsid w:val="00B047A3"/>
    <w:rsid w:val="00B048C3"/>
    <w:rsid w:val="00B05385"/>
    <w:rsid w:val="00B05680"/>
    <w:rsid w:val="00B05B06"/>
    <w:rsid w:val="00B06280"/>
    <w:rsid w:val="00B06694"/>
    <w:rsid w:val="00B06E77"/>
    <w:rsid w:val="00B07242"/>
    <w:rsid w:val="00B072C6"/>
    <w:rsid w:val="00B07B96"/>
    <w:rsid w:val="00B07C96"/>
    <w:rsid w:val="00B10064"/>
    <w:rsid w:val="00B10D3D"/>
    <w:rsid w:val="00B10FA2"/>
    <w:rsid w:val="00B11915"/>
    <w:rsid w:val="00B122E9"/>
    <w:rsid w:val="00B1275C"/>
    <w:rsid w:val="00B12A9C"/>
    <w:rsid w:val="00B130BE"/>
    <w:rsid w:val="00B131BB"/>
    <w:rsid w:val="00B132DB"/>
    <w:rsid w:val="00B137A1"/>
    <w:rsid w:val="00B13BA6"/>
    <w:rsid w:val="00B146B1"/>
    <w:rsid w:val="00B14C69"/>
    <w:rsid w:val="00B151F7"/>
    <w:rsid w:val="00B15332"/>
    <w:rsid w:val="00B15991"/>
    <w:rsid w:val="00B15F10"/>
    <w:rsid w:val="00B1604B"/>
    <w:rsid w:val="00B1747D"/>
    <w:rsid w:val="00B176F3"/>
    <w:rsid w:val="00B17AD2"/>
    <w:rsid w:val="00B17C6C"/>
    <w:rsid w:val="00B204CF"/>
    <w:rsid w:val="00B21C4E"/>
    <w:rsid w:val="00B21F9C"/>
    <w:rsid w:val="00B22566"/>
    <w:rsid w:val="00B225E2"/>
    <w:rsid w:val="00B2286E"/>
    <w:rsid w:val="00B22FF4"/>
    <w:rsid w:val="00B23E25"/>
    <w:rsid w:val="00B24889"/>
    <w:rsid w:val="00B24EAB"/>
    <w:rsid w:val="00B24F67"/>
    <w:rsid w:val="00B25481"/>
    <w:rsid w:val="00B25510"/>
    <w:rsid w:val="00B25637"/>
    <w:rsid w:val="00B264B0"/>
    <w:rsid w:val="00B26C42"/>
    <w:rsid w:val="00B27662"/>
    <w:rsid w:val="00B30670"/>
    <w:rsid w:val="00B31530"/>
    <w:rsid w:val="00B3160D"/>
    <w:rsid w:val="00B316DA"/>
    <w:rsid w:val="00B31E3F"/>
    <w:rsid w:val="00B32686"/>
    <w:rsid w:val="00B33945"/>
    <w:rsid w:val="00B341C8"/>
    <w:rsid w:val="00B34243"/>
    <w:rsid w:val="00B34CA3"/>
    <w:rsid w:val="00B351D7"/>
    <w:rsid w:val="00B358D9"/>
    <w:rsid w:val="00B366C7"/>
    <w:rsid w:val="00B368E0"/>
    <w:rsid w:val="00B376B7"/>
    <w:rsid w:val="00B37D27"/>
    <w:rsid w:val="00B37FF7"/>
    <w:rsid w:val="00B407F4"/>
    <w:rsid w:val="00B415B0"/>
    <w:rsid w:val="00B41C54"/>
    <w:rsid w:val="00B41DF2"/>
    <w:rsid w:val="00B4382C"/>
    <w:rsid w:val="00B43D37"/>
    <w:rsid w:val="00B44878"/>
    <w:rsid w:val="00B4518F"/>
    <w:rsid w:val="00B45461"/>
    <w:rsid w:val="00B4583E"/>
    <w:rsid w:val="00B45C5D"/>
    <w:rsid w:val="00B45CED"/>
    <w:rsid w:val="00B463CC"/>
    <w:rsid w:val="00B46540"/>
    <w:rsid w:val="00B46836"/>
    <w:rsid w:val="00B46A0E"/>
    <w:rsid w:val="00B46E02"/>
    <w:rsid w:val="00B47330"/>
    <w:rsid w:val="00B47CCC"/>
    <w:rsid w:val="00B47F01"/>
    <w:rsid w:val="00B500A0"/>
    <w:rsid w:val="00B50478"/>
    <w:rsid w:val="00B50B7A"/>
    <w:rsid w:val="00B51654"/>
    <w:rsid w:val="00B518E7"/>
    <w:rsid w:val="00B51E24"/>
    <w:rsid w:val="00B51F1E"/>
    <w:rsid w:val="00B52C10"/>
    <w:rsid w:val="00B52EAC"/>
    <w:rsid w:val="00B534DA"/>
    <w:rsid w:val="00B538C0"/>
    <w:rsid w:val="00B53A21"/>
    <w:rsid w:val="00B53C36"/>
    <w:rsid w:val="00B53E29"/>
    <w:rsid w:val="00B53F13"/>
    <w:rsid w:val="00B54057"/>
    <w:rsid w:val="00B54509"/>
    <w:rsid w:val="00B54A23"/>
    <w:rsid w:val="00B55419"/>
    <w:rsid w:val="00B55718"/>
    <w:rsid w:val="00B55A71"/>
    <w:rsid w:val="00B55DA4"/>
    <w:rsid w:val="00B56152"/>
    <w:rsid w:val="00B5666E"/>
    <w:rsid w:val="00B5772F"/>
    <w:rsid w:val="00B57761"/>
    <w:rsid w:val="00B57E40"/>
    <w:rsid w:val="00B60032"/>
    <w:rsid w:val="00B60F76"/>
    <w:rsid w:val="00B61810"/>
    <w:rsid w:val="00B61F7C"/>
    <w:rsid w:val="00B63062"/>
    <w:rsid w:val="00B6322E"/>
    <w:rsid w:val="00B63678"/>
    <w:rsid w:val="00B6395C"/>
    <w:rsid w:val="00B64145"/>
    <w:rsid w:val="00B64B2B"/>
    <w:rsid w:val="00B64F36"/>
    <w:rsid w:val="00B654EA"/>
    <w:rsid w:val="00B67339"/>
    <w:rsid w:val="00B67356"/>
    <w:rsid w:val="00B67465"/>
    <w:rsid w:val="00B674AC"/>
    <w:rsid w:val="00B7062A"/>
    <w:rsid w:val="00B708AB"/>
    <w:rsid w:val="00B708F6"/>
    <w:rsid w:val="00B7094B"/>
    <w:rsid w:val="00B70BA5"/>
    <w:rsid w:val="00B70DE2"/>
    <w:rsid w:val="00B71814"/>
    <w:rsid w:val="00B71B34"/>
    <w:rsid w:val="00B71BD1"/>
    <w:rsid w:val="00B7201F"/>
    <w:rsid w:val="00B720B0"/>
    <w:rsid w:val="00B72213"/>
    <w:rsid w:val="00B72735"/>
    <w:rsid w:val="00B732A3"/>
    <w:rsid w:val="00B73348"/>
    <w:rsid w:val="00B73442"/>
    <w:rsid w:val="00B73783"/>
    <w:rsid w:val="00B744D6"/>
    <w:rsid w:val="00B75974"/>
    <w:rsid w:val="00B75E09"/>
    <w:rsid w:val="00B75F16"/>
    <w:rsid w:val="00B76165"/>
    <w:rsid w:val="00B7649F"/>
    <w:rsid w:val="00B7675D"/>
    <w:rsid w:val="00B76E37"/>
    <w:rsid w:val="00B76FF1"/>
    <w:rsid w:val="00B77027"/>
    <w:rsid w:val="00B771B0"/>
    <w:rsid w:val="00B77423"/>
    <w:rsid w:val="00B775AF"/>
    <w:rsid w:val="00B775B3"/>
    <w:rsid w:val="00B779CE"/>
    <w:rsid w:val="00B80BB7"/>
    <w:rsid w:val="00B81CB9"/>
    <w:rsid w:val="00B81D30"/>
    <w:rsid w:val="00B8229C"/>
    <w:rsid w:val="00B836D6"/>
    <w:rsid w:val="00B845C4"/>
    <w:rsid w:val="00B84952"/>
    <w:rsid w:val="00B853AA"/>
    <w:rsid w:val="00B85CCD"/>
    <w:rsid w:val="00B85D96"/>
    <w:rsid w:val="00B86319"/>
    <w:rsid w:val="00B86C7E"/>
    <w:rsid w:val="00B87B14"/>
    <w:rsid w:val="00B87D0B"/>
    <w:rsid w:val="00B91167"/>
    <w:rsid w:val="00B9171B"/>
    <w:rsid w:val="00B91D3D"/>
    <w:rsid w:val="00B92228"/>
    <w:rsid w:val="00B9318E"/>
    <w:rsid w:val="00B932F8"/>
    <w:rsid w:val="00B93D37"/>
    <w:rsid w:val="00B93F32"/>
    <w:rsid w:val="00B94943"/>
    <w:rsid w:val="00B94C6C"/>
    <w:rsid w:val="00B94CAF"/>
    <w:rsid w:val="00B95034"/>
    <w:rsid w:val="00B951FB"/>
    <w:rsid w:val="00B95506"/>
    <w:rsid w:val="00B95C5D"/>
    <w:rsid w:val="00B9653A"/>
    <w:rsid w:val="00B96583"/>
    <w:rsid w:val="00B969FA"/>
    <w:rsid w:val="00BA060A"/>
    <w:rsid w:val="00BA0A43"/>
    <w:rsid w:val="00BA12D8"/>
    <w:rsid w:val="00BA1C19"/>
    <w:rsid w:val="00BA2280"/>
    <w:rsid w:val="00BA384A"/>
    <w:rsid w:val="00BA38A4"/>
    <w:rsid w:val="00BA38AF"/>
    <w:rsid w:val="00BA3F05"/>
    <w:rsid w:val="00BA4900"/>
    <w:rsid w:val="00BA51B6"/>
    <w:rsid w:val="00BA53DB"/>
    <w:rsid w:val="00BA5950"/>
    <w:rsid w:val="00BA5F92"/>
    <w:rsid w:val="00BA63E9"/>
    <w:rsid w:val="00BA6445"/>
    <w:rsid w:val="00BA6C65"/>
    <w:rsid w:val="00BA7D0B"/>
    <w:rsid w:val="00BB025D"/>
    <w:rsid w:val="00BB0902"/>
    <w:rsid w:val="00BB0A88"/>
    <w:rsid w:val="00BB0ED4"/>
    <w:rsid w:val="00BB0EEF"/>
    <w:rsid w:val="00BB1444"/>
    <w:rsid w:val="00BB1AB9"/>
    <w:rsid w:val="00BB29EE"/>
    <w:rsid w:val="00BB2A80"/>
    <w:rsid w:val="00BB3168"/>
    <w:rsid w:val="00BB3223"/>
    <w:rsid w:val="00BB393B"/>
    <w:rsid w:val="00BB3EE5"/>
    <w:rsid w:val="00BB46C1"/>
    <w:rsid w:val="00BB4C9E"/>
    <w:rsid w:val="00BB50E4"/>
    <w:rsid w:val="00BB53C5"/>
    <w:rsid w:val="00BB5970"/>
    <w:rsid w:val="00BB62D1"/>
    <w:rsid w:val="00BB6FFE"/>
    <w:rsid w:val="00BC0583"/>
    <w:rsid w:val="00BC22F4"/>
    <w:rsid w:val="00BC25A7"/>
    <w:rsid w:val="00BC2708"/>
    <w:rsid w:val="00BC29C0"/>
    <w:rsid w:val="00BC29D0"/>
    <w:rsid w:val="00BC2A7C"/>
    <w:rsid w:val="00BC2D3A"/>
    <w:rsid w:val="00BC2EC4"/>
    <w:rsid w:val="00BC38EC"/>
    <w:rsid w:val="00BC3B8B"/>
    <w:rsid w:val="00BC3E9F"/>
    <w:rsid w:val="00BC45BE"/>
    <w:rsid w:val="00BC461D"/>
    <w:rsid w:val="00BC496D"/>
    <w:rsid w:val="00BC4D81"/>
    <w:rsid w:val="00BC4F57"/>
    <w:rsid w:val="00BC5CF7"/>
    <w:rsid w:val="00BC6106"/>
    <w:rsid w:val="00BC6FC0"/>
    <w:rsid w:val="00BC7049"/>
    <w:rsid w:val="00BC7D50"/>
    <w:rsid w:val="00BD0611"/>
    <w:rsid w:val="00BD1519"/>
    <w:rsid w:val="00BD1F2A"/>
    <w:rsid w:val="00BD4141"/>
    <w:rsid w:val="00BD41CC"/>
    <w:rsid w:val="00BD42C6"/>
    <w:rsid w:val="00BD436C"/>
    <w:rsid w:val="00BD4473"/>
    <w:rsid w:val="00BD4763"/>
    <w:rsid w:val="00BD48C4"/>
    <w:rsid w:val="00BD4DB8"/>
    <w:rsid w:val="00BD564B"/>
    <w:rsid w:val="00BD5A74"/>
    <w:rsid w:val="00BD6427"/>
    <w:rsid w:val="00BD65EE"/>
    <w:rsid w:val="00BD6760"/>
    <w:rsid w:val="00BD7BA9"/>
    <w:rsid w:val="00BE002D"/>
    <w:rsid w:val="00BE06FB"/>
    <w:rsid w:val="00BE0830"/>
    <w:rsid w:val="00BE0D54"/>
    <w:rsid w:val="00BE0DAF"/>
    <w:rsid w:val="00BE0F9A"/>
    <w:rsid w:val="00BE1183"/>
    <w:rsid w:val="00BE1820"/>
    <w:rsid w:val="00BE24B9"/>
    <w:rsid w:val="00BE293B"/>
    <w:rsid w:val="00BE2B43"/>
    <w:rsid w:val="00BE2C4D"/>
    <w:rsid w:val="00BE3322"/>
    <w:rsid w:val="00BE3635"/>
    <w:rsid w:val="00BE48D5"/>
    <w:rsid w:val="00BE4BE9"/>
    <w:rsid w:val="00BE4CA7"/>
    <w:rsid w:val="00BE69E1"/>
    <w:rsid w:val="00BE72AE"/>
    <w:rsid w:val="00BE74C8"/>
    <w:rsid w:val="00BE76CC"/>
    <w:rsid w:val="00BE7BA7"/>
    <w:rsid w:val="00BF26E5"/>
    <w:rsid w:val="00BF3CAA"/>
    <w:rsid w:val="00BF3E79"/>
    <w:rsid w:val="00BF4194"/>
    <w:rsid w:val="00BF46EF"/>
    <w:rsid w:val="00BF4BFB"/>
    <w:rsid w:val="00BF5A66"/>
    <w:rsid w:val="00BF5DCB"/>
    <w:rsid w:val="00BF6102"/>
    <w:rsid w:val="00BF65C0"/>
    <w:rsid w:val="00BF6754"/>
    <w:rsid w:val="00BF688D"/>
    <w:rsid w:val="00BF6F6D"/>
    <w:rsid w:val="00BF7174"/>
    <w:rsid w:val="00BF73A7"/>
    <w:rsid w:val="00BF77CE"/>
    <w:rsid w:val="00C0026F"/>
    <w:rsid w:val="00C00566"/>
    <w:rsid w:val="00C00956"/>
    <w:rsid w:val="00C016FC"/>
    <w:rsid w:val="00C018E6"/>
    <w:rsid w:val="00C01A20"/>
    <w:rsid w:val="00C01D88"/>
    <w:rsid w:val="00C02A7A"/>
    <w:rsid w:val="00C0333D"/>
    <w:rsid w:val="00C0385C"/>
    <w:rsid w:val="00C03955"/>
    <w:rsid w:val="00C039B9"/>
    <w:rsid w:val="00C03A16"/>
    <w:rsid w:val="00C03F51"/>
    <w:rsid w:val="00C04063"/>
    <w:rsid w:val="00C04112"/>
    <w:rsid w:val="00C047FE"/>
    <w:rsid w:val="00C04EB3"/>
    <w:rsid w:val="00C05F18"/>
    <w:rsid w:val="00C05FD6"/>
    <w:rsid w:val="00C0641A"/>
    <w:rsid w:val="00C075BA"/>
    <w:rsid w:val="00C07BB3"/>
    <w:rsid w:val="00C100C1"/>
    <w:rsid w:val="00C10536"/>
    <w:rsid w:val="00C10A32"/>
    <w:rsid w:val="00C112EE"/>
    <w:rsid w:val="00C11978"/>
    <w:rsid w:val="00C11D14"/>
    <w:rsid w:val="00C12580"/>
    <w:rsid w:val="00C1289C"/>
    <w:rsid w:val="00C12FDA"/>
    <w:rsid w:val="00C1336A"/>
    <w:rsid w:val="00C14ACF"/>
    <w:rsid w:val="00C14B2F"/>
    <w:rsid w:val="00C14F2A"/>
    <w:rsid w:val="00C1570C"/>
    <w:rsid w:val="00C15EF9"/>
    <w:rsid w:val="00C163AB"/>
    <w:rsid w:val="00C165A2"/>
    <w:rsid w:val="00C17E30"/>
    <w:rsid w:val="00C17E42"/>
    <w:rsid w:val="00C17E6E"/>
    <w:rsid w:val="00C20226"/>
    <w:rsid w:val="00C2069E"/>
    <w:rsid w:val="00C20895"/>
    <w:rsid w:val="00C20FFF"/>
    <w:rsid w:val="00C210E8"/>
    <w:rsid w:val="00C21923"/>
    <w:rsid w:val="00C22275"/>
    <w:rsid w:val="00C22881"/>
    <w:rsid w:val="00C22CB8"/>
    <w:rsid w:val="00C23509"/>
    <w:rsid w:val="00C237DA"/>
    <w:rsid w:val="00C23CD1"/>
    <w:rsid w:val="00C242FD"/>
    <w:rsid w:val="00C244C5"/>
    <w:rsid w:val="00C24CCA"/>
    <w:rsid w:val="00C24D53"/>
    <w:rsid w:val="00C254A4"/>
    <w:rsid w:val="00C258CB"/>
    <w:rsid w:val="00C259E6"/>
    <w:rsid w:val="00C261F3"/>
    <w:rsid w:val="00C2688D"/>
    <w:rsid w:val="00C2742D"/>
    <w:rsid w:val="00C277D4"/>
    <w:rsid w:val="00C27D1C"/>
    <w:rsid w:val="00C27ECC"/>
    <w:rsid w:val="00C303B9"/>
    <w:rsid w:val="00C30A56"/>
    <w:rsid w:val="00C31199"/>
    <w:rsid w:val="00C313D5"/>
    <w:rsid w:val="00C3177D"/>
    <w:rsid w:val="00C31C95"/>
    <w:rsid w:val="00C323BA"/>
    <w:rsid w:val="00C32749"/>
    <w:rsid w:val="00C332EE"/>
    <w:rsid w:val="00C35882"/>
    <w:rsid w:val="00C35A5F"/>
    <w:rsid w:val="00C35AC6"/>
    <w:rsid w:val="00C35E33"/>
    <w:rsid w:val="00C36109"/>
    <w:rsid w:val="00C36185"/>
    <w:rsid w:val="00C3637D"/>
    <w:rsid w:val="00C366F2"/>
    <w:rsid w:val="00C36CA7"/>
    <w:rsid w:val="00C36CAC"/>
    <w:rsid w:val="00C3724C"/>
    <w:rsid w:val="00C40079"/>
    <w:rsid w:val="00C402F6"/>
    <w:rsid w:val="00C406DE"/>
    <w:rsid w:val="00C41234"/>
    <w:rsid w:val="00C41355"/>
    <w:rsid w:val="00C41503"/>
    <w:rsid w:val="00C42657"/>
    <w:rsid w:val="00C426DC"/>
    <w:rsid w:val="00C43017"/>
    <w:rsid w:val="00C43B27"/>
    <w:rsid w:val="00C44F7A"/>
    <w:rsid w:val="00C4548E"/>
    <w:rsid w:val="00C46A33"/>
    <w:rsid w:val="00C475E0"/>
    <w:rsid w:val="00C477BC"/>
    <w:rsid w:val="00C47985"/>
    <w:rsid w:val="00C47B80"/>
    <w:rsid w:val="00C50E31"/>
    <w:rsid w:val="00C5142D"/>
    <w:rsid w:val="00C51936"/>
    <w:rsid w:val="00C519CA"/>
    <w:rsid w:val="00C52A01"/>
    <w:rsid w:val="00C53851"/>
    <w:rsid w:val="00C53B27"/>
    <w:rsid w:val="00C53B86"/>
    <w:rsid w:val="00C53E8B"/>
    <w:rsid w:val="00C54396"/>
    <w:rsid w:val="00C54686"/>
    <w:rsid w:val="00C54D88"/>
    <w:rsid w:val="00C553F1"/>
    <w:rsid w:val="00C55C88"/>
    <w:rsid w:val="00C55F74"/>
    <w:rsid w:val="00C567FD"/>
    <w:rsid w:val="00C56861"/>
    <w:rsid w:val="00C56F55"/>
    <w:rsid w:val="00C6061C"/>
    <w:rsid w:val="00C60839"/>
    <w:rsid w:val="00C60A02"/>
    <w:rsid w:val="00C61338"/>
    <w:rsid w:val="00C61F23"/>
    <w:rsid w:val="00C62F4A"/>
    <w:rsid w:val="00C6302D"/>
    <w:rsid w:val="00C63849"/>
    <w:rsid w:val="00C64612"/>
    <w:rsid w:val="00C64841"/>
    <w:rsid w:val="00C65099"/>
    <w:rsid w:val="00C66436"/>
    <w:rsid w:val="00C66981"/>
    <w:rsid w:val="00C66BAA"/>
    <w:rsid w:val="00C67589"/>
    <w:rsid w:val="00C71594"/>
    <w:rsid w:val="00C71BA0"/>
    <w:rsid w:val="00C71CE1"/>
    <w:rsid w:val="00C71D36"/>
    <w:rsid w:val="00C72268"/>
    <w:rsid w:val="00C734E5"/>
    <w:rsid w:val="00C73674"/>
    <w:rsid w:val="00C73DB7"/>
    <w:rsid w:val="00C74040"/>
    <w:rsid w:val="00C745D6"/>
    <w:rsid w:val="00C7581B"/>
    <w:rsid w:val="00C75E98"/>
    <w:rsid w:val="00C7685F"/>
    <w:rsid w:val="00C802A4"/>
    <w:rsid w:val="00C80B8D"/>
    <w:rsid w:val="00C80C13"/>
    <w:rsid w:val="00C80E3A"/>
    <w:rsid w:val="00C81655"/>
    <w:rsid w:val="00C8166E"/>
    <w:rsid w:val="00C8186C"/>
    <w:rsid w:val="00C81C12"/>
    <w:rsid w:val="00C82288"/>
    <w:rsid w:val="00C82348"/>
    <w:rsid w:val="00C828B9"/>
    <w:rsid w:val="00C829E4"/>
    <w:rsid w:val="00C82AF7"/>
    <w:rsid w:val="00C82D71"/>
    <w:rsid w:val="00C82EFA"/>
    <w:rsid w:val="00C83190"/>
    <w:rsid w:val="00C83C5C"/>
    <w:rsid w:val="00C844C9"/>
    <w:rsid w:val="00C84519"/>
    <w:rsid w:val="00C867D9"/>
    <w:rsid w:val="00C86F56"/>
    <w:rsid w:val="00C87787"/>
    <w:rsid w:val="00C87C3E"/>
    <w:rsid w:val="00C87EAE"/>
    <w:rsid w:val="00C914D9"/>
    <w:rsid w:val="00C9198E"/>
    <w:rsid w:val="00C92633"/>
    <w:rsid w:val="00C927FE"/>
    <w:rsid w:val="00C9296B"/>
    <w:rsid w:val="00C92AED"/>
    <w:rsid w:val="00C92D8C"/>
    <w:rsid w:val="00C92F22"/>
    <w:rsid w:val="00C932C6"/>
    <w:rsid w:val="00C93ABE"/>
    <w:rsid w:val="00C944E2"/>
    <w:rsid w:val="00C945DC"/>
    <w:rsid w:val="00C94B39"/>
    <w:rsid w:val="00C951E7"/>
    <w:rsid w:val="00C9554F"/>
    <w:rsid w:val="00C95F5A"/>
    <w:rsid w:val="00C96645"/>
    <w:rsid w:val="00C96DDC"/>
    <w:rsid w:val="00C96F54"/>
    <w:rsid w:val="00C972DE"/>
    <w:rsid w:val="00C974D1"/>
    <w:rsid w:val="00C97AE6"/>
    <w:rsid w:val="00CA06BD"/>
    <w:rsid w:val="00CA0B61"/>
    <w:rsid w:val="00CA0D7D"/>
    <w:rsid w:val="00CA1E39"/>
    <w:rsid w:val="00CA1E58"/>
    <w:rsid w:val="00CA27DA"/>
    <w:rsid w:val="00CA2D22"/>
    <w:rsid w:val="00CA3158"/>
    <w:rsid w:val="00CA32C0"/>
    <w:rsid w:val="00CA33EE"/>
    <w:rsid w:val="00CA3849"/>
    <w:rsid w:val="00CA3A90"/>
    <w:rsid w:val="00CA47DE"/>
    <w:rsid w:val="00CA4942"/>
    <w:rsid w:val="00CA4E0C"/>
    <w:rsid w:val="00CA5ECF"/>
    <w:rsid w:val="00CA5F97"/>
    <w:rsid w:val="00CA60C5"/>
    <w:rsid w:val="00CA6B56"/>
    <w:rsid w:val="00CA6ED4"/>
    <w:rsid w:val="00CA7B06"/>
    <w:rsid w:val="00CA7DF7"/>
    <w:rsid w:val="00CB040A"/>
    <w:rsid w:val="00CB07C1"/>
    <w:rsid w:val="00CB0D07"/>
    <w:rsid w:val="00CB15DB"/>
    <w:rsid w:val="00CB1AEA"/>
    <w:rsid w:val="00CB2017"/>
    <w:rsid w:val="00CB22C0"/>
    <w:rsid w:val="00CB37F1"/>
    <w:rsid w:val="00CB3EA8"/>
    <w:rsid w:val="00CB4083"/>
    <w:rsid w:val="00CB426C"/>
    <w:rsid w:val="00CB45F1"/>
    <w:rsid w:val="00CB5096"/>
    <w:rsid w:val="00CB564F"/>
    <w:rsid w:val="00CB5755"/>
    <w:rsid w:val="00CB6140"/>
    <w:rsid w:val="00CB6E25"/>
    <w:rsid w:val="00CB7049"/>
    <w:rsid w:val="00CB710C"/>
    <w:rsid w:val="00CB71D1"/>
    <w:rsid w:val="00CB73F1"/>
    <w:rsid w:val="00CB7B06"/>
    <w:rsid w:val="00CC0900"/>
    <w:rsid w:val="00CC13C8"/>
    <w:rsid w:val="00CC1777"/>
    <w:rsid w:val="00CC1CA8"/>
    <w:rsid w:val="00CC1D7A"/>
    <w:rsid w:val="00CC1F7A"/>
    <w:rsid w:val="00CC2252"/>
    <w:rsid w:val="00CC424D"/>
    <w:rsid w:val="00CC4689"/>
    <w:rsid w:val="00CC4947"/>
    <w:rsid w:val="00CC4A10"/>
    <w:rsid w:val="00CC4F42"/>
    <w:rsid w:val="00CC5D20"/>
    <w:rsid w:val="00CC699C"/>
    <w:rsid w:val="00CC6BD2"/>
    <w:rsid w:val="00CC6D2D"/>
    <w:rsid w:val="00CC6E59"/>
    <w:rsid w:val="00CC6E97"/>
    <w:rsid w:val="00CC6EE5"/>
    <w:rsid w:val="00CC70D3"/>
    <w:rsid w:val="00CC7E18"/>
    <w:rsid w:val="00CD049D"/>
    <w:rsid w:val="00CD0872"/>
    <w:rsid w:val="00CD08A5"/>
    <w:rsid w:val="00CD0938"/>
    <w:rsid w:val="00CD0B96"/>
    <w:rsid w:val="00CD0E57"/>
    <w:rsid w:val="00CD1107"/>
    <w:rsid w:val="00CD1485"/>
    <w:rsid w:val="00CD161F"/>
    <w:rsid w:val="00CD21E2"/>
    <w:rsid w:val="00CD2A7B"/>
    <w:rsid w:val="00CD422E"/>
    <w:rsid w:val="00CD4322"/>
    <w:rsid w:val="00CD4B34"/>
    <w:rsid w:val="00CD4C36"/>
    <w:rsid w:val="00CD538B"/>
    <w:rsid w:val="00CD5CE4"/>
    <w:rsid w:val="00CD5D4E"/>
    <w:rsid w:val="00CD626B"/>
    <w:rsid w:val="00CD653B"/>
    <w:rsid w:val="00CD6B4B"/>
    <w:rsid w:val="00CD6C42"/>
    <w:rsid w:val="00CD77C1"/>
    <w:rsid w:val="00CD7F12"/>
    <w:rsid w:val="00CD7F56"/>
    <w:rsid w:val="00CE0CA3"/>
    <w:rsid w:val="00CE0D74"/>
    <w:rsid w:val="00CE14C2"/>
    <w:rsid w:val="00CE1A62"/>
    <w:rsid w:val="00CE1B73"/>
    <w:rsid w:val="00CE1CFD"/>
    <w:rsid w:val="00CE1E9D"/>
    <w:rsid w:val="00CE254C"/>
    <w:rsid w:val="00CE2F5C"/>
    <w:rsid w:val="00CE3024"/>
    <w:rsid w:val="00CE34C7"/>
    <w:rsid w:val="00CE39FA"/>
    <w:rsid w:val="00CE48BB"/>
    <w:rsid w:val="00CE4DE1"/>
    <w:rsid w:val="00CE538D"/>
    <w:rsid w:val="00CE56B1"/>
    <w:rsid w:val="00CE5899"/>
    <w:rsid w:val="00CE5D07"/>
    <w:rsid w:val="00CE6139"/>
    <w:rsid w:val="00CE64FD"/>
    <w:rsid w:val="00CE6661"/>
    <w:rsid w:val="00CE6E02"/>
    <w:rsid w:val="00CE70F5"/>
    <w:rsid w:val="00CE7261"/>
    <w:rsid w:val="00CF05BE"/>
    <w:rsid w:val="00CF062B"/>
    <w:rsid w:val="00CF0C2A"/>
    <w:rsid w:val="00CF10B7"/>
    <w:rsid w:val="00CF1D4B"/>
    <w:rsid w:val="00CF233A"/>
    <w:rsid w:val="00CF2B2F"/>
    <w:rsid w:val="00CF2CCC"/>
    <w:rsid w:val="00CF2E61"/>
    <w:rsid w:val="00CF31F5"/>
    <w:rsid w:val="00CF3597"/>
    <w:rsid w:val="00CF39AC"/>
    <w:rsid w:val="00CF3E71"/>
    <w:rsid w:val="00CF3F20"/>
    <w:rsid w:val="00CF5000"/>
    <w:rsid w:val="00CF51E7"/>
    <w:rsid w:val="00CF5A5A"/>
    <w:rsid w:val="00CF5EB1"/>
    <w:rsid w:val="00CF6952"/>
    <w:rsid w:val="00CF69FC"/>
    <w:rsid w:val="00CF6BC6"/>
    <w:rsid w:val="00CF7657"/>
    <w:rsid w:val="00CF79C0"/>
    <w:rsid w:val="00D02362"/>
    <w:rsid w:val="00D03012"/>
    <w:rsid w:val="00D03884"/>
    <w:rsid w:val="00D039CD"/>
    <w:rsid w:val="00D03C8E"/>
    <w:rsid w:val="00D057A2"/>
    <w:rsid w:val="00D05840"/>
    <w:rsid w:val="00D05AA9"/>
    <w:rsid w:val="00D05E8A"/>
    <w:rsid w:val="00D06164"/>
    <w:rsid w:val="00D069E4"/>
    <w:rsid w:val="00D076A4"/>
    <w:rsid w:val="00D07A0E"/>
    <w:rsid w:val="00D10351"/>
    <w:rsid w:val="00D10893"/>
    <w:rsid w:val="00D10D58"/>
    <w:rsid w:val="00D118DE"/>
    <w:rsid w:val="00D1228E"/>
    <w:rsid w:val="00D12477"/>
    <w:rsid w:val="00D12D8C"/>
    <w:rsid w:val="00D130C8"/>
    <w:rsid w:val="00D143DC"/>
    <w:rsid w:val="00D144E2"/>
    <w:rsid w:val="00D1532A"/>
    <w:rsid w:val="00D15C3F"/>
    <w:rsid w:val="00D1707C"/>
    <w:rsid w:val="00D17629"/>
    <w:rsid w:val="00D17D80"/>
    <w:rsid w:val="00D17F0E"/>
    <w:rsid w:val="00D205D7"/>
    <w:rsid w:val="00D20962"/>
    <w:rsid w:val="00D20C15"/>
    <w:rsid w:val="00D20E37"/>
    <w:rsid w:val="00D214DD"/>
    <w:rsid w:val="00D21607"/>
    <w:rsid w:val="00D21932"/>
    <w:rsid w:val="00D22355"/>
    <w:rsid w:val="00D2262E"/>
    <w:rsid w:val="00D22F35"/>
    <w:rsid w:val="00D22F36"/>
    <w:rsid w:val="00D235FD"/>
    <w:rsid w:val="00D23A03"/>
    <w:rsid w:val="00D25661"/>
    <w:rsid w:val="00D2568E"/>
    <w:rsid w:val="00D2634F"/>
    <w:rsid w:val="00D264B0"/>
    <w:rsid w:val="00D266F8"/>
    <w:rsid w:val="00D27AC5"/>
    <w:rsid w:val="00D30195"/>
    <w:rsid w:val="00D30DFB"/>
    <w:rsid w:val="00D31243"/>
    <w:rsid w:val="00D31426"/>
    <w:rsid w:val="00D31BF4"/>
    <w:rsid w:val="00D3230F"/>
    <w:rsid w:val="00D3265B"/>
    <w:rsid w:val="00D32B80"/>
    <w:rsid w:val="00D32C2D"/>
    <w:rsid w:val="00D337CE"/>
    <w:rsid w:val="00D33CF0"/>
    <w:rsid w:val="00D33EC8"/>
    <w:rsid w:val="00D33EEC"/>
    <w:rsid w:val="00D34681"/>
    <w:rsid w:val="00D3488E"/>
    <w:rsid w:val="00D348F1"/>
    <w:rsid w:val="00D34C22"/>
    <w:rsid w:val="00D34E4E"/>
    <w:rsid w:val="00D34F68"/>
    <w:rsid w:val="00D35286"/>
    <w:rsid w:val="00D352E2"/>
    <w:rsid w:val="00D352EF"/>
    <w:rsid w:val="00D35DB3"/>
    <w:rsid w:val="00D3602D"/>
    <w:rsid w:val="00D36945"/>
    <w:rsid w:val="00D36AB9"/>
    <w:rsid w:val="00D37155"/>
    <w:rsid w:val="00D3775F"/>
    <w:rsid w:val="00D37CD3"/>
    <w:rsid w:val="00D37F37"/>
    <w:rsid w:val="00D40028"/>
    <w:rsid w:val="00D40999"/>
    <w:rsid w:val="00D40B80"/>
    <w:rsid w:val="00D40FDB"/>
    <w:rsid w:val="00D415B1"/>
    <w:rsid w:val="00D416CA"/>
    <w:rsid w:val="00D41761"/>
    <w:rsid w:val="00D41E73"/>
    <w:rsid w:val="00D42075"/>
    <w:rsid w:val="00D42096"/>
    <w:rsid w:val="00D428F5"/>
    <w:rsid w:val="00D42F4F"/>
    <w:rsid w:val="00D43A9D"/>
    <w:rsid w:val="00D44441"/>
    <w:rsid w:val="00D44D8F"/>
    <w:rsid w:val="00D44E65"/>
    <w:rsid w:val="00D4535B"/>
    <w:rsid w:val="00D4568F"/>
    <w:rsid w:val="00D458C2"/>
    <w:rsid w:val="00D458FC"/>
    <w:rsid w:val="00D45B60"/>
    <w:rsid w:val="00D46400"/>
    <w:rsid w:val="00D46940"/>
    <w:rsid w:val="00D47B89"/>
    <w:rsid w:val="00D5048D"/>
    <w:rsid w:val="00D50D45"/>
    <w:rsid w:val="00D50D7E"/>
    <w:rsid w:val="00D51412"/>
    <w:rsid w:val="00D51791"/>
    <w:rsid w:val="00D52350"/>
    <w:rsid w:val="00D52A7A"/>
    <w:rsid w:val="00D52FBE"/>
    <w:rsid w:val="00D532CA"/>
    <w:rsid w:val="00D546D8"/>
    <w:rsid w:val="00D54A19"/>
    <w:rsid w:val="00D54D52"/>
    <w:rsid w:val="00D54ED3"/>
    <w:rsid w:val="00D550C9"/>
    <w:rsid w:val="00D553D0"/>
    <w:rsid w:val="00D55C30"/>
    <w:rsid w:val="00D56676"/>
    <w:rsid w:val="00D56B52"/>
    <w:rsid w:val="00D56C78"/>
    <w:rsid w:val="00D56F3B"/>
    <w:rsid w:val="00D576F8"/>
    <w:rsid w:val="00D57777"/>
    <w:rsid w:val="00D579A1"/>
    <w:rsid w:val="00D57D92"/>
    <w:rsid w:val="00D601D2"/>
    <w:rsid w:val="00D60D92"/>
    <w:rsid w:val="00D612AF"/>
    <w:rsid w:val="00D61BCF"/>
    <w:rsid w:val="00D61C85"/>
    <w:rsid w:val="00D62147"/>
    <w:rsid w:val="00D6222A"/>
    <w:rsid w:val="00D62B35"/>
    <w:rsid w:val="00D62CC8"/>
    <w:rsid w:val="00D62CF8"/>
    <w:rsid w:val="00D62D9D"/>
    <w:rsid w:val="00D62DFC"/>
    <w:rsid w:val="00D63B3E"/>
    <w:rsid w:val="00D63DFD"/>
    <w:rsid w:val="00D646AA"/>
    <w:rsid w:val="00D64E1E"/>
    <w:rsid w:val="00D65509"/>
    <w:rsid w:val="00D658EB"/>
    <w:rsid w:val="00D6619E"/>
    <w:rsid w:val="00D66288"/>
    <w:rsid w:val="00D67B72"/>
    <w:rsid w:val="00D67BF7"/>
    <w:rsid w:val="00D70045"/>
    <w:rsid w:val="00D700B5"/>
    <w:rsid w:val="00D70D07"/>
    <w:rsid w:val="00D70F3F"/>
    <w:rsid w:val="00D71305"/>
    <w:rsid w:val="00D715D9"/>
    <w:rsid w:val="00D71C3C"/>
    <w:rsid w:val="00D72211"/>
    <w:rsid w:val="00D725F7"/>
    <w:rsid w:val="00D72F36"/>
    <w:rsid w:val="00D72FEC"/>
    <w:rsid w:val="00D7305A"/>
    <w:rsid w:val="00D739FD"/>
    <w:rsid w:val="00D744B2"/>
    <w:rsid w:val="00D74548"/>
    <w:rsid w:val="00D75BF8"/>
    <w:rsid w:val="00D75CE1"/>
    <w:rsid w:val="00D75E53"/>
    <w:rsid w:val="00D7629E"/>
    <w:rsid w:val="00D7635E"/>
    <w:rsid w:val="00D763D0"/>
    <w:rsid w:val="00D76673"/>
    <w:rsid w:val="00D7683C"/>
    <w:rsid w:val="00D76B30"/>
    <w:rsid w:val="00D77FAA"/>
    <w:rsid w:val="00D8122D"/>
    <w:rsid w:val="00D81563"/>
    <w:rsid w:val="00D824B5"/>
    <w:rsid w:val="00D833FA"/>
    <w:rsid w:val="00D83448"/>
    <w:rsid w:val="00D8397A"/>
    <w:rsid w:val="00D83CF6"/>
    <w:rsid w:val="00D83F27"/>
    <w:rsid w:val="00D841BE"/>
    <w:rsid w:val="00D84E10"/>
    <w:rsid w:val="00D84EA9"/>
    <w:rsid w:val="00D84EC1"/>
    <w:rsid w:val="00D8561E"/>
    <w:rsid w:val="00D8569E"/>
    <w:rsid w:val="00D8587D"/>
    <w:rsid w:val="00D86289"/>
    <w:rsid w:val="00D86F8A"/>
    <w:rsid w:val="00D90882"/>
    <w:rsid w:val="00D90F2E"/>
    <w:rsid w:val="00D91499"/>
    <w:rsid w:val="00D922EC"/>
    <w:rsid w:val="00D9270E"/>
    <w:rsid w:val="00D9272B"/>
    <w:rsid w:val="00D92A4A"/>
    <w:rsid w:val="00D93C29"/>
    <w:rsid w:val="00D9515B"/>
    <w:rsid w:val="00D96C9C"/>
    <w:rsid w:val="00D97F6A"/>
    <w:rsid w:val="00DA084F"/>
    <w:rsid w:val="00DA1249"/>
    <w:rsid w:val="00DA1C6F"/>
    <w:rsid w:val="00DA1DD9"/>
    <w:rsid w:val="00DA2EAB"/>
    <w:rsid w:val="00DA3377"/>
    <w:rsid w:val="00DA3680"/>
    <w:rsid w:val="00DA3735"/>
    <w:rsid w:val="00DA37FC"/>
    <w:rsid w:val="00DA43F0"/>
    <w:rsid w:val="00DA4586"/>
    <w:rsid w:val="00DA5007"/>
    <w:rsid w:val="00DA555A"/>
    <w:rsid w:val="00DA6EFE"/>
    <w:rsid w:val="00DA71F3"/>
    <w:rsid w:val="00DA76C7"/>
    <w:rsid w:val="00DA798B"/>
    <w:rsid w:val="00DA7B83"/>
    <w:rsid w:val="00DA7CFB"/>
    <w:rsid w:val="00DA7F66"/>
    <w:rsid w:val="00DB0604"/>
    <w:rsid w:val="00DB0610"/>
    <w:rsid w:val="00DB0670"/>
    <w:rsid w:val="00DB09BF"/>
    <w:rsid w:val="00DB1213"/>
    <w:rsid w:val="00DB1B35"/>
    <w:rsid w:val="00DB1ED7"/>
    <w:rsid w:val="00DB2677"/>
    <w:rsid w:val="00DB26F0"/>
    <w:rsid w:val="00DB274D"/>
    <w:rsid w:val="00DB2F31"/>
    <w:rsid w:val="00DB340B"/>
    <w:rsid w:val="00DB37B3"/>
    <w:rsid w:val="00DB3865"/>
    <w:rsid w:val="00DB39FF"/>
    <w:rsid w:val="00DB41CA"/>
    <w:rsid w:val="00DB44C4"/>
    <w:rsid w:val="00DB4ECE"/>
    <w:rsid w:val="00DB502E"/>
    <w:rsid w:val="00DB5D05"/>
    <w:rsid w:val="00DB5EB3"/>
    <w:rsid w:val="00DB61B8"/>
    <w:rsid w:val="00DB66C8"/>
    <w:rsid w:val="00DB6B45"/>
    <w:rsid w:val="00DB6F74"/>
    <w:rsid w:val="00DB7075"/>
    <w:rsid w:val="00DB7ED7"/>
    <w:rsid w:val="00DC0114"/>
    <w:rsid w:val="00DC0260"/>
    <w:rsid w:val="00DC0517"/>
    <w:rsid w:val="00DC0796"/>
    <w:rsid w:val="00DC0CFF"/>
    <w:rsid w:val="00DC1226"/>
    <w:rsid w:val="00DC147E"/>
    <w:rsid w:val="00DC211B"/>
    <w:rsid w:val="00DC244E"/>
    <w:rsid w:val="00DC25E3"/>
    <w:rsid w:val="00DC30AC"/>
    <w:rsid w:val="00DC3894"/>
    <w:rsid w:val="00DC3E87"/>
    <w:rsid w:val="00DC3FAD"/>
    <w:rsid w:val="00DC4011"/>
    <w:rsid w:val="00DC428E"/>
    <w:rsid w:val="00DC47CA"/>
    <w:rsid w:val="00DC55C0"/>
    <w:rsid w:val="00DC574C"/>
    <w:rsid w:val="00DC598C"/>
    <w:rsid w:val="00DC642B"/>
    <w:rsid w:val="00DC670C"/>
    <w:rsid w:val="00DC6FE5"/>
    <w:rsid w:val="00DC775A"/>
    <w:rsid w:val="00DD07D4"/>
    <w:rsid w:val="00DD09D6"/>
    <w:rsid w:val="00DD0A86"/>
    <w:rsid w:val="00DD0F32"/>
    <w:rsid w:val="00DD18F0"/>
    <w:rsid w:val="00DD1A0F"/>
    <w:rsid w:val="00DD1B26"/>
    <w:rsid w:val="00DD1BB9"/>
    <w:rsid w:val="00DD2357"/>
    <w:rsid w:val="00DD2E7C"/>
    <w:rsid w:val="00DD33A0"/>
    <w:rsid w:val="00DD386B"/>
    <w:rsid w:val="00DD3B66"/>
    <w:rsid w:val="00DD3BCC"/>
    <w:rsid w:val="00DD472A"/>
    <w:rsid w:val="00DD5192"/>
    <w:rsid w:val="00DD5610"/>
    <w:rsid w:val="00DD5A1E"/>
    <w:rsid w:val="00DD5C40"/>
    <w:rsid w:val="00DD702F"/>
    <w:rsid w:val="00DD70EE"/>
    <w:rsid w:val="00DD7244"/>
    <w:rsid w:val="00DE03C1"/>
    <w:rsid w:val="00DE0883"/>
    <w:rsid w:val="00DE1100"/>
    <w:rsid w:val="00DE11F8"/>
    <w:rsid w:val="00DE1672"/>
    <w:rsid w:val="00DE18FB"/>
    <w:rsid w:val="00DE26B9"/>
    <w:rsid w:val="00DE2D0E"/>
    <w:rsid w:val="00DE31F7"/>
    <w:rsid w:val="00DE458F"/>
    <w:rsid w:val="00DE4B55"/>
    <w:rsid w:val="00DE4D27"/>
    <w:rsid w:val="00DE4FFF"/>
    <w:rsid w:val="00DE5449"/>
    <w:rsid w:val="00DE5AD5"/>
    <w:rsid w:val="00DE6725"/>
    <w:rsid w:val="00DE68B7"/>
    <w:rsid w:val="00DE69F2"/>
    <w:rsid w:val="00DE722F"/>
    <w:rsid w:val="00DE75C0"/>
    <w:rsid w:val="00DF05DB"/>
    <w:rsid w:val="00DF1767"/>
    <w:rsid w:val="00DF1B4B"/>
    <w:rsid w:val="00DF1B8F"/>
    <w:rsid w:val="00DF32FA"/>
    <w:rsid w:val="00DF38DC"/>
    <w:rsid w:val="00DF39F0"/>
    <w:rsid w:val="00DF3AD8"/>
    <w:rsid w:val="00DF3B51"/>
    <w:rsid w:val="00DF4B67"/>
    <w:rsid w:val="00DF4CC7"/>
    <w:rsid w:val="00DF50E2"/>
    <w:rsid w:val="00DF60EA"/>
    <w:rsid w:val="00DF641D"/>
    <w:rsid w:val="00DF6878"/>
    <w:rsid w:val="00DF6F68"/>
    <w:rsid w:val="00DF72D6"/>
    <w:rsid w:val="00DF7392"/>
    <w:rsid w:val="00DF758D"/>
    <w:rsid w:val="00DF77EB"/>
    <w:rsid w:val="00DF7902"/>
    <w:rsid w:val="00DF7C66"/>
    <w:rsid w:val="00DF7C84"/>
    <w:rsid w:val="00E00EDC"/>
    <w:rsid w:val="00E011E7"/>
    <w:rsid w:val="00E016BE"/>
    <w:rsid w:val="00E0249C"/>
    <w:rsid w:val="00E0261C"/>
    <w:rsid w:val="00E02D12"/>
    <w:rsid w:val="00E02D38"/>
    <w:rsid w:val="00E02EEA"/>
    <w:rsid w:val="00E037D2"/>
    <w:rsid w:val="00E03B2C"/>
    <w:rsid w:val="00E03C04"/>
    <w:rsid w:val="00E03D9C"/>
    <w:rsid w:val="00E03DD0"/>
    <w:rsid w:val="00E03FFE"/>
    <w:rsid w:val="00E045EE"/>
    <w:rsid w:val="00E04FAE"/>
    <w:rsid w:val="00E051DB"/>
    <w:rsid w:val="00E057C3"/>
    <w:rsid w:val="00E05800"/>
    <w:rsid w:val="00E05C21"/>
    <w:rsid w:val="00E068F2"/>
    <w:rsid w:val="00E10001"/>
    <w:rsid w:val="00E1052E"/>
    <w:rsid w:val="00E1078D"/>
    <w:rsid w:val="00E10BC1"/>
    <w:rsid w:val="00E10C20"/>
    <w:rsid w:val="00E10FC6"/>
    <w:rsid w:val="00E11C5B"/>
    <w:rsid w:val="00E11DA2"/>
    <w:rsid w:val="00E11F4C"/>
    <w:rsid w:val="00E120F1"/>
    <w:rsid w:val="00E133CA"/>
    <w:rsid w:val="00E1343F"/>
    <w:rsid w:val="00E136D0"/>
    <w:rsid w:val="00E13923"/>
    <w:rsid w:val="00E13975"/>
    <w:rsid w:val="00E14616"/>
    <w:rsid w:val="00E147CE"/>
    <w:rsid w:val="00E151DD"/>
    <w:rsid w:val="00E159EA"/>
    <w:rsid w:val="00E15ADB"/>
    <w:rsid w:val="00E15F84"/>
    <w:rsid w:val="00E16469"/>
    <w:rsid w:val="00E16905"/>
    <w:rsid w:val="00E174D0"/>
    <w:rsid w:val="00E20282"/>
    <w:rsid w:val="00E21A5C"/>
    <w:rsid w:val="00E21BC8"/>
    <w:rsid w:val="00E21F5A"/>
    <w:rsid w:val="00E22001"/>
    <w:rsid w:val="00E224FC"/>
    <w:rsid w:val="00E23592"/>
    <w:rsid w:val="00E2369C"/>
    <w:rsid w:val="00E2409C"/>
    <w:rsid w:val="00E24706"/>
    <w:rsid w:val="00E2481B"/>
    <w:rsid w:val="00E250D7"/>
    <w:rsid w:val="00E25916"/>
    <w:rsid w:val="00E2610F"/>
    <w:rsid w:val="00E2620B"/>
    <w:rsid w:val="00E26477"/>
    <w:rsid w:val="00E26B31"/>
    <w:rsid w:val="00E2710D"/>
    <w:rsid w:val="00E30387"/>
    <w:rsid w:val="00E30897"/>
    <w:rsid w:val="00E30903"/>
    <w:rsid w:val="00E311BC"/>
    <w:rsid w:val="00E31370"/>
    <w:rsid w:val="00E31D5C"/>
    <w:rsid w:val="00E329D5"/>
    <w:rsid w:val="00E334AB"/>
    <w:rsid w:val="00E340C6"/>
    <w:rsid w:val="00E34422"/>
    <w:rsid w:val="00E348C9"/>
    <w:rsid w:val="00E34908"/>
    <w:rsid w:val="00E35A87"/>
    <w:rsid w:val="00E35BCA"/>
    <w:rsid w:val="00E35D21"/>
    <w:rsid w:val="00E369F1"/>
    <w:rsid w:val="00E36FDC"/>
    <w:rsid w:val="00E37475"/>
    <w:rsid w:val="00E37DD2"/>
    <w:rsid w:val="00E40058"/>
    <w:rsid w:val="00E4007D"/>
    <w:rsid w:val="00E40131"/>
    <w:rsid w:val="00E40569"/>
    <w:rsid w:val="00E40AC6"/>
    <w:rsid w:val="00E40F22"/>
    <w:rsid w:val="00E413D5"/>
    <w:rsid w:val="00E41770"/>
    <w:rsid w:val="00E4177C"/>
    <w:rsid w:val="00E439F8"/>
    <w:rsid w:val="00E44691"/>
    <w:rsid w:val="00E44A70"/>
    <w:rsid w:val="00E45002"/>
    <w:rsid w:val="00E45618"/>
    <w:rsid w:val="00E4625D"/>
    <w:rsid w:val="00E465B3"/>
    <w:rsid w:val="00E466EA"/>
    <w:rsid w:val="00E46CFB"/>
    <w:rsid w:val="00E46E99"/>
    <w:rsid w:val="00E471C5"/>
    <w:rsid w:val="00E47434"/>
    <w:rsid w:val="00E4792A"/>
    <w:rsid w:val="00E47AFB"/>
    <w:rsid w:val="00E47BF6"/>
    <w:rsid w:val="00E5038A"/>
    <w:rsid w:val="00E504D5"/>
    <w:rsid w:val="00E50C82"/>
    <w:rsid w:val="00E523D9"/>
    <w:rsid w:val="00E524E4"/>
    <w:rsid w:val="00E52928"/>
    <w:rsid w:val="00E52BFC"/>
    <w:rsid w:val="00E54842"/>
    <w:rsid w:val="00E549DD"/>
    <w:rsid w:val="00E54D73"/>
    <w:rsid w:val="00E55255"/>
    <w:rsid w:val="00E55AC7"/>
    <w:rsid w:val="00E56FE0"/>
    <w:rsid w:val="00E57561"/>
    <w:rsid w:val="00E576A6"/>
    <w:rsid w:val="00E57851"/>
    <w:rsid w:val="00E6004D"/>
    <w:rsid w:val="00E60232"/>
    <w:rsid w:val="00E60F9C"/>
    <w:rsid w:val="00E612B1"/>
    <w:rsid w:val="00E61699"/>
    <w:rsid w:val="00E618BE"/>
    <w:rsid w:val="00E61E56"/>
    <w:rsid w:val="00E6221B"/>
    <w:rsid w:val="00E62F1D"/>
    <w:rsid w:val="00E6412E"/>
    <w:rsid w:val="00E642C3"/>
    <w:rsid w:val="00E6473F"/>
    <w:rsid w:val="00E64B7F"/>
    <w:rsid w:val="00E64FBF"/>
    <w:rsid w:val="00E654CE"/>
    <w:rsid w:val="00E6557C"/>
    <w:rsid w:val="00E65980"/>
    <w:rsid w:val="00E65C5A"/>
    <w:rsid w:val="00E65FB9"/>
    <w:rsid w:val="00E664EA"/>
    <w:rsid w:val="00E6700B"/>
    <w:rsid w:val="00E6710D"/>
    <w:rsid w:val="00E67137"/>
    <w:rsid w:val="00E70233"/>
    <w:rsid w:val="00E7085F"/>
    <w:rsid w:val="00E7120C"/>
    <w:rsid w:val="00E714E2"/>
    <w:rsid w:val="00E72387"/>
    <w:rsid w:val="00E733D5"/>
    <w:rsid w:val="00E73C49"/>
    <w:rsid w:val="00E74002"/>
    <w:rsid w:val="00E7437D"/>
    <w:rsid w:val="00E74574"/>
    <w:rsid w:val="00E751EF"/>
    <w:rsid w:val="00E75454"/>
    <w:rsid w:val="00E75F85"/>
    <w:rsid w:val="00E77079"/>
    <w:rsid w:val="00E77A41"/>
    <w:rsid w:val="00E77F05"/>
    <w:rsid w:val="00E77F3A"/>
    <w:rsid w:val="00E8036C"/>
    <w:rsid w:val="00E80845"/>
    <w:rsid w:val="00E8103A"/>
    <w:rsid w:val="00E810FA"/>
    <w:rsid w:val="00E815CD"/>
    <w:rsid w:val="00E815E3"/>
    <w:rsid w:val="00E81732"/>
    <w:rsid w:val="00E81ADC"/>
    <w:rsid w:val="00E81D5D"/>
    <w:rsid w:val="00E81E52"/>
    <w:rsid w:val="00E81F97"/>
    <w:rsid w:val="00E82D07"/>
    <w:rsid w:val="00E84074"/>
    <w:rsid w:val="00E84EBA"/>
    <w:rsid w:val="00E84F4E"/>
    <w:rsid w:val="00E851CB"/>
    <w:rsid w:val="00E855B8"/>
    <w:rsid w:val="00E858D9"/>
    <w:rsid w:val="00E86212"/>
    <w:rsid w:val="00E86369"/>
    <w:rsid w:val="00E86474"/>
    <w:rsid w:val="00E86A52"/>
    <w:rsid w:val="00E86B94"/>
    <w:rsid w:val="00E876CA"/>
    <w:rsid w:val="00E8795E"/>
    <w:rsid w:val="00E900F7"/>
    <w:rsid w:val="00E90849"/>
    <w:rsid w:val="00E90B30"/>
    <w:rsid w:val="00E90C45"/>
    <w:rsid w:val="00E91D7C"/>
    <w:rsid w:val="00E930A5"/>
    <w:rsid w:val="00E9337D"/>
    <w:rsid w:val="00E933B2"/>
    <w:rsid w:val="00E93C1B"/>
    <w:rsid w:val="00E93F92"/>
    <w:rsid w:val="00E94439"/>
    <w:rsid w:val="00E95588"/>
    <w:rsid w:val="00E971BE"/>
    <w:rsid w:val="00EA004C"/>
    <w:rsid w:val="00EA01DB"/>
    <w:rsid w:val="00EA0759"/>
    <w:rsid w:val="00EA0B78"/>
    <w:rsid w:val="00EA0C8A"/>
    <w:rsid w:val="00EA1400"/>
    <w:rsid w:val="00EA14C1"/>
    <w:rsid w:val="00EA1688"/>
    <w:rsid w:val="00EA17BB"/>
    <w:rsid w:val="00EA1DC5"/>
    <w:rsid w:val="00EA1F7D"/>
    <w:rsid w:val="00EA1FCE"/>
    <w:rsid w:val="00EA34E8"/>
    <w:rsid w:val="00EA36BF"/>
    <w:rsid w:val="00EA4361"/>
    <w:rsid w:val="00EA4750"/>
    <w:rsid w:val="00EA4F0E"/>
    <w:rsid w:val="00EA5AAA"/>
    <w:rsid w:val="00EA5CB8"/>
    <w:rsid w:val="00EA5D2A"/>
    <w:rsid w:val="00EA5D2C"/>
    <w:rsid w:val="00EA60BC"/>
    <w:rsid w:val="00EA657A"/>
    <w:rsid w:val="00EA7AB1"/>
    <w:rsid w:val="00EB01EF"/>
    <w:rsid w:val="00EB0341"/>
    <w:rsid w:val="00EB0380"/>
    <w:rsid w:val="00EB0AC0"/>
    <w:rsid w:val="00EB0BE3"/>
    <w:rsid w:val="00EB0C13"/>
    <w:rsid w:val="00EB176F"/>
    <w:rsid w:val="00EB1A54"/>
    <w:rsid w:val="00EB1B39"/>
    <w:rsid w:val="00EB1D47"/>
    <w:rsid w:val="00EB21CE"/>
    <w:rsid w:val="00EB23AA"/>
    <w:rsid w:val="00EB2B80"/>
    <w:rsid w:val="00EB2D76"/>
    <w:rsid w:val="00EB304B"/>
    <w:rsid w:val="00EB45BC"/>
    <w:rsid w:val="00EB46E0"/>
    <w:rsid w:val="00EB5C95"/>
    <w:rsid w:val="00EB5E50"/>
    <w:rsid w:val="00EB60FB"/>
    <w:rsid w:val="00EB64C3"/>
    <w:rsid w:val="00EB6A26"/>
    <w:rsid w:val="00EB6A50"/>
    <w:rsid w:val="00EB7075"/>
    <w:rsid w:val="00EB739D"/>
    <w:rsid w:val="00EB73F1"/>
    <w:rsid w:val="00EB7D70"/>
    <w:rsid w:val="00EB7E9F"/>
    <w:rsid w:val="00EC1089"/>
    <w:rsid w:val="00EC14D7"/>
    <w:rsid w:val="00EC14E9"/>
    <w:rsid w:val="00EC154E"/>
    <w:rsid w:val="00EC15D9"/>
    <w:rsid w:val="00EC16FA"/>
    <w:rsid w:val="00EC181D"/>
    <w:rsid w:val="00EC18E4"/>
    <w:rsid w:val="00EC306C"/>
    <w:rsid w:val="00EC31CC"/>
    <w:rsid w:val="00EC3B42"/>
    <w:rsid w:val="00EC3B99"/>
    <w:rsid w:val="00EC3D80"/>
    <w:rsid w:val="00EC4386"/>
    <w:rsid w:val="00EC4616"/>
    <w:rsid w:val="00EC4D10"/>
    <w:rsid w:val="00EC502E"/>
    <w:rsid w:val="00EC5288"/>
    <w:rsid w:val="00EC5E00"/>
    <w:rsid w:val="00EC5F2B"/>
    <w:rsid w:val="00EC6030"/>
    <w:rsid w:val="00EC6408"/>
    <w:rsid w:val="00EC65EE"/>
    <w:rsid w:val="00EC6E97"/>
    <w:rsid w:val="00EC6FA4"/>
    <w:rsid w:val="00EC7398"/>
    <w:rsid w:val="00EC798B"/>
    <w:rsid w:val="00ED0994"/>
    <w:rsid w:val="00ED0998"/>
    <w:rsid w:val="00ED1A6D"/>
    <w:rsid w:val="00ED1BE7"/>
    <w:rsid w:val="00ED1C11"/>
    <w:rsid w:val="00ED24FD"/>
    <w:rsid w:val="00ED2E18"/>
    <w:rsid w:val="00ED2F76"/>
    <w:rsid w:val="00ED3429"/>
    <w:rsid w:val="00ED3DA3"/>
    <w:rsid w:val="00ED434E"/>
    <w:rsid w:val="00ED51D4"/>
    <w:rsid w:val="00ED53A1"/>
    <w:rsid w:val="00ED5C94"/>
    <w:rsid w:val="00ED5E39"/>
    <w:rsid w:val="00ED5ECF"/>
    <w:rsid w:val="00ED5EFE"/>
    <w:rsid w:val="00ED669A"/>
    <w:rsid w:val="00ED6A75"/>
    <w:rsid w:val="00ED6AAA"/>
    <w:rsid w:val="00ED7449"/>
    <w:rsid w:val="00ED7461"/>
    <w:rsid w:val="00ED7561"/>
    <w:rsid w:val="00ED7A11"/>
    <w:rsid w:val="00ED7CBE"/>
    <w:rsid w:val="00EE02CE"/>
    <w:rsid w:val="00EE0794"/>
    <w:rsid w:val="00EE0E20"/>
    <w:rsid w:val="00EE122A"/>
    <w:rsid w:val="00EE210E"/>
    <w:rsid w:val="00EE2AA0"/>
    <w:rsid w:val="00EE2E88"/>
    <w:rsid w:val="00EE2F89"/>
    <w:rsid w:val="00EE30B8"/>
    <w:rsid w:val="00EE328B"/>
    <w:rsid w:val="00EE39F5"/>
    <w:rsid w:val="00EE3DB1"/>
    <w:rsid w:val="00EE4537"/>
    <w:rsid w:val="00EE4828"/>
    <w:rsid w:val="00EE4FAE"/>
    <w:rsid w:val="00EE5019"/>
    <w:rsid w:val="00EE50AA"/>
    <w:rsid w:val="00EE5F7B"/>
    <w:rsid w:val="00EE6834"/>
    <w:rsid w:val="00EE6A28"/>
    <w:rsid w:val="00EE6CF1"/>
    <w:rsid w:val="00EE6E2F"/>
    <w:rsid w:val="00EE72BE"/>
    <w:rsid w:val="00EE7503"/>
    <w:rsid w:val="00EE7A56"/>
    <w:rsid w:val="00EE7F76"/>
    <w:rsid w:val="00EF0343"/>
    <w:rsid w:val="00EF0688"/>
    <w:rsid w:val="00EF185B"/>
    <w:rsid w:val="00EF3E79"/>
    <w:rsid w:val="00EF448E"/>
    <w:rsid w:val="00EF44DB"/>
    <w:rsid w:val="00EF4A6C"/>
    <w:rsid w:val="00EF583E"/>
    <w:rsid w:val="00EF6405"/>
    <w:rsid w:val="00EF6F7B"/>
    <w:rsid w:val="00EF71E7"/>
    <w:rsid w:val="00EF7421"/>
    <w:rsid w:val="00EF78CD"/>
    <w:rsid w:val="00F00506"/>
    <w:rsid w:val="00F007E5"/>
    <w:rsid w:val="00F015A3"/>
    <w:rsid w:val="00F021EC"/>
    <w:rsid w:val="00F027A1"/>
    <w:rsid w:val="00F02963"/>
    <w:rsid w:val="00F02A59"/>
    <w:rsid w:val="00F035E0"/>
    <w:rsid w:val="00F03792"/>
    <w:rsid w:val="00F03D28"/>
    <w:rsid w:val="00F04038"/>
    <w:rsid w:val="00F04395"/>
    <w:rsid w:val="00F0450B"/>
    <w:rsid w:val="00F047EC"/>
    <w:rsid w:val="00F04CB9"/>
    <w:rsid w:val="00F052BA"/>
    <w:rsid w:val="00F05303"/>
    <w:rsid w:val="00F055A2"/>
    <w:rsid w:val="00F05609"/>
    <w:rsid w:val="00F061AB"/>
    <w:rsid w:val="00F07957"/>
    <w:rsid w:val="00F106EC"/>
    <w:rsid w:val="00F1116E"/>
    <w:rsid w:val="00F1206E"/>
    <w:rsid w:val="00F127FD"/>
    <w:rsid w:val="00F1291B"/>
    <w:rsid w:val="00F12948"/>
    <w:rsid w:val="00F129AF"/>
    <w:rsid w:val="00F13860"/>
    <w:rsid w:val="00F1412C"/>
    <w:rsid w:val="00F14E96"/>
    <w:rsid w:val="00F14F44"/>
    <w:rsid w:val="00F15649"/>
    <w:rsid w:val="00F1655C"/>
    <w:rsid w:val="00F16A8D"/>
    <w:rsid w:val="00F16AFB"/>
    <w:rsid w:val="00F17B10"/>
    <w:rsid w:val="00F17F05"/>
    <w:rsid w:val="00F17F7D"/>
    <w:rsid w:val="00F17FB6"/>
    <w:rsid w:val="00F200C9"/>
    <w:rsid w:val="00F200D0"/>
    <w:rsid w:val="00F20AC9"/>
    <w:rsid w:val="00F213F3"/>
    <w:rsid w:val="00F21B81"/>
    <w:rsid w:val="00F22C8E"/>
    <w:rsid w:val="00F23345"/>
    <w:rsid w:val="00F236A9"/>
    <w:rsid w:val="00F23D89"/>
    <w:rsid w:val="00F23E1D"/>
    <w:rsid w:val="00F23F4A"/>
    <w:rsid w:val="00F243D0"/>
    <w:rsid w:val="00F24A44"/>
    <w:rsid w:val="00F2512B"/>
    <w:rsid w:val="00F25A3B"/>
    <w:rsid w:val="00F25BBE"/>
    <w:rsid w:val="00F2630F"/>
    <w:rsid w:val="00F26F69"/>
    <w:rsid w:val="00F27262"/>
    <w:rsid w:val="00F27931"/>
    <w:rsid w:val="00F306B8"/>
    <w:rsid w:val="00F310C3"/>
    <w:rsid w:val="00F31B2F"/>
    <w:rsid w:val="00F31F1A"/>
    <w:rsid w:val="00F320A3"/>
    <w:rsid w:val="00F33DE0"/>
    <w:rsid w:val="00F349B4"/>
    <w:rsid w:val="00F3665D"/>
    <w:rsid w:val="00F36923"/>
    <w:rsid w:val="00F36B0F"/>
    <w:rsid w:val="00F406CC"/>
    <w:rsid w:val="00F4074E"/>
    <w:rsid w:val="00F40C5A"/>
    <w:rsid w:val="00F40D47"/>
    <w:rsid w:val="00F41413"/>
    <w:rsid w:val="00F41846"/>
    <w:rsid w:val="00F419BE"/>
    <w:rsid w:val="00F41A85"/>
    <w:rsid w:val="00F423C4"/>
    <w:rsid w:val="00F43448"/>
    <w:rsid w:val="00F43453"/>
    <w:rsid w:val="00F43C37"/>
    <w:rsid w:val="00F43F4D"/>
    <w:rsid w:val="00F4419C"/>
    <w:rsid w:val="00F4420C"/>
    <w:rsid w:val="00F44373"/>
    <w:rsid w:val="00F4460D"/>
    <w:rsid w:val="00F45BCE"/>
    <w:rsid w:val="00F45EE3"/>
    <w:rsid w:val="00F45F7D"/>
    <w:rsid w:val="00F474A7"/>
    <w:rsid w:val="00F47723"/>
    <w:rsid w:val="00F47EAA"/>
    <w:rsid w:val="00F504D2"/>
    <w:rsid w:val="00F50615"/>
    <w:rsid w:val="00F50D5C"/>
    <w:rsid w:val="00F519D3"/>
    <w:rsid w:val="00F51B7C"/>
    <w:rsid w:val="00F52C51"/>
    <w:rsid w:val="00F53463"/>
    <w:rsid w:val="00F53F11"/>
    <w:rsid w:val="00F54184"/>
    <w:rsid w:val="00F545E3"/>
    <w:rsid w:val="00F54FC0"/>
    <w:rsid w:val="00F5642D"/>
    <w:rsid w:val="00F56510"/>
    <w:rsid w:val="00F5680A"/>
    <w:rsid w:val="00F56B64"/>
    <w:rsid w:val="00F57935"/>
    <w:rsid w:val="00F57D06"/>
    <w:rsid w:val="00F60996"/>
    <w:rsid w:val="00F60A88"/>
    <w:rsid w:val="00F60AFC"/>
    <w:rsid w:val="00F60DDB"/>
    <w:rsid w:val="00F611B3"/>
    <w:rsid w:val="00F61520"/>
    <w:rsid w:val="00F61884"/>
    <w:rsid w:val="00F61F45"/>
    <w:rsid w:val="00F629EF"/>
    <w:rsid w:val="00F63100"/>
    <w:rsid w:val="00F6332A"/>
    <w:rsid w:val="00F64216"/>
    <w:rsid w:val="00F65A2B"/>
    <w:rsid w:val="00F65D37"/>
    <w:rsid w:val="00F661D0"/>
    <w:rsid w:val="00F668B6"/>
    <w:rsid w:val="00F66E50"/>
    <w:rsid w:val="00F70342"/>
    <w:rsid w:val="00F7095B"/>
    <w:rsid w:val="00F709BD"/>
    <w:rsid w:val="00F71174"/>
    <w:rsid w:val="00F711FF"/>
    <w:rsid w:val="00F719D4"/>
    <w:rsid w:val="00F71D1E"/>
    <w:rsid w:val="00F71E86"/>
    <w:rsid w:val="00F72BF7"/>
    <w:rsid w:val="00F72DE1"/>
    <w:rsid w:val="00F7338C"/>
    <w:rsid w:val="00F744B4"/>
    <w:rsid w:val="00F74A08"/>
    <w:rsid w:val="00F74A33"/>
    <w:rsid w:val="00F74BCF"/>
    <w:rsid w:val="00F75204"/>
    <w:rsid w:val="00F75BD2"/>
    <w:rsid w:val="00F765BA"/>
    <w:rsid w:val="00F767EC"/>
    <w:rsid w:val="00F76B01"/>
    <w:rsid w:val="00F76CA8"/>
    <w:rsid w:val="00F8001F"/>
    <w:rsid w:val="00F80377"/>
    <w:rsid w:val="00F80C6E"/>
    <w:rsid w:val="00F81127"/>
    <w:rsid w:val="00F81AAF"/>
    <w:rsid w:val="00F81E59"/>
    <w:rsid w:val="00F81EA1"/>
    <w:rsid w:val="00F825F0"/>
    <w:rsid w:val="00F82687"/>
    <w:rsid w:val="00F841D9"/>
    <w:rsid w:val="00F849DD"/>
    <w:rsid w:val="00F84BDD"/>
    <w:rsid w:val="00F84F68"/>
    <w:rsid w:val="00F85B45"/>
    <w:rsid w:val="00F867D0"/>
    <w:rsid w:val="00F8741F"/>
    <w:rsid w:val="00F874AA"/>
    <w:rsid w:val="00F875F4"/>
    <w:rsid w:val="00F878A9"/>
    <w:rsid w:val="00F87E74"/>
    <w:rsid w:val="00F9024E"/>
    <w:rsid w:val="00F90791"/>
    <w:rsid w:val="00F9088C"/>
    <w:rsid w:val="00F90C05"/>
    <w:rsid w:val="00F911D7"/>
    <w:rsid w:val="00F911FB"/>
    <w:rsid w:val="00F929F2"/>
    <w:rsid w:val="00F932B1"/>
    <w:rsid w:val="00F93D6E"/>
    <w:rsid w:val="00F93F6A"/>
    <w:rsid w:val="00F94709"/>
    <w:rsid w:val="00F949F4"/>
    <w:rsid w:val="00F97BCD"/>
    <w:rsid w:val="00F97E6F"/>
    <w:rsid w:val="00FA017D"/>
    <w:rsid w:val="00FA01F0"/>
    <w:rsid w:val="00FA0951"/>
    <w:rsid w:val="00FA18C6"/>
    <w:rsid w:val="00FA1B31"/>
    <w:rsid w:val="00FA233C"/>
    <w:rsid w:val="00FA24FA"/>
    <w:rsid w:val="00FA4901"/>
    <w:rsid w:val="00FA56D1"/>
    <w:rsid w:val="00FA6E64"/>
    <w:rsid w:val="00FA770C"/>
    <w:rsid w:val="00FA7A64"/>
    <w:rsid w:val="00FA7CB6"/>
    <w:rsid w:val="00FA7FF3"/>
    <w:rsid w:val="00FB02CE"/>
    <w:rsid w:val="00FB040E"/>
    <w:rsid w:val="00FB0B7F"/>
    <w:rsid w:val="00FB0E54"/>
    <w:rsid w:val="00FB129E"/>
    <w:rsid w:val="00FB1C00"/>
    <w:rsid w:val="00FB1E7B"/>
    <w:rsid w:val="00FB2093"/>
    <w:rsid w:val="00FB24D0"/>
    <w:rsid w:val="00FB28DA"/>
    <w:rsid w:val="00FB2B5A"/>
    <w:rsid w:val="00FB2D95"/>
    <w:rsid w:val="00FB2E74"/>
    <w:rsid w:val="00FB33C0"/>
    <w:rsid w:val="00FB34D2"/>
    <w:rsid w:val="00FB3FA2"/>
    <w:rsid w:val="00FB43C6"/>
    <w:rsid w:val="00FB4579"/>
    <w:rsid w:val="00FB4FFD"/>
    <w:rsid w:val="00FB5ECF"/>
    <w:rsid w:val="00FB5FF2"/>
    <w:rsid w:val="00FB644C"/>
    <w:rsid w:val="00FB668E"/>
    <w:rsid w:val="00FB6B8F"/>
    <w:rsid w:val="00FB6C4F"/>
    <w:rsid w:val="00FB6F92"/>
    <w:rsid w:val="00FB74FC"/>
    <w:rsid w:val="00FB79E6"/>
    <w:rsid w:val="00FC00AF"/>
    <w:rsid w:val="00FC0127"/>
    <w:rsid w:val="00FC0817"/>
    <w:rsid w:val="00FC1040"/>
    <w:rsid w:val="00FC11C1"/>
    <w:rsid w:val="00FC121A"/>
    <w:rsid w:val="00FC1818"/>
    <w:rsid w:val="00FC18B0"/>
    <w:rsid w:val="00FC1FEC"/>
    <w:rsid w:val="00FC2C65"/>
    <w:rsid w:val="00FC2DA8"/>
    <w:rsid w:val="00FC3421"/>
    <w:rsid w:val="00FC35BE"/>
    <w:rsid w:val="00FC3A09"/>
    <w:rsid w:val="00FC488C"/>
    <w:rsid w:val="00FC511E"/>
    <w:rsid w:val="00FC5156"/>
    <w:rsid w:val="00FC5455"/>
    <w:rsid w:val="00FC640E"/>
    <w:rsid w:val="00FC64D2"/>
    <w:rsid w:val="00FC677C"/>
    <w:rsid w:val="00FC6A39"/>
    <w:rsid w:val="00FC6F41"/>
    <w:rsid w:val="00FC7A3D"/>
    <w:rsid w:val="00FC7E98"/>
    <w:rsid w:val="00FD013A"/>
    <w:rsid w:val="00FD0169"/>
    <w:rsid w:val="00FD144E"/>
    <w:rsid w:val="00FD1700"/>
    <w:rsid w:val="00FD2160"/>
    <w:rsid w:val="00FD2DE9"/>
    <w:rsid w:val="00FD30F7"/>
    <w:rsid w:val="00FD312D"/>
    <w:rsid w:val="00FD3722"/>
    <w:rsid w:val="00FD3868"/>
    <w:rsid w:val="00FD3A82"/>
    <w:rsid w:val="00FD3F74"/>
    <w:rsid w:val="00FD4B43"/>
    <w:rsid w:val="00FD5384"/>
    <w:rsid w:val="00FD7411"/>
    <w:rsid w:val="00FD77D0"/>
    <w:rsid w:val="00FD7B3B"/>
    <w:rsid w:val="00FE05F6"/>
    <w:rsid w:val="00FE1655"/>
    <w:rsid w:val="00FE19ED"/>
    <w:rsid w:val="00FE1A45"/>
    <w:rsid w:val="00FE279E"/>
    <w:rsid w:val="00FE2DF2"/>
    <w:rsid w:val="00FE3879"/>
    <w:rsid w:val="00FE3B8B"/>
    <w:rsid w:val="00FE3BBD"/>
    <w:rsid w:val="00FE3C0A"/>
    <w:rsid w:val="00FE41A4"/>
    <w:rsid w:val="00FE4559"/>
    <w:rsid w:val="00FE49D4"/>
    <w:rsid w:val="00FE5BB6"/>
    <w:rsid w:val="00FE6606"/>
    <w:rsid w:val="00FE6A00"/>
    <w:rsid w:val="00FE7000"/>
    <w:rsid w:val="00FE79CB"/>
    <w:rsid w:val="00FF09EE"/>
    <w:rsid w:val="00FF0B90"/>
    <w:rsid w:val="00FF0C18"/>
    <w:rsid w:val="00FF0F62"/>
    <w:rsid w:val="00FF1519"/>
    <w:rsid w:val="00FF2045"/>
    <w:rsid w:val="00FF2C86"/>
    <w:rsid w:val="00FF2FB8"/>
    <w:rsid w:val="00FF2FF5"/>
    <w:rsid w:val="00FF3744"/>
    <w:rsid w:val="00FF4A80"/>
    <w:rsid w:val="00FF5149"/>
    <w:rsid w:val="00FF59B9"/>
    <w:rsid w:val="00FF5EBD"/>
    <w:rsid w:val="00FF61E3"/>
    <w:rsid w:val="00FF6E6D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994F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6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74B0"/>
    <w:pPr>
      <w:keepNext/>
      <w:jc w:val="center"/>
      <w:outlineLvl w:val="0"/>
    </w:pPr>
    <w:rPr>
      <w:rFonts w:ascii="Arial" w:hAnsi="Arial" w:cs="Arial"/>
      <w:b/>
      <w:bCs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74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74B0"/>
    <w:pPr>
      <w:keepNext/>
      <w:ind w:right="-180"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74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74B0"/>
    <w:pPr>
      <w:keepNext/>
      <w:jc w:val="center"/>
      <w:outlineLvl w:val="4"/>
    </w:pPr>
    <w:rPr>
      <w:rFonts w:ascii="Arial" w:hAnsi="Arial" w:cs="Arial"/>
      <w:b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41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41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41C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41C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41CD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7B74B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B74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41C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B74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41C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B74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241CD"/>
    <w:rPr>
      <w:rFonts w:cs="Times New Roman"/>
      <w:sz w:val="24"/>
      <w:szCs w:val="24"/>
    </w:rPr>
  </w:style>
  <w:style w:type="paragraph" w:customStyle="1" w:styleId="DefaultText">
    <w:name w:val="Default Text"/>
    <w:basedOn w:val="Normal"/>
    <w:uiPriority w:val="99"/>
    <w:rsid w:val="007B74B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7B74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241CD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B74B0"/>
    <w:pPr>
      <w:jc w:val="center"/>
    </w:pPr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241CD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B7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1CD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7B74B0"/>
    <w:pPr>
      <w:ind w:firstLine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241CD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74B0"/>
    <w:rPr>
      <w:rFonts w:cs="Times New Roman"/>
      <w:i/>
    </w:rPr>
  </w:style>
  <w:style w:type="paragraph" w:customStyle="1" w:styleId="Style">
    <w:name w:val="Style"/>
    <w:basedOn w:val="Normal"/>
    <w:uiPriority w:val="99"/>
    <w:rsid w:val="007B74B0"/>
    <w:pPr>
      <w:spacing w:after="160" w:line="240" w:lineRule="exact"/>
    </w:pPr>
    <w:rPr>
      <w:rFonts w:ascii="Verdana" w:eastAsia="MS Mincho" w:hAnsi="Verdana" w:cs="Arial"/>
      <w:szCs w:val="20"/>
    </w:rPr>
  </w:style>
  <w:style w:type="paragraph" w:customStyle="1" w:styleId="CharChar1">
    <w:name w:val="Char Char1"/>
    <w:basedOn w:val="Normal"/>
    <w:uiPriority w:val="99"/>
    <w:rsid w:val="007B74B0"/>
    <w:pPr>
      <w:spacing w:after="160" w:line="240" w:lineRule="exact"/>
    </w:pPr>
    <w:rPr>
      <w:rFonts w:ascii="Verdana" w:eastAsia="MS Mincho" w:hAnsi="Verdana" w:cs="Arial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7B74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241CD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5C7CB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C7C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241C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7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241CD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297BF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69522D"/>
    <w:rPr>
      <w:rFonts w:cs="Times New Roman"/>
      <w:color w:val="800080"/>
      <w:u w:val="single"/>
    </w:rPr>
  </w:style>
  <w:style w:type="paragraph" w:styleId="Date">
    <w:name w:val="Date"/>
    <w:basedOn w:val="Normal"/>
    <w:next w:val="Normal"/>
    <w:link w:val="DateChar"/>
    <w:uiPriority w:val="99"/>
    <w:rsid w:val="006D242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7241CD"/>
    <w:rPr>
      <w:rFonts w:cs="Times New Roman"/>
      <w:sz w:val="24"/>
      <w:szCs w:val="24"/>
    </w:rPr>
  </w:style>
  <w:style w:type="paragraph" w:styleId="Revision">
    <w:name w:val="Revision"/>
    <w:hidden/>
    <w:uiPriority w:val="99"/>
    <w:semiHidden/>
    <w:rsid w:val="009627F7"/>
    <w:rPr>
      <w:sz w:val="24"/>
      <w:szCs w:val="24"/>
    </w:rPr>
  </w:style>
  <w:style w:type="paragraph" w:styleId="ListParagraph">
    <w:name w:val="List Paragraph"/>
    <w:aliases w:val="Bullet List,FooterText,numbered,List Paragraph1,Paragraphe de liste1,Bulletr List Paragraph,列出段落,列出段落1,List Paragraph2,List Paragraph21,Listeafsnit1,Parágrafo da Lista1,Párrafo de lista1,リスト段落1,Bullet list,List Paragraph11,פיסקת רשימה"/>
    <w:basedOn w:val="Normal"/>
    <w:link w:val="ListParagraphChar"/>
    <w:uiPriority w:val="34"/>
    <w:qFormat/>
    <w:rsid w:val="001E2211"/>
    <w:pPr>
      <w:ind w:left="720"/>
      <w:contextualSpacing/>
    </w:pPr>
  </w:style>
  <w:style w:type="table" w:styleId="TableGrid">
    <w:name w:val="Table Grid"/>
    <w:basedOn w:val="TableNormal"/>
    <w:uiPriority w:val="39"/>
    <w:locked/>
    <w:rsid w:val="00607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ID">
    <w:name w:val="DocID"/>
    <w:basedOn w:val="DefaultParagraphFont"/>
    <w:rsid w:val="00DD386B"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PlaceholderText">
    <w:name w:val="Placeholder Text"/>
    <w:basedOn w:val="DefaultParagraphFont"/>
    <w:uiPriority w:val="99"/>
    <w:semiHidden/>
    <w:rsid w:val="00DD386B"/>
    <w:rPr>
      <w:rFonts w:cs="Times New Roman"/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18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E18F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18FB"/>
    <w:rPr>
      <w:rFonts w:cs="Times New Roman"/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2AC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aliases w:val="Bullet List Char,FooterText Char,numbered Char,List Paragraph1 Char,Paragraphe de liste1 Char,Bulletr List Paragraph Char,列出段落 Char,列出段落1 Char,List Paragraph2 Char,List Paragraph21 Char,Listeafsnit1 Char,Parágrafo da Lista1 Char"/>
    <w:basedOn w:val="DefaultParagraphFont"/>
    <w:link w:val="ListParagraph"/>
    <w:uiPriority w:val="34"/>
    <w:locked/>
    <w:rsid w:val="00D75E53"/>
    <w:rPr>
      <w:rFonts w:cs="Times New Roman"/>
      <w:sz w:val="24"/>
      <w:szCs w:val="24"/>
    </w:rPr>
  </w:style>
  <w:style w:type="character" w:customStyle="1" w:styleId="st1">
    <w:name w:val="st1"/>
    <w:basedOn w:val="DefaultParagraphFont"/>
    <w:rsid w:val="00215BCB"/>
    <w:rPr>
      <w:rFonts w:cs="Times New Roman"/>
    </w:rPr>
  </w:style>
  <w:style w:type="paragraph" w:customStyle="1" w:styleId="QA1-Bullet-1st-Clear">
    <w:name w:val="Q&amp;A 1-Bullet-1st-Clear"/>
    <w:basedOn w:val="Normal"/>
    <w:qFormat/>
    <w:rsid w:val="00C73DB7"/>
    <w:pPr>
      <w:widowControl w:val="0"/>
      <w:numPr>
        <w:numId w:val="5"/>
      </w:numPr>
      <w:shd w:val="clear" w:color="auto" w:fill="FFFFFF" w:themeFill="background1"/>
      <w:tabs>
        <w:tab w:val="clear" w:pos="360"/>
      </w:tabs>
      <w:autoSpaceDE w:val="0"/>
      <w:autoSpaceDN w:val="0"/>
      <w:adjustRightInd w:val="0"/>
      <w:ind w:left="166" w:hanging="166"/>
    </w:pPr>
    <w:rPr>
      <w:rFonts w:ascii="Arial" w:hAnsi="Arial" w:cs="Arial"/>
      <w:color w:val="000000" w:themeColor="text1"/>
      <w:sz w:val="20"/>
      <w:szCs w:val="20"/>
    </w:rPr>
  </w:style>
  <w:style w:type="paragraph" w:customStyle="1" w:styleId="msonormal0">
    <w:name w:val="msonormal"/>
    <w:basedOn w:val="Normal"/>
    <w:rsid w:val="007E3F8A"/>
    <w:pPr>
      <w:spacing w:before="100" w:beforeAutospacing="1" w:after="100" w:afterAutospacing="1"/>
    </w:pPr>
  </w:style>
  <w:style w:type="character" w:customStyle="1" w:styleId="emailstyle17">
    <w:name w:val="emailstyle17"/>
    <w:basedOn w:val="DefaultParagraphFont"/>
    <w:rsid w:val="007E3F8A"/>
    <w:rPr>
      <w:rFonts w:ascii="Calibri" w:hAnsi="Calibri" w:cs="Calibri" w:hint="default"/>
      <w:color w:val="auto"/>
    </w:rPr>
  </w:style>
  <w:style w:type="character" w:customStyle="1" w:styleId="emailstyle18">
    <w:name w:val="emailstyle18"/>
    <w:basedOn w:val="DefaultParagraphFont"/>
    <w:rsid w:val="007E3F8A"/>
    <w:rPr>
      <w:rFonts w:ascii="Calibri" w:hAnsi="Calibri" w:cs="Calibri" w:hint="default"/>
      <w:color w:val="1F497D"/>
    </w:rPr>
  </w:style>
  <w:style w:type="character" w:customStyle="1" w:styleId="emailstyle19">
    <w:name w:val="emailstyle19"/>
    <w:basedOn w:val="DefaultParagraphFont"/>
    <w:rsid w:val="007E3F8A"/>
    <w:rPr>
      <w:rFonts w:ascii="Calibri" w:hAnsi="Calibri" w:cs="Calibri" w:hint="default"/>
      <w:color w:val="auto"/>
    </w:rPr>
  </w:style>
  <w:style w:type="character" w:customStyle="1" w:styleId="emailstyle21">
    <w:name w:val="emailstyle21"/>
    <w:basedOn w:val="DefaultParagraphFont"/>
    <w:rsid w:val="007E3F8A"/>
    <w:rPr>
      <w:rFonts w:ascii="Calibri" w:hAnsi="Calibri" w:cs="Calibri" w:hint="default"/>
      <w:color w:val="1F497D"/>
    </w:rPr>
  </w:style>
  <w:style w:type="numbering" w:customStyle="1" w:styleId="DiscSYMBOL">
    <w:name w:val="DiscSYMBOL•◦▪"/>
    <w:rsid w:val="007E3F8A"/>
    <w:pPr>
      <w:numPr>
        <w:numId w:val="18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B0604"/>
    <w:rPr>
      <w:color w:val="605E5C"/>
      <w:shd w:val="clear" w:color="auto" w:fill="E1DFDD"/>
    </w:rPr>
  </w:style>
  <w:style w:type="paragraph" w:customStyle="1" w:styleId="Level2nopoint">
    <w:name w:val="Level 2 no point"/>
    <w:basedOn w:val="Normal"/>
    <w:autoRedefine/>
    <w:rsid w:val="00711921"/>
    <w:pPr>
      <w:numPr>
        <w:numId w:val="19"/>
      </w:numPr>
      <w:spacing w:before="120" w:after="120"/>
    </w:pPr>
    <w:rPr>
      <w:rFonts w:ascii="Verdana" w:hAnsi="Verdana"/>
      <w:snapToGrid w:val="0"/>
      <w:sz w:val="22"/>
      <w:szCs w:val="20"/>
      <w:lang w:val="cs-CZ" w:eastAsia="cs-CZ"/>
    </w:rPr>
  </w:style>
  <w:style w:type="character" w:customStyle="1" w:styleId="Internetovodkaz">
    <w:name w:val="Internetový odkaz"/>
    <w:basedOn w:val="DefaultParagraphFont"/>
    <w:uiPriority w:val="99"/>
    <w:rsid w:val="0071192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624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625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626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630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9852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853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3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9854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858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0409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0410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0411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0415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ressroom.ups.com/pressroom/Home.pag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orbes.com/just-companies/" TargetMode="External"/><Relationship Id="rId17" Type="http://schemas.openxmlformats.org/officeDocument/2006/relationships/hyperlink" Target="https://www.ups.com/ship/guided/destination?tx=2168142152068288&amp;loc=en_US&amp;WT.mc_id=BOILERPLATE_PRESSRELEASE_END_SHIP_0716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UPS_New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bes.com/powerful-brands/li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stainability.ups.com/resources/sustainability-newsletter/" TargetMode="External"/><Relationship Id="rId10" Type="http://schemas.openxmlformats.org/officeDocument/2006/relationships/hyperlink" Target="mailto:investor@ups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@ups.com" TargetMode="External"/><Relationship Id="rId14" Type="http://schemas.openxmlformats.org/officeDocument/2006/relationships/hyperlink" Target="https://www.ups.com/us/en/services/knowledge-center/longitudes-landing.page?articlesource=longitudes&amp;WT.mc_id=BOILERPLATE_PRESSRELEASE_END_LONGITUDESKC_071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1CF5D-1FDE-4052-98B9-ED31A59E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2020-07-30T12:42:00Z</dcterms:created>
  <dcterms:modified xsi:type="dcterms:W3CDTF">2020-07-31T09:10:00Z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-59960604</vt:i4>
  </property>
</Properties>
</file>