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6A2D" w14:textId="1E495F59" w:rsidR="00E84687" w:rsidRPr="007C7E67" w:rsidRDefault="00E84687" w:rsidP="00E84687">
      <w:pPr>
        <w:rPr>
          <w:rFonts w:ascii="Arial" w:hAnsi="Arial" w:cs="Arial"/>
          <w:kern w:val="0"/>
          <w:sz w:val="20"/>
          <w:szCs w:val="20"/>
          <w:lang w:val="cs-CZ"/>
        </w:rPr>
      </w:pPr>
      <w:bookmarkStart w:id="0" w:name="Section1"/>
      <w:bookmarkEnd w:id="0"/>
      <w:r w:rsidRPr="007C7E67">
        <w:rPr>
          <w:rFonts w:ascii="Arial" w:hAnsi="Arial" w:cs="Arial"/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3E0D67EA" wp14:editId="23585A92">
            <wp:simplePos x="0" y="0"/>
            <wp:positionH relativeFrom="margin">
              <wp:posOffset>5014912</wp:posOffset>
            </wp:positionH>
            <wp:positionV relativeFrom="paragraph">
              <wp:posOffset>0</wp:posOffset>
            </wp:positionV>
            <wp:extent cx="847725" cy="958215"/>
            <wp:effectExtent l="0" t="0" r="0" b="0"/>
            <wp:wrapSquare wrapText="bothSides"/>
            <wp:docPr id="5" name="Picture 3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1D7" w:rsidRPr="007C7E67">
        <w:rPr>
          <w:rFonts w:ascii="Arial" w:hAnsi="Arial" w:cs="Arial"/>
          <w:kern w:val="0"/>
          <w:sz w:val="20"/>
          <w:szCs w:val="20"/>
          <w:lang w:val="cs-CZ"/>
        </w:rPr>
        <w:t>Kontakty</w:t>
      </w:r>
      <w:r w:rsidRPr="007C7E67">
        <w:rPr>
          <w:rFonts w:ascii="Arial" w:hAnsi="Arial" w:cs="Arial"/>
          <w:kern w:val="0"/>
          <w:sz w:val="20"/>
          <w:szCs w:val="20"/>
          <w:lang w:val="cs-CZ"/>
        </w:rPr>
        <w:t xml:space="preserve">: </w:t>
      </w:r>
      <w:r w:rsidRPr="007C7E67">
        <w:rPr>
          <w:rFonts w:ascii="Arial" w:hAnsi="Arial" w:cs="Arial"/>
          <w:kern w:val="0"/>
          <w:sz w:val="20"/>
          <w:szCs w:val="20"/>
          <w:lang w:val="cs-CZ"/>
        </w:rPr>
        <w:tab/>
        <w:t>UPS Media Relations</w:t>
      </w:r>
    </w:p>
    <w:p w14:paraId="6BC43622" w14:textId="77777777" w:rsidR="00E84687" w:rsidRPr="007C7E67" w:rsidRDefault="004424C5" w:rsidP="00E84687">
      <w:pPr>
        <w:ind w:left="720" w:firstLine="720"/>
        <w:rPr>
          <w:rFonts w:ascii="Arial" w:hAnsi="Arial" w:cs="Arial"/>
          <w:kern w:val="0"/>
          <w:sz w:val="20"/>
          <w:szCs w:val="20"/>
          <w:lang w:val="cs-CZ"/>
        </w:rPr>
      </w:pPr>
      <w:hyperlink r:id="rId9" w:history="1">
        <w:r w:rsidR="00E84687" w:rsidRPr="007C7E67">
          <w:rPr>
            <w:rFonts w:ascii="Arial" w:hAnsi="Arial" w:cs="Arial"/>
            <w:kern w:val="0"/>
            <w:sz w:val="20"/>
            <w:szCs w:val="20"/>
            <w:lang w:val="cs-CZ"/>
          </w:rPr>
          <w:t>+1 404 828 7123</w:t>
        </w:r>
      </w:hyperlink>
      <w:r w:rsidR="00E84687" w:rsidRPr="007C7E67">
        <w:rPr>
          <w:rFonts w:ascii="Arial" w:hAnsi="Arial" w:cs="Arial"/>
          <w:kern w:val="0"/>
          <w:sz w:val="20"/>
          <w:szCs w:val="20"/>
          <w:lang w:val="cs-CZ"/>
        </w:rPr>
        <w:t xml:space="preserve"> </w:t>
      </w:r>
    </w:p>
    <w:p w14:paraId="615DA4DE" w14:textId="77777777" w:rsidR="00E84687" w:rsidRPr="007C7E67" w:rsidRDefault="004424C5" w:rsidP="00E84687">
      <w:pPr>
        <w:ind w:left="720" w:firstLine="720"/>
        <w:rPr>
          <w:rFonts w:ascii="Arial" w:hAnsi="Arial" w:cs="Arial"/>
          <w:kern w:val="0"/>
          <w:sz w:val="20"/>
          <w:szCs w:val="20"/>
          <w:lang w:val="cs-CZ"/>
        </w:rPr>
      </w:pPr>
      <w:hyperlink r:id="rId10" w:history="1">
        <w:r w:rsidR="00E84687" w:rsidRPr="007C7E67">
          <w:rPr>
            <w:rStyle w:val="Hyperlink"/>
            <w:rFonts w:ascii="Arial" w:hAnsi="Arial" w:cs="Arial"/>
            <w:kern w:val="0"/>
            <w:sz w:val="20"/>
            <w:szCs w:val="20"/>
            <w:lang w:val="cs-CZ"/>
          </w:rPr>
          <w:t>pr@ups.com</w:t>
        </w:r>
      </w:hyperlink>
      <w:r w:rsidR="00E84687" w:rsidRPr="007C7E67">
        <w:rPr>
          <w:rFonts w:ascii="Arial" w:hAnsi="Arial" w:cs="Arial"/>
          <w:kern w:val="0"/>
          <w:sz w:val="20"/>
          <w:szCs w:val="20"/>
          <w:lang w:val="cs-CZ"/>
        </w:rPr>
        <w:t xml:space="preserve"> </w:t>
      </w:r>
    </w:p>
    <w:p w14:paraId="608AD5DA" w14:textId="77777777" w:rsidR="00E84687" w:rsidRPr="007C7E67" w:rsidRDefault="00E84687" w:rsidP="00E84687">
      <w:pPr>
        <w:rPr>
          <w:rFonts w:ascii="Arial" w:hAnsi="Arial" w:cs="Arial"/>
          <w:kern w:val="0"/>
          <w:sz w:val="20"/>
          <w:szCs w:val="20"/>
          <w:lang w:val="cs-CZ"/>
        </w:rPr>
      </w:pPr>
    </w:p>
    <w:p w14:paraId="493AFA0A" w14:textId="77777777" w:rsidR="00E84687" w:rsidRPr="007C7E67" w:rsidRDefault="00E84687" w:rsidP="00E84687">
      <w:pPr>
        <w:ind w:left="720" w:firstLine="720"/>
        <w:rPr>
          <w:rFonts w:ascii="Arial" w:hAnsi="Arial" w:cs="Arial"/>
          <w:kern w:val="0"/>
          <w:sz w:val="20"/>
          <w:szCs w:val="20"/>
          <w:lang w:val="cs-CZ"/>
        </w:rPr>
      </w:pPr>
      <w:r w:rsidRPr="007C7E67">
        <w:rPr>
          <w:rFonts w:ascii="Arial" w:hAnsi="Arial" w:cs="Arial"/>
          <w:kern w:val="0"/>
          <w:sz w:val="20"/>
          <w:szCs w:val="20"/>
          <w:lang w:val="cs-CZ"/>
        </w:rPr>
        <w:t>UPS Investor Relations</w:t>
      </w:r>
    </w:p>
    <w:p w14:paraId="76973669" w14:textId="77777777" w:rsidR="00E84687" w:rsidRPr="007C7E67" w:rsidRDefault="004424C5" w:rsidP="00E84687">
      <w:pPr>
        <w:ind w:left="720" w:firstLine="720"/>
        <w:rPr>
          <w:rFonts w:ascii="Arial" w:hAnsi="Arial" w:cs="Arial"/>
          <w:kern w:val="0"/>
          <w:sz w:val="20"/>
          <w:szCs w:val="20"/>
          <w:lang w:val="cs-CZ"/>
        </w:rPr>
      </w:pPr>
      <w:hyperlink r:id="rId11" w:history="1">
        <w:r w:rsidR="00E84687" w:rsidRPr="007C7E67">
          <w:rPr>
            <w:rFonts w:ascii="Arial" w:hAnsi="Arial" w:cs="Arial"/>
            <w:kern w:val="0"/>
            <w:sz w:val="20"/>
            <w:szCs w:val="20"/>
            <w:lang w:val="cs-CZ"/>
          </w:rPr>
          <w:t>+14048286059</w:t>
        </w:r>
      </w:hyperlink>
      <w:r w:rsidR="00E84687" w:rsidRPr="007C7E67">
        <w:rPr>
          <w:rFonts w:ascii="Arial" w:hAnsi="Arial" w:cs="Arial"/>
          <w:kern w:val="0"/>
          <w:sz w:val="20"/>
          <w:szCs w:val="20"/>
          <w:lang w:val="cs-CZ"/>
        </w:rPr>
        <w:t xml:space="preserve"> </w:t>
      </w:r>
    </w:p>
    <w:p w14:paraId="220F3FC0" w14:textId="1C101BA8" w:rsidR="00E84687" w:rsidRPr="007C7E67" w:rsidRDefault="004424C5" w:rsidP="00E84687">
      <w:pPr>
        <w:ind w:left="720" w:firstLine="720"/>
        <w:rPr>
          <w:rFonts w:ascii="Arial" w:hAnsi="Arial" w:cs="Arial"/>
          <w:kern w:val="0"/>
          <w:sz w:val="20"/>
          <w:szCs w:val="20"/>
          <w:lang w:val="cs-CZ"/>
        </w:rPr>
      </w:pPr>
      <w:hyperlink r:id="rId12" w:history="1">
        <w:r w:rsidR="00E84687" w:rsidRPr="007C7E67">
          <w:rPr>
            <w:rStyle w:val="Hyperlink"/>
            <w:rFonts w:ascii="Arial" w:hAnsi="Arial" w:cs="Arial"/>
            <w:kern w:val="0"/>
            <w:sz w:val="20"/>
            <w:szCs w:val="20"/>
            <w:lang w:val="cs-CZ"/>
          </w:rPr>
          <w:t>investor@ups.com</w:t>
        </w:r>
      </w:hyperlink>
      <w:r w:rsidR="00E84687" w:rsidRPr="007C7E67">
        <w:rPr>
          <w:rFonts w:ascii="Arial" w:hAnsi="Arial" w:cs="Arial"/>
          <w:kern w:val="0"/>
          <w:sz w:val="20"/>
          <w:szCs w:val="20"/>
          <w:lang w:val="cs-CZ"/>
        </w:rPr>
        <w:t xml:space="preserve"> </w:t>
      </w:r>
    </w:p>
    <w:p w14:paraId="3101C0BE" w14:textId="77777777" w:rsidR="00DE27FD" w:rsidRPr="007C7E67" w:rsidRDefault="00DE27FD" w:rsidP="00DE27FD">
      <w:pPr>
        <w:rPr>
          <w:rFonts w:ascii="Arial" w:hAnsi="Arial" w:cs="Arial"/>
          <w:kern w:val="0"/>
          <w:sz w:val="20"/>
          <w:szCs w:val="20"/>
          <w:lang w:val="cs-CZ"/>
        </w:rPr>
      </w:pPr>
    </w:p>
    <w:p w14:paraId="7E790DE9" w14:textId="77777777" w:rsidR="00DE27FD" w:rsidRPr="007C7E67" w:rsidRDefault="00DE27FD" w:rsidP="00DE27FD"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 w:rsidRPr="007C7E67">
        <w:rPr>
          <w:rFonts w:ascii="Arial" w:hAnsi="Arial" w:cs="Arial"/>
          <w:sz w:val="20"/>
          <w:szCs w:val="20"/>
          <w:lang w:val="cs-CZ"/>
        </w:rPr>
        <w:t xml:space="preserve">Karla Krejčí, Donath Business &amp; Media </w:t>
      </w:r>
    </w:p>
    <w:p w14:paraId="0517AB6B" w14:textId="77777777" w:rsidR="00DE27FD" w:rsidRPr="007C7E67" w:rsidRDefault="00DE27FD" w:rsidP="00DE27FD"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 w:rsidRPr="007C7E67">
        <w:rPr>
          <w:rFonts w:ascii="Arial" w:hAnsi="Arial" w:cs="Arial"/>
          <w:sz w:val="20"/>
          <w:szCs w:val="20"/>
          <w:lang w:val="cs-CZ"/>
        </w:rPr>
        <w:t>+420 224 211 220</w:t>
      </w:r>
    </w:p>
    <w:p w14:paraId="7817E070" w14:textId="77777777" w:rsidR="00DE27FD" w:rsidRPr="007C7E67" w:rsidRDefault="004424C5" w:rsidP="00DE27FD">
      <w:pPr>
        <w:ind w:left="1134" w:firstLine="306"/>
        <w:rPr>
          <w:rFonts w:ascii="Arial" w:hAnsi="Arial" w:cs="Arial"/>
          <w:sz w:val="20"/>
          <w:szCs w:val="20"/>
          <w:lang w:val="cs-CZ"/>
        </w:rPr>
      </w:pPr>
      <w:hyperlink r:id="rId13" w:history="1">
        <w:r w:rsidR="00DE27FD" w:rsidRPr="007C7E67">
          <w:rPr>
            <w:rStyle w:val="Hyperlink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14:paraId="470A2E36" w14:textId="77777777" w:rsidR="00DE27FD" w:rsidRPr="007C7E67" w:rsidRDefault="00DE27FD" w:rsidP="00DE27FD">
      <w:pPr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3ACB276" w14:textId="77777777" w:rsidR="00E84687" w:rsidRPr="007C7E67" w:rsidRDefault="00E84687">
      <w:pPr>
        <w:spacing w:line="238" w:lineRule="auto"/>
        <w:jc w:val="center"/>
        <w:outlineLvl w:val="0"/>
        <w:rPr>
          <w:rFonts w:ascii="Arial" w:eastAsia="Arial" w:hAnsi="Arial" w:cs="Arial"/>
          <w:b/>
          <w:sz w:val="32"/>
          <w:lang w:val="cs-CZ"/>
        </w:rPr>
      </w:pPr>
    </w:p>
    <w:p w14:paraId="309E032E" w14:textId="1CB3E02E" w:rsidR="00A77B3E" w:rsidRPr="007C7E67" w:rsidRDefault="00201C67">
      <w:pPr>
        <w:spacing w:line="238" w:lineRule="auto"/>
        <w:jc w:val="center"/>
        <w:outlineLvl w:val="0"/>
        <w:rPr>
          <w:lang w:val="cs-CZ"/>
        </w:rPr>
      </w:pPr>
      <w:r w:rsidRPr="007C7E67">
        <w:rPr>
          <w:rFonts w:ascii="Arial" w:eastAsia="Arial" w:hAnsi="Arial" w:cs="Arial"/>
          <w:b/>
          <w:sz w:val="32"/>
          <w:lang w:val="cs-CZ"/>
        </w:rPr>
        <w:t>SPOLEČNOST U</w:t>
      </w:r>
      <w:r w:rsidR="00E91DA6" w:rsidRPr="007C7E67">
        <w:rPr>
          <w:rFonts w:ascii="Arial" w:eastAsia="Arial" w:hAnsi="Arial" w:cs="Arial"/>
          <w:b/>
          <w:sz w:val="32"/>
          <w:lang w:val="cs-CZ"/>
        </w:rPr>
        <w:t xml:space="preserve">PS </w:t>
      </w:r>
      <w:r w:rsidR="001350FC" w:rsidRPr="007C7E67">
        <w:rPr>
          <w:rFonts w:ascii="Arial" w:eastAsia="Arial" w:hAnsi="Arial" w:cs="Arial"/>
          <w:b/>
          <w:sz w:val="32"/>
          <w:lang w:val="cs-CZ"/>
        </w:rPr>
        <w:t>OZNÁMILA VÝSLEDKY ZA</w:t>
      </w:r>
      <w:r w:rsidR="00E91DA6" w:rsidRPr="007C7E67">
        <w:rPr>
          <w:rFonts w:ascii="Arial" w:eastAsia="Arial" w:hAnsi="Arial" w:cs="Arial"/>
          <w:b/>
          <w:sz w:val="32"/>
          <w:lang w:val="cs-CZ"/>
        </w:rPr>
        <w:t xml:space="preserve"> 1</w:t>
      </w:r>
      <w:r w:rsidR="001350FC" w:rsidRPr="007C7E67">
        <w:rPr>
          <w:rFonts w:ascii="Arial" w:eastAsia="Arial" w:hAnsi="Arial" w:cs="Arial"/>
          <w:b/>
          <w:sz w:val="32"/>
          <w:lang w:val="cs-CZ"/>
        </w:rPr>
        <w:t>Q</w:t>
      </w:r>
      <w:r w:rsidR="00E91DA6" w:rsidRPr="007C7E67">
        <w:rPr>
          <w:rFonts w:ascii="Arial" w:eastAsia="Arial" w:hAnsi="Arial" w:cs="Arial"/>
          <w:b/>
          <w:sz w:val="32"/>
          <w:lang w:val="cs-CZ"/>
        </w:rPr>
        <w:t xml:space="preserve"> 2021</w:t>
      </w:r>
    </w:p>
    <w:p w14:paraId="07CCF718" w14:textId="77777777" w:rsidR="001350FC" w:rsidRPr="007C7E67" w:rsidRDefault="001350FC">
      <w:pPr>
        <w:spacing w:line="276" w:lineRule="auto"/>
        <w:rPr>
          <w:rFonts w:ascii="Arial" w:eastAsia="Arial" w:hAnsi="Arial" w:cs="Arial"/>
          <w:lang w:val="cs-CZ"/>
        </w:rPr>
      </w:pPr>
    </w:p>
    <w:p w14:paraId="352FE2A2" w14:textId="77777777" w:rsidR="00201C67" w:rsidRPr="007C7E67" w:rsidRDefault="00201C67" w:rsidP="00201C67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b/>
          <w:i/>
          <w:sz w:val="22"/>
          <w:lang w:val="cs-CZ"/>
        </w:rPr>
      </w:pPr>
      <w:r w:rsidRPr="007C7E67">
        <w:rPr>
          <w:rFonts w:ascii="Arial" w:eastAsia="Arial" w:hAnsi="Arial" w:cs="Arial"/>
          <w:b/>
          <w:i/>
          <w:sz w:val="22"/>
          <w:lang w:val="cs-CZ"/>
        </w:rPr>
        <w:t>Konsolidované příjmy vzrostly o 27 % s nárůstem ve všech segmentech</w:t>
      </w:r>
    </w:p>
    <w:p w14:paraId="09163539" w14:textId="532587DE" w:rsidR="00201C67" w:rsidRPr="007C7E67" w:rsidRDefault="00201C67" w:rsidP="00201C67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b/>
          <w:i/>
          <w:sz w:val="22"/>
          <w:lang w:val="cs-CZ"/>
        </w:rPr>
      </w:pPr>
      <w:r w:rsidRPr="007C7E67">
        <w:rPr>
          <w:rFonts w:ascii="Arial" w:eastAsia="Arial" w:hAnsi="Arial" w:cs="Arial"/>
          <w:b/>
          <w:i/>
          <w:sz w:val="22"/>
          <w:lang w:val="cs-CZ"/>
        </w:rPr>
        <w:t>Konsolidovaný provozní zisk vzrostl o 158 % na 2.8 mld</w:t>
      </w:r>
      <w:r w:rsidR="0039383F" w:rsidRPr="007C7E67">
        <w:rPr>
          <w:rFonts w:ascii="Arial" w:eastAsia="Arial" w:hAnsi="Arial" w:cs="Arial"/>
          <w:b/>
          <w:i/>
          <w:sz w:val="22"/>
          <w:lang w:val="cs-CZ"/>
        </w:rPr>
        <w:t>.</w:t>
      </w:r>
      <w:r w:rsidRPr="007C7E67">
        <w:rPr>
          <w:rFonts w:ascii="Arial" w:eastAsia="Arial" w:hAnsi="Arial" w:cs="Arial"/>
          <w:b/>
          <w:i/>
          <w:sz w:val="22"/>
          <w:lang w:val="cs-CZ"/>
        </w:rPr>
        <w:t xml:space="preserve"> USD, což </w:t>
      </w:r>
      <w:r w:rsidR="0039383F" w:rsidRPr="007C7E67">
        <w:rPr>
          <w:rFonts w:ascii="Arial" w:eastAsia="Arial" w:hAnsi="Arial" w:cs="Arial"/>
          <w:b/>
          <w:i/>
          <w:sz w:val="22"/>
          <w:lang w:val="cs-CZ"/>
        </w:rPr>
        <w:t>představuje</w:t>
      </w:r>
      <w:r w:rsidRPr="007C7E67">
        <w:rPr>
          <w:rFonts w:ascii="Arial" w:eastAsia="Arial" w:hAnsi="Arial" w:cs="Arial"/>
          <w:b/>
          <w:i/>
          <w:sz w:val="22"/>
          <w:lang w:val="cs-CZ"/>
        </w:rPr>
        <w:t xml:space="preserve"> nárůst o 164 % na upraveném</w:t>
      </w:r>
      <w:r w:rsidR="0039383F" w:rsidRPr="007C7E67">
        <w:rPr>
          <w:rFonts w:ascii="Arial" w:eastAsia="Arial" w:hAnsi="Arial" w:cs="Arial"/>
          <w:b/>
          <w:i/>
          <w:sz w:val="22"/>
          <w:lang w:val="cs-CZ"/>
        </w:rPr>
        <w:t>*</w:t>
      </w:r>
      <w:r w:rsidRPr="007C7E67">
        <w:rPr>
          <w:rFonts w:ascii="Arial" w:eastAsia="Arial" w:hAnsi="Arial" w:cs="Arial"/>
          <w:b/>
          <w:i/>
          <w:sz w:val="22"/>
          <w:lang w:val="cs-CZ"/>
        </w:rPr>
        <w:t xml:space="preserve"> základě</w:t>
      </w:r>
    </w:p>
    <w:p w14:paraId="3404936A" w14:textId="098A912E" w:rsidR="00201C67" w:rsidRPr="007C7E67" w:rsidRDefault="00201C67" w:rsidP="00201C67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b/>
          <w:i/>
          <w:sz w:val="22"/>
          <w:lang w:val="cs-CZ"/>
        </w:rPr>
      </w:pPr>
      <w:r w:rsidRPr="007C7E67">
        <w:rPr>
          <w:rFonts w:ascii="Arial" w:eastAsia="Arial" w:hAnsi="Arial" w:cs="Arial"/>
          <w:b/>
          <w:i/>
          <w:sz w:val="22"/>
          <w:lang w:val="cs-CZ"/>
        </w:rPr>
        <w:t>Rozředěný zisk na akcii dosáhl výše 5,47 USD, upravený zisk na akcii vzrostl o</w:t>
      </w:r>
      <w:r w:rsidR="0039383F" w:rsidRPr="007C7E67">
        <w:rPr>
          <w:rFonts w:ascii="Arial" w:eastAsia="Arial" w:hAnsi="Arial" w:cs="Arial"/>
          <w:b/>
          <w:i/>
          <w:sz w:val="22"/>
          <w:lang w:val="cs-CZ"/>
        </w:rPr>
        <w:t> </w:t>
      </w:r>
      <w:r w:rsidRPr="007C7E67">
        <w:rPr>
          <w:rFonts w:ascii="Arial" w:eastAsia="Arial" w:hAnsi="Arial" w:cs="Arial"/>
          <w:b/>
          <w:i/>
          <w:sz w:val="22"/>
          <w:lang w:val="cs-CZ"/>
        </w:rPr>
        <w:t>141 % na 2,77 USD.</w:t>
      </w:r>
    </w:p>
    <w:p w14:paraId="389BA1A0" w14:textId="77777777" w:rsidR="00201C67" w:rsidRPr="007C7E67" w:rsidRDefault="00201C67" w:rsidP="00201C67">
      <w:pPr>
        <w:spacing w:line="276" w:lineRule="auto"/>
        <w:rPr>
          <w:rFonts w:ascii="Arial" w:eastAsia="Arial" w:hAnsi="Arial" w:cs="Arial"/>
          <w:b/>
          <w:i/>
          <w:sz w:val="22"/>
          <w:lang w:val="cs-CZ"/>
        </w:rPr>
      </w:pPr>
    </w:p>
    <w:p w14:paraId="488F862B" w14:textId="51CE2712" w:rsidR="00201C67" w:rsidRPr="007C7E67" w:rsidRDefault="00201C67" w:rsidP="00201C67">
      <w:pPr>
        <w:pStyle w:val="BodyText"/>
        <w:rPr>
          <w:rFonts w:ascii="Arial" w:hAnsi="Arial"/>
          <w:sz w:val="22"/>
          <w:szCs w:val="22"/>
        </w:rPr>
      </w:pPr>
      <w:r w:rsidRPr="007C7E67">
        <w:rPr>
          <w:rFonts w:ascii="Arial" w:hAnsi="Arial"/>
          <w:b/>
          <w:bCs/>
          <w:sz w:val="22"/>
          <w:szCs w:val="22"/>
        </w:rPr>
        <w:t>ATLANTA, 27. dubna 2021</w:t>
      </w:r>
      <w:r w:rsidRPr="007C7E67">
        <w:rPr>
          <w:rFonts w:ascii="Arial" w:hAnsi="Arial"/>
          <w:sz w:val="22"/>
          <w:szCs w:val="22"/>
        </w:rPr>
        <w:t xml:space="preserve"> - Společnost UPS (NYSE:UPS) dnes oznámila konsolidované příjmy za první kvartál 2021 ve výši 22,9 m</w:t>
      </w:r>
      <w:r w:rsidR="00A7158D" w:rsidRPr="007C7E67">
        <w:rPr>
          <w:rFonts w:ascii="Arial" w:hAnsi="Arial"/>
          <w:sz w:val="22"/>
          <w:szCs w:val="22"/>
        </w:rPr>
        <w:t>ld.</w:t>
      </w:r>
      <w:r w:rsidRPr="007C7E67">
        <w:rPr>
          <w:rFonts w:ascii="Arial" w:hAnsi="Arial"/>
          <w:sz w:val="22"/>
          <w:szCs w:val="22"/>
        </w:rPr>
        <w:t xml:space="preserve"> USD, což </w:t>
      </w:r>
      <w:r w:rsidR="00A7158D" w:rsidRPr="007C7E67">
        <w:rPr>
          <w:rFonts w:ascii="Arial" w:hAnsi="Arial"/>
          <w:sz w:val="22"/>
          <w:szCs w:val="22"/>
        </w:rPr>
        <w:t>představuje</w:t>
      </w:r>
      <w:r w:rsidRPr="007C7E67">
        <w:rPr>
          <w:rFonts w:ascii="Arial" w:hAnsi="Arial"/>
          <w:sz w:val="22"/>
          <w:szCs w:val="22"/>
        </w:rPr>
        <w:t xml:space="preserve"> nárůst o 27 % oproti prvnímu kvartálu 2020. Konsolidovaný </w:t>
      </w:r>
      <w:r w:rsidR="00A7158D" w:rsidRPr="007C7E67">
        <w:rPr>
          <w:rFonts w:ascii="Arial" w:hAnsi="Arial"/>
          <w:sz w:val="22"/>
          <w:szCs w:val="22"/>
        </w:rPr>
        <w:t xml:space="preserve">průměrný </w:t>
      </w:r>
      <w:r w:rsidRPr="007C7E67">
        <w:rPr>
          <w:rFonts w:ascii="Arial" w:hAnsi="Arial"/>
          <w:sz w:val="22"/>
          <w:szCs w:val="22"/>
        </w:rPr>
        <w:t>denní objem přepravy vzrostl oproti minulému roku o</w:t>
      </w:r>
      <w:r w:rsidR="00A7158D" w:rsidRPr="007C7E67">
        <w:rPr>
          <w:rFonts w:ascii="Arial" w:hAnsi="Arial"/>
          <w:sz w:val="22"/>
          <w:szCs w:val="22"/>
        </w:rPr>
        <w:t> </w:t>
      </w:r>
      <w:r w:rsidRPr="007C7E67">
        <w:rPr>
          <w:rFonts w:ascii="Arial" w:hAnsi="Arial"/>
          <w:sz w:val="22"/>
          <w:szCs w:val="22"/>
        </w:rPr>
        <w:t>14,3 %. Konsolidovaný provozní zisk dosáhl výše 2,8 mld</w:t>
      </w:r>
      <w:r w:rsidR="00A7158D" w:rsidRPr="007C7E67">
        <w:rPr>
          <w:rFonts w:ascii="Arial" w:hAnsi="Arial"/>
          <w:sz w:val="22"/>
          <w:szCs w:val="22"/>
        </w:rPr>
        <w:t>.</w:t>
      </w:r>
      <w:r w:rsidRPr="007C7E67">
        <w:rPr>
          <w:rFonts w:ascii="Arial" w:hAnsi="Arial"/>
          <w:sz w:val="22"/>
          <w:szCs w:val="22"/>
        </w:rPr>
        <w:t xml:space="preserve"> USD, což je nárůst 158 % oproti prvnímu kvartálu 2020 a znamená to nárůst 164 % na upraveném základu. Naředěný příjem na akcii za kvartál dosáhl výše 5,47 USD, což je oproti stejnému období loňského roku nárůst 393 % a 141 % na upraveném základu.</w:t>
      </w:r>
    </w:p>
    <w:p w14:paraId="3E86A70F" w14:textId="77777777" w:rsidR="007C7E67" w:rsidRPr="007C7E67" w:rsidRDefault="007C7E67" w:rsidP="007C7E67">
      <w:pPr>
        <w:spacing w:line="276" w:lineRule="auto"/>
        <w:rPr>
          <w:rFonts w:ascii="Arial" w:eastAsia="Arial" w:hAnsi="Arial" w:cs="Arial"/>
          <w:b/>
          <w:i/>
          <w:sz w:val="22"/>
          <w:lang w:val="cs-CZ"/>
        </w:rPr>
      </w:pPr>
    </w:p>
    <w:p w14:paraId="0A1D033B" w14:textId="3FA87830" w:rsidR="00201C67" w:rsidRDefault="000524F9" w:rsidP="00201C67">
      <w:pPr>
        <w:pStyle w:val="BodyText"/>
        <w:rPr>
          <w:rFonts w:ascii="Arial" w:hAnsi="Arial"/>
          <w:sz w:val="22"/>
          <w:szCs w:val="22"/>
        </w:rPr>
      </w:pPr>
      <w:r w:rsidRPr="007C7E67">
        <w:rPr>
          <w:rFonts w:ascii="Arial" w:hAnsi="Arial"/>
          <w:sz w:val="22"/>
          <w:szCs w:val="22"/>
        </w:rPr>
        <w:t>Výsledky podle účetních zásad GAAP z</w:t>
      </w:r>
      <w:r w:rsidR="00201C67" w:rsidRPr="007C7E67">
        <w:rPr>
          <w:rFonts w:ascii="Arial" w:hAnsi="Arial"/>
          <w:sz w:val="22"/>
          <w:szCs w:val="22"/>
        </w:rPr>
        <w:t>a první čtvrtletí 2021 zahrnují čist</w:t>
      </w:r>
      <w:r w:rsidRPr="007C7E67">
        <w:rPr>
          <w:rFonts w:ascii="Arial" w:hAnsi="Arial"/>
          <w:sz w:val="22"/>
          <w:szCs w:val="22"/>
        </w:rPr>
        <w:t>é</w:t>
      </w:r>
      <w:r w:rsidR="00201C67" w:rsidRPr="007C7E67">
        <w:rPr>
          <w:rFonts w:ascii="Arial" w:hAnsi="Arial"/>
          <w:sz w:val="22"/>
          <w:szCs w:val="22"/>
        </w:rPr>
        <w:t xml:space="preserve"> náklady </w:t>
      </w:r>
      <w:r w:rsidRPr="007C7E67">
        <w:rPr>
          <w:rFonts w:ascii="Arial" w:hAnsi="Arial"/>
          <w:sz w:val="22"/>
          <w:szCs w:val="22"/>
        </w:rPr>
        <w:t xml:space="preserve">ve výši </w:t>
      </w:r>
      <w:r w:rsidR="00201C67" w:rsidRPr="007C7E67">
        <w:rPr>
          <w:rFonts w:ascii="Arial" w:hAnsi="Arial"/>
          <w:sz w:val="22"/>
          <w:szCs w:val="22"/>
        </w:rPr>
        <w:t>2,4</w:t>
      </w:r>
      <w:r w:rsidRPr="007C7E67">
        <w:rPr>
          <w:rFonts w:ascii="Arial" w:hAnsi="Arial"/>
          <w:sz w:val="22"/>
          <w:szCs w:val="22"/>
        </w:rPr>
        <w:t> </w:t>
      </w:r>
      <w:r w:rsidR="00201C67" w:rsidRPr="007C7E67">
        <w:rPr>
          <w:rFonts w:ascii="Arial" w:hAnsi="Arial"/>
          <w:sz w:val="22"/>
          <w:szCs w:val="22"/>
        </w:rPr>
        <w:t>mld</w:t>
      </w:r>
      <w:r w:rsidRPr="007C7E67">
        <w:rPr>
          <w:rFonts w:ascii="Arial" w:hAnsi="Arial"/>
          <w:sz w:val="22"/>
          <w:szCs w:val="22"/>
        </w:rPr>
        <w:t>.</w:t>
      </w:r>
      <w:r w:rsidR="00201C67" w:rsidRPr="007C7E67">
        <w:rPr>
          <w:rFonts w:ascii="Arial" w:hAnsi="Arial"/>
          <w:sz w:val="22"/>
          <w:szCs w:val="22"/>
        </w:rPr>
        <w:t xml:space="preserve"> USD, </w:t>
      </w:r>
      <w:r w:rsidRPr="007C7E67">
        <w:rPr>
          <w:rFonts w:ascii="Arial" w:hAnsi="Arial"/>
          <w:sz w:val="22"/>
          <w:szCs w:val="22"/>
        </w:rPr>
        <w:t>respektive</w:t>
      </w:r>
      <w:r w:rsidR="00201C67" w:rsidRPr="007C7E67">
        <w:rPr>
          <w:rFonts w:ascii="Arial" w:hAnsi="Arial"/>
          <w:sz w:val="22"/>
          <w:szCs w:val="22"/>
        </w:rPr>
        <w:t xml:space="preserve"> 2,70 USD na </w:t>
      </w:r>
      <w:r w:rsidRPr="007C7E67">
        <w:rPr>
          <w:rFonts w:ascii="Arial" w:hAnsi="Arial"/>
          <w:sz w:val="22"/>
          <w:szCs w:val="22"/>
        </w:rPr>
        <w:t>z</w:t>
      </w:r>
      <w:r w:rsidR="00201C67" w:rsidRPr="007C7E67">
        <w:rPr>
          <w:rFonts w:ascii="Arial" w:hAnsi="Arial"/>
          <w:sz w:val="22"/>
          <w:szCs w:val="22"/>
        </w:rPr>
        <w:t xml:space="preserve">ředěnou akcii, </w:t>
      </w:r>
      <w:r w:rsidRPr="007C7E67">
        <w:rPr>
          <w:rFonts w:ascii="Arial" w:hAnsi="Arial"/>
          <w:sz w:val="22"/>
          <w:szCs w:val="22"/>
        </w:rPr>
        <w:t>které zahrnují</w:t>
      </w:r>
      <w:r w:rsidR="00201C67" w:rsidRPr="007C7E67">
        <w:rPr>
          <w:rFonts w:ascii="Arial" w:hAnsi="Arial"/>
          <w:sz w:val="22"/>
          <w:szCs w:val="22"/>
        </w:rPr>
        <w:t xml:space="preserve"> penzijní náklady po zdanění ve výši 2,5 mld</w:t>
      </w:r>
      <w:r w:rsidRPr="007C7E67">
        <w:rPr>
          <w:rFonts w:ascii="Arial" w:hAnsi="Arial"/>
          <w:sz w:val="22"/>
          <w:szCs w:val="22"/>
        </w:rPr>
        <w:t>.</w:t>
      </w:r>
      <w:r w:rsidR="00201C67" w:rsidRPr="007C7E67">
        <w:rPr>
          <w:rFonts w:ascii="Arial" w:hAnsi="Arial"/>
          <w:sz w:val="22"/>
          <w:szCs w:val="22"/>
        </w:rPr>
        <w:t xml:space="preserve"> USD a transformační a jiné náklady po zdanění ve výši 140 mil</w:t>
      </w:r>
      <w:r w:rsidRPr="007C7E67">
        <w:rPr>
          <w:rFonts w:ascii="Arial" w:hAnsi="Arial"/>
          <w:sz w:val="22"/>
          <w:szCs w:val="22"/>
        </w:rPr>
        <w:t>.</w:t>
      </w:r>
      <w:r w:rsidR="00201C67" w:rsidRPr="007C7E67">
        <w:rPr>
          <w:rFonts w:ascii="Arial" w:hAnsi="Arial"/>
          <w:sz w:val="22"/>
          <w:szCs w:val="22"/>
        </w:rPr>
        <w:t xml:space="preserve"> USD. Náklady na </w:t>
      </w:r>
      <w:r w:rsidRPr="007C7E67">
        <w:rPr>
          <w:rFonts w:ascii="Arial" w:hAnsi="Arial"/>
          <w:sz w:val="22"/>
          <w:szCs w:val="22"/>
        </w:rPr>
        <w:t>tržní přecenění (</w:t>
      </w:r>
      <w:r w:rsidR="00201C67" w:rsidRPr="007C7E67">
        <w:rPr>
          <w:rFonts w:ascii="Arial" w:hAnsi="Arial"/>
          <w:sz w:val="22"/>
          <w:szCs w:val="22"/>
        </w:rPr>
        <w:t>MTM</w:t>
      </w:r>
      <w:r w:rsidRPr="007C7E67">
        <w:rPr>
          <w:rFonts w:ascii="Arial" w:hAnsi="Arial"/>
          <w:sz w:val="22"/>
          <w:szCs w:val="22"/>
        </w:rPr>
        <w:t>)</w:t>
      </w:r>
      <w:r w:rsidR="00201C67" w:rsidRPr="007C7E67">
        <w:rPr>
          <w:rFonts w:ascii="Arial" w:hAnsi="Arial"/>
          <w:sz w:val="22"/>
          <w:szCs w:val="22"/>
        </w:rPr>
        <w:t xml:space="preserve"> byly způsobeny primárně zavedením zákona ARPA (American Rescue Plan Act) na rok 2021. Zákon ARPA byl podepsán 11. března 2021 a chrání před insolvencí některé penzijní programy od více zaměstnavatelů až do roku 2051, čímž eliminuje případnou odpovědnost společností za správu penzí ve vztahu k Centrálnímu penzijnímu fondu (Central States Pension Fund). Zavedení zákona ARPA si vyžádalo, aby společnost UPS přehodnotila svůj penzijní plán UPS IBT s ohledem na aktuální úrokové sazby, které se zvýšily od data poslední evaluace. V</w:t>
      </w:r>
      <w:r w:rsidRPr="007C7E67">
        <w:rPr>
          <w:rFonts w:ascii="Arial" w:hAnsi="Arial"/>
          <w:sz w:val="22"/>
          <w:szCs w:val="22"/>
        </w:rPr>
        <w:t xml:space="preserve"> konečném</w:t>
      </w:r>
      <w:r w:rsidR="00201C67" w:rsidRPr="007C7E67">
        <w:rPr>
          <w:rFonts w:ascii="Arial" w:hAnsi="Arial"/>
          <w:sz w:val="22"/>
          <w:szCs w:val="22"/>
        </w:rPr>
        <w:t xml:space="preserve"> výsledku se pak jednalo o snížení závazků v penzijním programu o 6,4</w:t>
      </w:r>
      <w:r w:rsidRPr="007C7E67">
        <w:rPr>
          <w:rFonts w:ascii="Arial" w:hAnsi="Arial"/>
          <w:sz w:val="22"/>
          <w:szCs w:val="22"/>
        </w:rPr>
        <w:t> </w:t>
      </w:r>
      <w:r w:rsidR="00201C67" w:rsidRPr="007C7E67">
        <w:rPr>
          <w:rFonts w:ascii="Arial" w:hAnsi="Arial"/>
          <w:sz w:val="22"/>
          <w:szCs w:val="22"/>
        </w:rPr>
        <w:t>mld</w:t>
      </w:r>
      <w:r w:rsidRPr="007C7E67">
        <w:rPr>
          <w:rFonts w:ascii="Arial" w:hAnsi="Arial"/>
          <w:sz w:val="22"/>
          <w:szCs w:val="22"/>
        </w:rPr>
        <w:t>.</w:t>
      </w:r>
      <w:r w:rsidR="00201C67" w:rsidRPr="007C7E67">
        <w:rPr>
          <w:rFonts w:ascii="Arial" w:hAnsi="Arial"/>
          <w:sz w:val="22"/>
          <w:szCs w:val="22"/>
        </w:rPr>
        <w:t xml:space="preserve"> USD. </w:t>
      </w:r>
    </w:p>
    <w:p w14:paraId="5CE89A98" w14:textId="77777777" w:rsidR="004424C5" w:rsidRPr="007C7E67" w:rsidRDefault="004424C5" w:rsidP="004424C5">
      <w:pPr>
        <w:spacing w:line="276" w:lineRule="auto"/>
        <w:rPr>
          <w:rFonts w:ascii="Arial" w:eastAsia="Arial" w:hAnsi="Arial" w:cs="Arial"/>
          <w:b/>
          <w:i/>
          <w:sz w:val="22"/>
          <w:lang w:val="cs-CZ"/>
        </w:rPr>
      </w:pPr>
    </w:p>
    <w:p w14:paraId="78D31F4D" w14:textId="5E6B9ADA" w:rsidR="00201C67" w:rsidRPr="007C7E67" w:rsidRDefault="00201C67" w:rsidP="00201C67">
      <w:pPr>
        <w:pStyle w:val="BodyText"/>
        <w:rPr>
          <w:rFonts w:ascii="Arial" w:hAnsi="Arial"/>
          <w:sz w:val="22"/>
          <w:szCs w:val="22"/>
        </w:rPr>
      </w:pPr>
      <w:r w:rsidRPr="007C7E67">
        <w:rPr>
          <w:rFonts w:ascii="Arial" w:hAnsi="Arial"/>
          <w:sz w:val="22"/>
          <w:szCs w:val="22"/>
        </w:rPr>
        <w:t>„Chci poděkovat všem zaměstnancům UPS za to, že doručují to, na čem záleží, včetně vakcín na Covid-19,“ říká Carol Tomé, výkonná ředitelka UPS. „</w:t>
      </w:r>
      <w:r w:rsidR="0085095B" w:rsidRPr="0085095B">
        <w:rPr>
          <w:rFonts w:ascii="Arial" w:hAnsi="Arial"/>
          <w:sz w:val="22"/>
          <w:szCs w:val="22"/>
        </w:rPr>
        <w:t xml:space="preserve">Během tohoto čtvrtletí jsme se drželi naší strategie zaměřené na </w:t>
      </w:r>
      <w:r w:rsidR="0085095B">
        <w:rPr>
          <w:rFonts w:ascii="Arial" w:hAnsi="Arial"/>
          <w:sz w:val="22"/>
          <w:szCs w:val="22"/>
        </w:rPr>
        <w:t xml:space="preserve">růst </w:t>
      </w:r>
      <w:r w:rsidR="0085095B" w:rsidRPr="0085095B">
        <w:rPr>
          <w:rFonts w:ascii="Arial" w:hAnsi="Arial"/>
          <w:sz w:val="22"/>
          <w:szCs w:val="22"/>
        </w:rPr>
        <w:t>kvality, nikoliv rozšiřování byznysu</w:t>
      </w:r>
      <w:r w:rsidR="0085095B">
        <w:rPr>
          <w:rFonts w:ascii="Arial" w:hAnsi="Arial"/>
          <w:sz w:val="22"/>
          <w:szCs w:val="22"/>
        </w:rPr>
        <w:t>. Ta nám u</w:t>
      </w:r>
      <w:r w:rsidRPr="007C7E67">
        <w:rPr>
          <w:rFonts w:ascii="Arial" w:hAnsi="Arial"/>
          <w:sz w:val="22"/>
          <w:szCs w:val="22"/>
        </w:rPr>
        <w:t xml:space="preserve">možnila </w:t>
      </w:r>
      <w:r w:rsidR="004424C5">
        <w:rPr>
          <w:rFonts w:ascii="Arial" w:hAnsi="Arial"/>
          <w:sz w:val="22"/>
          <w:szCs w:val="22"/>
        </w:rPr>
        <w:t>využít</w:t>
      </w:r>
      <w:r w:rsidR="000524F9" w:rsidRPr="007C7E67">
        <w:rPr>
          <w:rFonts w:ascii="Arial" w:hAnsi="Arial"/>
          <w:sz w:val="22"/>
          <w:szCs w:val="22"/>
        </w:rPr>
        <w:t xml:space="preserve"> těch nejlepších příležitostí</w:t>
      </w:r>
      <w:r w:rsidRPr="007C7E67">
        <w:rPr>
          <w:rFonts w:ascii="Arial" w:hAnsi="Arial"/>
          <w:sz w:val="22"/>
          <w:szCs w:val="22"/>
        </w:rPr>
        <w:t xml:space="preserve"> na trhu a pomohla nám dosáhnout rekordních finančních výsledků.“</w:t>
      </w:r>
    </w:p>
    <w:p w14:paraId="6EC53A59" w14:textId="217F73E0" w:rsidR="00A77B3E" w:rsidRPr="00446F45" w:rsidRDefault="00A77B3E" w:rsidP="00446F45">
      <w:pPr>
        <w:pStyle w:val="BodyText"/>
        <w:rPr>
          <w:rFonts w:ascii="Arial" w:hAnsi="Arial"/>
          <w:sz w:val="22"/>
          <w:szCs w:val="22"/>
        </w:rPr>
      </w:pPr>
    </w:p>
    <w:p w14:paraId="1F5C48FE" w14:textId="31E787EB" w:rsidR="00A77B3E" w:rsidRPr="007C7E67" w:rsidRDefault="001350FC">
      <w:pPr>
        <w:spacing w:line="238" w:lineRule="auto"/>
        <w:rPr>
          <w:rFonts w:ascii="Arial" w:eastAsia="Arial" w:hAnsi="Arial" w:cs="Arial"/>
          <w:b/>
          <w:lang w:val="cs-CZ"/>
        </w:rPr>
      </w:pPr>
      <w:r w:rsidRPr="007C7E67">
        <w:rPr>
          <w:rFonts w:ascii="Arial" w:eastAsia="Arial" w:hAnsi="Arial" w:cs="Arial"/>
          <w:b/>
          <w:lang w:val="cs-CZ"/>
        </w:rPr>
        <w:lastRenderedPageBreak/>
        <w:t>Domácí trh v USA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576"/>
        <w:gridCol w:w="1576"/>
        <w:gridCol w:w="1576"/>
        <w:gridCol w:w="1576"/>
      </w:tblGrid>
      <w:tr w:rsidR="00210905" w:rsidRPr="007C7E67" w14:paraId="392BD004" w14:textId="77777777" w:rsidTr="00446F45">
        <w:trPr>
          <w:cantSplit/>
          <w:trHeight w:hRule="exact" w:val="585"/>
        </w:trPr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8F80A" w14:textId="77777777" w:rsidR="00210905" w:rsidRPr="007C7E67" w:rsidRDefault="00210905">
            <w:pPr>
              <w:keepNext/>
              <w:rPr>
                <w:lang w:val="cs-CZ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00006137" w14:textId="77777777" w:rsidR="00210905" w:rsidRPr="007C7E67" w:rsidRDefault="00210905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</w:p>
          <w:p w14:paraId="299E3CB2" w14:textId="77777777" w:rsidR="00210905" w:rsidRPr="007C7E67" w:rsidRDefault="00E91DA6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7C7E6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1Q 2021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368B379B" w14:textId="712239A1" w:rsidR="00210905" w:rsidRPr="007C7E67" w:rsidRDefault="001350FC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  <w:r w:rsidRPr="007C7E6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15E10CC1" w14:textId="77777777" w:rsidR="00210905" w:rsidRPr="007C7E67" w:rsidRDefault="00E91DA6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7C7E6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1Q 2021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5B2FA9D" w14:textId="77777777" w:rsidR="00210905" w:rsidRPr="007C7E67" w:rsidRDefault="00210905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</w:p>
          <w:p w14:paraId="6E454335" w14:textId="77777777" w:rsidR="00210905" w:rsidRPr="007C7E67" w:rsidRDefault="00E91DA6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7C7E6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1Q 2020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23030ED" w14:textId="79BDD494" w:rsidR="00210905" w:rsidRPr="007C7E67" w:rsidRDefault="001350FC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  <w:r w:rsidRPr="007C7E6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3DD1EADC" w14:textId="77777777" w:rsidR="00210905" w:rsidRPr="007C7E67" w:rsidRDefault="00E91DA6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7C7E6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1Q 2020</w:t>
            </w:r>
          </w:p>
        </w:tc>
      </w:tr>
      <w:tr w:rsidR="00210905" w:rsidRPr="007C7E67" w14:paraId="3B6A9E91" w14:textId="77777777" w:rsidTr="00446F45">
        <w:trPr>
          <w:cantSplit/>
          <w:trHeight w:hRule="exact" w:val="300"/>
        </w:trPr>
        <w:tc>
          <w:tcPr>
            <w:tcW w:w="290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60D7F7FA" w14:textId="5590CE91" w:rsidR="00210905" w:rsidRPr="007C7E67" w:rsidRDefault="001350FC">
            <w:pPr>
              <w:keepNext/>
              <w:spacing w:before="53" w:after="30" w:line="276" w:lineRule="auto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sz w:val="20"/>
                <w:lang w:val="cs-CZ"/>
              </w:rPr>
              <w:t>Příjmy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58511972" w14:textId="1399C8F1" w:rsidR="00210905" w:rsidRPr="007C7E67" w:rsidRDefault="00E91DA6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14</w:t>
            </w:r>
            <w:r w:rsidR="001350FC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010 </w:t>
            </w:r>
            <w:r w:rsidR="001350FC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A0C45" w14:textId="77777777" w:rsidR="00210905" w:rsidRPr="007C7E67" w:rsidRDefault="00210905">
            <w:pPr>
              <w:keepNext/>
              <w:rPr>
                <w:lang w:val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45C59572" w14:textId="6F92B41A" w:rsidR="00210905" w:rsidRPr="007C7E67" w:rsidRDefault="00E91DA6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11</w:t>
            </w:r>
            <w:r w:rsidR="001350FC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456 </w:t>
            </w:r>
            <w:r w:rsidR="001350FC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32336" w14:textId="77777777" w:rsidR="00210905" w:rsidRPr="007C7E67" w:rsidRDefault="00210905">
            <w:pPr>
              <w:keepNext/>
              <w:rPr>
                <w:lang w:val="cs-CZ"/>
              </w:rPr>
            </w:pPr>
          </w:p>
        </w:tc>
      </w:tr>
      <w:tr w:rsidR="00210905" w:rsidRPr="007C7E67" w14:paraId="6C355727" w14:textId="77777777" w:rsidTr="00446F45">
        <w:trPr>
          <w:cantSplit/>
          <w:trHeight w:hRule="exact" w:val="300"/>
        </w:trPr>
        <w:tc>
          <w:tcPr>
            <w:tcW w:w="2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0451F340" w14:textId="3E47AFD5" w:rsidR="00210905" w:rsidRPr="007C7E67" w:rsidRDefault="001350FC">
            <w:pPr>
              <w:spacing w:before="53" w:after="30" w:line="276" w:lineRule="auto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sz w:val="20"/>
                <w:lang w:val="cs-CZ"/>
              </w:rPr>
              <w:t>Provozní zisk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56ED982B" w14:textId="29721796" w:rsidR="00210905" w:rsidRPr="007C7E67" w:rsidRDefault="00E91DA6">
            <w:pPr>
              <w:spacing w:before="53" w:after="30" w:line="276" w:lineRule="auto"/>
              <w:jc w:val="right"/>
              <w:rPr>
                <w:u w:val="double"/>
                <w:lang w:val="cs-CZ"/>
              </w:rPr>
            </w:pP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1359 </w:t>
            </w:r>
            <w:r w:rsidR="001350FC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</w:t>
            </w:r>
            <w:r w:rsidR="001350FC" w:rsidRPr="007C7E67">
              <w:rPr>
                <w:rFonts w:ascii="Arial" w:eastAsia="Arial" w:hAnsi="Arial" w:cs="Arial"/>
                <w:color w:val="000000"/>
                <w:sz w:val="20"/>
                <w:u w:val="double"/>
                <w:lang w:val="cs-CZ"/>
              </w:rPr>
              <w:t>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3F3931E" w14:textId="116A2259" w:rsidR="00210905" w:rsidRPr="007C7E67" w:rsidRDefault="00E91DA6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1463 </w:t>
            </w:r>
            <w:r w:rsidR="001350FC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625FDC82" w14:textId="4F8744D9" w:rsidR="00210905" w:rsidRPr="007C7E67" w:rsidRDefault="00E91DA6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364 </w:t>
            </w:r>
            <w:r w:rsidR="001350FC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129B55C0" w14:textId="44A7C6CE" w:rsidR="00210905" w:rsidRPr="007C7E67" w:rsidRDefault="00E91DA6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401 </w:t>
            </w:r>
            <w:r w:rsidR="001350FC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</w:tr>
    </w:tbl>
    <w:p w14:paraId="555D5A0B" w14:textId="79D6D91A" w:rsidR="00A77B3E" w:rsidRPr="007C7E67" w:rsidRDefault="00A77B3E">
      <w:pPr>
        <w:spacing w:line="276" w:lineRule="auto"/>
        <w:rPr>
          <w:rFonts w:ascii="Arial" w:eastAsia="Arial" w:hAnsi="Arial" w:cs="Arial"/>
          <w:lang w:val="cs-CZ"/>
        </w:rPr>
      </w:pPr>
    </w:p>
    <w:p w14:paraId="7FF0278E" w14:textId="5C441988" w:rsidR="00201C67" w:rsidRPr="007C7E67" w:rsidRDefault="00201C67" w:rsidP="00201C67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lang w:val="cs-CZ"/>
        </w:rPr>
      </w:pPr>
      <w:r w:rsidRPr="007C7E67">
        <w:rPr>
          <w:rFonts w:ascii="Arial" w:eastAsia="Arial" w:hAnsi="Arial" w:cs="Arial"/>
          <w:sz w:val="22"/>
          <w:lang w:val="cs-CZ"/>
        </w:rPr>
        <w:t>Příjmy se zvýšily o 22,3 %</w:t>
      </w:r>
      <w:r w:rsidR="00FA2A76" w:rsidRPr="007C7E67">
        <w:rPr>
          <w:rFonts w:ascii="Arial" w:eastAsia="Arial" w:hAnsi="Arial" w:cs="Arial"/>
          <w:sz w:val="22"/>
          <w:lang w:val="cs-CZ"/>
        </w:rPr>
        <w:t>,</w:t>
      </w:r>
      <w:r w:rsidRPr="007C7E67">
        <w:rPr>
          <w:rFonts w:ascii="Arial" w:eastAsia="Arial" w:hAnsi="Arial" w:cs="Arial"/>
          <w:sz w:val="22"/>
          <w:lang w:val="cs-CZ"/>
        </w:rPr>
        <w:t xml:space="preserve"> </w:t>
      </w:r>
      <w:r w:rsidR="00FA2A76" w:rsidRPr="007C7E67">
        <w:rPr>
          <w:rFonts w:ascii="Arial" w:eastAsia="Arial" w:hAnsi="Arial" w:cs="Arial"/>
          <w:sz w:val="22"/>
          <w:lang w:val="cs-CZ"/>
        </w:rPr>
        <w:t xml:space="preserve">zejména </w:t>
      </w:r>
      <w:r w:rsidRPr="007C7E67">
        <w:rPr>
          <w:rFonts w:ascii="Arial" w:eastAsia="Arial" w:hAnsi="Arial" w:cs="Arial"/>
          <w:sz w:val="22"/>
          <w:lang w:val="cs-CZ"/>
        </w:rPr>
        <w:t>díky nárůstu v segmentu malých a středních podniků.</w:t>
      </w:r>
    </w:p>
    <w:p w14:paraId="3B2A6DEB" w14:textId="7D4ADFBD" w:rsidR="00201C67" w:rsidRPr="007C7E67" w:rsidRDefault="00201C67" w:rsidP="00201C67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lang w:val="cs-CZ"/>
        </w:rPr>
      </w:pPr>
      <w:r w:rsidRPr="007C7E67">
        <w:rPr>
          <w:rFonts w:ascii="Arial" w:eastAsia="Arial" w:hAnsi="Arial" w:cs="Arial"/>
          <w:sz w:val="22"/>
          <w:lang w:val="cs-CZ"/>
        </w:rPr>
        <w:t>Příjem na balík vzrostl o 10,2 % hlavně díky segmentu pozemní přepravy.</w:t>
      </w:r>
    </w:p>
    <w:p w14:paraId="65C7A99C" w14:textId="3C76483A" w:rsidR="00201C67" w:rsidRPr="007C7E67" w:rsidRDefault="00201C67" w:rsidP="00201C67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lang w:val="cs-CZ"/>
        </w:rPr>
      </w:pPr>
      <w:r w:rsidRPr="007C7E67">
        <w:rPr>
          <w:rFonts w:ascii="Arial" w:eastAsia="Arial" w:hAnsi="Arial" w:cs="Arial"/>
          <w:sz w:val="22"/>
          <w:lang w:val="cs-CZ"/>
        </w:rPr>
        <w:t>Provozní marže dosáhla úrovně 9,7 %, upravená provozní marže pak 10,4 %.</w:t>
      </w:r>
    </w:p>
    <w:p w14:paraId="7EC808F1" w14:textId="77777777" w:rsidR="00A77B3E" w:rsidRPr="007C7E67" w:rsidRDefault="00A77B3E" w:rsidP="00FA2A76">
      <w:pPr>
        <w:spacing w:line="276" w:lineRule="auto"/>
        <w:rPr>
          <w:rFonts w:ascii="Arial" w:eastAsia="Arial" w:hAnsi="Arial" w:cs="Arial"/>
          <w:sz w:val="22"/>
          <w:lang w:val="cs-CZ"/>
        </w:rPr>
      </w:pPr>
    </w:p>
    <w:p w14:paraId="5B0C0B39" w14:textId="36FA66D6" w:rsidR="00A77B3E" w:rsidRPr="007C7E67" w:rsidRDefault="001350FC">
      <w:pPr>
        <w:spacing w:line="238" w:lineRule="auto"/>
        <w:rPr>
          <w:rFonts w:ascii="Arial" w:eastAsia="Arial" w:hAnsi="Arial" w:cs="Arial"/>
          <w:b/>
          <w:lang w:val="cs-CZ"/>
        </w:rPr>
      </w:pPr>
      <w:r w:rsidRPr="007C7E67">
        <w:rPr>
          <w:rFonts w:ascii="Arial" w:eastAsia="Arial" w:hAnsi="Arial" w:cs="Arial"/>
          <w:b/>
          <w:lang w:val="cs-CZ"/>
        </w:rPr>
        <w:t>Mezinárodní přeprava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576"/>
        <w:gridCol w:w="1576"/>
        <w:gridCol w:w="1576"/>
        <w:gridCol w:w="1576"/>
      </w:tblGrid>
      <w:tr w:rsidR="00210905" w:rsidRPr="007C7E67" w14:paraId="4363954B" w14:textId="77777777">
        <w:trPr>
          <w:cantSplit/>
          <w:trHeight w:hRule="exact" w:val="55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76557" w14:textId="77777777" w:rsidR="00210905" w:rsidRPr="007C7E67" w:rsidRDefault="00210905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3497C06E" w14:textId="77777777" w:rsidR="00210905" w:rsidRPr="007C7E67" w:rsidRDefault="00210905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</w:p>
          <w:p w14:paraId="3CBDFF52" w14:textId="77777777" w:rsidR="00210905" w:rsidRPr="007C7E67" w:rsidRDefault="00E91DA6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7C7E6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1Q 2021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5FF8D1F1" w14:textId="5B2728DD" w:rsidR="00210905" w:rsidRPr="007C7E67" w:rsidRDefault="00240FDD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  <w:r w:rsidRPr="007C7E6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679AECA1" w14:textId="77777777" w:rsidR="00210905" w:rsidRPr="007C7E67" w:rsidRDefault="00E91DA6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7C7E6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1Q 2021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3D74D3C6" w14:textId="77777777" w:rsidR="00210905" w:rsidRPr="007C7E67" w:rsidRDefault="00210905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</w:p>
          <w:p w14:paraId="45ED335D" w14:textId="77777777" w:rsidR="00210905" w:rsidRPr="007C7E67" w:rsidRDefault="00E91DA6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7C7E6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1Q 2020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37D847DC" w14:textId="26EFA439" w:rsidR="00210905" w:rsidRPr="007C7E67" w:rsidRDefault="00921612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  <w:r w:rsidRPr="007C7E6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7F498AED" w14:textId="77777777" w:rsidR="00210905" w:rsidRPr="007C7E67" w:rsidRDefault="00E91DA6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7C7E6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1Q 2020</w:t>
            </w:r>
          </w:p>
        </w:tc>
      </w:tr>
      <w:tr w:rsidR="00210905" w:rsidRPr="007C7E67" w14:paraId="564772B4" w14:textId="77777777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5E632700" w14:textId="159E9523" w:rsidR="00210905" w:rsidRPr="007C7E67" w:rsidRDefault="00240FDD">
            <w:pPr>
              <w:keepNext/>
              <w:spacing w:before="53" w:after="30" w:line="276" w:lineRule="auto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sz w:val="20"/>
                <w:lang w:val="cs-CZ"/>
              </w:rPr>
              <w:t>Příjmy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1CDC1327" w14:textId="73452BC0" w:rsidR="00210905" w:rsidRPr="007C7E67" w:rsidRDefault="00E91DA6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4607 </w:t>
            </w:r>
            <w:r w:rsidR="00921612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78514" w14:textId="77777777" w:rsidR="00210905" w:rsidRPr="007C7E67" w:rsidRDefault="00210905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041915CE" w14:textId="18AEE9A0" w:rsidR="00210905" w:rsidRPr="007C7E67" w:rsidRDefault="00E91DA6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3383 </w:t>
            </w:r>
            <w:r w:rsidR="00921612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62287" w14:textId="77777777" w:rsidR="00210905" w:rsidRPr="007C7E67" w:rsidRDefault="00210905">
            <w:pPr>
              <w:keepNext/>
              <w:rPr>
                <w:lang w:val="cs-CZ"/>
              </w:rPr>
            </w:pPr>
          </w:p>
        </w:tc>
      </w:tr>
      <w:tr w:rsidR="00210905" w:rsidRPr="007C7E67" w14:paraId="49BA0DF4" w14:textId="77777777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0E083F2E" w14:textId="108CB863" w:rsidR="00210905" w:rsidRPr="007C7E67" w:rsidRDefault="00240FDD">
            <w:pPr>
              <w:spacing w:before="53" w:after="30" w:line="276" w:lineRule="auto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sz w:val="20"/>
                <w:lang w:val="cs-CZ"/>
              </w:rPr>
              <w:t>Provozní zisk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6D6C8EBE" w14:textId="6BDE59DD" w:rsidR="00210905" w:rsidRPr="007C7E67" w:rsidRDefault="00E91DA6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1085 </w:t>
            </w:r>
            <w:r w:rsidR="00921612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8ACF05A" w14:textId="118C6BF5" w:rsidR="00210905" w:rsidRPr="007C7E67" w:rsidRDefault="00E91DA6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1091 </w:t>
            </w:r>
            <w:r w:rsidR="00921612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1D8DAB1A" w14:textId="0945670F" w:rsidR="00210905" w:rsidRPr="007C7E67" w:rsidRDefault="00E91DA6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551 </w:t>
            </w:r>
            <w:r w:rsidR="00921612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5EE9C867" w14:textId="468F6C50" w:rsidR="00210905" w:rsidRPr="007C7E67" w:rsidRDefault="00E91DA6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558 </w:t>
            </w:r>
            <w:r w:rsidR="00921612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</w:tr>
    </w:tbl>
    <w:p w14:paraId="01B6311F" w14:textId="329D3995" w:rsidR="00A77B3E" w:rsidRPr="007C7E67" w:rsidRDefault="00A77B3E">
      <w:pPr>
        <w:spacing w:line="276" w:lineRule="auto"/>
        <w:rPr>
          <w:rFonts w:ascii="Arial" w:eastAsia="Arial" w:hAnsi="Arial" w:cs="Arial"/>
          <w:sz w:val="22"/>
          <w:lang w:val="cs-CZ"/>
        </w:rPr>
      </w:pPr>
    </w:p>
    <w:p w14:paraId="621C8B77" w14:textId="12BF5235" w:rsidR="00314E10" w:rsidRPr="007C7E67" w:rsidRDefault="00314E10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2"/>
          <w:lang w:val="cs-CZ"/>
        </w:rPr>
      </w:pPr>
      <w:r w:rsidRPr="007C7E67">
        <w:rPr>
          <w:rFonts w:ascii="Arial" w:eastAsia="Arial" w:hAnsi="Arial" w:cs="Arial"/>
          <w:sz w:val="22"/>
          <w:lang w:val="cs-CZ"/>
        </w:rPr>
        <w:t xml:space="preserve">Průměrný denní objem přepravy vzrostl o 23,1 % při růstu exportu ve všech regionech. </w:t>
      </w:r>
    </w:p>
    <w:p w14:paraId="50C1722D" w14:textId="3E619B02" w:rsidR="00314E10" w:rsidRPr="007C7E67" w:rsidRDefault="00314E10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2"/>
          <w:lang w:val="cs-CZ"/>
        </w:rPr>
      </w:pPr>
      <w:r w:rsidRPr="007C7E67">
        <w:rPr>
          <w:rFonts w:ascii="Arial" w:eastAsia="Arial" w:hAnsi="Arial" w:cs="Arial"/>
          <w:sz w:val="22"/>
          <w:lang w:val="cs-CZ"/>
        </w:rPr>
        <w:t xml:space="preserve">Příjmy vzrostly o 36,2 %, zejména díky Asii a Evropě. </w:t>
      </w:r>
    </w:p>
    <w:p w14:paraId="418478DD" w14:textId="6BA4C4B9" w:rsidR="00314E10" w:rsidRPr="007C7E67" w:rsidRDefault="00314E10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2"/>
          <w:lang w:val="cs-CZ"/>
        </w:rPr>
      </w:pPr>
      <w:r w:rsidRPr="007C7E67">
        <w:rPr>
          <w:rFonts w:ascii="Arial" w:eastAsia="Arial" w:hAnsi="Arial" w:cs="Arial"/>
          <w:sz w:val="22"/>
          <w:lang w:val="cs-CZ"/>
        </w:rPr>
        <w:t>Provozní marže dosáhla 23,6 %, upravená provozní marže byla 23,7 %.</w:t>
      </w:r>
    </w:p>
    <w:p w14:paraId="475E95E5" w14:textId="77777777" w:rsidR="00314E10" w:rsidRPr="007C7E67" w:rsidRDefault="00314E10" w:rsidP="004F6112">
      <w:pPr>
        <w:spacing w:line="276" w:lineRule="auto"/>
        <w:rPr>
          <w:rFonts w:ascii="Arial" w:eastAsia="Arial" w:hAnsi="Arial" w:cs="Arial"/>
          <w:sz w:val="22"/>
          <w:lang w:val="cs-CZ"/>
        </w:rPr>
      </w:pPr>
    </w:p>
    <w:p w14:paraId="29E2A383" w14:textId="2D6F00B7" w:rsidR="00A77B3E" w:rsidRPr="007C7E67" w:rsidRDefault="001350FC">
      <w:pPr>
        <w:spacing w:line="238" w:lineRule="auto"/>
        <w:rPr>
          <w:rFonts w:ascii="Arial" w:eastAsia="Arial" w:hAnsi="Arial" w:cs="Arial"/>
          <w:b/>
          <w:lang w:val="cs-CZ"/>
        </w:rPr>
      </w:pPr>
      <w:r w:rsidRPr="007C7E67">
        <w:rPr>
          <w:rFonts w:ascii="Arial" w:eastAsia="Arial" w:hAnsi="Arial" w:cs="Arial"/>
          <w:b/>
          <w:lang w:val="cs-CZ"/>
        </w:rPr>
        <w:t>Dodavatelské řetězce a nákladní přeprava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576"/>
        <w:gridCol w:w="1576"/>
        <w:gridCol w:w="1576"/>
        <w:gridCol w:w="1576"/>
      </w:tblGrid>
      <w:tr w:rsidR="00210905" w:rsidRPr="007C7E67" w14:paraId="4F769788" w14:textId="77777777">
        <w:trPr>
          <w:cantSplit/>
          <w:trHeight w:hRule="exact" w:val="58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791FB" w14:textId="77777777" w:rsidR="00210905" w:rsidRPr="007C7E67" w:rsidRDefault="00210905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15984FA2" w14:textId="77777777" w:rsidR="00210905" w:rsidRPr="007C7E67" w:rsidRDefault="00210905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</w:p>
          <w:p w14:paraId="0F33C0A9" w14:textId="77777777" w:rsidR="00210905" w:rsidRPr="007C7E67" w:rsidRDefault="00E91DA6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7C7E6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1Q 2021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4F72DFD2" w14:textId="7FC60F2B" w:rsidR="00210905" w:rsidRPr="007C7E67" w:rsidRDefault="00921612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  <w:r w:rsidRPr="007C7E6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05015F9F" w14:textId="77777777" w:rsidR="00210905" w:rsidRPr="007C7E67" w:rsidRDefault="00E91DA6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7C7E6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1Q 2021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20BE128F" w14:textId="77777777" w:rsidR="00210905" w:rsidRPr="007C7E67" w:rsidRDefault="00210905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</w:p>
          <w:p w14:paraId="36DAA97A" w14:textId="77777777" w:rsidR="00210905" w:rsidRPr="007C7E67" w:rsidRDefault="00E91DA6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7C7E6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1Q 2020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DA489A1" w14:textId="116034C8" w:rsidR="00210905" w:rsidRPr="007C7E67" w:rsidRDefault="00921612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  <w:r w:rsidRPr="007C7E6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2C40DD4D" w14:textId="77777777" w:rsidR="00210905" w:rsidRPr="007C7E67" w:rsidRDefault="00E91DA6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7C7E6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1Q 2020</w:t>
            </w:r>
          </w:p>
        </w:tc>
      </w:tr>
      <w:tr w:rsidR="00210905" w:rsidRPr="007C7E67" w14:paraId="5996F8CD" w14:textId="77777777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13A01DF7" w14:textId="18F0B616" w:rsidR="00210905" w:rsidRPr="007C7E67" w:rsidRDefault="00921612">
            <w:pPr>
              <w:keepNext/>
              <w:spacing w:before="53" w:after="30" w:line="276" w:lineRule="auto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sz w:val="20"/>
                <w:lang w:val="cs-CZ"/>
              </w:rPr>
              <w:t>Příjmy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00AA533E" w14:textId="1D120FCD" w:rsidR="00210905" w:rsidRPr="007C7E67" w:rsidRDefault="00E91DA6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4291 </w:t>
            </w:r>
            <w:r w:rsidR="00921612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82214" w14:textId="77777777" w:rsidR="00210905" w:rsidRPr="007C7E67" w:rsidRDefault="00210905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675027B7" w14:textId="5A596F6D" w:rsidR="00210905" w:rsidRPr="007C7E67" w:rsidRDefault="00E91DA6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3,196 </w:t>
            </w:r>
            <w:r w:rsidR="00921612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083A5" w14:textId="77777777" w:rsidR="00210905" w:rsidRPr="007C7E67" w:rsidRDefault="00210905">
            <w:pPr>
              <w:keepNext/>
              <w:rPr>
                <w:lang w:val="cs-CZ"/>
              </w:rPr>
            </w:pPr>
          </w:p>
        </w:tc>
      </w:tr>
      <w:tr w:rsidR="00210905" w:rsidRPr="007C7E67" w14:paraId="29300EC1" w14:textId="77777777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0FD3C297" w14:textId="63C3BE56" w:rsidR="00210905" w:rsidRPr="007C7E67" w:rsidRDefault="00921612">
            <w:pPr>
              <w:spacing w:before="53" w:after="30" w:line="276" w:lineRule="auto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sz w:val="20"/>
                <w:lang w:val="cs-CZ"/>
              </w:rPr>
              <w:t>Provozní zisk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49DCE6D5" w14:textId="373ADDCC" w:rsidR="00210905" w:rsidRPr="007C7E67" w:rsidRDefault="00E91DA6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321 </w:t>
            </w:r>
            <w:r w:rsidR="00921612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3A905A43" w14:textId="3414873C" w:rsidR="00210905" w:rsidRPr="007C7E67" w:rsidRDefault="00E91DA6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395 </w:t>
            </w:r>
            <w:r w:rsidR="00921612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4EE390DC" w14:textId="1E2514CB" w:rsidR="00210905" w:rsidRPr="007C7E67" w:rsidRDefault="00E91DA6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157 </w:t>
            </w:r>
            <w:r w:rsidR="00921612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0B391D92" w14:textId="75DF54C3" w:rsidR="00210905" w:rsidRPr="007C7E67" w:rsidRDefault="00E91DA6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158 </w:t>
            </w:r>
            <w:r w:rsidR="00921612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</w:tr>
    </w:tbl>
    <w:p w14:paraId="33B2DC1A" w14:textId="3CEEB4CC" w:rsidR="00A77B3E" w:rsidRPr="007C7E67" w:rsidRDefault="00A77B3E">
      <w:pPr>
        <w:spacing w:line="276" w:lineRule="auto"/>
        <w:rPr>
          <w:rFonts w:ascii="Arial" w:eastAsia="Arial" w:hAnsi="Arial" w:cs="Arial"/>
          <w:lang w:val="cs-CZ"/>
        </w:rPr>
      </w:pPr>
    </w:p>
    <w:p w14:paraId="0E5B5265" w14:textId="02E5E18D" w:rsidR="006E4F92" w:rsidRPr="007C7E67" w:rsidRDefault="006E4F92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sz w:val="22"/>
          <w:lang w:val="cs-CZ"/>
        </w:rPr>
      </w:pPr>
      <w:r w:rsidRPr="007C7E67">
        <w:rPr>
          <w:rFonts w:ascii="Arial" w:eastAsia="Arial" w:hAnsi="Arial" w:cs="Arial"/>
          <w:sz w:val="22"/>
          <w:lang w:val="cs-CZ"/>
        </w:rPr>
        <w:t xml:space="preserve">Příjmy vzrostly o 34,3 %, pobízené silnou tržní poptávkou téměř </w:t>
      </w:r>
      <w:r w:rsidR="00AB63AB" w:rsidRPr="007C7E67">
        <w:rPr>
          <w:rFonts w:ascii="Arial" w:eastAsia="Arial" w:hAnsi="Arial" w:cs="Arial"/>
          <w:sz w:val="22"/>
          <w:lang w:val="cs-CZ"/>
        </w:rPr>
        <w:t xml:space="preserve">u </w:t>
      </w:r>
      <w:r w:rsidRPr="007C7E67">
        <w:rPr>
          <w:rFonts w:ascii="Arial" w:eastAsia="Arial" w:hAnsi="Arial" w:cs="Arial"/>
          <w:sz w:val="22"/>
          <w:lang w:val="cs-CZ"/>
        </w:rPr>
        <w:t xml:space="preserve">všech podniků. </w:t>
      </w:r>
    </w:p>
    <w:p w14:paraId="4BB146BB" w14:textId="1E0A471C" w:rsidR="006E4F92" w:rsidRPr="007C7E67" w:rsidRDefault="006E4F92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sz w:val="22"/>
          <w:lang w:val="cs-CZ"/>
        </w:rPr>
      </w:pPr>
      <w:r w:rsidRPr="007C7E67">
        <w:rPr>
          <w:rFonts w:ascii="Arial" w:eastAsia="Arial" w:hAnsi="Arial" w:cs="Arial"/>
          <w:sz w:val="22"/>
          <w:lang w:val="cs-CZ"/>
        </w:rPr>
        <w:t>Provozní marže byla 7,5 %, upravená provozní marže dosáhla 9,2 %.</w:t>
      </w:r>
    </w:p>
    <w:p w14:paraId="78B7FAAE" w14:textId="77777777" w:rsidR="006E4F92" w:rsidRPr="007C7E67" w:rsidRDefault="006E4F92" w:rsidP="006E4F92">
      <w:pPr>
        <w:spacing w:line="276" w:lineRule="auto"/>
        <w:rPr>
          <w:rFonts w:ascii="Arial" w:eastAsia="Arial" w:hAnsi="Arial" w:cs="Arial"/>
          <w:sz w:val="22"/>
          <w:lang w:val="cs-CZ"/>
        </w:rPr>
      </w:pPr>
    </w:p>
    <w:p w14:paraId="7D39684C" w14:textId="77777777" w:rsidR="001350FC" w:rsidRPr="007C7E67" w:rsidRDefault="001350FC" w:rsidP="001350FC">
      <w:pPr>
        <w:rPr>
          <w:rFonts w:ascii="Arial" w:hAnsi="Arial" w:cs="Arial"/>
          <w:bCs/>
          <w:sz w:val="18"/>
          <w:szCs w:val="18"/>
          <w:vertAlign w:val="subscript"/>
          <w:lang w:val="cs-CZ"/>
        </w:rPr>
      </w:pPr>
      <w:r w:rsidRPr="007C7E67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* „Upravené“ položky jsou zpracovány bez ohledu na účetní zásady GAAP. </w:t>
      </w:r>
      <w:bookmarkStart w:id="1" w:name="_Hlk536731412"/>
      <w:r w:rsidRPr="007C7E67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Viz příloha tiskové zprávy pro diskusi o finančních metrikách, jiných než podle zásad GAAP, </w:t>
      </w:r>
      <w:bookmarkEnd w:id="1"/>
      <w:r w:rsidRPr="007C7E67">
        <w:rPr>
          <w:rFonts w:ascii="Arial" w:hAnsi="Arial" w:cs="Arial"/>
          <w:bCs/>
          <w:sz w:val="18"/>
          <w:szCs w:val="18"/>
          <w:vertAlign w:val="subscript"/>
          <w:lang w:val="cs-CZ"/>
        </w:rPr>
        <w:t>zahrnující sladění, která se snaží uvedeným zásadám co nejvíce přiblížit.</w:t>
      </w:r>
    </w:p>
    <w:p w14:paraId="0663B59A" w14:textId="449ED024" w:rsidR="00A77B3E" w:rsidRPr="007C7E67" w:rsidRDefault="00A77B3E">
      <w:pPr>
        <w:spacing w:line="276" w:lineRule="auto"/>
        <w:rPr>
          <w:rFonts w:ascii="Arial" w:eastAsia="Arial" w:hAnsi="Arial" w:cs="Arial"/>
          <w:lang w:val="cs-CZ"/>
        </w:rPr>
      </w:pPr>
    </w:p>
    <w:p w14:paraId="1BA3DFEE" w14:textId="77777777" w:rsidR="00A56D48" w:rsidRPr="007C7E67" w:rsidRDefault="00A56D48">
      <w:pPr>
        <w:spacing w:line="276" w:lineRule="auto"/>
        <w:rPr>
          <w:rFonts w:ascii="Arial" w:eastAsia="Arial" w:hAnsi="Arial" w:cs="Arial"/>
          <w:lang w:val="cs-CZ"/>
        </w:rPr>
      </w:pPr>
    </w:p>
    <w:p w14:paraId="1B38FA26" w14:textId="36C4CE78" w:rsidR="006E4F92" w:rsidRPr="007C7E67" w:rsidRDefault="006E4F92">
      <w:pPr>
        <w:spacing w:line="288" w:lineRule="auto"/>
        <w:rPr>
          <w:rFonts w:ascii="Arial" w:eastAsia="Arial" w:hAnsi="Arial" w:cs="Arial"/>
          <w:b/>
          <w:u w:val="single"/>
          <w:lang w:val="cs-CZ"/>
        </w:rPr>
      </w:pPr>
      <w:r w:rsidRPr="007C7E67">
        <w:rPr>
          <w:rFonts w:ascii="Arial" w:eastAsia="Arial" w:hAnsi="Arial" w:cs="Arial"/>
          <w:b/>
          <w:u w:val="single"/>
          <w:lang w:val="cs-CZ"/>
        </w:rPr>
        <w:t>Výhled</w:t>
      </w:r>
    </w:p>
    <w:p w14:paraId="2182DD4C" w14:textId="3731A3F1" w:rsidR="006E4F92" w:rsidRPr="007C7E67" w:rsidRDefault="006E4F92">
      <w:pPr>
        <w:spacing w:line="288" w:lineRule="auto"/>
        <w:rPr>
          <w:rFonts w:ascii="Arial" w:eastAsia="Arial" w:hAnsi="Arial" w:cs="Arial"/>
          <w:bCs/>
          <w:sz w:val="22"/>
          <w:szCs w:val="22"/>
          <w:lang w:val="cs-CZ"/>
        </w:rPr>
      </w:pPr>
    </w:p>
    <w:p w14:paraId="066B1FEF" w14:textId="075EB6C4" w:rsidR="006E4F92" w:rsidRPr="007C7E67" w:rsidRDefault="006E4F92">
      <w:pPr>
        <w:spacing w:line="288" w:lineRule="auto"/>
        <w:rPr>
          <w:rFonts w:ascii="Arial" w:eastAsia="Arial" w:hAnsi="Arial" w:cs="Arial"/>
          <w:bCs/>
          <w:sz w:val="22"/>
          <w:szCs w:val="22"/>
          <w:lang w:val="cs-CZ"/>
        </w:rPr>
      </w:pPr>
      <w:r w:rsidRPr="007C7E67">
        <w:rPr>
          <w:rFonts w:ascii="Arial" w:eastAsia="Arial" w:hAnsi="Arial" w:cs="Arial"/>
          <w:bCs/>
          <w:sz w:val="22"/>
          <w:szCs w:val="22"/>
          <w:lang w:val="cs-CZ"/>
        </w:rPr>
        <w:t xml:space="preserve">Vzhledem k pokračující ekonomické nejistotě společnost </w:t>
      </w:r>
      <w:r w:rsidR="00AB63AB" w:rsidRPr="007C7E67">
        <w:rPr>
          <w:rFonts w:ascii="Arial" w:eastAsia="Arial" w:hAnsi="Arial" w:cs="Arial"/>
          <w:bCs/>
          <w:sz w:val="22"/>
          <w:szCs w:val="22"/>
          <w:lang w:val="cs-CZ"/>
        </w:rPr>
        <w:t xml:space="preserve">UPS </w:t>
      </w:r>
      <w:r w:rsidRPr="007C7E67">
        <w:rPr>
          <w:rFonts w:ascii="Arial" w:eastAsia="Arial" w:hAnsi="Arial" w:cs="Arial"/>
          <w:bCs/>
          <w:sz w:val="22"/>
          <w:szCs w:val="22"/>
          <w:lang w:val="cs-CZ"/>
        </w:rPr>
        <w:t>neuvádí výhled ohledně příjmů ani zředěného zisku na akcii v roce 2021</w:t>
      </w:r>
      <w:r w:rsidR="000C06D9" w:rsidRPr="007C7E67">
        <w:rPr>
          <w:rFonts w:ascii="Arial" w:eastAsia="Arial" w:hAnsi="Arial" w:cs="Arial"/>
          <w:bCs/>
          <w:sz w:val="22"/>
          <w:szCs w:val="22"/>
          <w:lang w:val="cs-CZ"/>
        </w:rPr>
        <w:t xml:space="preserve">, nicméně potvrzuje svůj celoroční plán </w:t>
      </w:r>
      <w:r w:rsidR="00AB63AB" w:rsidRPr="007C7E67">
        <w:rPr>
          <w:rFonts w:ascii="Arial" w:eastAsia="Arial" w:hAnsi="Arial" w:cs="Arial"/>
          <w:bCs/>
          <w:sz w:val="22"/>
          <w:szCs w:val="22"/>
          <w:lang w:val="cs-CZ"/>
        </w:rPr>
        <w:t xml:space="preserve">pro </w:t>
      </w:r>
      <w:r w:rsidR="000C06D9" w:rsidRPr="007C7E67">
        <w:rPr>
          <w:rFonts w:ascii="Arial" w:eastAsia="Arial" w:hAnsi="Arial" w:cs="Arial"/>
          <w:bCs/>
          <w:sz w:val="22"/>
          <w:szCs w:val="22"/>
          <w:lang w:val="cs-CZ"/>
        </w:rPr>
        <w:t>alokaci kapitálu</w:t>
      </w:r>
      <w:r w:rsidRPr="007C7E67">
        <w:rPr>
          <w:rFonts w:ascii="Arial" w:eastAsia="Arial" w:hAnsi="Arial" w:cs="Arial"/>
          <w:bCs/>
          <w:sz w:val="22"/>
          <w:szCs w:val="22"/>
          <w:lang w:val="cs-CZ"/>
        </w:rPr>
        <w:t xml:space="preserve">. </w:t>
      </w:r>
      <w:r w:rsidR="00AB63AB" w:rsidRPr="007C7E67">
        <w:rPr>
          <w:rFonts w:ascii="Arial" w:eastAsia="Arial" w:hAnsi="Arial" w:cs="Arial"/>
          <w:bCs/>
          <w:sz w:val="22"/>
          <w:szCs w:val="22"/>
          <w:lang w:val="cs-CZ"/>
        </w:rPr>
        <w:t>K </w:t>
      </w:r>
      <w:r w:rsidR="000C06D9" w:rsidRPr="007C7E67">
        <w:rPr>
          <w:rFonts w:ascii="Arial" w:eastAsia="Arial" w:hAnsi="Arial" w:cs="Arial"/>
          <w:bCs/>
          <w:sz w:val="22"/>
          <w:szCs w:val="22"/>
          <w:lang w:val="cs-CZ"/>
        </w:rPr>
        <w:t>firemní</w:t>
      </w:r>
      <w:r w:rsidR="00AB63AB" w:rsidRPr="007C7E67">
        <w:rPr>
          <w:rFonts w:ascii="Arial" w:eastAsia="Arial" w:hAnsi="Arial" w:cs="Arial"/>
          <w:bCs/>
          <w:sz w:val="22"/>
          <w:szCs w:val="22"/>
          <w:lang w:val="cs-CZ"/>
        </w:rPr>
        <w:t>mu</w:t>
      </w:r>
      <w:r w:rsidR="000C06D9" w:rsidRPr="007C7E67">
        <w:rPr>
          <w:rFonts w:ascii="Arial" w:eastAsia="Arial" w:hAnsi="Arial" w:cs="Arial"/>
          <w:bCs/>
          <w:sz w:val="22"/>
          <w:szCs w:val="22"/>
          <w:lang w:val="cs-CZ"/>
        </w:rPr>
        <w:t xml:space="preserve"> D</w:t>
      </w:r>
      <w:r w:rsidR="00AB63AB" w:rsidRPr="007C7E67">
        <w:rPr>
          <w:rFonts w:ascii="Arial" w:eastAsia="Arial" w:hAnsi="Arial" w:cs="Arial"/>
          <w:bCs/>
          <w:sz w:val="22"/>
          <w:szCs w:val="22"/>
          <w:lang w:val="cs-CZ"/>
        </w:rPr>
        <w:t>ni</w:t>
      </w:r>
      <w:r w:rsidR="000C06D9" w:rsidRPr="007C7E67">
        <w:rPr>
          <w:rFonts w:ascii="Arial" w:eastAsia="Arial" w:hAnsi="Arial" w:cs="Arial"/>
          <w:bCs/>
          <w:sz w:val="22"/>
          <w:szCs w:val="22"/>
          <w:lang w:val="cs-CZ"/>
        </w:rPr>
        <w:t xml:space="preserve"> investorů a analytiků</w:t>
      </w:r>
      <w:r w:rsidR="00AB63AB" w:rsidRPr="007C7E67">
        <w:rPr>
          <w:rFonts w:ascii="Arial" w:eastAsia="Arial" w:hAnsi="Arial" w:cs="Arial"/>
          <w:bCs/>
          <w:sz w:val="22"/>
          <w:szCs w:val="22"/>
          <w:lang w:val="cs-CZ"/>
        </w:rPr>
        <w:t xml:space="preserve">, který je plánovaný </w:t>
      </w:r>
      <w:r w:rsidR="000C06D9" w:rsidRPr="007C7E67">
        <w:rPr>
          <w:rFonts w:ascii="Arial" w:eastAsia="Arial" w:hAnsi="Arial" w:cs="Arial"/>
          <w:bCs/>
          <w:sz w:val="22"/>
          <w:szCs w:val="22"/>
          <w:lang w:val="cs-CZ"/>
        </w:rPr>
        <w:t>9. června</w:t>
      </w:r>
      <w:r w:rsidR="00AB63AB" w:rsidRPr="007C7E67">
        <w:rPr>
          <w:rFonts w:ascii="Arial" w:eastAsia="Arial" w:hAnsi="Arial" w:cs="Arial"/>
          <w:bCs/>
          <w:sz w:val="22"/>
          <w:szCs w:val="22"/>
          <w:lang w:val="cs-CZ"/>
        </w:rPr>
        <w:t xml:space="preserve"> 2021</w:t>
      </w:r>
      <w:r w:rsidR="000C06D9" w:rsidRPr="007C7E67">
        <w:rPr>
          <w:rFonts w:ascii="Arial" w:eastAsia="Arial" w:hAnsi="Arial" w:cs="Arial"/>
          <w:bCs/>
          <w:sz w:val="22"/>
          <w:szCs w:val="22"/>
          <w:lang w:val="cs-CZ"/>
        </w:rPr>
        <w:t xml:space="preserve">, kdy </w:t>
      </w:r>
      <w:r w:rsidR="00AB63AB" w:rsidRPr="007C7E67">
        <w:rPr>
          <w:rFonts w:ascii="Arial" w:eastAsia="Arial" w:hAnsi="Arial" w:cs="Arial"/>
          <w:bCs/>
          <w:sz w:val="22"/>
          <w:szCs w:val="22"/>
          <w:lang w:val="cs-CZ"/>
        </w:rPr>
        <w:t xml:space="preserve">společnost </w:t>
      </w:r>
      <w:r w:rsidR="000C06D9" w:rsidRPr="007C7E67">
        <w:rPr>
          <w:rFonts w:ascii="Arial" w:eastAsia="Arial" w:hAnsi="Arial" w:cs="Arial"/>
          <w:bCs/>
          <w:sz w:val="22"/>
          <w:szCs w:val="22"/>
          <w:lang w:val="cs-CZ"/>
        </w:rPr>
        <w:t xml:space="preserve">oznámit </w:t>
      </w:r>
      <w:r w:rsidR="00AB63AB" w:rsidRPr="007C7E67">
        <w:rPr>
          <w:rFonts w:ascii="Arial" w:eastAsia="Arial" w:hAnsi="Arial" w:cs="Arial"/>
          <w:bCs/>
          <w:sz w:val="22"/>
          <w:szCs w:val="22"/>
          <w:lang w:val="cs-CZ"/>
        </w:rPr>
        <w:t xml:space="preserve">další </w:t>
      </w:r>
      <w:r w:rsidR="000C06D9" w:rsidRPr="007C7E67">
        <w:rPr>
          <w:rFonts w:ascii="Arial" w:eastAsia="Arial" w:hAnsi="Arial" w:cs="Arial"/>
          <w:bCs/>
          <w:sz w:val="22"/>
          <w:szCs w:val="22"/>
          <w:lang w:val="cs-CZ"/>
        </w:rPr>
        <w:t>finanční podrobnosti</w:t>
      </w:r>
      <w:r w:rsidRPr="007C7E67">
        <w:rPr>
          <w:rFonts w:ascii="Arial" w:eastAsia="Arial" w:hAnsi="Arial" w:cs="Arial"/>
          <w:bCs/>
          <w:sz w:val="22"/>
          <w:szCs w:val="22"/>
          <w:lang w:val="cs-CZ"/>
        </w:rPr>
        <w:t>.</w:t>
      </w:r>
    </w:p>
    <w:p w14:paraId="2054F413" w14:textId="69119192" w:rsidR="00A77B3E" w:rsidRPr="007C7E67" w:rsidRDefault="00A77B3E">
      <w:pPr>
        <w:spacing w:line="276" w:lineRule="auto"/>
        <w:rPr>
          <w:rFonts w:ascii="Arial" w:eastAsia="Arial" w:hAnsi="Arial" w:cs="Arial"/>
          <w:sz w:val="22"/>
          <w:lang w:val="cs-CZ"/>
        </w:rPr>
      </w:pPr>
    </w:p>
    <w:p w14:paraId="620A6A59" w14:textId="77777777" w:rsidR="00A56D48" w:rsidRPr="007C7E67" w:rsidRDefault="00A56D48">
      <w:pPr>
        <w:spacing w:line="276" w:lineRule="auto"/>
        <w:rPr>
          <w:rFonts w:ascii="Arial" w:eastAsia="Arial" w:hAnsi="Arial" w:cs="Arial"/>
          <w:sz w:val="22"/>
          <w:lang w:val="cs-CZ"/>
        </w:rPr>
      </w:pPr>
    </w:p>
    <w:p w14:paraId="1E37B72C" w14:textId="706FAF9F" w:rsidR="000C06D9" w:rsidRPr="007C7E67" w:rsidRDefault="000C06D9" w:rsidP="00A56D48">
      <w:pPr>
        <w:keepNext/>
        <w:spacing w:line="276" w:lineRule="auto"/>
        <w:rPr>
          <w:rFonts w:ascii="Arial" w:eastAsia="Arial" w:hAnsi="Arial" w:cs="Arial"/>
          <w:b/>
          <w:u w:val="single"/>
          <w:lang w:val="cs-CZ"/>
        </w:rPr>
      </w:pPr>
      <w:r w:rsidRPr="007C7E67">
        <w:rPr>
          <w:rFonts w:ascii="Arial" w:eastAsia="Arial" w:hAnsi="Arial" w:cs="Arial"/>
          <w:b/>
          <w:u w:val="single"/>
          <w:lang w:val="cs-CZ"/>
        </w:rPr>
        <w:lastRenderedPageBreak/>
        <w:t>Potvrzení ročního plánu na alokaci kapitálu v roce 2021</w:t>
      </w:r>
    </w:p>
    <w:p w14:paraId="7DC909E0" w14:textId="77777777" w:rsidR="00A56D48" w:rsidRPr="007C7E67" w:rsidRDefault="00A56D48" w:rsidP="00A56D48">
      <w:pPr>
        <w:pStyle w:val="ListParagraph"/>
        <w:keepNext/>
        <w:spacing w:line="276" w:lineRule="auto"/>
        <w:rPr>
          <w:rFonts w:ascii="Arial" w:eastAsia="Arial" w:hAnsi="Arial" w:cs="Arial"/>
          <w:bCs/>
          <w:sz w:val="22"/>
          <w:lang w:val="cs-CZ"/>
        </w:rPr>
      </w:pPr>
    </w:p>
    <w:p w14:paraId="5BB70A22" w14:textId="3D7AE01A" w:rsidR="000C06D9" w:rsidRPr="007C7E67" w:rsidRDefault="00355EB8" w:rsidP="00A56D48">
      <w:pPr>
        <w:pStyle w:val="ListParagraph"/>
        <w:keepNext/>
        <w:numPr>
          <w:ilvl w:val="0"/>
          <w:numId w:val="11"/>
        </w:numPr>
        <w:spacing w:line="276" w:lineRule="auto"/>
        <w:rPr>
          <w:rFonts w:ascii="Arial" w:eastAsia="Arial" w:hAnsi="Arial" w:cs="Arial"/>
          <w:bCs/>
          <w:sz w:val="22"/>
          <w:lang w:val="cs-CZ"/>
        </w:rPr>
      </w:pPr>
      <w:r w:rsidRPr="007C7E67">
        <w:rPr>
          <w:rFonts w:ascii="Arial" w:eastAsia="Arial" w:hAnsi="Arial" w:cs="Arial"/>
          <w:bCs/>
          <w:sz w:val="22"/>
          <w:lang w:val="cs-CZ"/>
        </w:rPr>
        <w:t>Prodej divize UPS Freight bude</w:t>
      </w:r>
      <w:r w:rsidR="00A56D48" w:rsidRPr="007C7E67">
        <w:rPr>
          <w:rFonts w:ascii="Arial" w:eastAsia="Arial" w:hAnsi="Arial" w:cs="Arial"/>
          <w:bCs/>
          <w:sz w:val="22"/>
          <w:lang w:val="cs-CZ"/>
        </w:rPr>
        <w:t xml:space="preserve"> podle očekávání </w:t>
      </w:r>
      <w:r w:rsidRPr="007C7E67">
        <w:rPr>
          <w:rFonts w:ascii="Arial" w:eastAsia="Arial" w:hAnsi="Arial" w:cs="Arial"/>
          <w:bCs/>
          <w:sz w:val="22"/>
          <w:lang w:val="cs-CZ"/>
        </w:rPr>
        <w:t>ukončen ve druhém kvartálu.</w:t>
      </w:r>
    </w:p>
    <w:p w14:paraId="6FB103C0" w14:textId="3BC55107" w:rsidR="00355EB8" w:rsidRPr="007C7E67" w:rsidRDefault="00355EB8" w:rsidP="00355EB8">
      <w:pPr>
        <w:pStyle w:val="ListParagraph"/>
        <w:numPr>
          <w:ilvl w:val="0"/>
          <w:numId w:val="11"/>
        </w:numPr>
        <w:spacing w:line="276" w:lineRule="auto"/>
        <w:rPr>
          <w:rFonts w:ascii="Arial" w:eastAsia="Arial" w:hAnsi="Arial" w:cs="Arial"/>
          <w:bCs/>
          <w:sz w:val="22"/>
          <w:lang w:val="cs-CZ"/>
        </w:rPr>
      </w:pPr>
      <w:r w:rsidRPr="007C7E67">
        <w:rPr>
          <w:rFonts w:ascii="Arial" w:eastAsia="Arial" w:hAnsi="Arial" w:cs="Arial"/>
          <w:bCs/>
          <w:sz w:val="22"/>
          <w:lang w:val="cs-CZ"/>
        </w:rPr>
        <w:t>Kapitálové výdaje jsou plánované ve výši zhruba 4,0 mld. USD.</w:t>
      </w:r>
    </w:p>
    <w:p w14:paraId="1BC2467F" w14:textId="0F4D710A" w:rsidR="00355EB8" w:rsidRPr="007C7E67" w:rsidRDefault="008071F8" w:rsidP="00355EB8">
      <w:pPr>
        <w:pStyle w:val="ListParagraph"/>
        <w:numPr>
          <w:ilvl w:val="0"/>
          <w:numId w:val="11"/>
        </w:numPr>
        <w:spacing w:line="276" w:lineRule="auto"/>
        <w:rPr>
          <w:rFonts w:ascii="Arial" w:eastAsia="Arial" w:hAnsi="Arial" w:cs="Arial"/>
          <w:bCs/>
          <w:sz w:val="22"/>
          <w:lang w:val="cs-CZ"/>
        </w:rPr>
      </w:pPr>
      <w:r w:rsidRPr="007C7E67">
        <w:rPr>
          <w:rFonts w:ascii="Arial" w:eastAsia="Arial" w:hAnsi="Arial" w:cs="Arial"/>
          <w:bCs/>
          <w:sz w:val="22"/>
          <w:lang w:val="cs-CZ"/>
        </w:rPr>
        <w:t xml:space="preserve">Splatné </w:t>
      </w:r>
      <w:r w:rsidR="00355EB8" w:rsidRPr="007C7E67">
        <w:rPr>
          <w:rFonts w:ascii="Arial" w:eastAsia="Arial" w:hAnsi="Arial" w:cs="Arial"/>
          <w:bCs/>
          <w:sz w:val="22"/>
          <w:lang w:val="cs-CZ"/>
        </w:rPr>
        <w:t>dlouhodob</w:t>
      </w:r>
      <w:r w:rsidRPr="007C7E67">
        <w:rPr>
          <w:rFonts w:ascii="Arial" w:eastAsia="Arial" w:hAnsi="Arial" w:cs="Arial"/>
          <w:bCs/>
          <w:sz w:val="22"/>
          <w:lang w:val="cs-CZ"/>
        </w:rPr>
        <w:t>é</w:t>
      </w:r>
      <w:r w:rsidR="00355EB8" w:rsidRPr="007C7E67">
        <w:rPr>
          <w:rFonts w:ascii="Arial" w:eastAsia="Arial" w:hAnsi="Arial" w:cs="Arial"/>
          <w:bCs/>
          <w:sz w:val="22"/>
          <w:lang w:val="cs-CZ"/>
        </w:rPr>
        <w:t xml:space="preserve"> půjč</w:t>
      </w:r>
      <w:r w:rsidR="00A56D48" w:rsidRPr="007C7E67">
        <w:rPr>
          <w:rFonts w:ascii="Arial" w:eastAsia="Arial" w:hAnsi="Arial" w:cs="Arial"/>
          <w:bCs/>
          <w:sz w:val="22"/>
          <w:lang w:val="cs-CZ"/>
        </w:rPr>
        <w:t>ky,</w:t>
      </w:r>
      <w:r w:rsidR="00355EB8" w:rsidRPr="007C7E67">
        <w:rPr>
          <w:rFonts w:ascii="Arial" w:eastAsia="Arial" w:hAnsi="Arial" w:cs="Arial"/>
          <w:bCs/>
          <w:sz w:val="22"/>
          <w:lang w:val="cs-CZ"/>
        </w:rPr>
        <w:t xml:space="preserve"> </w:t>
      </w:r>
      <w:r w:rsidRPr="007C7E67">
        <w:rPr>
          <w:rFonts w:ascii="Arial" w:eastAsia="Arial" w:hAnsi="Arial" w:cs="Arial"/>
          <w:bCs/>
          <w:sz w:val="22"/>
          <w:lang w:val="cs-CZ"/>
        </w:rPr>
        <w:t>včetně 1,5 mld. USD splacených půjček v prvním čtvrtletí</w:t>
      </w:r>
      <w:r w:rsidR="00A56D48" w:rsidRPr="007C7E67">
        <w:rPr>
          <w:rFonts w:ascii="Arial" w:eastAsia="Arial" w:hAnsi="Arial" w:cs="Arial"/>
          <w:bCs/>
          <w:sz w:val="22"/>
          <w:lang w:val="cs-CZ"/>
        </w:rPr>
        <w:t>,</w:t>
      </w:r>
      <w:r w:rsidRPr="007C7E67">
        <w:rPr>
          <w:rFonts w:ascii="Arial" w:eastAsia="Arial" w:hAnsi="Arial" w:cs="Arial"/>
          <w:bCs/>
          <w:sz w:val="22"/>
          <w:lang w:val="cs-CZ"/>
        </w:rPr>
        <w:t xml:space="preserve"> dosáhnou celkové výše 2,5 mld. USD.</w:t>
      </w:r>
    </w:p>
    <w:p w14:paraId="5C0C9822" w14:textId="7A85080B" w:rsidR="008071F8" w:rsidRPr="007C7E67" w:rsidRDefault="008071F8" w:rsidP="00355EB8">
      <w:pPr>
        <w:pStyle w:val="ListParagraph"/>
        <w:numPr>
          <w:ilvl w:val="0"/>
          <w:numId w:val="11"/>
        </w:numPr>
        <w:spacing w:line="276" w:lineRule="auto"/>
        <w:rPr>
          <w:rFonts w:ascii="Arial" w:eastAsia="Arial" w:hAnsi="Arial" w:cs="Arial"/>
          <w:bCs/>
          <w:sz w:val="22"/>
          <w:lang w:val="cs-CZ"/>
        </w:rPr>
      </w:pPr>
      <w:r w:rsidRPr="007C7E67">
        <w:rPr>
          <w:rFonts w:ascii="Arial" w:eastAsia="Arial" w:hAnsi="Arial" w:cs="Arial"/>
          <w:bCs/>
          <w:sz w:val="22"/>
          <w:lang w:val="cs-CZ"/>
        </w:rPr>
        <w:t xml:space="preserve">Očekávaná skutečná daňová sazba bude po zbytek roku přibližně 23,5 %. </w:t>
      </w:r>
    </w:p>
    <w:p w14:paraId="5C928F19" w14:textId="2DC696E4" w:rsidR="008071F8" w:rsidRPr="007C7E67" w:rsidRDefault="008071F8" w:rsidP="00355EB8">
      <w:pPr>
        <w:pStyle w:val="ListParagraph"/>
        <w:numPr>
          <w:ilvl w:val="0"/>
          <w:numId w:val="11"/>
        </w:numPr>
        <w:spacing w:line="276" w:lineRule="auto"/>
        <w:rPr>
          <w:rFonts w:ascii="Arial" w:eastAsia="Arial" w:hAnsi="Arial" w:cs="Arial"/>
          <w:bCs/>
          <w:sz w:val="22"/>
          <w:lang w:val="cs-CZ"/>
        </w:rPr>
      </w:pPr>
      <w:r w:rsidRPr="007C7E67">
        <w:rPr>
          <w:rFonts w:ascii="Arial" w:eastAsia="Arial" w:hAnsi="Arial" w:cs="Arial"/>
          <w:bCs/>
          <w:sz w:val="22"/>
          <w:lang w:val="cs-CZ"/>
        </w:rPr>
        <w:t>Společnost UPS neplánuje odkup akcií.</w:t>
      </w:r>
    </w:p>
    <w:p w14:paraId="37CB9462" w14:textId="77777777" w:rsidR="000C06D9" w:rsidRPr="007C7E67" w:rsidRDefault="000C06D9">
      <w:pPr>
        <w:spacing w:line="276" w:lineRule="auto"/>
        <w:rPr>
          <w:rFonts w:ascii="Arial" w:eastAsia="Arial" w:hAnsi="Arial" w:cs="Arial"/>
          <w:b/>
          <w:sz w:val="22"/>
          <w:u w:val="single"/>
          <w:lang w:val="cs-CZ"/>
        </w:rPr>
      </w:pPr>
    </w:p>
    <w:p w14:paraId="536C4019" w14:textId="2D957F00" w:rsidR="00A77B3E" w:rsidRPr="007C7E67" w:rsidRDefault="00A77B3E">
      <w:pPr>
        <w:spacing w:line="276" w:lineRule="auto"/>
        <w:rPr>
          <w:rFonts w:ascii="Arial" w:eastAsia="Arial" w:hAnsi="Arial" w:cs="Arial"/>
          <w:sz w:val="22"/>
          <w:lang w:val="cs-CZ"/>
        </w:rPr>
      </w:pPr>
    </w:p>
    <w:p w14:paraId="1F7041C1" w14:textId="77777777" w:rsidR="001350FC" w:rsidRPr="007C7E67" w:rsidRDefault="001350FC" w:rsidP="001350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cs-CZ"/>
        </w:rPr>
      </w:pPr>
      <w:r w:rsidRPr="007C7E67">
        <w:rPr>
          <w:rFonts w:ascii="Arial" w:hAnsi="Arial" w:cs="Arial"/>
          <w:b/>
          <w:bCs/>
          <w:color w:val="000000"/>
          <w:sz w:val="22"/>
          <w:szCs w:val="22"/>
          <w:u w:val="single"/>
          <w:lang w:val="cs-CZ"/>
        </w:rPr>
        <w:t>Společnost UPS</w:t>
      </w:r>
    </w:p>
    <w:p w14:paraId="30975B63" w14:textId="77777777" w:rsidR="001350FC" w:rsidRPr="007C7E67" w:rsidRDefault="001350FC" w:rsidP="001350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3999A960" w14:textId="77777777" w:rsidR="001350FC" w:rsidRPr="007C7E67" w:rsidRDefault="001350FC" w:rsidP="001350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  <w:lang w:val="cs-CZ"/>
        </w:rPr>
      </w:pPr>
      <w:r w:rsidRPr="007C7E67">
        <w:rPr>
          <w:rFonts w:ascii="Arial" w:eastAsia="Arial" w:hAnsi="Arial" w:cs="Arial"/>
          <w:sz w:val="22"/>
          <w:lang w:val="cs-CZ"/>
        </w:rPr>
        <w:t>Společnost UPS (NYSE:UPS) je jedna z největších přepravních firem na světě, s příjmy ve výši 84,6 mld. USD (2020). Nabízí širokou škálu integrovaných logistických řešení zákazníkům ve více než 220 zemích a teritoriích světa. Přes 540 tisíc zaměstnanců UPS důsledně prosazuje jednoduchou firemní strategii: Se zákazníkem na prvním místě, vedená lidmi, poháněná inovacemi. UPS se zavázala snížit svůj dopad na životní prostředí a podporovat komunity na celém světě. Společnost UPS také zaujímá pevný a nekompromisní postoj k podpoře</w:t>
      </w:r>
      <w:r w:rsidRPr="007C7E67">
        <w:rPr>
          <w:rFonts w:ascii="Arial" w:hAnsi="Arial" w:cs="Arial"/>
          <w:color w:val="000000"/>
          <w:sz w:val="22"/>
          <w:szCs w:val="22"/>
          <w:lang w:val="cs-CZ"/>
        </w:rPr>
        <w:t xml:space="preserve"> rozmanitosti, rovnosti a začleňování. Informace o společnosti naleznete na </w:t>
      </w:r>
      <w:hyperlink r:id="rId14" w:history="1">
        <w:r w:rsidRPr="007C7E67">
          <w:rPr>
            <w:rStyle w:val="Hyperlink"/>
            <w:rFonts w:ascii="Arial" w:hAnsi="Arial" w:cs="Arial"/>
            <w:color w:val="4F81BD" w:themeColor="accent1"/>
            <w:sz w:val="22"/>
            <w:szCs w:val="22"/>
            <w:lang w:val="cs-CZ"/>
          </w:rPr>
          <w:t>ups.com</w:t>
        </w:r>
      </w:hyperlink>
      <w:r w:rsidRPr="007C7E67">
        <w:rPr>
          <w:rFonts w:ascii="Arial" w:hAnsi="Arial" w:cs="Arial"/>
          <w:color w:val="000000"/>
          <w:sz w:val="22"/>
          <w:szCs w:val="22"/>
          <w:lang w:val="cs-CZ"/>
        </w:rPr>
        <w:t xml:space="preserve">, podrobnější informace jsou k dispozici na </w:t>
      </w:r>
      <w:hyperlink r:id="rId15" w:history="1">
        <w:r w:rsidRPr="007C7E67">
          <w:rPr>
            <w:rStyle w:val="Hyperlink"/>
            <w:rFonts w:ascii="Arial" w:hAnsi="Arial" w:cs="Arial"/>
            <w:color w:val="4F81BD" w:themeColor="accent1"/>
            <w:sz w:val="22"/>
            <w:szCs w:val="22"/>
            <w:lang w:val="cs-CZ"/>
          </w:rPr>
          <w:t>pressroom.ups.com</w:t>
        </w:r>
      </w:hyperlink>
      <w:r w:rsidRPr="007C7E67">
        <w:rPr>
          <w:rFonts w:ascii="Arial" w:hAnsi="Arial" w:cs="Arial"/>
          <w:color w:val="000000"/>
          <w:sz w:val="22"/>
          <w:szCs w:val="22"/>
          <w:lang w:val="cs-CZ"/>
        </w:rPr>
        <w:t xml:space="preserve"> a </w:t>
      </w:r>
      <w:hyperlink r:id="rId16" w:history="1">
        <w:r w:rsidRPr="007C7E67">
          <w:rPr>
            <w:rStyle w:val="Hyperlink"/>
            <w:rFonts w:ascii="Arial" w:hAnsi="Arial" w:cs="Arial"/>
            <w:color w:val="4F81BD" w:themeColor="accent1"/>
            <w:sz w:val="22"/>
            <w:szCs w:val="22"/>
            <w:lang w:val="cs-CZ"/>
          </w:rPr>
          <w:t>investors.ups.com</w:t>
        </w:r>
      </w:hyperlink>
      <w:r w:rsidRPr="007C7E67">
        <w:rPr>
          <w:rFonts w:ascii="Arial" w:hAnsi="Arial" w:cs="Arial"/>
          <w:color w:val="000000"/>
          <w:sz w:val="22"/>
          <w:szCs w:val="22"/>
          <w:lang w:val="cs-CZ"/>
        </w:rPr>
        <w:t xml:space="preserve">. </w:t>
      </w:r>
    </w:p>
    <w:p w14:paraId="5B35F62B" w14:textId="4031C14A" w:rsidR="001350FC" w:rsidRPr="007C7E67" w:rsidRDefault="001350FC">
      <w:pPr>
        <w:spacing w:line="276" w:lineRule="auto"/>
        <w:rPr>
          <w:rFonts w:ascii="Arial" w:eastAsia="Arial" w:hAnsi="Arial" w:cs="Arial"/>
          <w:sz w:val="22"/>
          <w:lang w:val="cs-CZ"/>
        </w:rPr>
      </w:pPr>
    </w:p>
    <w:p w14:paraId="4FD0FC6A" w14:textId="77777777" w:rsidR="001350FC" w:rsidRPr="007C7E67" w:rsidRDefault="001350FC">
      <w:pPr>
        <w:spacing w:line="276" w:lineRule="auto"/>
        <w:rPr>
          <w:rFonts w:ascii="Arial" w:eastAsia="Arial" w:hAnsi="Arial" w:cs="Arial"/>
          <w:sz w:val="22"/>
          <w:lang w:val="cs-CZ"/>
        </w:rPr>
      </w:pPr>
    </w:p>
    <w:p w14:paraId="0ACC0263" w14:textId="77777777" w:rsidR="001350FC" w:rsidRPr="007C7E67" w:rsidRDefault="001350FC" w:rsidP="001350FC">
      <w:pPr>
        <w:spacing w:line="204" w:lineRule="auto"/>
        <w:jc w:val="center"/>
        <w:rPr>
          <w:rFonts w:ascii="Arial" w:eastAsia="Arial" w:hAnsi="Arial" w:cs="Arial"/>
          <w:sz w:val="22"/>
          <w:lang w:val="cs-CZ"/>
        </w:rPr>
      </w:pPr>
      <w:r w:rsidRPr="007C7E67">
        <w:rPr>
          <w:rFonts w:ascii="Arial" w:eastAsia="Arial" w:hAnsi="Arial" w:cs="Arial"/>
          <w:sz w:val="22"/>
          <w:lang w:val="cs-CZ"/>
        </w:rPr>
        <w:t># # #</w:t>
      </w:r>
    </w:p>
    <w:p w14:paraId="3E8B8DCF" w14:textId="77777777" w:rsidR="001350FC" w:rsidRPr="007C7E67" w:rsidRDefault="001350FC">
      <w:pPr>
        <w:spacing w:line="288" w:lineRule="auto"/>
        <w:rPr>
          <w:sz w:val="20"/>
          <w:lang w:val="cs-CZ"/>
        </w:rPr>
      </w:pPr>
    </w:p>
    <w:sectPr w:rsidR="001350FC" w:rsidRPr="007C7E67">
      <w:headerReference w:type="default" r:id="rId17"/>
      <w:footerReference w:type="default" r:id="rId18"/>
      <w:type w:val="continuous"/>
      <w:pgSz w:w="12240" w:h="15840"/>
      <w:pgMar w:top="1440" w:right="1350" w:bottom="1440" w:left="1350" w:header="270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3572" w14:textId="77777777" w:rsidR="008A2416" w:rsidRDefault="008A2416">
      <w:r>
        <w:separator/>
      </w:r>
    </w:p>
  </w:endnote>
  <w:endnote w:type="continuationSeparator" w:id="0">
    <w:p w14:paraId="01C6B9BF" w14:textId="77777777" w:rsidR="008A2416" w:rsidRDefault="008A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B3C4" w14:textId="77777777" w:rsidR="008A2416" w:rsidRDefault="008A2416">
    <w:pPr>
      <w:spacing w:line="288" w:lineRule="auto"/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5EB9" w14:textId="77777777" w:rsidR="008A2416" w:rsidRDefault="008A2416">
      <w:r>
        <w:separator/>
      </w:r>
    </w:p>
  </w:footnote>
  <w:footnote w:type="continuationSeparator" w:id="0">
    <w:p w14:paraId="624D26D5" w14:textId="77777777" w:rsidR="008A2416" w:rsidRDefault="008A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5939" w14:textId="77777777" w:rsidR="008A2416" w:rsidRDefault="008A2416">
    <w:pPr>
      <w:spacing w:line="288" w:lineRule="auto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DiscSYMBOL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BC65A1"/>
    <w:multiLevelType w:val="hybridMultilevel"/>
    <w:tmpl w:val="19461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A654E"/>
    <w:multiLevelType w:val="multilevel"/>
    <w:tmpl w:val="6B5A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C7460EF"/>
    <w:multiLevelType w:val="multilevel"/>
    <w:tmpl w:val="E43E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524F9"/>
    <w:rsid w:val="00082613"/>
    <w:rsid w:val="000C06D9"/>
    <w:rsid w:val="000D3B5E"/>
    <w:rsid w:val="001350FC"/>
    <w:rsid w:val="001E4F0B"/>
    <w:rsid w:val="00201C67"/>
    <w:rsid w:val="00210905"/>
    <w:rsid w:val="00240FDD"/>
    <w:rsid w:val="0024635E"/>
    <w:rsid w:val="00314E10"/>
    <w:rsid w:val="00355EB8"/>
    <w:rsid w:val="0039383F"/>
    <w:rsid w:val="003D3DC4"/>
    <w:rsid w:val="004424C5"/>
    <w:rsid w:val="00446F45"/>
    <w:rsid w:val="00494DE6"/>
    <w:rsid w:val="004F6112"/>
    <w:rsid w:val="005151D7"/>
    <w:rsid w:val="00636338"/>
    <w:rsid w:val="006E4F92"/>
    <w:rsid w:val="007C7E67"/>
    <w:rsid w:val="008071F8"/>
    <w:rsid w:val="0085095B"/>
    <w:rsid w:val="008A2416"/>
    <w:rsid w:val="00921612"/>
    <w:rsid w:val="009C218C"/>
    <w:rsid w:val="00A506AF"/>
    <w:rsid w:val="00A56D48"/>
    <w:rsid w:val="00A7158D"/>
    <w:rsid w:val="00A77B3E"/>
    <w:rsid w:val="00AB2DC5"/>
    <w:rsid w:val="00AB63AB"/>
    <w:rsid w:val="00AD556D"/>
    <w:rsid w:val="00CA2A55"/>
    <w:rsid w:val="00D87177"/>
    <w:rsid w:val="00DE27FD"/>
    <w:rsid w:val="00E84687"/>
    <w:rsid w:val="00E91DA6"/>
    <w:rsid w:val="00F576E7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991AC"/>
  <w15:docId w15:val="{AD81458C-B8F8-450B-9204-B6ED48BB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iscSYMBOL">
    <w:name w:val="DiscSYMBOL•◦▪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91DA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D5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55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4687"/>
    <w:rPr>
      <w:color w:val="0000FF"/>
      <w:u w:val="single"/>
    </w:rPr>
  </w:style>
  <w:style w:type="paragraph" w:styleId="BodyText">
    <w:name w:val="Body Text"/>
    <w:basedOn w:val="Normal"/>
    <w:link w:val="BodyTextChar"/>
    <w:rsid w:val="00201C67"/>
    <w:pPr>
      <w:suppressAutoHyphens/>
      <w:spacing w:after="140" w:line="276" w:lineRule="auto"/>
    </w:pPr>
    <w:rPr>
      <w:rFonts w:ascii="Liberation Serif" w:eastAsia="Noto Serif CJK SC" w:hAnsi="Liberation Serif" w:cs="Noto Sans Devanagari"/>
      <w:kern w:val="2"/>
      <w:lang w:val="cs-CZ" w:eastAsia="zh-CN" w:bidi="hi-IN"/>
    </w:rPr>
  </w:style>
  <w:style w:type="character" w:customStyle="1" w:styleId="BodyTextChar">
    <w:name w:val="Body Text Char"/>
    <w:basedOn w:val="DefaultParagraphFont"/>
    <w:link w:val="BodyText"/>
    <w:rsid w:val="00201C67"/>
    <w:rPr>
      <w:rFonts w:ascii="Liberation Serif" w:eastAsia="Noto Serif CJK SC" w:hAnsi="Liberation Serif" w:cs="Noto Sans Devanagari"/>
      <w:kern w:val="2"/>
      <w:sz w:val="24"/>
      <w:szCs w:val="24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rla.krejci@dbm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vestor@ups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vestors.up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40482860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ssroom.ups.com/" TargetMode="External"/><Relationship Id="rId10" Type="http://schemas.openxmlformats.org/officeDocument/2006/relationships/hyperlink" Target="mailto:pr@up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14048287123" TargetMode="External"/><Relationship Id="rId14" Type="http://schemas.openxmlformats.org/officeDocument/2006/relationships/hyperlink" Target="http://www.u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9EB2F-A750-4FBC-9B2C-C9FD0E60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1Q-2021 Earnings Release</vt:lpstr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1Q-2021 Earnings Release</dc:title>
  <dc:creator>Mccutcheon Noah (KZD2QDJ)</dc:creator>
  <cp:lastModifiedBy>Michal Donath</cp:lastModifiedBy>
  <cp:revision>3</cp:revision>
  <cp:lastPrinted>2021-04-26T18:12:00Z</cp:lastPrinted>
  <dcterms:created xsi:type="dcterms:W3CDTF">2021-04-27T16:27:00Z</dcterms:created>
  <dcterms:modified xsi:type="dcterms:W3CDTF">2021-04-27T16:28:00Z</dcterms:modified>
</cp:coreProperties>
</file>